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cs="Arial"/>
          <w:b/>
          <w:sz w:val="52"/>
          <w:szCs w:val="52"/>
        </w:rPr>
      </w:pPr>
      <w:bookmarkStart w:id="0" w:name="_Toc215282124"/>
    </w:p>
    <w:p>
      <w:pPr>
        <w:spacing w:line="312" w:lineRule="auto"/>
        <w:jc w:val="center"/>
        <w:rPr>
          <w:rFonts w:hAnsi="宋体" w:cs="宋体"/>
          <w:b/>
          <w:sz w:val="72"/>
          <w:szCs w:val="44"/>
        </w:rPr>
      </w:pPr>
      <w:r>
        <w:rPr>
          <w:rFonts w:hint="eastAsia" w:hAnsi="宋体" w:cs="宋体"/>
          <w:b/>
          <w:kern w:val="2"/>
          <w:sz w:val="72"/>
          <w:szCs w:val="44"/>
          <w:lang w:bidi="ar"/>
        </w:rPr>
        <w:t>建 安 区 建 设 工 程</w:t>
      </w:r>
    </w:p>
    <w:p>
      <w:pPr>
        <w:spacing w:line="312" w:lineRule="auto"/>
        <w:jc w:val="center"/>
        <w:rPr>
          <w:rFonts w:hAnsi="宋体" w:cs="宋体"/>
          <w:b/>
          <w:sz w:val="52"/>
          <w:szCs w:val="44"/>
        </w:rPr>
      </w:pPr>
    </w:p>
    <w:p>
      <w:pPr>
        <w:pStyle w:val="15"/>
        <w:spacing w:beforeAutospacing="0" w:after="120" w:afterAutospacing="0"/>
        <w:ind w:left="680" w:leftChars="200" w:firstLine="480" w:firstLineChars="200"/>
        <w:jc w:val="both"/>
        <w:rPr>
          <w:szCs w:val="24"/>
        </w:rPr>
      </w:pPr>
    </w:p>
    <w:p>
      <w:pPr>
        <w:pStyle w:val="15"/>
        <w:spacing w:beforeAutospacing="0" w:after="120" w:afterAutospacing="0"/>
        <w:ind w:left="680" w:leftChars="200" w:firstLine="480" w:firstLineChars="200"/>
        <w:jc w:val="both"/>
        <w:rPr>
          <w:szCs w:val="24"/>
        </w:rPr>
      </w:pPr>
    </w:p>
    <w:p>
      <w:pPr>
        <w:spacing w:line="312" w:lineRule="auto"/>
        <w:jc w:val="center"/>
        <w:rPr>
          <w:rFonts w:hAnsi="宋体" w:cs="宋体"/>
          <w:b/>
          <w:sz w:val="72"/>
          <w:szCs w:val="44"/>
        </w:rPr>
      </w:pPr>
      <w:r>
        <w:rPr>
          <w:rFonts w:hint="eastAsia" w:hAnsi="宋体" w:cs="宋体"/>
          <w:b/>
          <w:kern w:val="2"/>
          <w:sz w:val="72"/>
          <w:szCs w:val="44"/>
          <w:lang w:bidi="ar"/>
        </w:rPr>
        <w:t>招</w:t>
      </w:r>
    </w:p>
    <w:p>
      <w:pPr>
        <w:spacing w:line="312" w:lineRule="auto"/>
        <w:jc w:val="center"/>
        <w:rPr>
          <w:rFonts w:hAnsi="宋体" w:cs="宋体"/>
          <w:b/>
          <w:sz w:val="72"/>
          <w:szCs w:val="44"/>
        </w:rPr>
      </w:pPr>
      <w:r>
        <w:rPr>
          <w:rFonts w:hint="eastAsia" w:hAnsi="宋体" w:cs="宋体"/>
          <w:b/>
          <w:kern w:val="2"/>
          <w:sz w:val="72"/>
          <w:szCs w:val="44"/>
          <w:lang w:bidi="ar"/>
        </w:rPr>
        <w:t>标</w:t>
      </w:r>
    </w:p>
    <w:p>
      <w:pPr>
        <w:spacing w:line="312" w:lineRule="auto"/>
        <w:jc w:val="center"/>
        <w:rPr>
          <w:rFonts w:hAnsi="宋体" w:cs="宋体"/>
          <w:b/>
          <w:sz w:val="72"/>
          <w:szCs w:val="44"/>
        </w:rPr>
      </w:pPr>
      <w:r>
        <w:rPr>
          <w:rFonts w:hint="eastAsia" w:hAnsi="宋体" w:cs="宋体"/>
          <w:b/>
          <w:kern w:val="2"/>
          <w:sz w:val="72"/>
          <w:szCs w:val="44"/>
          <w:lang w:bidi="ar"/>
        </w:rPr>
        <w:t>文</w:t>
      </w:r>
    </w:p>
    <w:p>
      <w:pPr>
        <w:spacing w:line="312" w:lineRule="auto"/>
        <w:jc w:val="center"/>
        <w:rPr>
          <w:rFonts w:hAnsi="宋体" w:cs="宋体"/>
          <w:b/>
          <w:sz w:val="72"/>
          <w:szCs w:val="44"/>
        </w:rPr>
      </w:pPr>
      <w:r>
        <w:rPr>
          <w:rFonts w:hint="eastAsia" w:hAnsi="宋体" w:cs="宋体"/>
          <w:b/>
          <w:kern w:val="2"/>
          <w:sz w:val="72"/>
          <w:szCs w:val="44"/>
          <w:lang w:bidi="ar"/>
        </w:rPr>
        <w:t>件</w:t>
      </w:r>
    </w:p>
    <w:p>
      <w:pPr>
        <w:pStyle w:val="15"/>
        <w:spacing w:beforeAutospacing="0" w:after="120" w:afterAutospacing="0"/>
        <w:ind w:left="680" w:leftChars="200" w:firstLine="480" w:firstLineChars="200"/>
        <w:jc w:val="both"/>
      </w:pPr>
    </w:p>
    <w:p>
      <w:pPr>
        <w:pStyle w:val="15"/>
        <w:spacing w:beforeAutospacing="0" w:after="120" w:afterAutospacing="0"/>
        <w:ind w:left="680" w:leftChars="200" w:firstLine="480" w:firstLineChars="200"/>
        <w:jc w:val="both"/>
      </w:pPr>
    </w:p>
    <w:p>
      <w:pPr>
        <w:spacing w:line="312" w:lineRule="auto"/>
        <w:jc w:val="center"/>
        <w:rPr>
          <w:rFonts w:hAnsi="宋体" w:cs="宋体"/>
          <w:b/>
          <w:sz w:val="44"/>
          <w:szCs w:val="44"/>
        </w:rPr>
      </w:pPr>
    </w:p>
    <w:p>
      <w:pPr>
        <w:pStyle w:val="15"/>
        <w:spacing w:beforeAutospacing="0" w:after="120" w:afterAutospacing="0"/>
        <w:ind w:left="680" w:leftChars="200" w:firstLine="480" w:firstLineChars="200"/>
        <w:jc w:val="both"/>
      </w:pPr>
    </w:p>
    <w:p>
      <w:pPr>
        <w:spacing w:line="312" w:lineRule="auto"/>
        <w:jc w:val="left"/>
        <w:rPr>
          <w:rFonts w:hAnsi="宋体" w:cs="宋体"/>
          <w:b/>
          <w:sz w:val="24"/>
          <w:szCs w:val="44"/>
        </w:rPr>
      </w:pPr>
    </w:p>
    <w:p>
      <w:pPr>
        <w:spacing w:line="312" w:lineRule="auto"/>
        <w:ind w:firstLine="424" w:firstLineChars="132"/>
        <w:jc w:val="left"/>
        <w:rPr>
          <w:rFonts w:hAnsi="宋体" w:cs="宋体"/>
          <w:b/>
          <w:sz w:val="32"/>
          <w:szCs w:val="44"/>
        </w:rPr>
      </w:pPr>
      <w:r>
        <w:rPr>
          <w:rFonts w:hint="eastAsia" w:hAnsi="宋体" w:cs="宋体"/>
          <w:b/>
          <w:kern w:val="2"/>
          <w:sz w:val="32"/>
          <w:szCs w:val="44"/>
          <w:lang w:bidi="ar"/>
        </w:rPr>
        <w:t>项目编号：建安建工公字〔2020〕 69号</w:t>
      </w:r>
    </w:p>
    <w:p>
      <w:pPr>
        <w:spacing w:line="312" w:lineRule="auto"/>
        <w:ind w:firstLine="424" w:firstLineChars="132"/>
        <w:jc w:val="left"/>
        <w:rPr>
          <w:rFonts w:hAnsi="宋体" w:cs="宋体"/>
          <w:b/>
          <w:sz w:val="32"/>
          <w:szCs w:val="44"/>
        </w:rPr>
      </w:pPr>
      <w:r>
        <w:rPr>
          <w:rFonts w:hint="eastAsia" w:hAnsi="宋体" w:cs="宋体"/>
          <w:b/>
          <w:kern w:val="2"/>
          <w:sz w:val="32"/>
          <w:szCs w:val="44"/>
          <w:lang w:bidi="ar"/>
        </w:rPr>
        <w:t>项目名称：许昌市建安区2019年高标准农田建设示范区项目</w:t>
      </w:r>
    </w:p>
    <w:p>
      <w:pPr>
        <w:spacing w:line="312" w:lineRule="auto"/>
        <w:ind w:firstLine="424" w:firstLineChars="132"/>
        <w:jc w:val="left"/>
        <w:rPr>
          <w:rFonts w:hAnsi="宋体" w:cs="宋体"/>
          <w:b/>
          <w:sz w:val="32"/>
          <w:szCs w:val="44"/>
        </w:rPr>
      </w:pPr>
      <w:r>
        <w:rPr>
          <w:rFonts w:hint="eastAsia" w:hAnsi="宋体" w:cs="宋体"/>
          <w:b/>
          <w:kern w:val="2"/>
          <w:sz w:val="32"/>
          <w:szCs w:val="44"/>
          <w:lang w:bidi="ar"/>
        </w:rPr>
        <w:t>招 标 人：许昌市建安区农业农村局</w:t>
      </w:r>
    </w:p>
    <w:p>
      <w:pPr>
        <w:spacing w:line="312" w:lineRule="auto"/>
        <w:ind w:firstLine="424" w:firstLineChars="132"/>
        <w:jc w:val="left"/>
        <w:rPr>
          <w:rFonts w:hAnsi="宋体" w:cs="宋体"/>
          <w:b/>
          <w:sz w:val="32"/>
          <w:szCs w:val="44"/>
        </w:rPr>
      </w:pPr>
      <w:r>
        <w:rPr>
          <w:rFonts w:hint="eastAsia" w:hAnsi="宋体" w:cs="宋体"/>
          <w:b/>
          <w:kern w:val="2"/>
          <w:sz w:val="32"/>
          <w:szCs w:val="44"/>
          <w:lang w:bidi="ar"/>
        </w:rPr>
        <w:t>代理机构：中建山河建设管理集团有限公司</w:t>
      </w:r>
    </w:p>
    <w:p>
      <w:pPr>
        <w:spacing w:line="312" w:lineRule="auto"/>
        <w:ind w:firstLine="2927" w:firstLineChars="911"/>
        <w:jc w:val="left"/>
        <w:rPr>
          <w:rFonts w:hAnsi="宋体" w:cs="宋体"/>
          <w:b/>
          <w:sz w:val="22"/>
          <w:szCs w:val="30"/>
        </w:rPr>
      </w:pPr>
      <w:r>
        <w:rPr>
          <w:rFonts w:hint="eastAsia" w:hAnsi="宋体" w:cs="宋体"/>
          <w:b/>
          <w:kern w:val="2"/>
          <w:sz w:val="32"/>
          <w:szCs w:val="44"/>
          <w:lang w:bidi="ar"/>
        </w:rPr>
        <w:t>二〇二〇年六月</w:t>
      </w:r>
    </w:p>
    <w:p>
      <w:pPr>
        <w:spacing w:line="312" w:lineRule="auto"/>
        <w:rPr>
          <w:rFonts w:hAnsi="宋体" w:cs="宋体"/>
          <w:b/>
          <w:kern w:val="2"/>
          <w:sz w:val="36"/>
          <w:szCs w:val="30"/>
          <w:lang w:bidi="ar"/>
        </w:rPr>
        <w:sectPr>
          <w:headerReference r:id="rId4" w:type="first"/>
          <w:footerReference r:id="rId6" w:type="first"/>
          <w:headerReference r:id="rId3" w:type="default"/>
          <w:footerReference r:id="rId5" w:type="default"/>
          <w:pgSz w:w="11906" w:h="16838"/>
          <w:pgMar w:top="1418" w:right="1418" w:bottom="1418" w:left="1418" w:header="851" w:footer="992" w:gutter="0"/>
          <w:pgNumType w:start="0"/>
          <w:cols w:space="720" w:num="1"/>
          <w:titlePg/>
          <w:docGrid w:type="lines" w:linePitch="312" w:charSpace="0"/>
        </w:sectPr>
      </w:pPr>
    </w:p>
    <w:p>
      <w:pPr>
        <w:rPr>
          <w:rFonts w:ascii="黑体" w:hAnsi="宋体" w:eastAsia="黑体" w:cs="黑体"/>
          <w:b/>
          <w:sz w:val="44"/>
          <w:szCs w:val="24"/>
        </w:rPr>
      </w:pPr>
    </w:p>
    <w:p>
      <w:pPr>
        <w:jc w:val="center"/>
        <w:rPr>
          <w:rFonts w:ascii="黑体" w:hAnsi="宋体" w:eastAsia="黑体" w:cs="黑体"/>
          <w:b/>
          <w:sz w:val="44"/>
          <w:szCs w:val="24"/>
        </w:rPr>
      </w:pPr>
      <w:r>
        <w:rPr>
          <w:rFonts w:hint="eastAsia" w:ascii="黑体" w:hAnsi="宋体" w:eastAsia="黑体" w:cs="黑体"/>
          <w:b/>
          <w:kern w:val="2"/>
          <w:sz w:val="44"/>
          <w:szCs w:val="24"/>
          <w:lang w:bidi="ar"/>
        </w:rPr>
        <w:t>目  录</w:t>
      </w:r>
    </w:p>
    <w:p>
      <w:pPr>
        <w:jc w:val="center"/>
        <w:rPr>
          <w:rFonts w:hAnsi="宋体" w:cs="宋体"/>
          <w:b/>
          <w:sz w:val="32"/>
          <w:szCs w:val="24"/>
        </w:rPr>
      </w:pPr>
    </w:p>
    <w:p>
      <w:pPr>
        <w:tabs>
          <w:tab w:val="left" w:leader="hyphen" w:pos="7919"/>
        </w:tabs>
        <w:snapToGrid w:val="0"/>
        <w:spacing w:line="480" w:lineRule="auto"/>
        <w:ind w:firstLine="548" w:firstLineChars="196"/>
        <w:rPr>
          <w:rFonts w:ascii="黑体" w:hAnsi="宋体" w:eastAsia="黑体" w:cs="黑体"/>
          <w:b/>
          <w:sz w:val="28"/>
          <w:szCs w:val="24"/>
        </w:rPr>
      </w:pPr>
      <w:r>
        <w:rPr>
          <w:rFonts w:hint="eastAsia" w:ascii="黑体" w:hAnsi="宋体" w:eastAsia="黑体" w:cs="黑体"/>
          <w:b/>
          <w:kern w:val="2"/>
          <w:sz w:val="28"/>
          <w:szCs w:val="28"/>
          <w:lang w:bidi="ar"/>
        </w:rPr>
        <w:t>第一章  招标公告</w:t>
      </w:r>
      <w:r>
        <w:rPr>
          <w:rFonts w:hint="eastAsia" w:ascii="黑体" w:hAnsi="宋体" w:eastAsia="黑体" w:cs="黑体"/>
          <w:b/>
          <w:kern w:val="2"/>
          <w:sz w:val="28"/>
          <w:szCs w:val="24"/>
          <w:lang w:bidi="ar"/>
        </w:rPr>
        <w:tab/>
      </w:r>
      <w:r>
        <w:rPr>
          <w:rFonts w:hint="eastAsia" w:ascii="黑体" w:hAnsi="宋体" w:eastAsia="黑体" w:cs="黑体"/>
          <w:b/>
          <w:kern w:val="2"/>
          <w:sz w:val="28"/>
          <w:szCs w:val="24"/>
          <w:lang w:bidi="ar"/>
        </w:rPr>
        <w:tab/>
      </w:r>
    </w:p>
    <w:p>
      <w:pPr>
        <w:tabs>
          <w:tab w:val="left" w:leader="hyphen" w:pos="7919"/>
        </w:tabs>
        <w:snapToGrid w:val="0"/>
        <w:spacing w:line="480" w:lineRule="auto"/>
        <w:ind w:firstLine="570"/>
        <w:rPr>
          <w:rFonts w:ascii="黑体" w:hAnsi="宋体" w:eastAsia="黑体" w:cs="黑体"/>
          <w:b/>
          <w:sz w:val="28"/>
          <w:szCs w:val="24"/>
        </w:rPr>
      </w:pPr>
      <w:r>
        <w:rPr>
          <w:rFonts w:hint="eastAsia" w:ascii="黑体" w:hAnsi="宋体" w:eastAsia="黑体" w:cs="黑体"/>
          <w:b/>
          <w:kern w:val="2"/>
          <w:sz w:val="28"/>
          <w:szCs w:val="24"/>
          <w:lang w:bidi="ar"/>
        </w:rPr>
        <w:t>第二章  投标人须知</w:t>
      </w:r>
      <w:r>
        <w:rPr>
          <w:rFonts w:hint="eastAsia" w:ascii="黑体" w:hAnsi="宋体" w:eastAsia="黑体" w:cs="黑体"/>
          <w:b/>
          <w:kern w:val="2"/>
          <w:sz w:val="28"/>
          <w:szCs w:val="24"/>
          <w:lang w:bidi="ar"/>
        </w:rPr>
        <w:tab/>
      </w:r>
    </w:p>
    <w:p>
      <w:pPr>
        <w:tabs>
          <w:tab w:val="left" w:leader="hyphen" w:pos="7919"/>
        </w:tabs>
        <w:snapToGrid w:val="0"/>
        <w:spacing w:line="480" w:lineRule="auto"/>
        <w:ind w:firstLine="570"/>
        <w:rPr>
          <w:rFonts w:ascii="黑体" w:hAnsi="宋体" w:eastAsia="黑体" w:cs="黑体"/>
          <w:b/>
          <w:sz w:val="28"/>
          <w:szCs w:val="24"/>
        </w:rPr>
      </w:pPr>
      <w:r>
        <w:rPr>
          <w:rFonts w:hint="eastAsia" w:ascii="黑体" w:hAnsi="宋体" w:eastAsia="黑体" w:cs="黑体"/>
          <w:b/>
          <w:kern w:val="2"/>
          <w:sz w:val="28"/>
          <w:szCs w:val="24"/>
          <w:lang w:bidi="ar"/>
        </w:rPr>
        <w:t>第三章  评标办法</w:t>
      </w:r>
      <w:r>
        <w:rPr>
          <w:rFonts w:hint="eastAsia" w:ascii="黑体" w:hAnsi="宋体" w:eastAsia="黑体" w:cs="黑体"/>
          <w:b/>
          <w:kern w:val="2"/>
          <w:sz w:val="28"/>
          <w:szCs w:val="24"/>
          <w:lang w:bidi="ar"/>
        </w:rPr>
        <w:tab/>
      </w:r>
    </w:p>
    <w:p>
      <w:pPr>
        <w:tabs>
          <w:tab w:val="left" w:leader="hyphen" w:pos="7919"/>
        </w:tabs>
        <w:snapToGrid w:val="0"/>
        <w:spacing w:line="480" w:lineRule="auto"/>
        <w:ind w:firstLine="570"/>
        <w:rPr>
          <w:rFonts w:ascii="黑体" w:hAnsi="宋体" w:eastAsia="黑体" w:cs="黑体"/>
          <w:b/>
          <w:sz w:val="32"/>
          <w:szCs w:val="24"/>
        </w:rPr>
      </w:pPr>
      <w:r>
        <w:rPr>
          <w:rFonts w:hint="eastAsia" w:ascii="黑体" w:hAnsi="宋体" w:eastAsia="黑体" w:cs="黑体"/>
          <w:b/>
          <w:kern w:val="2"/>
          <w:sz w:val="28"/>
          <w:szCs w:val="24"/>
          <w:lang w:bidi="ar"/>
        </w:rPr>
        <w:t>第四章  合同条款</w:t>
      </w:r>
      <w:r>
        <w:rPr>
          <w:rFonts w:hint="eastAsia" w:ascii="黑体" w:hAnsi="宋体" w:eastAsia="黑体" w:cs="黑体"/>
          <w:b/>
          <w:kern w:val="2"/>
          <w:sz w:val="28"/>
          <w:szCs w:val="24"/>
          <w:lang w:bidi="ar"/>
        </w:rPr>
        <w:tab/>
      </w:r>
    </w:p>
    <w:p>
      <w:pPr>
        <w:tabs>
          <w:tab w:val="left" w:leader="hyphen" w:pos="7919"/>
        </w:tabs>
        <w:snapToGrid w:val="0"/>
        <w:spacing w:line="480" w:lineRule="auto"/>
        <w:ind w:firstLine="562"/>
        <w:rPr>
          <w:rFonts w:ascii="黑体" w:hAnsi="宋体" w:eastAsia="黑体" w:cs="黑体"/>
          <w:b/>
          <w:sz w:val="28"/>
          <w:szCs w:val="24"/>
        </w:rPr>
      </w:pPr>
      <w:r>
        <w:rPr>
          <w:rFonts w:hint="eastAsia" w:ascii="黑体" w:hAnsi="宋体" w:eastAsia="黑体" w:cs="黑体"/>
          <w:b/>
          <w:kern w:val="2"/>
          <w:sz w:val="28"/>
          <w:szCs w:val="24"/>
          <w:lang w:bidi="ar"/>
        </w:rPr>
        <w:t>第五章  工程量清单</w:t>
      </w:r>
      <w:r>
        <w:rPr>
          <w:rFonts w:hint="eastAsia" w:ascii="黑体" w:hAnsi="宋体" w:eastAsia="黑体" w:cs="黑体"/>
          <w:b/>
          <w:kern w:val="2"/>
          <w:sz w:val="28"/>
          <w:szCs w:val="24"/>
          <w:lang w:bidi="ar"/>
        </w:rPr>
        <w:tab/>
      </w:r>
    </w:p>
    <w:p>
      <w:pPr>
        <w:tabs>
          <w:tab w:val="left" w:leader="hyphen" w:pos="7919"/>
        </w:tabs>
        <w:snapToGrid w:val="0"/>
        <w:spacing w:line="480" w:lineRule="auto"/>
        <w:ind w:firstLine="562"/>
        <w:rPr>
          <w:rFonts w:ascii="黑体" w:hAnsi="宋体" w:eastAsia="黑体" w:cs="黑体"/>
          <w:b/>
          <w:sz w:val="28"/>
          <w:szCs w:val="24"/>
        </w:rPr>
      </w:pPr>
      <w:r>
        <w:rPr>
          <w:rFonts w:hint="eastAsia" w:ascii="黑体" w:hAnsi="宋体" w:eastAsia="黑体" w:cs="黑体"/>
          <w:b/>
          <w:kern w:val="2"/>
          <w:sz w:val="28"/>
          <w:szCs w:val="24"/>
          <w:lang w:bidi="ar"/>
        </w:rPr>
        <w:t>第六章  图纸</w:t>
      </w:r>
      <w:r>
        <w:rPr>
          <w:rFonts w:hint="eastAsia" w:ascii="黑体" w:hAnsi="宋体" w:eastAsia="黑体" w:cs="黑体"/>
          <w:b/>
          <w:kern w:val="2"/>
          <w:sz w:val="28"/>
          <w:szCs w:val="24"/>
          <w:lang w:bidi="ar"/>
        </w:rPr>
        <w:tab/>
      </w:r>
      <w:r>
        <w:rPr>
          <w:rFonts w:hint="eastAsia" w:ascii="黑体" w:hAnsi="宋体" w:eastAsia="黑体" w:cs="黑体"/>
          <w:b/>
          <w:kern w:val="2"/>
          <w:sz w:val="28"/>
          <w:szCs w:val="24"/>
          <w:lang w:bidi="ar"/>
        </w:rPr>
        <w:tab/>
      </w:r>
    </w:p>
    <w:p>
      <w:pPr>
        <w:tabs>
          <w:tab w:val="left" w:leader="hyphen" w:pos="7919"/>
        </w:tabs>
        <w:snapToGrid w:val="0"/>
        <w:spacing w:line="480" w:lineRule="auto"/>
        <w:ind w:firstLine="562"/>
        <w:rPr>
          <w:rFonts w:ascii="黑体" w:hAnsi="宋体" w:eastAsia="黑体" w:cs="黑体"/>
          <w:b/>
          <w:sz w:val="28"/>
          <w:szCs w:val="24"/>
        </w:rPr>
      </w:pPr>
      <w:r>
        <w:rPr>
          <w:rFonts w:hint="eastAsia" w:ascii="黑体" w:hAnsi="宋体" w:eastAsia="黑体" w:cs="黑体"/>
          <w:b/>
          <w:kern w:val="2"/>
          <w:sz w:val="28"/>
          <w:szCs w:val="24"/>
          <w:lang w:bidi="ar"/>
        </w:rPr>
        <w:t>第七章  技术标准和要求</w:t>
      </w:r>
      <w:r>
        <w:rPr>
          <w:rFonts w:hint="eastAsia" w:ascii="黑体" w:hAnsi="宋体" w:eastAsia="黑体" w:cs="黑体"/>
          <w:b/>
          <w:kern w:val="2"/>
          <w:sz w:val="28"/>
          <w:szCs w:val="24"/>
          <w:lang w:bidi="ar"/>
        </w:rPr>
        <w:tab/>
      </w:r>
      <w:r>
        <w:rPr>
          <w:rFonts w:hint="eastAsia" w:ascii="黑体" w:hAnsi="宋体" w:eastAsia="黑体" w:cs="黑体"/>
          <w:b/>
          <w:kern w:val="2"/>
          <w:sz w:val="28"/>
          <w:szCs w:val="24"/>
          <w:lang w:bidi="ar"/>
        </w:rPr>
        <w:tab/>
      </w:r>
      <w:r>
        <w:rPr>
          <w:rFonts w:hint="eastAsia" w:ascii="黑体" w:hAnsi="宋体" w:eastAsia="黑体" w:cs="黑体"/>
          <w:b/>
          <w:kern w:val="2"/>
          <w:sz w:val="28"/>
          <w:szCs w:val="24"/>
          <w:lang w:bidi="ar"/>
        </w:rPr>
        <w:tab/>
      </w:r>
    </w:p>
    <w:p>
      <w:pPr>
        <w:tabs>
          <w:tab w:val="left" w:leader="hyphen" w:pos="7919"/>
        </w:tabs>
        <w:snapToGrid w:val="0"/>
        <w:spacing w:line="480" w:lineRule="auto"/>
        <w:ind w:firstLine="562"/>
        <w:rPr>
          <w:rFonts w:ascii="黑体" w:hAnsi="宋体" w:eastAsia="黑体" w:cs="黑体"/>
          <w:b/>
          <w:sz w:val="28"/>
          <w:szCs w:val="24"/>
        </w:rPr>
      </w:pPr>
      <w:r>
        <w:rPr>
          <w:rFonts w:hint="eastAsia" w:ascii="黑体" w:hAnsi="宋体" w:eastAsia="黑体" w:cs="黑体"/>
          <w:b/>
          <w:kern w:val="2"/>
          <w:sz w:val="28"/>
          <w:szCs w:val="24"/>
          <w:lang w:bidi="ar"/>
        </w:rPr>
        <w:t>第八章  投标文件格式</w:t>
      </w:r>
      <w:r>
        <w:rPr>
          <w:rFonts w:hint="eastAsia" w:ascii="黑体" w:hAnsi="宋体" w:eastAsia="黑体" w:cs="黑体"/>
          <w:b/>
          <w:kern w:val="2"/>
          <w:sz w:val="28"/>
          <w:szCs w:val="24"/>
          <w:lang w:bidi="ar"/>
        </w:rPr>
        <w:tab/>
      </w:r>
      <w:r>
        <w:rPr>
          <w:rFonts w:hint="eastAsia" w:ascii="黑体" w:hAnsi="宋体" w:eastAsia="黑体" w:cs="黑体"/>
          <w:b/>
          <w:kern w:val="2"/>
          <w:sz w:val="28"/>
          <w:szCs w:val="24"/>
          <w:lang w:bidi="ar"/>
        </w:rPr>
        <w:tab/>
      </w:r>
    </w:p>
    <w:p>
      <w:pPr>
        <w:spacing w:line="312" w:lineRule="auto"/>
      </w:pPr>
    </w:p>
    <w:p>
      <w:pPr>
        <w:widowControl/>
        <w:jc w:val="left"/>
      </w:pPr>
      <w:r>
        <w:rPr>
          <w:rFonts w:ascii="Times New Roman"/>
          <w:kern w:val="2"/>
          <w:sz w:val="21"/>
          <w:szCs w:val="24"/>
          <w:lang w:bidi="ar"/>
        </w:rPr>
        <w:br w:type="page"/>
      </w:r>
    </w:p>
    <w:p>
      <w:pPr>
        <w:spacing w:line="312" w:lineRule="auto"/>
      </w:pPr>
    </w:p>
    <w:p>
      <w:pPr>
        <w:pStyle w:val="15"/>
        <w:widowControl/>
        <w:numPr>
          <w:ilvl w:val="0"/>
          <w:numId w:val="1"/>
        </w:numPr>
        <w:shd w:val="clear" w:color="auto" w:fill="FFFFFF"/>
        <w:spacing w:beforeAutospacing="0" w:afterAutospacing="0" w:line="288" w:lineRule="auto"/>
        <w:jc w:val="center"/>
        <w:rPr>
          <w:rFonts w:hAnsi="宋体" w:cs="宋体"/>
          <w:b/>
          <w:sz w:val="36"/>
          <w:szCs w:val="36"/>
          <w:shd w:val="clear" w:color="auto" w:fill="FFFFFF"/>
        </w:rPr>
      </w:pPr>
      <w:bookmarkStart w:id="1" w:name="_Toc405406287"/>
      <w:bookmarkStart w:id="2" w:name="_Toc13242"/>
      <w:r>
        <w:rPr>
          <w:rFonts w:hint="eastAsia" w:hAnsi="宋体" w:cs="宋体"/>
          <w:b/>
          <w:sz w:val="36"/>
          <w:szCs w:val="36"/>
          <w:shd w:val="clear" w:color="auto" w:fill="FFFFFF"/>
        </w:rPr>
        <w:t>招 标 公 告</w:t>
      </w:r>
      <w:bookmarkEnd w:id="1"/>
      <w:bookmarkEnd w:id="2"/>
    </w:p>
    <w:p>
      <w:pPr>
        <w:autoSpaceDE w:val="0"/>
        <w:autoSpaceDN w:val="0"/>
        <w:adjustRightInd w:val="0"/>
        <w:snapToGrid w:val="0"/>
        <w:spacing w:line="360" w:lineRule="auto"/>
        <w:jc w:val="left"/>
        <w:outlineLvl w:val="0"/>
        <w:rPr>
          <w:rFonts w:hAnsi="宋体"/>
          <w:b/>
          <w:sz w:val="28"/>
          <w:szCs w:val="28"/>
        </w:rPr>
      </w:pPr>
    </w:p>
    <w:p>
      <w:pPr>
        <w:autoSpaceDE w:val="0"/>
        <w:autoSpaceDN w:val="0"/>
        <w:adjustRightInd w:val="0"/>
        <w:snapToGrid w:val="0"/>
        <w:spacing w:line="360" w:lineRule="auto"/>
        <w:ind w:firstLine="640" w:firstLineChars="200"/>
        <w:jc w:val="center"/>
        <w:outlineLvl w:val="0"/>
        <w:rPr>
          <w:rFonts w:hAnsi="宋体"/>
          <w:b/>
          <w:sz w:val="32"/>
          <w:szCs w:val="32"/>
        </w:rPr>
      </w:pPr>
      <w:r>
        <w:rPr>
          <w:rFonts w:hint="eastAsia" w:ascii="Times New Roman" w:hAnsi="宋体" w:cs="宋体"/>
          <w:b/>
          <w:kern w:val="2"/>
          <w:sz w:val="32"/>
          <w:szCs w:val="32"/>
          <w:lang w:bidi="ar"/>
        </w:rPr>
        <w:t>建安建工公字〔</w:t>
      </w:r>
      <w:r>
        <w:rPr>
          <w:rFonts w:ascii="Times New Roman" w:hAnsi="宋体"/>
          <w:b/>
          <w:kern w:val="2"/>
          <w:sz w:val="32"/>
          <w:szCs w:val="32"/>
          <w:lang w:bidi="ar"/>
        </w:rPr>
        <w:t>2020</w:t>
      </w:r>
      <w:r>
        <w:rPr>
          <w:rFonts w:hint="eastAsia" w:ascii="Times New Roman" w:hAnsi="宋体" w:cs="宋体"/>
          <w:b/>
          <w:kern w:val="2"/>
          <w:sz w:val="32"/>
          <w:szCs w:val="32"/>
          <w:lang w:bidi="ar"/>
        </w:rPr>
        <w:t>〕</w:t>
      </w:r>
      <w:r>
        <w:rPr>
          <w:rFonts w:hint="eastAsia" w:ascii="Times New Roman" w:hAnsi="宋体"/>
          <w:b/>
          <w:kern w:val="2"/>
          <w:sz w:val="32"/>
          <w:szCs w:val="32"/>
          <w:lang w:bidi="ar"/>
        </w:rPr>
        <w:t>69</w:t>
      </w:r>
      <w:r>
        <w:rPr>
          <w:rFonts w:ascii="Times New Roman" w:hAnsi="宋体"/>
          <w:b/>
          <w:kern w:val="2"/>
          <w:sz w:val="32"/>
          <w:szCs w:val="32"/>
          <w:lang w:bidi="ar"/>
        </w:rPr>
        <w:t xml:space="preserve"> </w:t>
      </w:r>
      <w:r>
        <w:rPr>
          <w:rFonts w:hint="eastAsia" w:ascii="Times New Roman" w:hAnsi="宋体" w:cs="宋体"/>
          <w:b/>
          <w:kern w:val="2"/>
          <w:sz w:val="32"/>
          <w:szCs w:val="32"/>
          <w:lang w:bidi="ar"/>
        </w:rPr>
        <w:t>号</w:t>
      </w:r>
    </w:p>
    <w:p>
      <w:pPr>
        <w:autoSpaceDE w:val="0"/>
        <w:autoSpaceDN w:val="0"/>
        <w:adjustRightInd w:val="0"/>
        <w:snapToGrid w:val="0"/>
        <w:spacing w:line="360" w:lineRule="auto"/>
        <w:ind w:firstLine="640" w:firstLineChars="200"/>
        <w:jc w:val="center"/>
        <w:outlineLvl w:val="0"/>
        <w:rPr>
          <w:rFonts w:hAnsi="宋体"/>
          <w:b/>
          <w:sz w:val="32"/>
          <w:szCs w:val="32"/>
        </w:rPr>
      </w:pPr>
      <w:r>
        <w:rPr>
          <w:rFonts w:hint="eastAsia" w:ascii="Times New Roman" w:hAnsi="宋体" w:cs="宋体"/>
          <w:b/>
          <w:kern w:val="2"/>
          <w:sz w:val="32"/>
          <w:szCs w:val="32"/>
          <w:lang w:bidi="ar"/>
        </w:rPr>
        <w:t>许昌市建安区农业农村局</w:t>
      </w:r>
    </w:p>
    <w:p>
      <w:pPr>
        <w:autoSpaceDE w:val="0"/>
        <w:autoSpaceDN w:val="0"/>
        <w:adjustRightInd w:val="0"/>
        <w:snapToGrid w:val="0"/>
        <w:spacing w:line="360" w:lineRule="auto"/>
        <w:ind w:firstLine="640" w:firstLineChars="200"/>
        <w:jc w:val="center"/>
        <w:outlineLvl w:val="0"/>
        <w:rPr>
          <w:rFonts w:hAnsi="宋体"/>
          <w:b/>
          <w:sz w:val="32"/>
          <w:szCs w:val="32"/>
        </w:rPr>
      </w:pPr>
      <w:r>
        <w:rPr>
          <w:rFonts w:hint="eastAsia" w:ascii="Times New Roman" w:hAnsi="宋体" w:cs="宋体"/>
          <w:b/>
          <w:kern w:val="2"/>
          <w:sz w:val="32"/>
          <w:szCs w:val="32"/>
          <w:lang w:bidi="ar"/>
        </w:rPr>
        <w:t>许昌市建安区</w:t>
      </w:r>
      <w:r>
        <w:rPr>
          <w:rFonts w:ascii="Times New Roman" w:hAnsi="宋体"/>
          <w:b/>
          <w:kern w:val="2"/>
          <w:sz w:val="32"/>
          <w:szCs w:val="32"/>
          <w:lang w:bidi="ar"/>
        </w:rPr>
        <w:t>2019</w:t>
      </w:r>
      <w:r>
        <w:rPr>
          <w:rFonts w:hint="eastAsia" w:ascii="Times New Roman" w:hAnsi="宋体" w:cs="宋体"/>
          <w:b/>
          <w:kern w:val="2"/>
          <w:sz w:val="32"/>
          <w:szCs w:val="32"/>
          <w:lang w:bidi="ar"/>
        </w:rPr>
        <w:t>年高标准农田建设示范区项目</w:t>
      </w:r>
    </w:p>
    <w:p>
      <w:pPr>
        <w:autoSpaceDE w:val="0"/>
        <w:autoSpaceDN w:val="0"/>
        <w:adjustRightInd w:val="0"/>
        <w:snapToGrid w:val="0"/>
        <w:spacing w:line="360" w:lineRule="auto"/>
        <w:ind w:firstLine="640" w:firstLineChars="200"/>
        <w:jc w:val="center"/>
        <w:outlineLvl w:val="0"/>
        <w:rPr>
          <w:rFonts w:hAnsi="宋体"/>
          <w:b/>
          <w:sz w:val="32"/>
          <w:szCs w:val="32"/>
        </w:rPr>
      </w:pPr>
      <w:r>
        <w:rPr>
          <w:rFonts w:hint="eastAsia" w:ascii="Times New Roman" w:hAnsi="宋体" w:cs="宋体"/>
          <w:b/>
          <w:kern w:val="2"/>
          <w:sz w:val="32"/>
          <w:szCs w:val="32"/>
          <w:lang w:bidi="ar"/>
        </w:rPr>
        <w:t>公开招标公告</w:t>
      </w:r>
    </w:p>
    <w:p>
      <w:pPr>
        <w:autoSpaceDE w:val="0"/>
        <w:autoSpaceDN w:val="0"/>
        <w:adjustRightInd w:val="0"/>
        <w:snapToGrid w:val="0"/>
        <w:spacing w:line="360" w:lineRule="auto"/>
        <w:jc w:val="left"/>
        <w:outlineLvl w:val="0"/>
        <w:rPr>
          <w:rFonts w:hAnsi="宋体"/>
          <w:b/>
          <w:sz w:val="28"/>
          <w:szCs w:val="28"/>
        </w:rPr>
      </w:pPr>
      <w:r>
        <w:rPr>
          <w:rFonts w:hint="eastAsia" w:ascii="Times New Roman" w:hAnsi="宋体" w:cs="宋体"/>
          <w:b/>
          <w:kern w:val="2"/>
          <w:sz w:val="28"/>
          <w:szCs w:val="28"/>
          <w:lang w:bidi="ar"/>
        </w:rPr>
        <w:t>一、项目概况</w:t>
      </w:r>
    </w:p>
    <w:p>
      <w:pPr>
        <w:autoSpaceDE w:val="0"/>
        <w:autoSpaceDN w:val="0"/>
        <w:adjustRightInd w:val="0"/>
        <w:spacing w:line="360" w:lineRule="auto"/>
        <w:ind w:firstLine="480" w:firstLineChars="200"/>
        <w:jc w:val="left"/>
        <w:outlineLvl w:val="0"/>
        <w:rPr>
          <w:rFonts w:hAnsi="宋体"/>
          <w:sz w:val="24"/>
          <w:szCs w:val="24"/>
        </w:rPr>
      </w:pPr>
      <w:r>
        <w:rPr>
          <w:rFonts w:ascii="Times New Roman" w:hAnsi="宋体"/>
          <w:kern w:val="2"/>
          <w:sz w:val="24"/>
          <w:szCs w:val="24"/>
          <w:lang w:bidi="ar"/>
        </w:rPr>
        <w:t>1</w:t>
      </w:r>
      <w:r>
        <w:rPr>
          <w:rFonts w:hint="eastAsia" w:ascii="Times New Roman" w:hAnsi="宋体" w:cs="宋体"/>
          <w:kern w:val="2"/>
          <w:sz w:val="24"/>
          <w:szCs w:val="24"/>
          <w:lang w:bidi="ar"/>
        </w:rPr>
        <w:t>、项目编号：建安建工公字〔</w:t>
      </w:r>
      <w:r>
        <w:rPr>
          <w:rFonts w:ascii="Times New Roman" w:hAnsi="宋体"/>
          <w:kern w:val="2"/>
          <w:sz w:val="24"/>
          <w:szCs w:val="24"/>
          <w:lang w:bidi="ar"/>
        </w:rPr>
        <w:t>2020</w:t>
      </w:r>
      <w:r>
        <w:rPr>
          <w:rFonts w:hint="eastAsia" w:ascii="Times New Roman" w:hAnsi="宋体" w:cs="宋体"/>
          <w:kern w:val="2"/>
          <w:sz w:val="24"/>
          <w:szCs w:val="24"/>
          <w:lang w:bidi="ar"/>
        </w:rPr>
        <w:t>〕</w:t>
      </w:r>
      <w:r>
        <w:rPr>
          <w:rFonts w:hint="eastAsia" w:ascii="Times New Roman" w:hAnsi="宋体"/>
          <w:kern w:val="2"/>
          <w:sz w:val="24"/>
          <w:szCs w:val="24"/>
          <w:lang w:bidi="ar"/>
        </w:rPr>
        <w:t>69</w:t>
      </w:r>
      <w:r>
        <w:rPr>
          <w:rFonts w:hint="eastAsia" w:ascii="Times New Roman" w:hAnsi="宋体" w:cs="宋体"/>
          <w:kern w:val="2"/>
          <w:sz w:val="24"/>
          <w:szCs w:val="24"/>
          <w:lang w:bidi="ar"/>
        </w:rPr>
        <w:t>号</w:t>
      </w:r>
      <w:r>
        <w:rPr>
          <w:rFonts w:ascii="Times New Roman" w:hAnsi="宋体"/>
          <w:kern w:val="2"/>
          <w:sz w:val="24"/>
          <w:szCs w:val="24"/>
          <w:lang w:bidi="ar"/>
        </w:rPr>
        <w:t xml:space="preserve"> </w:t>
      </w:r>
    </w:p>
    <w:p>
      <w:pPr>
        <w:autoSpaceDE w:val="0"/>
        <w:autoSpaceDN w:val="0"/>
        <w:adjustRightInd w:val="0"/>
        <w:spacing w:line="360" w:lineRule="auto"/>
        <w:ind w:firstLine="480" w:firstLineChars="200"/>
        <w:jc w:val="left"/>
        <w:outlineLvl w:val="0"/>
        <w:rPr>
          <w:rFonts w:hAnsi="宋体"/>
          <w:sz w:val="24"/>
          <w:szCs w:val="24"/>
        </w:rPr>
      </w:pPr>
      <w:r>
        <w:rPr>
          <w:rFonts w:ascii="Times New Roman" w:hAnsi="宋体"/>
          <w:kern w:val="2"/>
          <w:sz w:val="24"/>
          <w:szCs w:val="24"/>
          <w:lang w:bidi="ar"/>
        </w:rPr>
        <w:t>2</w:t>
      </w:r>
      <w:r>
        <w:rPr>
          <w:rFonts w:hint="eastAsia" w:ascii="Times New Roman" w:hAnsi="宋体" w:cs="宋体"/>
          <w:kern w:val="2"/>
          <w:sz w:val="24"/>
          <w:szCs w:val="24"/>
          <w:lang w:bidi="ar"/>
        </w:rPr>
        <w:t>、项目名称：许昌市建安区</w:t>
      </w:r>
      <w:r>
        <w:rPr>
          <w:rFonts w:ascii="Times New Roman" w:hAnsi="宋体"/>
          <w:kern w:val="2"/>
          <w:sz w:val="24"/>
          <w:szCs w:val="24"/>
          <w:lang w:bidi="ar"/>
        </w:rPr>
        <w:t>2019</w:t>
      </w:r>
      <w:r>
        <w:rPr>
          <w:rFonts w:hint="eastAsia" w:ascii="Times New Roman" w:hAnsi="宋体" w:cs="宋体"/>
          <w:kern w:val="2"/>
          <w:sz w:val="24"/>
          <w:szCs w:val="24"/>
          <w:lang w:bidi="ar"/>
        </w:rPr>
        <w:t>年高标准农田建设示范区项目</w:t>
      </w:r>
    </w:p>
    <w:p>
      <w:pPr>
        <w:autoSpaceDE w:val="0"/>
        <w:autoSpaceDN w:val="0"/>
        <w:adjustRightInd w:val="0"/>
        <w:spacing w:line="360" w:lineRule="auto"/>
        <w:ind w:firstLine="480" w:firstLineChars="200"/>
        <w:jc w:val="left"/>
        <w:outlineLvl w:val="0"/>
        <w:rPr>
          <w:rFonts w:hAnsi="宋体"/>
          <w:sz w:val="24"/>
          <w:szCs w:val="24"/>
        </w:rPr>
      </w:pPr>
      <w:r>
        <w:rPr>
          <w:rFonts w:ascii="Times New Roman" w:hAnsi="宋体"/>
          <w:kern w:val="2"/>
          <w:sz w:val="24"/>
          <w:szCs w:val="24"/>
          <w:lang w:bidi="ar"/>
        </w:rPr>
        <w:t>3</w:t>
      </w:r>
      <w:r>
        <w:rPr>
          <w:rFonts w:hint="eastAsia" w:ascii="Times New Roman" w:hAnsi="宋体" w:cs="宋体"/>
          <w:kern w:val="2"/>
          <w:sz w:val="24"/>
          <w:szCs w:val="24"/>
          <w:lang w:bidi="ar"/>
        </w:rPr>
        <w:t>、招标单位：许昌市建安区农业农村局</w:t>
      </w:r>
    </w:p>
    <w:p>
      <w:pPr>
        <w:autoSpaceDE w:val="0"/>
        <w:autoSpaceDN w:val="0"/>
        <w:adjustRightInd w:val="0"/>
        <w:spacing w:line="360" w:lineRule="auto"/>
        <w:ind w:firstLine="480" w:firstLineChars="200"/>
        <w:jc w:val="left"/>
        <w:outlineLvl w:val="0"/>
        <w:rPr>
          <w:rFonts w:hAnsi="宋体"/>
          <w:sz w:val="24"/>
          <w:szCs w:val="24"/>
        </w:rPr>
      </w:pPr>
      <w:r>
        <w:rPr>
          <w:rFonts w:ascii="Times New Roman" w:hAnsi="宋体"/>
          <w:kern w:val="2"/>
          <w:sz w:val="24"/>
          <w:szCs w:val="24"/>
          <w:lang w:bidi="ar"/>
        </w:rPr>
        <w:t>4</w:t>
      </w:r>
      <w:r>
        <w:rPr>
          <w:rFonts w:hint="eastAsia" w:ascii="Times New Roman" w:hAnsi="宋体" w:cs="宋体"/>
          <w:kern w:val="2"/>
          <w:sz w:val="24"/>
          <w:szCs w:val="24"/>
          <w:lang w:bidi="ar"/>
        </w:rPr>
        <w:t>、项目概况：项目位于建安区，主要建设内容为：排涝沟、砼道路等，具体内容详见招标文件。</w:t>
      </w:r>
    </w:p>
    <w:p>
      <w:pPr>
        <w:autoSpaceDE w:val="0"/>
        <w:autoSpaceDN w:val="0"/>
        <w:adjustRightInd w:val="0"/>
        <w:spacing w:line="360" w:lineRule="auto"/>
        <w:ind w:firstLine="480" w:firstLineChars="200"/>
        <w:jc w:val="left"/>
        <w:outlineLvl w:val="0"/>
        <w:rPr>
          <w:rFonts w:hAnsi="宋体"/>
          <w:sz w:val="24"/>
          <w:szCs w:val="24"/>
        </w:rPr>
      </w:pPr>
      <w:r>
        <w:rPr>
          <w:rFonts w:ascii="Times New Roman" w:hAnsi="宋体"/>
          <w:kern w:val="2"/>
          <w:sz w:val="24"/>
          <w:szCs w:val="24"/>
          <w:lang w:bidi="ar"/>
        </w:rPr>
        <w:t>5</w:t>
      </w:r>
      <w:r>
        <w:rPr>
          <w:rFonts w:hint="eastAsia" w:ascii="Times New Roman" w:hAnsi="宋体" w:cs="宋体"/>
          <w:kern w:val="2"/>
          <w:sz w:val="24"/>
          <w:szCs w:val="24"/>
          <w:lang w:bidi="ar"/>
        </w:rPr>
        <w:t>、招标控制价：4499429.43元</w:t>
      </w:r>
    </w:p>
    <w:p>
      <w:pPr>
        <w:autoSpaceDE w:val="0"/>
        <w:autoSpaceDN w:val="0"/>
        <w:adjustRightInd w:val="0"/>
        <w:spacing w:line="360" w:lineRule="auto"/>
        <w:ind w:firstLine="480" w:firstLineChars="200"/>
        <w:jc w:val="left"/>
        <w:outlineLvl w:val="0"/>
        <w:rPr>
          <w:rFonts w:hAnsi="宋体"/>
          <w:b/>
          <w:sz w:val="24"/>
          <w:szCs w:val="24"/>
        </w:rPr>
      </w:pPr>
      <w:r>
        <w:rPr>
          <w:rFonts w:ascii="Times New Roman" w:hAnsi="宋体"/>
          <w:kern w:val="2"/>
          <w:sz w:val="24"/>
          <w:szCs w:val="24"/>
          <w:lang w:bidi="ar"/>
        </w:rPr>
        <w:t>6</w:t>
      </w:r>
      <w:r>
        <w:rPr>
          <w:rFonts w:hint="eastAsia" w:ascii="Times New Roman" w:hAnsi="宋体" w:cs="宋体"/>
          <w:kern w:val="2"/>
          <w:sz w:val="24"/>
          <w:szCs w:val="24"/>
          <w:lang w:bidi="ar"/>
        </w:rPr>
        <w:t>、标段划分：</w:t>
      </w:r>
      <w:r>
        <w:rPr>
          <w:rFonts w:hint="eastAsia" w:ascii="Times New Roman" w:hAnsi="宋体" w:cs="宋体"/>
          <w:bCs/>
          <w:kern w:val="2"/>
          <w:sz w:val="24"/>
          <w:szCs w:val="24"/>
          <w:lang w:bidi="ar"/>
        </w:rPr>
        <w:t>本次招标共划分一个标段。</w:t>
      </w:r>
      <w:r>
        <w:rPr>
          <w:rFonts w:ascii="Times New Roman" w:hAnsi="宋体"/>
          <w:b/>
          <w:kern w:val="2"/>
          <w:sz w:val="24"/>
          <w:szCs w:val="24"/>
          <w:lang w:bidi="ar"/>
        </w:rPr>
        <w:t xml:space="preserve"> </w:t>
      </w:r>
    </w:p>
    <w:p>
      <w:pPr>
        <w:autoSpaceDE w:val="0"/>
        <w:autoSpaceDN w:val="0"/>
        <w:adjustRightInd w:val="0"/>
        <w:spacing w:line="360" w:lineRule="auto"/>
        <w:ind w:firstLine="480" w:firstLineChars="200"/>
        <w:jc w:val="left"/>
        <w:outlineLvl w:val="0"/>
        <w:rPr>
          <w:rFonts w:hAnsi="宋体"/>
          <w:sz w:val="24"/>
          <w:szCs w:val="24"/>
        </w:rPr>
      </w:pPr>
      <w:r>
        <w:rPr>
          <w:rFonts w:ascii="Times New Roman" w:hAnsi="宋体"/>
          <w:kern w:val="2"/>
          <w:sz w:val="24"/>
          <w:szCs w:val="24"/>
          <w:lang w:bidi="ar"/>
        </w:rPr>
        <w:t>7</w:t>
      </w:r>
      <w:r>
        <w:rPr>
          <w:rFonts w:hint="eastAsia" w:ascii="Times New Roman" w:hAnsi="宋体" w:cs="宋体"/>
          <w:kern w:val="2"/>
          <w:sz w:val="24"/>
          <w:szCs w:val="24"/>
          <w:lang w:bidi="ar"/>
        </w:rPr>
        <w:t>、招标范围：招标文件、工程量清单、施工图纸、设计变更（如有）及答疑纪要（如有）范围内的所有工程内容</w:t>
      </w:r>
    </w:p>
    <w:p>
      <w:pPr>
        <w:autoSpaceDE w:val="0"/>
        <w:autoSpaceDN w:val="0"/>
        <w:adjustRightInd w:val="0"/>
        <w:spacing w:line="360" w:lineRule="auto"/>
        <w:ind w:firstLine="480" w:firstLineChars="200"/>
        <w:jc w:val="left"/>
        <w:outlineLvl w:val="0"/>
        <w:rPr>
          <w:rFonts w:hAnsi="宋体"/>
          <w:sz w:val="24"/>
          <w:szCs w:val="24"/>
        </w:rPr>
      </w:pPr>
      <w:r>
        <w:rPr>
          <w:rFonts w:ascii="Times New Roman" w:hAnsi="宋体"/>
          <w:kern w:val="2"/>
          <w:sz w:val="24"/>
          <w:szCs w:val="24"/>
          <w:lang w:bidi="ar"/>
        </w:rPr>
        <w:t>8</w:t>
      </w:r>
      <w:r>
        <w:rPr>
          <w:rFonts w:hint="eastAsia" w:ascii="Times New Roman" w:hAnsi="宋体" w:cs="宋体"/>
          <w:kern w:val="2"/>
          <w:sz w:val="24"/>
          <w:szCs w:val="24"/>
          <w:lang w:bidi="ar"/>
        </w:rPr>
        <w:t>、计划工期：</w:t>
      </w:r>
      <w:r>
        <w:rPr>
          <w:rFonts w:hint="eastAsia" w:ascii="Times New Roman" w:hAnsi="宋体"/>
          <w:kern w:val="2"/>
          <w:sz w:val="24"/>
          <w:szCs w:val="24"/>
          <w:lang w:bidi="ar"/>
        </w:rPr>
        <w:t xml:space="preserve">90  </w:t>
      </w:r>
      <w:r>
        <w:rPr>
          <w:rFonts w:hint="eastAsia" w:ascii="Times New Roman" w:hAnsi="宋体" w:cs="宋体"/>
          <w:kern w:val="2"/>
          <w:sz w:val="24"/>
          <w:szCs w:val="24"/>
          <w:lang w:bidi="ar"/>
        </w:rPr>
        <w:t>日历天</w:t>
      </w:r>
      <w:r>
        <w:rPr>
          <w:rFonts w:ascii="Times New Roman" w:hAnsi="宋体"/>
          <w:kern w:val="2"/>
          <w:sz w:val="24"/>
          <w:szCs w:val="24"/>
          <w:lang w:bidi="ar"/>
        </w:rPr>
        <w:t xml:space="preserve"> </w:t>
      </w:r>
    </w:p>
    <w:p>
      <w:pPr>
        <w:autoSpaceDE w:val="0"/>
        <w:autoSpaceDN w:val="0"/>
        <w:adjustRightInd w:val="0"/>
        <w:spacing w:line="360" w:lineRule="auto"/>
        <w:ind w:firstLine="480" w:firstLineChars="200"/>
        <w:jc w:val="left"/>
        <w:outlineLvl w:val="0"/>
        <w:rPr>
          <w:rFonts w:hAnsi="宋体"/>
          <w:szCs w:val="34"/>
        </w:rPr>
      </w:pPr>
      <w:r>
        <w:rPr>
          <w:rFonts w:ascii="Times New Roman" w:hAnsi="宋体"/>
          <w:kern w:val="2"/>
          <w:sz w:val="24"/>
          <w:szCs w:val="24"/>
          <w:lang w:bidi="ar"/>
        </w:rPr>
        <w:t>9</w:t>
      </w:r>
      <w:r>
        <w:rPr>
          <w:rFonts w:hint="eastAsia" w:ascii="Times New Roman" w:hAnsi="宋体" w:cs="宋体"/>
          <w:kern w:val="2"/>
          <w:sz w:val="24"/>
          <w:szCs w:val="24"/>
          <w:lang w:bidi="ar"/>
        </w:rPr>
        <w:t>、质量要求：合格。</w:t>
      </w:r>
    </w:p>
    <w:p>
      <w:pPr>
        <w:autoSpaceDE w:val="0"/>
        <w:autoSpaceDN w:val="0"/>
        <w:adjustRightInd w:val="0"/>
        <w:spacing w:line="360" w:lineRule="auto"/>
        <w:jc w:val="left"/>
        <w:outlineLvl w:val="0"/>
        <w:rPr>
          <w:rFonts w:hAnsi="宋体"/>
          <w:b/>
          <w:sz w:val="24"/>
          <w:szCs w:val="24"/>
        </w:rPr>
      </w:pPr>
      <w:r>
        <w:rPr>
          <w:rFonts w:hint="eastAsia" w:ascii="Times New Roman" w:hAnsi="宋体" w:cs="宋体"/>
          <w:b/>
          <w:kern w:val="2"/>
          <w:sz w:val="24"/>
          <w:szCs w:val="24"/>
          <w:lang w:bidi="ar"/>
        </w:rPr>
        <w:t>二、投标人资格要求</w:t>
      </w:r>
    </w:p>
    <w:p>
      <w:pPr>
        <w:autoSpaceDE w:val="0"/>
        <w:autoSpaceDN w:val="0"/>
        <w:adjustRightInd w:val="0"/>
        <w:spacing w:line="360" w:lineRule="auto"/>
        <w:ind w:firstLine="480" w:firstLineChars="200"/>
        <w:jc w:val="left"/>
        <w:outlineLvl w:val="0"/>
        <w:rPr>
          <w:rFonts w:hAnsi="宋体"/>
          <w:b/>
          <w:sz w:val="24"/>
          <w:szCs w:val="24"/>
        </w:rPr>
      </w:pPr>
      <w:r>
        <w:rPr>
          <w:rFonts w:ascii="Times New Roman" w:hAnsi="宋体"/>
          <w:b/>
          <w:kern w:val="2"/>
          <w:sz w:val="24"/>
          <w:szCs w:val="24"/>
          <w:lang w:bidi="ar"/>
        </w:rPr>
        <w:t>1</w:t>
      </w:r>
      <w:r>
        <w:rPr>
          <w:rFonts w:hint="eastAsia" w:ascii="Times New Roman" w:hAnsi="宋体" w:cs="宋体"/>
          <w:b/>
          <w:kern w:val="2"/>
          <w:sz w:val="24"/>
          <w:szCs w:val="24"/>
          <w:lang w:bidi="ar"/>
        </w:rPr>
        <w:t>、资格要求</w:t>
      </w:r>
    </w:p>
    <w:p>
      <w:pPr>
        <w:autoSpaceDE w:val="0"/>
        <w:autoSpaceDN w:val="0"/>
        <w:adjustRightInd w:val="0"/>
        <w:spacing w:line="360" w:lineRule="auto"/>
        <w:ind w:firstLine="480" w:firstLineChars="200"/>
        <w:jc w:val="left"/>
        <w:outlineLvl w:val="0"/>
        <w:rPr>
          <w:rFonts w:hAnsi="宋体"/>
          <w:sz w:val="24"/>
          <w:szCs w:val="24"/>
        </w:rPr>
      </w:pPr>
      <w:r>
        <w:rPr>
          <w:rFonts w:hint="eastAsia" w:ascii="Times New Roman" w:hAnsi="宋体" w:cs="宋体"/>
          <w:kern w:val="2"/>
          <w:sz w:val="24"/>
          <w:szCs w:val="24"/>
          <w:lang w:bidi="ar"/>
        </w:rPr>
        <w:t>投标人须具备独立法人资格和合法经营资格，投标人须具备水利水电工程施工总承包叁级及以上资质，且具有有效的安全生产许可证；在人员、设备、资金等方面具有相应的施工能力。拟派项目负责人应具备水利水电专业贰级以上（含贰级）注册建造师执业资格证和项目负责人安全生产考核合格证，且未承担其它在施建设工程项目。</w:t>
      </w:r>
    </w:p>
    <w:p>
      <w:pPr>
        <w:autoSpaceDE w:val="0"/>
        <w:autoSpaceDN w:val="0"/>
        <w:adjustRightInd w:val="0"/>
        <w:spacing w:line="360" w:lineRule="auto"/>
        <w:ind w:firstLine="480" w:firstLineChars="200"/>
        <w:jc w:val="left"/>
        <w:outlineLvl w:val="0"/>
        <w:rPr>
          <w:rFonts w:hAnsi="宋体"/>
          <w:b/>
          <w:sz w:val="24"/>
          <w:szCs w:val="24"/>
        </w:rPr>
      </w:pPr>
      <w:r>
        <w:rPr>
          <w:rFonts w:ascii="Times New Roman" w:hAnsi="宋体"/>
          <w:b/>
          <w:kern w:val="2"/>
          <w:sz w:val="24"/>
          <w:szCs w:val="24"/>
          <w:lang w:bidi="ar"/>
        </w:rPr>
        <w:t>2</w:t>
      </w:r>
      <w:r>
        <w:rPr>
          <w:rFonts w:hint="eastAsia" w:ascii="Times New Roman" w:hAnsi="宋体" w:cs="宋体"/>
          <w:b/>
          <w:kern w:val="2"/>
          <w:sz w:val="24"/>
          <w:szCs w:val="24"/>
          <w:lang w:bidi="ar"/>
        </w:rPr>
        <w:t>、信誉要求</w:t>
      </w:r>
    </w:p>
    <w:p>
      <w:pPr>
        <w:autoSpaceDE w:val="0"/>
        <w:autoSpaceDN w:val="0"/>
        <w:adjustRightInd w:val="0"/>
        <w:spacing w:line="360" w:lineRule="auto"/>
        <w:ind w:firstLine="480" w:firstLineChars="200"/>
        <w:jc w:val="left"/>
        <w:outlineLvl w:val="0"/>
        <w:rPr>
          <w:rFonts w:ascii="Times New Roman" w:hAnsi="宋体" w:cs="宋体"/>
          <w:kern w:val="2"/>
          <w:sz w:val="24"/>
          <w:szCs w:val="24"/>
          <w:lang w:bidi="ar"/>
        </w:rPr>
      </w:pPr>
      <w:r>
        <w:rPr>
          <w:rFonts w:hint="eastAsia" w:ascii="Times New Roman" w:hAnsi="宋体" w:cs="宋体"/>
          <w:kern w:val="2"/>
          <w:sz w:val="24"/>
          <w:szCs w:val="24"/>
          <w:lang w:bidi="ar"/>
        </w:rPr>
        <w:t>投标人未被“信用中国”网站（</w:t>
      </w:r>
      <w:r>
        <w:rPr>
          <w:rFonts w:ascii="Times New Roman" w:hAnsi="宋体"/>
          <w:kern w:val="2"/>
          <w:sz w:val="24"/>
          <w:szCs w:val="24"/>
          <w:lang w:bidi="ar"/>
        </w:rPr>
        <w:t>www.creditchina.gov.cn</w:t>
      </w:r>
      <w:r>
        <w:rPr>
          <w:rFonts w:hint="eastAsia" w:ascii="Times New Roman" w:hAnsi="宋体" w:cs="宋体"/>
          <w:kern w:val="2"/>
          <w:sz w:val="24"/>
          <w:szCs w:val="24"/>
          <w:lang w:bidi="ar"/>
        </w:rPr>
        <w:t>）列入失信被执行人、重大税收违法案件当事人名单，未被“信用河南”网站（</w:t>
      </w:r>
      <w:r>
        <w:rPr>
          <w:rFonts w:ascii="Times New Roman" w:hAnsi="宋体"/>
          <w:kern w:val="2"/>
          <w:sz w:val="24"/>
          <w:szCs w:val="24"/>
          <w:lang w:bidi="ar"/>
        </w:rPr>
        <w:t>www.xyhn.gov.cn</w:t>
      </w:r>
      <w:r>
        <w:rPr>
          <w:rFonts w:hint="eastAsia" w:ascii="Times New Roman" w:hAnsi="宋体" w:cs="宋体"/>
          <w:kern w:val="2"/>
          <w:sz w:val="24"/>
          <w:szCs w:val="24"/>
          <w:lang w:bidi="ar"/>
        </w:rPr>
        <w:t>）信用信息栏列入黑名单，以及未被“国家企业信用信息公示系统”网站（</w:t>
      </w:r>
      <w:r>
        <w:rPr>
          <w:rFonts w:ascii="Times New Roman" w:hAnsi="宋体"/>
          <w:kern w:val="2"/>
          <w:sz w:val="24"/>
          <w:szCs w:val="24"/>
          <w:lang w:bidi="ar"/>
        </w:rPr>
        <w:t>www.gsxt.gov.cn</w:t>
      </w:r>
      <w:r>
        <w:rPr>
          <w:rFonts w:hint="eastAsia" w:ascii="Times New Roman" w:hAnsi="宋体" w:cs="宋体"/>
          <w:kern w:val="2"/>
          <w:sz w:val="24"/>
          <w:szCs w:val="24"/>
          <w:lang w:bidi="ar"/>
        </w:rPr>
        <w:t>）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pPr>
        <w:autoSpaceDE w:val="0"/>
        <w:autoSpaceDN w:val="0"/>
        <w:adjustRightInd w:val="0"/>
        <w:spacing w:line="360" w:lineRule="auto"/>
        <w:ind w:firstLine="480" w:firstLineChars="200"/>
        <w:jc w:val="left"/>
        <w:outlineLvl w:val="0"/>
        <w:rPr>
          <w:lang w:bidi="ar"/>
        </w:rPr>
      </w:pPr>
      <w:r>
        <w:rPr>
          <w:rFonts w:hint="eastAsia" w:ascii="Times New Roman" w:hAnsi="宋体" w:cs="宋体"/>
          <w:b/>
          <w:kern w:val="2"/>
          <w:sz w:val="24"/>
          <w:szCs w:val="24"/>
          <w:lang w:bidi="ar"/>
        </w:rPr>
        <w:t>3、</w:t>
      </w:r>
      <w:r>
        <w:rPr>
          <w:rFonts w:hint="eastAsia" w:ascii="Times New Roman" w:hAnsi="宋体" w:cs="宋体"/>
          <w:kern w:val="2"/>
          <w:sz w:val="24"/>
          <w:szCs w:val="24"/>
          <w:lang w:bidi="ar"/>
        </w:rPr>
        <w:t>投标人须在全国水利建设市场监管服务平台公开进行信用信息公示。拟派项目负责人须在全国水利建设市场监管服务平台公开进行信用信息公示，委托代理人须是全国水利建设市场监管服务平台公开进行信用信息公示中的专职投标委托代理人（以上内容均以网页版公示为准）。</w:t>
      </w:r>
    </w:p>
    <w:p>
      <w:pPr>
        <w:autoSpaceDE w:val="0"/>
        <w:autoSpaceDN w:val="0"/>
        <w:adjustRightInd w:val="0"/>
        <w:spacing w:line="360" w:lineRule="auto"/>
        <w:ind w:firstLine="480" w:firstLineChars="200"/>
        <w:jc w:val="left"/>
        <w:outlineLvl w:val="0"/>
        <w:rPr>
          <w:rFonts w:hAnsi="宋体"/>
          <w:sz w:val="24"/>
          <w:szCs w:val="24"/>
        </w:rPr>
      </w:pPr>
      <w:r>
        <w:rPr>
          <w:rFonts w:hint="eastAsia" w:ascii="Times New Roman" w:hAnsi="宋体"/>
          <w:b/>
          <w:kern w:val="2"/>
          <w:sz w:val="24"/>
          <w:szCs w:val="24"/>
          <w:lang w:bidi="ar"/>
        </w:rPr>
        <w:t>4</w:t>
      </w:r>
      <w:r>
        <w:rPr>
          <w:rFonts w:hint="eastAsia" w:ascii="Times New Roman" w:hAnsi="宋体" w:cs="宋体"/>
          <w:b/>
          <w:kern w:val="2"/>
          <w:sz w:val="24"/>
          <w:szCs w:val="24"/>
          <w:lang w:bidi="ar"/>
        </w:rPr>
        <w:t>、</w:t>
      </w:r>
      <w:r>
        <w:rPr>
          <w:rFonts w:hint="eastAsia" w:ascii="Times New Roman" w:hAnsi="宋体" w:cs="宋体"/>
          <w:kern w:val="2"/>
          <w:sz w:val="24"/>
          <w:szCs w:val="24"/>
          <w:lang w:bidi="ar"/>
        </w:rPr>
        <w:t>本项目不接受联合体投标。</w:t>
      </w:r>
    </w:p>
    <w:p>
      <w:pPr>
        <w:autoSpaceDE w:val="0"/>
        <w:autoSpaceDN w:val="0"/>
        <w:adjustRightInd w:val="0"/>
        <w:spacing w:line="360" w:lineRule="auto"/>
        <w:ind w:firstLine="480" w:firstLineChars="200"/>
        <w:jc w:val="left"/>
        <w:outlineLvl w:val="0"/>
        <w:rPr>
          <w:rFonts w:hAnsi="宋体"/>
          <w:sz w:val="24"/>
          <w:szCs w:val="24"/>
        </w:rPr>
      </w:pPr>
      <w:r>
        <w:rPr>
          <w:rFonts w:hint="eastAsia" w:ascii="Times New Roman" w:hAnsi="宋体"/>
          <w:b/>
          <w:kern w:val="2"/>
          <w:sz w:val="24"/>
          <w:szCs w:val="24"/>
          <w:lang w:bidi="ar"/>
        </w:rPr>
        <w:t>5</w:t>
      </w:r>
      <w:r>
        <w:rPr>
          <w:rFonts w:hint="eastAsia" w:ascii="Times New Roman" w:hAnsi="宋体" w:cs="宋体"/>
          <w:b/>
          <w:kern w:val="2"/>
          <w:sz w:val="24"/>
          <w:szCs w:val="24"/>
          <w:lang w:bidi="ar"/>
        </w:rPr>
        <w:t>、</w:t>
      </w:r>
      <w:r>
        <w:rPr>
          <w:rFonts w:hint="eastAsia" w:ascii="Times New Roman" w:hAnsi="宋体" w:cs="宋体"/>
          <w:kern w:val="2"/>
          <w:sz w:val="24"/>
          <w:szCs w:val="24"/>
          <w:lang w:bidi="ar"/>
        </w:rPr>
        <w:t>本项目不得转包、挂靠及违法分包。</w:t>
      </w:r>
    </w:p>
    <w:p>
      <w:pPr>
        <w:autoSpaceDE w:val="0"/>
        <w:autoSpaceDN w:val="0"/>
        <w:adjustRightInd w:val="0"/>
        <w:spacing w:line="360" w:lineRule="auto"/>
        <w:jc w:val="left"/>
        <w:outlineLvl w:val="0"/>
        <w:rPr>
          <w:rFonts w:hAnsi="宋体"/>
          <w:b/>
          <w:sz w:val="24"/>
          <w:szCs w:val="24"/>
        </w:rPr>
      </w:pPr>
      <w:r>
        <w:rPr>
          <w:rFonts w:hint="eastAsia" w:ascii="Times New Roman" w:hAnsi="宋体" w:cs="宋体"/>
          <w:b/>
          <w:kern w:val="2"/>
          <w:sz w:val="24"/>
          <w:szCs w:val="24"/>
          <w:lang w:bidi="ar"/>
        </w:rPr>
        <w:t>三、投标报名时间及方式</w:t>
      </w:r>
    </w:p>
    <w:p>
      <w:pPr>
        <w:autoSpaceDE w:val="0"/>
        <w:autoSpaceDN w:val="0"/>
        <w:adjustRightInd w:val="0"/>
        <w:snapToGrid w:val="0"/>
        <w:spacing w:line="360" w:lineRule="auto"/>
        <w:ind w:firstLine="480" w:firstLineChars="200"/>
        <w:jc w:val="left"/>
        <w:outlineLvl w:val="0"/>
        <w:rPr>
          <w:rFonts w:hAnsi="宋体"/>
          <w:sz w:val="24"/>
          <w:szCs w:val="24"/>
        </w:rPr>
      </w:pPr>
      <w:r>
        <w:rPr>
          <w:rFonts w:ascii="Times New Roman" w:hAnsi="宋体"/>
          <w:kern w:val="2"/>
          <w:sz w:val="24"/>
          <w:szCs w:val="24"/>
          <w:lang w:bidi="ar"/>
        </w:rPr>
        <w:t>1</w:t>
      </w:r>
      <w:r>
        <w:rPr>
          <w:rFonts w:hint="eastAsia" w:ascii="Times New Roman" w:hAnsi="宋体" w:cs="宋体"/>
          <w:kern w:val="2"/>
          <w:sz w:val="24"/>
          <w:szCs w:val="24"/>
          <w:lang w:bidi="ar"/>
        </w:rPr>
        <w:t>、持</w:t>
      </w:r>
      <w:r>
        <w:rPr>
          <w:rFonts w:ascii="Times New Roman" w:hAnsi="宋体"/>
          <w:kern w:val="2"/>
          <w:sz w:val="24"/>
          <w:szCs w:val="24"/>
          <w:lang w:bidi="ar"/>
        </w:rPr>
        <w:t>CA</w:t>
      </w:r>
      <w:r>
        <w:rPr>
          <w:rFonts w:hint="eastAsia" w:ascii="Times New Roman" w:hAnsi="宋体" w:cs="宋体"/>
          <w:kern w:val="2"/>
          <w:sz w:val="24"/>
          <w:szCs w:val="24"/>
          <w:lang w:bidi="ar"/>
        </w:rPr>
        <w:t>数字认证证书，登录《全国公共资源交易平台（河南省·许昌市）》“系统用户注册”入口（</w:t>
      </w:r>
      <w:r>
        <w:rPr>
          <w:rFonts w:ascii="Times New Roman" w:hAnsi="宋体"/>
          <w:kern w:val="2"/>
          <w:sz w:val="24"/>
          <w:szCs w:val="24"/>
          <w:lang w:bidi="ar"/>
        </w:rPr>
        <w:t>http://221.14.6.70:8088/ggzy/eps/public/RegistAllJcxx.html</w:t>
      </w:r>
      <w:r>
        <w:rPr>
          <w:rFonts w:hint="eastAsia" w:ascii="Times New Roman" w:hAnsi="宋体" w:cs="宋体"/>
          <w:kern w:val="2"/>
          <w:sz w:val="24"/>
          <w:szCs w:val="24"/>
          <w:lang w:bidi="ar"/>
        </w:rPr>
        <w:t>）进行免费注册登记（详见“常见问题解答</w:t>
      </w:r>
      <w:r>
        <w:rPr>
          <w:rFonts w:ascii="Times New Roman" w:hAnsi="宋体"/>
          <w:kern w:val="2"/>
          <w:sz w:val="24"/>
          <w:szCs w:val="24"/>
          <w:lang w:bidi="ar"/>
        </w:rPr>
        <w:t>-</w:t>
      </w:r>
      <w:r>
        <w:rPr>
          <w:rFonts w:hint="eastAsia" w:ascii="Times New Roman" w:hAnsi="宋体" w:cs="宋体"/>
          <w:kern w:val="2"/>
          <w:sz w:val="24"/>
          <w:szCs w:val="24"/>
          <w:lang w:bidi="ar"/>
        </w:rPr>
        <w:t>诚信库网上注册相关资料下载”）；</w:t>
      </w:r>
    </w:p>
    <w:p>
      <w:pPr>
        <w:autoSpaceDE w:val="0"/>
        <w:autoSpaceDN w:val="0"/>
        <w:adjustRightInd w:val="0"/>
        <w:snapToGrid w:val="0"/>
        <w:spacing w:line="360" w:lineRule="auto"/>
        <w:ind w:firstLine="480" w:firstLineChars="200"/>
        <w:jc w:val="left"/>
        <w:outlineLvl w:val="0"/>
        <w:rPr>
          <w:rFonts w:hAnsi="宋体"/>
          <w:sz w:val="24"/>
          <w:szCs w:val="24"/>
        </w:rPr>
      </w:pPr>
      <w:r>
        <w:rPr>
          <w:rFonts w:ascii="Times New Roman" w:hAnsi="宋体"/>
          <w:kern w:val="2"/>
          <w:sz w:val="24"/>
          <w:szCs w:val="24"/>
          <w:lang w:bidi="ar"/>
        </w:rPr>
        <w:t>2</w:t>
      </w:r>
      <w:r>
        <w:rPr>
          <w:rFonts w:hint="eastAsia" w:ascii="Times New Roman" w:hAnsi="宋体" w:cs="宋体"/>
          <w:kern w:val="2"/>
          <w:sz w:val="24"/>
          <w:szCs w:val="24"/>
          <w:lang w:bidi="ar"/>
        </w:rPr>
        <w:t>、在投标截止时间前均可登录《全国公共资源交易平台（河南省·许昌市）》“投标人</w:t>
      </w:r>
      <w:r>
        <w:rPr>
          <w:rFonts w:ascii="Times New Roman" w:hAnsi="宋体"/>
          <w:kern w:val="2"/>
          <w:sz w:val="24"/>
          <w:szCs w:val="24"/>
          <w:lang w:bidi="ar"/>
        </w:rPr>
        <w:t>/</w:t>
      </w:r>
      <w:r>
        <w:rPr>
          <w:rFonts w:hint="eastAsia" w:ascii="Times New Roman" w:hAnsi="宋体" w:cs="宋体"/>
          <w:kern w:val="2"/>
          <w:sz w:val="24"/>
          <w:szCs w:val="24"/>
          <w:lang w:bidi="ar"/>
        </w:rPr>
        <w:t>供应商登录”入口（</w:t>
      </w:r>
      <w:r>
        <w:rPr>
          <w:rFonts w:ascii="Times New Roman" w:hAnsi="宋体"/>
          <w:kern w:val="2"/>
          <w:sz w:val="24"/>
          <w:szCs w:val="24"/>
          <w:lang w:bidi="ar"/>
        </w:rPr>
        <w:t>http://221.14.6.70:8088/ggzy/</w:t>
      </w:r>
      <w:r>
        <w:rPr>
          <w:rFonts w:hint="eastAsia" w:ascii="Times New Roman" w:hAnsi="宋体" w:cs="宋体"/>
          <w:kern w:val="2"/>
          <w:sz w:val="24"/>
          <w:szCs w:val="24"/>
          <w:lang w:bidi="ar"/>
        </w:rPr>
        <w:t>）自行下载招标文件等（详见“常见问题解答</w:t>
      </w:r>
      <w:r>
        <w:rPr>
          <w:rFonts w:ascii="Times New Roman" w:hAnsi="宋体"/>
          <w:kern w:val="2"/>
          <w:sz w:val="24"/>
          <w:szCs w:val="24"/>
          <w:lang w:bidi="ar"/>
        </w:rPr>
        <w:t>-</w:t>
      </w:r>
      <w:r>
        <w:rPr>
          <w:rFonts w:hint="eastAsia" w:ascii="Times New Roman" w:hAnsi="宋体" w:cs="宋体"/>
          <w:kern w:val="2"/>
          <w:sz w:val="24"/>
          <w:szCs w:val="24"/>
          <w:lang w:bidi="ar"/>
        </w:rPr>
        <w:t>交易系统操作手册”）。</w:t>
      </w:r>
    </w:p>
    <w:p>
      <w:pPr>
        <w:autoSpaceDE w:val="0"/>
        <w:autoSpaceDN w:val="0"/>
        <w:adjustRightInd w:val="0"/>
        <w:spacing w:line="360" w:lineRule="auto"/>
        <w:jc w:val="left"/>
        <w:outlineLvl w:val="0"/>
        <w:rPr>
          <w:rFonts w:hAnsi="宋体"/>
          <w:b/>
          <w:sz w:val="24"/>
          <w:szCs w:val="24"/>
        </w:rPr>
      </w:pPr>
      <w:r>
        <w:rPr>
          <w:rFonts w:hint="eastAsia" w:ascii="Times New Roman" w:hAnsi="宋体" w:cs="宋体"/>
          <w:b/>
          <w:kern w:val="2"/>
          <w:sz w:val="24"/>
          <w:szCs w:val="24"/>
          <w:lang w:bidi="ar"/>
        </w:rPr>
        <w:t>四、招标文件的获取</w:t>
      </w:r>
    </w:p>
    <w:p>
      <w:pPr>
        <w:autoSpaceDE w:val="0"/>
        <w:autoSpaceDN w:val="0"/>
        <w:adjustRightInd w:val="0"/>
        <w:spacing w:line="360" w:lineRule="auto"/>
        <w:ind w:firstLine="480" w:firstLineChars="200"/>
        <w:jc w:val="left"/>
        <w:outlineLvl w:val="0"/>
        <w:rPr>
          <w:rFonts w:hAnsi="宋体"/>
          <w:sz w:val="24"/>
          <w:szCs w:val="24"/>
        </w:rPr>
      </w:pPr>
      <w:r>
        <w:rPr>
          <w:rFonts w:ascii="Times New Roman" w:hAnsi="宋体"/>
          <w:kern w:val="2"/>
          <w:sz w:val="24"/>
          <w:szCs w:val="24"/>
          <w:lang w:bidi="ar"/>
        </w:rPr>
        <w:t>1</w:t>
      </w:r>
      <w:r>
        <w:rPr>
          <w:rFonts w:hint="eastAsia" w:ascii="Times New Roman" w:hAnsi="宋体" w:cs="宋体"/>
          <w:kern w:val="2"/>
          <w:sz w:val="24"/>
          <w:szCs w:val="24"/>
          <w:lang w:bidi="ar"/>
        </w:rPr>
        <w:t>、招标文件下载：投标人于投标文件递交截止时间前均可在全国公共资源交易平台（河南省·许昌市）自行下载本项目招标文件。</w:t>
      </w:r>
    </w:p>
    <w:p>
      <w:pPr>
        <w:autoSpaceDE w:val="0"/>
        <w:autoSpaceDN w:val="0"/>
        <w:adjustRightInd w:val="0"/>
        <w:spacing w:line="360" w:lineRule="auto"/>
        <w:ind w:firstLine="480" w:firstLineChars="200"/>
        <w:jc w:val="left"/>
        <w:outlineLvl w:val="0"/>
        <w:rPr>
          <w:rFonts w:hAnsi="宋体"/>
          <w:sz w:val="24"/>
          <w:szCs w:val="24"/>
        </w:rPr>
      </w:pPr>
      <w:r>
        <w:rPr>
          <w:rFonts w:ascii="Times New Roman" w:hAnsi="宋体"/>
          <w:kern w:val="2"/>
          <w:sz w:val="24"/>
          <w:szCs w:val="24"/>
          <w:lang w:bidi="ar"/>
        </w:rPr>
        <w:t>2</w:t>
      </w:r>
      <w:r>
        <w:rPr>
          <w:rFonts w:hint="eastAsia" w:ascii="Times New Roman" w:hAnsi="宋体" w:cs="宋体"/>
          <w:kern w:val="2"/>
          <w:sz w:val="24"/>
          <w:szCs w:val="24"/>
          <w:lang w:bidi="ar"/>
        </w:rPr>
        <w:t>、招标文件每套售价</w:t>
      </w:r>
      <w:r>
        <w:rPr>
          <w:rFonts w:ascii="Times New Roman" w:hAnsi="宋体"/>
          <w:kern w:val="2"/>
          <w:sz w:val="24"/>
          <w:szCs w:val="24"/>
          <w:lang w:bidi="ar"/>
        </w:rPr>
        <w:t>100</w:t>
      </w:r>
      <w:r>
        <w:rPr>
          <w:rFonts w:hint="eastAsia" w:ascii="Times New Roman" w:hAnsi="宋体" w:cs="宋体"/>
          <w:kern w:val="2"/>
          <w:sz w:val="24"/>
          <w:szCs w:val="24"/>
          <w:lang w:bidi="ar"/>
        </w:rPr>
        <w:t>元</w:t>
      </w:r>
      <w:r>
        <w:rPr>
          <w:rFonts w:ascii="Times New Roman" w:hAnsi="宋体"/>
          <w:kern w:val="2"/>
          <w:sz w:val="24"/>
          <w:szCs w:val="24"/>
          <w:lang w:bidi="ar"/>
        </w:rPr>
        <w:t>/</w:t>
      </w:r>
      <w:r>
        <w:rPr>
          <w:rFonts w:hint="eastAsia" w:ascii="Times New Roman" w:hAnsi="宋体" w:cs="宋体"/>
          <w:kern w:val="2"/>
          <w:sz w:val="24"/>
          <w:szCs w:val="24"/>
          <w:lang w:bidi="ar"/>
        </w:rPr>
        <w:t>标段，递交投标文件时缴纳给招标代理机构，售后不退。</w:t>
      </w:r>
    </w:p>
    <w:p>
      <w:pPr>
        <w:autoSpaceDE w:val="0"/>
        <w:autoSpaceDN w:val="0"/>
        <w:adjustRightInd w:val="0"/>
        <w:spacing w:line="360" w:lineRule="auto"/>
        <w:jc w:val="left"/>
        <w:outlineLvl w:val="0"/>
        <w:rPr>
          <w:rFonts w:hAnsi="宋体"/>
          <w:b/>
          <w:sz w:val="24"/>
          <w:szCs w:val="24"/>
        </w:rPr>
      </w:pPr>
      <w:r>
        <w:rPr>
          <w:rFonts w:hint="eastAsia" w:ascii="Times New Roman" w:hAnsi="宋体" w:cs="宋体"/>
          <w:b/>
          <w:kern w:val="2"/>
          <w:sz w:val="24"/>
          <w:szCs w:val="24"/>
          <w:lang w:bidi="ar"/>
        </w:rPr>
        <w:t>五、投标文件的递交</w:t>
      </w:r>
    </w:p>
    <w:p>
      <w:pPr>
        <w:autoSpaceDE w:val="0"/>
        <w:autoSpaceDN w:val="0"/>
        <w:adjustRightInd w:val="0"/>
        <w:spacing w:line="360" w:lineRule="auto"/>
        <w:ind w:firstLine="480" w:firstLineChars="200"/>
        <w:jc w:val="left"/>
        <w:outlineLvl w:val="0"/>
        <w:rPr>
          <w:rFonts w:hAnsi="宋体"/>
          <w:sz w:val="24"/>
          <w:szCs w:val="24"/>
        </w:rPr>
      </w:pPr>
      <w:r>
        <w:rPr>
          <w:rFonts w:ascii="Times New Roman" w:hAnsi="宋体"/>
          <w:kern w:val="2"/>
          <w:sz w:val="24"/>
          <w:szCs w:val="24"/>
          <w:lang w:bidi="ar"/>
        </w:rPr>
        <w:t>1</w:t>
      </w:r>
      <w:r>
        <w:rPr>
          <w:rFonts w:hint="eastAsia" w:ascii="Times New Roman" w:hAnsi="宋体" w:cs="宋体"/>
          <w:kern w:val="2"/>
          <w:sz w:val="24"/>
          <w:szCs w:val="24"/>
          <w:lang w:bidi="ar"/>
        </w:rPr>
        <w:t>、本项目为全流程电子化交易项目，须提交电子投标文件和电子介质（</w:t>
      </w:r>
      <w:r>
        <w:rPr>
          <w:rFonts w:ascii="Times New Roman" w:hAnsi="宋体"/>
          <w:kern w:val="2"/>
          <w:sz w:val="24"/>
          <w:szCs w:val="24"/>
          <w:lang w:bidi="ar"/>
        </w:rPr>
        <w:t>U</w:t>
      </w:r>
      <w:r>
        <w:rPr>
          <w:rFonts w:hint="eastAsia" w:ascii="Times New Roman" w:hAnsi="宋体" w:cs="宋体"/>
          <w:kern w:val="2"/>
          <w:sz w:val="24"/>
          <w:szCs w:val="24"/>
          <w:lang w:bidi="ar"/>
        </w:rPr>
        <w:t>盘）存储的投标文件。</w:t>
      </w:r>
    </w:p>
    <w:p>
      <w:pPr>
        <w:widowControl/>
        <w:spacing w:line="360" w:lineRule="auto"/>
        <w:ind w:firstLine="480" w:firstLineChars="200"/>
        <w:rPr>
          <w:rFonts w:hAnsi="宋体"/>
          <w:b/>
          <w:sz w:val="24"/>
          <w:szCs w:val="24"/>
        </w:rPr>
      </w:pPr>
      <w:r>
        <w:rPr>
          <w:rFonts w:ascii="Times New Roman" w:hAnsi="宋体"/>
          <w:kern w:val="2"/>
          <w:sz w:val="24"/>
          <w:szCs w:val="24"/>
          <w:lang w:bidi="ar"/>
        </w:rPr>
        <w:t>2</w:t>
      </w:r>
      <w:r>
        <w:rPr>
          <w:rFonts w:hint="eastAsia" w:ascii="Times New Roman" w:hAnsi="宋体" w:cs="宋体"/>
          <w:kern w:val="2"/>
          <w:sz w:val="24"/>
          <w:szCs w:val="24"/>
          <w:lang w:bidi="ar"/>
        </w:rPr>
        <w:t>、投标文件提交的截止时间及开标时间：</w:t>
      </w:r>
      <w:r>
        <w:rPr>
          <w:rFonts w:ascii="Times New Roman" w:hAnsi="宋体"/>
          <w:b/>
          <w:kern w:val="2"/>
          <w:sz w:val="24"/>
          <w:szCs w:val="24"/>
          <w:lang w:bidi="ar"/>
        </w:rPr>
        <w:t>2020</w:t>
      </w:r>
      <w:r>
        <w:rPr>
          <w:rFonts w:hint="eastAsia" w:ascii="Times New Roman" w:hAnsi="宋体" w:cs="宋体"/>
          <w:b/>
          <w:kern w:val="2"/>
          <w:sz w:val="24"/>
          <w:szCs w:val="24"/>
          <w:lang w:bidi="ar"/>
        </w:rPr>
        <w:t>年</w:t>
      </w:r>
      <w:r>
        <w:rPr>
          <w:rFonts w:ascii="Times New Roman" w:hAnsi="宋体"/>
          <w:b/>
          <w:kern w:val="2"/>
          <w:sz w:val="24"/>
          <w:szCs w:val="24"/>
          <w:lang w:bidi="ar"/>
        </w:rPr>
        <w:t xml:space="preserve"> </w:t>
      </w:r>
      <w:r>
        <w:rPr>
          <w:rFonts w:hint="eastAsia" w:ascii="Times New Roman" w:hAnsi="宋体"/>
          <w:b/>
          <w:kern w:val="2"/>
          <w:sz w:val="24"/>
          <w:szCs w:val="24"/>
          <w:lang w:bidi="ar"/>
        </w:rPr>
        <w:t>6</w:t>
      </w:r>
      <w:r>
        <w:rPr>
          <w:rFonts w:hint="eastAsia" w:ascii="Times New Roman" w:hAnsi="宋体" w:cs="宋体"/>
          <w:b/>
          <w:kern w:val="2"/>
          <w:sz w:val="24"/>
          <w:szCs w:val="24"/>
          <w:lang w:bidi="ar"/>
        </w:rPr>
        <w:t>月</w:t>
      </w:r>
      <w:r>
        <w:rPr>
          <w:rFonts w:ascii="Times New Roman" w:hAnsi="宋体"/>
          <w:b/>
          <w:kern w:val="2"/>
          <w:sz w:val="24"/>
          <w:szCs w:val="24"/>
          <w:lang w:bidi="ar"/>
        </w:rPr>
        <w:t xml:space="preserve"> </w:t>
      </w:r>
      <w:r>
        <w:rPr>
          <w:rFonts w:hint="eastAsia" w:ascii="Times New Roman" w:hAnsi="宋体"/>
          <w:b/>
          <w:kern w:val="2"/>
          <w:sz w:val="24"/>
          <w:szCs w:val="24"/>
          <w:lang w:bidi="ar"/>
        </w:rPr>
        <w:t>22</w:t>
      </w:r>
      <w:r>
        <w:rPr>
          <w:rFonts w:ascii="Times New Roman" w:hAnsi="宋体"/>
          <w:b/>
          <w:kern w:val="2"/>
          <w:sz w:val="24"/>
          <w:szCs w:val="24"/>
          <w:lang w:bidi="ar"/>
        </w:rPr>
        <w:t xml:space="preserve"> </w:t>
      </w:r>
      <w:r>
        <w:rPr>
          <w:rFonts w:hint="eastAsia" w:ascii="Times New Roman" w:hAnsi="宋体" w:cs="宋体"/>
          <w:b/>
          <w:kern w:val="2"/>
          <w:sz w:val="24"/>
          <w:szCs w:val="24"/>
          <w:lang w:bidi="ar"/>
        </w:rPr>
        <w:t>日</w:t>
      </w:r>
      <w:r>
        <w:rPr>
          <w:rFonts w:ascii="Times New Roman" w:hAnsi="宋体"/>
          <w:b/>
          <w:kern w:val="2"/>
          <w:sz w:val="24"/>
          <w:szCs w:val="24"/>
          <w:lang w:bidi="ar"/>
        </w:rPr>
        <w:t xml:space="preserve">9 </w:t>
      </w:r>
      <w:r>
        <w:rPr>
          <w:rFonts w:hint="eastAsia" w:ascii="Times New Roman" w:hAnsi="宋体" w:cs="宋体"/>
          <w:b/>
          <w:kern w:val="2"/>
          <w:sz w:val="24"/>
          <w:szCs w:val="24"/>
          <w:lang w:bidi="ar"/>
        </w:rPr>
        <w:t>时</w:t>
      </w:r>
      <w:r>
        <w:rPr>
          <w:rFonts w:ascii="Times New Roman" w:hAnsi="宋体"/>
          <w:b/>
          <w:kern w:val="2"/>
          <w:sz w:val="24"/>
          <w:szCs w:val="24"/>
          <w:lang w:bidi="ar"/>
        </w:rPr>
        <w:t>30</w:t>
      </w:r>
      <w:r>
        <w:rPr>
          <w:rFonts w:hint="eastAsia" w:ascii="Times New Roman" w:hAnsi="宋体" w:cs="宋体"/>
          <w:b/>
          <w:kern w:val="2"/>
          <w:sz w:val="24"/>
          <w:szCs w:val="24"/>
          <w:lang w:bidi="ar"/>
        </w:rPr>
        <w:t>分。</w:t>
      </w:r>
    </w:p>
    <w:p>
      <w:pPr>
        <w:widowControl/>
        <w:spacing w:line="360" w:lineRule="auto"/>
        <w:ind w:firstLine="480" w:firstLineChars="200"/>
        <w:rPr>
          <w:rFonts w:hAnsi="宋体"/>
          <w:sz w:val="24"/>
          <w:szCs w:val="24"/>
        </w:rPr>
      </w:pPr>
      <w:r>
        <w:rPr>
          <w:rFonts w:ascii="Times New Roman" w:hAnsi="宋体"/>
          <w:kern w:val="2"/>
          <w:sz w:val="24"/>
          <w:szCs w:val="24"/>
          <w:lang w:bidi="ar"/>
        </w:rPr>
        <w:t>3</w:t>
      </w:r>
      <w:r>
        <w:rPr>
          <w:rFonts w:hint="eastAsia" w:ascii="Times New Roman" w:hAnsi="宋体" w:cs="宋体"/>
          <w:kern w:val="2"/>
          <w:sz w:val="24"/>
          <w:szCs w:val="24"/>
          <w:lang w:bidi="ar"/>
        </w:rPr>
        <w:t>、电子投标文件的提交：电子投标文件应在投标文件提交截止时间（开标时间）之前成功提交至《全国公共资源交易平台</w:t>
      </w:r>
      <w:r>
        <w:rPr>
          <w:rFonts w:ascii="Times New Roman" w:hAnsi="宋体"/>
          <w:kern w:val="2"/>
          <w:sz w:val="24"/>
          <w:szCs w:val="24"/>
          <w:lang w:bidi="ar"/>
        </w:rPr>
        <w:t>(</w:t>
      </w:r>
      <w:r>
        <w:rPr>
          <w:rFonts w:hint="eastAsia" w:ascii="Times New Roman" w:hAnsi="宋体" w:cs="宋体"/>
          <w:kern w:val="2"/>
          <w:sz w:val="24"/>
          <w:szCs w:val="24"/>
          <w:lang w:bidi="ar"/>
        </w:rPr>
        <w:t>河南省</w:t>
      </w:r>
      <w:r>
        <w:rPr>
          <w:rFonts w:hint="eastAsia" w:ascii="MS Gothic" w:hAnsi="MS Gothic" w:eastAsia="MS Gothic" w:cs="MS Gothic"/>
          <w:kern w:val="2"/>
          <w:sz w:val="24"/>
          <w:szCs w:val="24"/>
          <w:lang w:bidi="ar"/>
        </w:rPr>
        <w:t>▪</w:t>
      </w:r>
      <w:r>
        <w:rPr>
          <w:rFonts w:hint="eastAsia" w:hAnsi="宋体" w:cs="宋体"/>
          <w:kern w:val="2"/>
          <w:sz w:val="24"/>
          <w:szCs w:val="24"/>
          <w:lang w:bidi="ar"/>
        </w:rPr>
        <w:t>许昌市</w:t>
      </w:r>
      <w:r>
        <w:rPr>
          <w:rFonts w:ascii="Times New Roman" w:hAnsi="宋体"/>
          <w:kern w:val="2"/>
          <w:sz w:val="24"/>
          <w:szCs w:val="24"/>
          <w:lang w:bidi="ar"/>
        </w:rPr>
        <w:t>)</w:t>
      </w:r>
      <w:r>
        <w:rPr>
          <w:rFonts w:hint="eastAsia" w:ascii="Times New Roman" w:hAnsi="宋体" w:cs="宋体"/>
          <w:kern w:val="2"/>
          <w:sz w:val="24"/>
          <w:szCs w:val="24"/>
          <w:lang w:bidi="ar"/>
        </w:rPr>
        <w:t>》公共资源交易系统，提交</w:t>
      </w:r>
      <w:r>
        <w:rPr>
          <w:rFonts w:ascii="Times New Roman" w:hAnsi="宋体"/>
          <w:kern w:val="2"/>
          <w:sz w:val="24"/>
          <w:szCs w:val="24"/>
          <w:lang w:bidi="ar"/>
        </w:rPr>
        <w:t>2</w:t>
      </w:r>
      <w:r>
        <w:rPr>
          <w:rFonts w:hint="eastAsia" w:ascii="Times New Roman" w:hAnsi="宋体" w:cs="宋体"/>
          <w:kern w:val="2"/>
          <w:sz w:val="24"/>
          <w:szCs w:val="24"/>
          <w:lang w:bidi="ar"/>
        </w:rPr>
        <w:t>份使用电子介质（</w:t>
      </w:r>
      <w:r>
        <w:rPr>
          <w:rFonts w:ascii="Times New Roman" w:hAnsi="宋体"/>
          <w:kern w:val="2"/>
          <w:sz w:val="24"/>
          <w:szCs w:val="24"/>
          <w:lang w:bidi="ar"/>
        </w:rPr>
        <w:t>U</w:t>
      </w:r>
      <w:r>
        <w:rPr>
          <w:rFonts w:hint="eastAsia" w:ascii="Times New Roman" w:hAnsi="宋体" w:cs="宋体"/>
          <w:kern w:val="2"/>
          <w:sz w:val="24"/>
          <w:szCs w:val="24"/>
          <w:lang w:bidi="ar"/>
        </w:rPr>
        <w:t>盘）存储的备份文件。</w:t>
      </w:r>
    </w:p>
    <w:p>
      <w:pPr>
        <w:autoSpaceDE w:val="0"/>
        <w:autoSpaceDN w:val="0"/>
        <w:adjustRightInd w:val="0"/>
        <w:spacing w:line="360" w:lineRule="auto"/>
        <w:ind w:firstLine="480" w:firstLineChars="200"/>
        <w:jc w:val="left"/>
        <w:outlineLvl w:val="0"/>
        <w:rPr>
          <w:rFonts w:hAnsi="宋体"/>
          <w:sz w:val="24"/>
          <w:szCs w:val="24"/>
        </w:rPr>
      </w:pPr>
      <w:r>
        <w:rPr>
          <w:rFonts w:ascii="Times New Roman" w:hAnsi="宋体"/>
          <w:kern w:val="2"/>
          <w:sz w:val="24"/>
          <w:szCs w:val="24"/>
          <w:lang w:bidi="ar"/>
        </w:rPr>
        <w:t>4</w:t>
      </w:r>
      <w:r>
        <w:rPr>
          <w:rFonts w:hint="eastAsia" w:ascii="Times New Roman" w:hAnsi="宋体" w:cs="宋体"/>
          <w:kern w:val="2"/>
          <w:sz w:val="24"/>
          <w:szCs w:val="24"/>
          <w:lang w:bidi="ar"/>
        </w:rPr>
        <w:t>、电子介质存储的投标文件提交地点：许昌市建安区新元大道兴业大厦</w:t>
      </w:r>
      <w:r>
        <w:rPr>
          <w:rFonts w:ascii="Times New Roman" w:hAnsi="宋体"/>
          <w:kern w:val="2"/>
          <w:sz w:val="24"/>
          <w:szCs w:val="24"/>
          <w:lang w:bidi="ar"/>
        </w:rPr>
        <w:t>4</w:t>
      </w:r>
      <w:r>
        <w:rPr>
          <w:rFonts w:hint="eastAsia" w:ascii="Times New Roman" w:hAnsi="宋体" w:cs="宋体"/>
          <w:kern w:val="2"/>
          <w:sz w:val="24"/>
          <w:szCs w:val="24"/>
          <w:lang w:bidi="ar"/>
        </w:rPr>
        <w:t>楼开标</w:t>
      </w:r>
      <w:r>
        <w:rPr>
          <w:rFonts w:hint="eastAsia" w:ascii="Times New Roman" w:hAnsi="宋体"/>
          <w:kern w:val="2"/>
          <w:sz w:val="24"/>
          <w:szCs w:val="24"/>
          <w:lang w:bidi="ar"/>
        </w:rPr>
        <w:t>三</w:t>
      </w:r>
      <w:r>
        <w:rPr>
          <w:rFonts w:hint="eastAsia" w:ascii="Times New Roman" w:hAnsi="宋体" w:cs="宋体"/>
          <w:kern w:val="2"/>
          <w:sz w:val="24"/>
          <w:szCs w:val="24"/>
          <w:lang w:bidi="ar"/>
        </w:rPr>
        <w:t>室。</w:t>
      </w:r>
    </w:p>
    <w:p>
      <w:pPr>
        <w:autoSpaceDE w:val="0"/>
        <w:autoSpaceDN w:val="0"/>
        <w:adjustRightInd w:val="0"/>
        <w:spacing w:line="360" w:lineRule="auto"/>
        <w:ind w:firstLine="480" w:firstLineChars="200"/>
        <w:jc w:val="left"/>
        <w:outlineLvl w:val="0"/>
        <w:rPr>
          <w:rFonts w:hAnsi="宋体"/>
          <w:sz w:val="24"/>
          <w:szCs w:val="24"/>
        </w:rPr>
      </w:pPr>
      <w:r>
        <w:rPr>
          <w:rFonts w:ascii="Times New Roman" w:hAnsi="宋体"/>
          <w:kern w:val="2"/>
          <w:sz w:val="24"/>
          <w:szCs w:val="24"/>
          <w:lang w:bidi="ar"/>
        </w:rPr>
        <w:t>5</w:t>
      </w:r>
      <w:r>
        <w:rPr>
          <w:rFonts w:hint="eastAsia" w:ascii="Times New Roman" w:hAnsi="宋体" w:cs="宋体"/>
          <w:kern w:val="2"/>
          <w:sz w:val="24"/>
          <w:szCs w:val="24"/>
          <w:lang w:bidi="ar"/>
        </w:rPr>
        <w:t>、未通过《全国公共资源交易平台</w:t>
      </w:r>
      <w:r>
        <w:rPr>
          <w:rFonts w:ascii="Times New Roman" w:hAnsi="宋体"/>
          <w:kern w:val="2"/>
          <w:sz w:val="24"/>
          <w:szCs w:val="24"/>
          <w:lang w:bidi="ar"/>
        </w:rPr>
        <w:t>(</w:t>
      </w:r>
      <w:r>
        <w:rPr>
          <w:rFonts w:hint="eastAsia" w:ascii="Times New Roman" w:hAnsi="宋体" w:cs="宋体"/>
          <w:kern w:val="2"/>
          <w:sz w:val="24"/>
          <w:szCs w:val="24"/>
          <w:lang w:bidi="ar"/>
        </w:rPr>
        <w:t>河南省</w:t>
      </w:r>
      <w:r>
        <w:rPr>
          <w:rFonts w:hint="eastAsia" w:ascii="MS Gothic" w:hAnsi="MS Gothic" w:eastAsia="MS Gothic" w:cs="MS Gothic"/>
          <w:kern w:val="2"/>
          <w:sz w:val="24"/>
          <w:szCs w:val="24"/>
          <w:lang w:bidi="ar"/>
        </w:rPr>
        <w:t>▪</w:t>
      </w:r>
      <w:r>
        <w:rPr>
          <w:rFonts w:hint="eastAsia" w:hAnsi="宋体" w:cs="宋体"/>
          <w:kern w:val="2"/>
          <w:sz w:val="24"/>
          <w:szCs w:val="24"/>
          <w:lang w:bidi="ar"/>
        </w:rPr>
        <w:t>许昌市</w:t>
      </w:r>
      <w:r>
        <w:rPr>
          <w:rFonts w:ascii="Times New Roman" w:hAnsi="宋体"/>
          <w:kern w:val="2"/>
          <w:sz w:val="24"/>
          <w:szCs w:val="24"/>
          <w:lang w:bidi="ar"/>
        </w:rPr>
        <w:t>)</w:t>
      </w:r>
      <w:r>
        <w:rPr>
          <w:rFonts w:hint="eastAsia" w:ascii="Times New Roman" w:hAnsi="宋体" w:cs="宋体"/>
          <w:kern w:val="2"/>
          <w:sz w:val="24"/>
          <w:szCs w:val="24"/>
          <w:lang w:bidi="ar"/>
        </w:rPr>
        <w:t>》下载招标文件的投标人，其投标文件将拒收。</w:t>
      </w:r>
    </w:p>
    <w:p>
      <w:pPr>
        <w:autoSpaceDE w:val="0"/>
        <w:autoSpaceDN w:val="0"/>
        <w:adjustRightInd w:val="0"/>
        <w:spacing w:line="360" w:lineRule="auto"/>
        <w:ind w:firstLine="480" w:firstLineChars="200"/>
        <w:jc w:val="left"/>
        <w:outlineLvl w:val="0"/>
        <w:rPr>
          <w:rFonts w:hAnsi="宋体"/>
          <w:sz w:val="24"/>
          <w:szCs w:val="24"/>
        </w:rPr>
      </w:pPr>
      <w:r>
        <w:rPr>
          <w:rFonts w:ascii="Times New Roman" w:hAnsi="宋体"/>
          <w:kern w:val="2"/>
          <w:sz w:val="24"/>
          <w:szCs w:val="24"/>
          <w:lang w:bidi="ar"/>
        </w:rPr>
        <w:t>6</w:t>
      </w:r>
      <w:r>
        <w:rPr>
          <w:rFonts w:hint="eastAsia" w:ascii="Times New Roman" w:hAnsi="宋体" w:cs="宋体"/>
          <w:kern w:val="2"/>
          <w:sz w:val="24"/>
          <w:szCs w:val="24"/>
          <w:lang w:bidi="ar"/>
        </w:rPr>
        <w:t>、逾期送达的或者未送达指定地点的电子介质存储的投标文件的，招标人不予受理。</w:t>
      </w:r>
    </w:p>
    <w:p>
      <w:pPr>
        <w:autoSpaceDE w:val="0"/>
        <w:autoSpaceDN w:val="0"/>
        <w:adjustRightInd w:val="0"/>
        <w:spacing w:line="360" w:lineRule="auto"/>
        <w:jc w:val="left"/>
        <w:outlineLvl w:val="0"/>
        <w:rPr>
          <w:rFonts w:hAnsi="宋体"/>
          <w:b/>
          <w:sz w:val="24"/>
          <w:szCs w:val="24"/>
        </w:rPr>
      </w:pPr>
      <w:r>
        <w:rPr>
          <w:rFonts w:hint="eastAsia" w:ascii="Times New Roman" w:hAnsi="宋体" w:cs="宋体"/>
          <w:b/>
          <w:kern w:val="2"/>
          <w:sz w:val="24"/>
          <w:szCs w:val="24"/>
          <w:lang w:bidi="ar"/>
        </w:rPr>
        <w:t>六、发布公告的媒介</w:t>
      </w:r>
    </w:p>
    <w:p>
      <w:pPr>
        <w:autoSpaceDE w:val="0"/>
        <w:autoSpaceDN w:val="0"/>
        <w:adjustRightInd w:val="0"/>
        <w:spacing w:line="360" w:lineRule="auto"/>
        <w:ind w:firstLine="480" w:firstLineChars="200"/>
        <w:jc w:val="left"/>
        <w:outlineLvl w:val="0"/>
        <w:rPr>
          <w:rFonts w:hAnsi="宋体"/>
          <w:sz w:val="24"/>
          <w:szCs w:val="24"/>
        </w:rPr>
      </w:pPr>
      <w:r>
        <w:rPr>
          <w:rFonts w:hint="eastAsia" w:ascii="Times New Roman" w:hAnsi="宋体" w:cs="宋体"/>
          <w:kern w:val="2"/>
          <w:sz w:val="24"/>
          <w:szCs w:val="24"/>
          <w:lang w:bidi="ar"/>
        </w:rPr>
        <w:t>本公告同时在《全国公共资源交易平台（河南省·许昌市）》和《河南省电子招标投标公共服务平台》上发布。</w:t>
      </w:r>
    </w:p>
    <w:p>
      <w:pPr>
        <w:autoSpaceDE w:val="0"/>
        <w:autoSpaceDN w:val="0"/>
        <w:adjustRightInd w:val="0"/>
        <w:spacing w:line="360" w:lineRule="auto"/>
        <w:jc w:val="left"/>
        <w:outlineLvl w:val="0"/>
        <w:rPr>
          <w:rFonts w:hAnsi="宋体"/>
          <w:b/>
          <w:sz w:val="24"/>
          <w:szCs w:val="24"/>
        </w:rPr>
      </w:pPr>
      <w:r>
        <w:rPr>
          <w:rFonts w:hint="eastAsia" w:ascii="Times New Roman" w:hAnsi="宋体" w:cs="宋体"/>
          <w:b/>
          <w:kern w:val="2"/>
          <w:sz w:val="24"/>
          <w:szCs w:val="24"/>
          <w:lang w:bidi="ar"/>
        </w:rPr>
        <w:t>七、联系方式</w:t>
      </w:r>
    </w:p>
    <w:p>
      <w:pPr>
        <w:autoSpaceDE w:val="0"/>
        <w:autoSpaceDN w:val="0"/>
        <w:adjustRightInd w:val="0"/>
        <w:spacing w:line="360" w:lineRule="auto"/>
        <w:ind w:firstLine="480" w:firstLineChars="200"/>
        <w:jc w:val="left"/>
        <w:outlineLvl w:val="0"/>
        <w:rPr>
          <w:rFonts w:hAnsi="宋体"/>
          <w:sz w:val="24"/>
          <w:szCs w:val="24"/>
        </w:rPr>
      </w:pPr>
      <w:r>
        <w:rPr>
          <w:rFonts w:hint="eastAsia" w:ascii="Times New Roman" w:hAnsi="宋体" w:cs="宋体"/>
          <w:kern w:val="2"/>
          <w:sz w:val="24"/>
          <w:szCs w:val="24"/>
          <w:lang w:bidi="ar"/>
        </w:rPr>
        <w:t>招标人：许昌市建安区农业农村局</w:t>
      </w:r>
    </w:p>
    <w:p>
      <w:pPr>
        <w:autoSpaceDE w:val="0"/>
        <w:autoSpaceDN w:val="0"/>
        <w:adjustRightInd w:val="0"/>
        <w:spacing w:line="360" w:lineRule="auto"/>
        <w:ind w:firstLine="480" w:firstLineChars="200"/>
        <w:jc w:val="left"/>
        <w:outlineLvl w:val="0"/>
        <w:rPr>
          <w:rFonts w:ascii="Times New Roman" w:hAnsi="宋体" w:cs="宋体"/>
          <w:kern w:val="2"/>
          <w:sz w:val="24"/>
          <w:szCs w:val="24"/>
          <w:lang w:bidi="ar"/>
        </w:rPr>
      </w:pPr>
      <w:r>
        <w:rPr>
          <w:rFonts w:hint="eastAsia" w:ascii="Times New Roman" w:hAnsi="宋体" w:cs="宋体"/>
          <w:kern w:val="2"/>
          <w:sz w:val="24"/>
          <w:szCs w:val="24"/>
          <w:lang w:bidi="ar"/>
        </w:rPr>
        <w:t>地址：建安区兴业大厦</w:t>
      </w:r>
    </w:p>
    <w:p>
      <w:pPr>
        <w:autoSpaceDE w:val="0"/>
        <w:autoSpaceDN w:val="0"/>
        <w:adjustRightInd w:val="0"/>
        <w:spacing w:line="360" w:lineRule="auto"/>
        <w:ind w:firstLine="480" w:firstLineChars="200"/>
        <w:jc w:val="left"/>
        <w:outlineLvl w:val="0"/>
        <w:rPr>
          <w:rFonts w:hAnsi="宋体"/>
          <w:sz w:val="24"/>
          <w:szCs w:val="24"/>
        </w:rPr>
      </w:pPr>
      <w:r>
        <w:rPr>
          <w:rFonts w:hint="eastAsia" w:ascii="Times New Roman" w:hAnsi="宋体" w:cs="宋体"/>
          <w:kern w:val="2"/>
          <w:sz w:val="24"/>
          <w:szCs w:val="24"/>
          <w:lang w:bidi="ar"/>
        </w:rPr>
        <w:t>项目负责人：</w:t>
      </w:r>
      <w:r>
        <w:rPr>
          <w:rFonts w:hint="eastAsia" w:ascii="Times New Roman" w:hAnsi="宋体"/>
          <w:kern w:val="2"/>
          <w:sz w:val="24"/>
          <w:szCs w:val="24"/>
          <w:lang w:bidi="ar"/>
        </w:rPr>
        <w:t>王先生</w:t>
      </w:r>
    </w:p>
    <w:p>
      <w:pPr>
        <w:autoSpaceDE w:val="0"/>
        <w:autoSpaceDN w:val="0"/>
        <w:adjustRightInd w:val="0"/>
        <w:spacing w:line="360" w:lineRule="auto"/>
        <w:ind w:firstLine="480" w:firstLineChars="200"/>
        <w:jc w:val="left"/>
        <w:outlineLvl w:val="0"/>
        <w:rPr>
          <w:rFonts w:hAnsi="宋体"/>
          <w:sz w:val="24"/>
          <w:szCs w:val="24"/>
        </w:rPr>
      </w:pPr>
      <w:r>
        <w:rPr>
          <w:rFonts w:hint="eastAsia" w:ascii="Times New Roman" w:hAnsi="宋体" w:cs="宋体"/>
          <w:kern w:val="2"/>
          <w:sz w:val="24"/>
          <w:szCs w:val="24"/>
          <w:lang w:bidi="ar"/>
        </w:rPr>
        <w:t>电话：</w:t>
      </w:r>
      <w:r>
        <w:rPr>
          <w:rFonts w:ascii="Times New Roman" w:hAnsi="宋体"/>
          <w:kern w:val="2"/>
          <w:sz w:val="24"/>
          <w:szCs w:val="24"/>
          <w:lang w:bidi="ar"/>
        </w:rPr>
        <w:t xml:space="preserve"> </w:t>
      </w:r>
      <w:r>
        <w:rPr>
          <w:rFonts w:hint="eastAsia" w:ascii="Times New Roman" w:hAnsi="宋体"/>
          <w:kern w:val="2"/>
          <w:sz w:val="24"/>
          <w:szCs w:val="24"/>
          <w:lang w:bidi="ar"/>
        </w:rPr>
        <w:t>18039916665</w:t>
      </w:r>
    </w:p>
    <w:p>
      <w:pPr>
        <w:autoSpaceDE w:val="0"/>
        <w:autoSpaceDN w:val="0"/>
        <w:adjustRightInd w:val="0"/>
        <w:spacing w:line="360" w:lineRule="auto"/>
        <w:ind w:firstLine="480" w:firstLineChars="200"/>
        <w:jc w:val="left"/>
        <w:outlineLvl w:val="0"/>
        <w:rPr>
          <w:rFonts w:hAnsi="宋体"/>
          <w:sz w:val="24"/>
          <w:szCs w:val="24"/>
        </w:rPr>
      </w:pPr>
      <w:r>
        <w:rPr>
          <w:rFonts w:hint="eastAsia" w:ascii="Times New Roman" w:hAnsi="宋体" w:cs="宋体"/>
          <w:kern w:val="2"/>
          <w:sz w:val="24"/>
          <w:szCs w:val="24"/>
          <w:lang w:bidi="ar"/>
        </w:rPr>
        <w:t>代理机构：中建山河建设管理集团有限公司</w:t>
      </w:r>
    </w:p>
    <w:p>
      <w:pPr>
        <w:autoSpaceDE w:val="0"/>
        <w:autoSpaceDN w:val="0"/>
        <w:adjustRightInd w:val="0"/>
        <w:spacing w:line="360" w:lineRule="auto"/>
        <w:ind w:firstLine="480"/>
        <w:jc w:val="left"/>
        <w:outlineLvl w:val="0"/>
        <w:rPr>
          <w:rFonts w:hAnsi="宋体"/>
          <w:sz w:val="24"/>
          <w:szCs w:val="24"/>
        </w:rPr>
      </w:pPr>
      <w:r>
        <w:rPr>
          <w:rFonts w:hint="eastAsia" w:ascii="Times New Roman" w:hAnsi="宋体" w:cs="宋体"/>
          <w:kern w:val="2"/>
          <w:sz w:val="24"/>
          <w:szCs w:val="24"/>
          <w:lang w:bidi="ar"/>
        </w:rPr>
        <w:t>项目负责人：郑晓光</w:t>
      </w:r>
    </w:p>
    <w:p>
      <w:pPr>
        <w:autoSpaceDE w:val="0"/>
        <w:autoSpaceDN w:val="0"/>
        <w:adjustRightInd w:val="0"/>
        <w:spacing w:line="360" w:lineRule="auto"/>
        <w:ind w:firstLine="480"/>
        <w:jc w:val="left"/>
        <w:outlineLvl w:val="0"/>
        <w:rPr>
          <w:rFonts w:hAnsi="宋体"/>
          <w:sz w:val="24"/>
          <w:szCs w:val="24"/>
        </w:rPr>
      </w:pPr>
      <w:r>
        <w:rPr>
          <w:rFonts w:hint="eastAsia" w:ascii="Times New Roman" w:hAnsi="宋体" w:cs="宋体"/>
          <w:kern w:val="2"/>
          <w:sz w:val="24"/>
          <w:szCs w:val="24"/>
          <w:lang w:bidi="ar"/>
        </w:rPr>
        <w:t>电话：</w:t>
      </w:r>
      <w:r>
        <w:rPr>
          <w:rFonts w:ascii="Times New Roman" w:hAnsi="宋体"/>
          <w:kern w:val="2"/>
          <w:sz w:val="24"/>
          <w:szCs w:val="24"/>
          <w:lang w:bidi="ar"/>
        </w:rPr>
        <w:t>13569917698</w:t>
      </w:r>
    </w:p>
    <w:p>
      <w:pPr>
        <w:autoSpaceDE w:val="0"/>
        <w:autoSpaceDN w:val="0"/>
        <w:adjustRightInd w:val="0"/>
        <w:snapToGrid w:val="0"/>
        <w:spacing w:line="360" w:lineRule="auto"/>
        <w:ind w:firstLine="480" w:firstLineChars="200"/>
        <w:jc w:val="left"/>
        <w:outlineLvl w:val="0"/>
        <w:rPr>
          <w:rFonts w:hAnsi="宋体"/>
          <w:sz w:val="24"/>
          <w:szCs w:val="24"/>
        </w:rPr>
      </w:pPr>
      <w:r>
        <w:rPr>
          <w:rFonts w:ascii="Times New Roman" w:hAnsi="宋体"/>
          <w:kern w:val="2"/>
          <w:sz w:val="24"/>
          <w:szCs w:val="24"/>
          <w:lang w:bidi="ar"/>
        </w:rPr>
        <w:t xml:space="preserve"> </w:t>
      </w:r>
    </w:p>
    <w:p>
      <w:pPr>
        <w:pStyle w:val="16"/>
        <w:widowControl/>
        <w:ind w:firstLine="5760" w:firstLineChars="2400"/>
        <w:rPr>
          <w:rFonts w:hAnsi="宋体"/>
          <w:sz w:val="24"/>
        </w:rPr>
      </w:pPr>
      <w:r>
        <w:rPr>
          <w:rFonts w:hAnsi="宋体"/>
          <w:sz w:val="24"/>
        </w:rPr>
        <w:t xml:space="preserve"> </w:t>
      </w:r>
    </w:p>
    <w:p>
      <w:pPr>
        <w:pStyle w:val="16"/>
        <w:widowControl/>
        <w:ind w:firstLine="5760" w:firstLineChars="2400"/>
        <w:rPr>
          <w:rFonts w:hAnsi="宋体"/>
          <w:sz w:val="24"/>
        </w:rPr>
      </w:pPr>
      <w:r>
        <w:rPr>
          <w:rFonts w:hint="eastAsia" w:hAnsi="宋体" w:cs="宋体"/>
          <w:sz w:val="24"/>
        </w:rPr>
        <w:t>许昌市建安区农业农村局</w:t>
      </w:r>
    </w:p>
    <w:p>
      <w:pPr>
        <w:pStyle w:val="16"/>
        <w:widowControl/>
        <w:ind w:firstLine="6240" w:firstLineChars="2600"/>
        <w:rPr>
          <w:rFonts w:hAnsi="宋体"/>
          <w:sz w:val="24"/>
        </w:rPr>
      </w:pPr>
      <w:r>
        <w:rPr>
          <w:rFonts w:hAnsi="宋体"/>
          <w:sz w:val="24"/>
        </w:rPr>
        <w:t>2020</w:t>
      </w:r>
      <w:r>
        <w:rPr>
          <w:rFonts w:hint="eastAsia" w:hAnsi="宋体" w:cs="宋体"/>
          <w:sz w:val="24"/>
        </w:rPr>
        <w:t>年</w:t>
      </w:r>
      <w:r>
        <w:rPr>
          <w:rFonts w:hint="eastAsia" w:hAnsi="宋体"/>
          <w:sz w:val="24"/>
        </w:rPr>
        <w:t>6</w:t>
      </w:r>
      <w:r>
        <w:rPr>
          <w:rFonts w:hint="eastAsia" w:hAnsi="宋体" w:cs="宋体"/>
          <w:sz w:val="24"/>
        </w:rPr>
        <w:t>月</w:t>
      </w:r>
      <w:r>
        <w:rPr>
          <w:rFonts w:hint="eastAsia" w:hAnsi="宋体"/>
          <w:sz w:val="24"/>
        </w:rPr>
        <w:t>1</w:t>
      </w:r>
      <w:r>
        <w:rPr>
          <w:rFonts w:hAnsi="宋体"/>
          <w:sz w:val="24"/>
        </w:rPr>
        <w:t xml:space="preserve"> </w:t>
      </w:r>
      <w:r>
        <w:rPr>
          <w:rFonts w:hint="eastAsia" w:hAnsi="宋体" w:cs="宋体"/>
          <w:sz w:val="24"/>
        </w:rPr>
        <w:t>日</w:t>
      </w:r>
    </w:p>
    <w:p>
      <w:pPr>
        <w:pStyle w:val="16"/>
        <w:widowControl/>
        <w:ind w:firstLine="210"/>
        <w:rPr>
          <w:rFonts w:hAnsi="宋体"/>
          <w:sz w:val="34"/>
          <w:szCs w:val="34"/>
        </w:rPr>
      </w:pPr>
      <w:r>
        <w:rPr>
          <w:rFonts w:hAnsi="宋体"/>
        </w:rPr>
        <w:t xml:space="preserve"> </w:t>
      </w:r>
    </w:p>
    <w:p>
      <w:pPr>
        <w:widowControl/>
        <w:spacing w:line="312" w:lineRule="auto"/>
        <w:rPr>
          <w:rFonts w:hAnsi="宋体"/>
          <w:b/>
          <w:sz w:val="28"/>
          <w:szCs w:val="28"/>
        </w:rPr>
      </w:pPr>
      <w:r>
        <w:rPr>
          <w:rFonts w:hint="eastAsia" w:ascii="Times New Roman" w:hAnsi="宋体" w:cs="宋体"/>
          <w:b/>
          <w:kern w:val="2"/>
          <w:sz w:val="28"/>
          <w:szCs w:val="28"/>
          <w:lang w:bidi="ar"/>
        </w:rPr>
        <w:t>温馨提示：</w:t>
      </w:r>
    </w:p>
    <w:p>
      <w:pPr>
        <w:widowControl/>
        <w:spacing w:line="312" w:lineRule="auto"/>
        <w:ind w:firstLine="140" w:firstLineChars="50"/>
        <w:rPr>
          <w:rFonts w:hAnsi="宋体"/>
          <w:b/>
          <w:sz w:val="24"/>
          <w:szCs w:val="24"/>
        </w:rPr>
      </w:pPr>
      <w:r>
        <w:rPr>
          <w:rFonts w:hint="eastAsia" w:ascii="Times New Roman" w:hAnsi="宋体" w:cs="宋体"/>
          <w:b/>
          <w:kern w:val="2"/>
          <w:sz w:val="28"/>
          <w:szCs w:val="28"/>
          <w:lang w:bidi="ar"/>
        </w:rPr>
        <w:t>本项目为全流程电子化交易项目，请认真阅读招标文件，并注意以下事项。</w:t>
      </w:r>
    </w:p>
    <w:p>
      <w:pPr>
        <w:snapToGrid w:val="0"/>
        <w:spacing w:line="540" w:lineRule="exact"/>
        <w:ind w:left="-170" w:leftChars="-50" w:right="-170" w:rightChars="-50" w:firstLine="480" w:firstLineChars="200"/>
        <w:rPr>
          <w:rFonts w:hAnsi="宋体"/>
          <w:b/>
          <w:sz w:val="24"/>
          <w:szCs w:val="24"/>
        </w:rPr>
      </w:pPr>
      <w:r>
        <w:rPr>
          <w:rFonts w:ascii="Times New Roman" w:hAnsi="宋体"/>
          <w:b/>
          <w:kern w:val="2"/>
          <w:sz w:val="24"/>
          <w:szCs w:val="24"/>
          <w:lang w:bidi="ar"/>
        </w:rPr>
        <w:t>1.</w:t>
      </w:r>
      <w:r>
        <w:rPr>
          <w:rFonts w:hint="eastAsia" w:ascii="Times New Roman" w:hAnsi="宋体" w:cs="宋体"/>
          <w:b/>
          <w:kern w:val="2"/>
          <w:sz w:val="24"/>
          <w:szCs w:val="24"/>
          <w:lang w:bidi="ar"/>
        </w:rPr>
        <w:t>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b/>
          <w:sz w:val="24"/>
          <w:szCs w:val="24"/>
        </w:rPr>
      </w:pPr>
      <w:r>
        <w:rPr>
          <w:rFonts w:ascii="Times New Roman" w:hAnsi="宋体"/>
          <w:b/>
          <w:kern w:val="2"/>
          <w:sz w:val="24"/>
          <w:szCs w:val="24"/>
          <w:lang w:bidi="ar"/>
        </w:rPr>
        <w:t>2.</w:t>
      </w:r>
      <w:r>
        <w:rPr>
          <w:rFonts w:hint="eastAsia" w:ascii="Times New Roman" w:hAnsi="宋体" w:cs="宋体"/>
          <w:b/>
          <w:kern w:val="2"/>
          <w:sz w:val="24"/>
          <w:szCs w:val="24"/>
          <w:lang w:bidi="ar"/>
        </w:rPr>
        <w:t>电子文件下载、制作、提交期间和开标（电子投标文件的解密）环节，投标人须使用</w:t>
      </w:r>
      <w:r>
        <w:rPr>
          <w:rFonts w:ascii="Times New Roman" w:hAnsi="宋体"/>
          <w:b/>
          <w:kern w:val="2"/>
          <w:sz w:val="24"/>
          <w:szCs w:val="24"/>
          <w:lang w:bidi="ar"/>
        </w:rPr>
        <w:t>CA</w:t>
      </w:r>
      <w:r>
        <w:rPr>
          <w:rFonts w:hint="eastAsia" w:ascii="Times New Roman" w:hAnsi="宋体" w:cs="宋体"/>
          <w:b/>
          <w:kern w:val="2"/>
          <w:sz w:val="24"/>
          <w:szCs w:val="24"/>
          <w:lang w:bidi="ar"/>
        </w:rPr>
        <w:t>数字证书。</w:t>
      </w:r>
    </w:p>
    <w:p>
      <w:pPr>
        <w:snapToGrid w:val="0"/>
        <w:spacing w:line="540" w:lineRule="exact"/>
        <w:ind w:left="-170" w:leftChars="-50" w:right="-170" w:rightChars="-50" w:firstLine="480" w:firstLineChars="200"/>
        <w:rPr>
          <w:rFonts w:hAnsi="宋体"/>
          <w:b/>
          <w:sz w:val="24"/>
          <w:szCs w:val="24"/>
        </w:rPr>
      </w:pPr>
      <w:r>
        <w:rPr>
          <w:rFonts w:ascii="Times New Roman" w:hAnsi="宋体"/>
          <w:b/>
          <w:kern w:val="2"/>
          <w:sz w:val="24"/>
          <w:szCs w:val="24"/>
          <w:lang w:bidi="ar"/>
        </w:rPr>
        <w:t>3.</w:t>
      </w:r>
      <w:r>
        <w:rPr>
          <w:rFonts w:hint="eastAsia" w:ascii="Times New Roman" w:hAnsi="宋体" w:cs="宋体"/>
          <w:b/>
          <w:kern w:val="2"/>
          <w:sz w:val="24"/>
          <w:szCs w:val="24"/>
          <w:lang w:bidi="ar"/>
        </w:rPr>
        <w:t>电子投标文件的制作</w:t>
      </w:r>
    </w:p>
    <w:p>
      <w:pPr>
        <w:snapToGrid w:val="0"/>
        <w:spacing w:line="540" w:lineRule="exact"/>
        <w:ind w:left="-170" w:leftChars="-50" w:right="-170" w:rightChars="-50" w:firstLine="480" w:firstLineChars="200"/>
        <w:rPr>
          <w:rFonts w:hAnsi="宋体"/>
          <w:sz w:val="24"/>
          <w:szCs w:val="24"/>
        </w:rPr>
      </w:pPr>
      <w:r>
        <w:rPr>
          <w:rFonts w:ascii="Times New Roman" w:hAnsi="宋体"/>
          <w:kern w:val="2"/>
          <w:sz w:val="24"/>
          <w:szCs w:val="24"/>
          <w:lang w:bidi="ar"/>
        </w:rPr>
        <w:t xml:space="preserve">3.1 </w:t>
      </w:r>
      <w:r>
        <w:rPr>
          <w:rFonts w:hint="eastAsia" w:ascii="Times New Roman" w:hAnsi="宋体" w:cs="宋体"/>
          <w:kern w:val="2"/>
          <w:sz w:val="24"/>
          <w:szCs w:val="24"/>
          <w:lang w:bidi="ar"/>
        </w:rPr>
        <w:t>投标人登录《全国公共资源交易平台</w:t>
      </w:r>
      <w:r>
        <w:rPr>
          <w:rFonts w:ascii="Times New Roman" w:hAnsi="宋体"/>
          <w:kern w:val="2"/>
          <w:sz w:val="24"/>
          <w:szCs w:val="24"/>
          <w:lang w:bidi="ar"/>
        </w:rPr>
        <w:t>(</w:t>
      </w:r>
      <w:r>
        <w:rPr>
          <w:rFonts w:hint="eastAsia" w:ascii="Times New Roman" w:hAnsi="宋体" w:cs="宋体"/>
          <w:kern w:val="2"/>
          <w:sz w:val="24"/>
          <w:szCs w:val="24"/>
          <w:lang w:bidi="ar"/>
        </w:rPr>
        <w:t>河南省</w:t>
      </w:r>
      <w:r>
        <w:rPr>
          <w:rFonts w:hint="eastAsia" w:ascii="MS Gothic" w:hAnsi="MS Gothic" w:eastAsia="MS Gothic" w:cs="MS Gothic"/>
          <w:kern w:val="2"/>
          <w:sz w:val="24"/>
          <w:szCs w:val="24"/>
          <w:lang w:bidi="ar"/>
        </w:rPr>
        <w:t>▪</w:t>
      </w:r>
      <w:r>
        <w:rPr>
          <w:rFonts w:hint="eastAsia" w:hAnsi="宋体" w:cs="宋体"/>
          <w:kern w:val="2"/>
          <w:sz w:val="24"/>
          <w:szCs w:val="24"/>
          <w:lang w:bidi="ar"/>
        </w:rPr>
        <w:t>许昌市</w:t>
      </w:r>
      <w:r>
        <w:rPr>
          <w:rFonts w:ascii="Times New Roman" w:hAnsi="宋体"/>
          <w:kern w:val="2"/>
          <w:sz w:val="24"/>
          <w:szCs w:val="24"/>
          <w:lang w:bidi="ar"/>
        </w:rPr>
        <w:t>)</w:t>
      </w:r>
      <w:r>
        <w:rPr>
          <w:rFonts w:hint="eastAsia" w:ascii="Times New Roman" w:hAnsi="宋体" w:cs="宋体"/>
          <w:kern w:val="2"/>
          <w:sz w:val="24"/>
          <w:szCs w:val="24"/>
          <w:lang w:bidi="ar"/>
        </w:rPr>
        <w:t>》公共资源交易系统（</w:t>
      </w:r>
      <w:r>
        <w:fldChar w:fldCharType="begin"/>
      </w:r>
      <w:r>
        <w:instrText xml:space="preserve"> HYPERLINK "http://221.14.6.70:8088/ggzy/" </w:instrText>
      </w:r>
      <w:r>
        <w:fldChar w:fldCharType="separate"/>
      </w:r>
      <w:r>
        <w:rPr>
          <w:rStyle w:val="22"/>
          <w:rFonts w:hAnsi="宋体"/>
          <w:sz w:val="24"/>
          <w:szCs w:val="24"/>
        </w:rPr>
        <w:t>http://221.14.6.70:8088/ggzy/</w:t>
      </w:r>
      <w:r>
        <w:rPr>
          <w:rStyle w:val="22"/>
          <w:rFonts w:hAnsi="宋体"/>
          <w:sz w:val="24"/>
          <w:szCs w:val="24"/>
        </w:rPr>
        <w:fldChar w:fldCharType="end"/>
      </w:r>
      <w:r>
        <w:rPr>
          <w:rFonts w:hint="eastAsia" w:ascii="Times New Roman" w:hAnsi="宋体" w:cs="宋体"/>
          <w:kern w:val="2"/>
          <w:sz w:val="24"/>
          <w:szCs w:val="24"/>
          <w:lang w:bidi="ar"/>
        </w:rPr>
        <w:t>）下载“许昌投标文件制作系统</w:t>
      </w:r>
      <w:r>
        <w:rPr>
          <w:rFonts w:ascii="Times New Roman" w:hAnsi="宋体"/>
          <w:kern w:val="2"/>
          <w:sz w:val="24"/>
          <w:szCs w:val="24"/>
          <w:lang w:bidi="ar"/>
        </w:rPr>
        <w:t>SEARUN V1.1</w:t>
      </w:r>
      <w:r>
        <w:rPr>
          <w:rFonts w:hint="eastAsia" w:ascii="Times New Roman" w:hAnsi="宋体" w:cs="宋体"/>
          <w:kern w:val="2"/>
          <w:sz w:val="24"/>
          <w:szCs w:val="24"/>
          <w:lang w:bidi="ar"/>
        </w:rPr>
        <w:t>”，按招标文件要求制作电子投标文件。</w:t>
      </w:r>
    </w:p>
    <w:p>
      <w:pPr>
        <w:snapToGrid w:val="0"/>
        <w:spacing w:line="540" w:lineRule="exact"/>
        <w:ind w:left="-170" w:leftChars="-50" w:right="-170" w:rightChars="-50" w:firstLine="480" w:firstLineChars="200"/>
        <w:rPr>
          <w:rFonts w:hAnsi="宋体"/>
          <w:sz w:val="24"/>
          <w:szCs w:val="24"/>
        </w:rPr>
      </w:pPr>
      <w:r>
        <w:rPr>
          <w:rFonts w:hint="eastAsia" w:ascii="Times New Roman" w:hAnsi="宋体" w:cs="宋体"/>
          <w:kern w:val="2"/>
          <w:sz w:val="24"/>
          <w:szCs w:val="24"/>
          <w:lang w:bidi="ar"/>
        </w:rPr>
        <w:t>电子投标文件的制作，参考《全国公共资源交易平台</w:t>
      </w:r>
      <w:r>
        <w:rPr>
          <w:rFonts w:ascii="Times New Roman" w:hAnsi="宋体"/>
          <w:kern w:val="2"/>
          <w:sz w:val="24"/>
          <w:szCs w:val="24"/>
          <w:lang w:bidi="ar"/>
        </w:rPr>
        <w:t>(</w:t>
      </w:r>
      <w:r>
        <w:rPr>
          <w:rFonts w:hint="eastAsia" w:ascii="Times New Roman" w:hAnsi="宋体" w:cs="宋体"/>
          <w:kern w:val="2"/>
          <w:sz w:val="24"/>
          <w:szCs w:val="24"/>
          <w:lang w:bidi="ar"/>
        </w:rPr>
        <w:t>河南省</w:t>
      </w:r>
      <w:r>
        <w:rPr>
          <w:rFonts w:hint="eastAsia" w:ascii="MS Gothic" w:hAnsi="MS Gothic" w:eastAsia="MS Gothic" w:cs="MS Gothic"/>
          <w:kern w:val="2"/>
          <w:sz w:val="24"/>
          <w:szCs w:val="24"/>
          <w:lang w:bidi="ar"/>
        </w:rPr>
        <w:t>▪</w:t>
      </w:r>
      <w:r>
        <w:rPr>
          <w:rFonts w:hint="eastAsia" w:hAnsi="宋体" w:cs="宋体"/>
          <w:kern w:val="2"/>
          <w:sz w:val="24"/>
          <w:szCs w:val="24"/>
          <w:lang w:bidi="ar"/>
        </w:rPr>
        <w:t>许昌市</w:t>
      </w:r>
      <w:r>
        <w:rPr>
          <w:rFonts w:ascii="Times New Roman" w:hAnsi="宋体"/>
          <w:kern w:val="2"/>
          <w:sz w:val="24"/>
          <w:szCs w:val="24"/>
          <w:lang w:bidi="ar"/>
        </w:rPr>
        <w:t>)</w:t>
      </w:r>
      <w:r>
        <w:rPr>
          <w:rFonts w:hint="eastAsia" w:ascii="Times New Roman" w:hAnsi="宋体" w:cs="宋体"/>
          <w:kern w:val="2"/>
          <w:sz w:val="24"/>
          <w:szCs w:val="24"/>
          <w:lang w:bidi="ar"/>
        </w:rPr>
        <w:t>》公共资源交易系统——组件下载——交易系统操作手册（投标人、供应商）。</w:t>
      </w:r>
    </w:p>
    <w:p>
      <w:pPr>
        <w:snapToGrid w:val="0"/>
        <w:spacing w:line="540" w:lineRule="exact"/>
        <w:ind w:left="-170" w:leftChars="-50" w:right="-170" w:rightChars="-50" w:firstLine="480" w:firstLineChars="200"/>
        <w:rPr>
          <w:rFonts w:hAnsi="宋体"/>
          <w:sz w:val="24"/>
          <w:szCs w:val="24"/>
        </w:rPr>
      </w:pPr>
      <w:r>
        <w:rPr>
          <w:rFonts w:ascii="Times New Roman" w:hAnsi="宋体"/>
          <w:kern w:val="2"/>
          <w:sz w:val="24"/>
          <w:szCs w:val="24"/>
          <w:lang w:bidi="ar"/>
        </w:rPr>
        <w:t xml:space="preserve">3.2 </w:t>
      </w:r>
      <w:r>
        <w:rPr>
          <w:rFonts w:hint="eastAsia" w:ascii="Times New Roman" w:hAnsi="宋体" w:cs="宋体"/>
          <w:kern w:val="2"/>
          <w:sz w:val="24"/>
          <w:szCs w:val="24"/>
          <w:lang w:bidi="ar"/>
        </w:rPr>
        <w:t>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sz w:val="24"/>
          <w:szCs w:val="24"/>
        </w:rPr>
      </w:pPr>
      <w:r>
        <w:rPr>
          <w:rFonts w:ascii="Times New Roman" w:hAnsi="宋体"/>
          <w:kern w:val="2"/>
          <w:sz w:val="24"/>
          <w:szCs w:val="24"/>
          <w:lang w:bidi="ar"/>
        </w:rPr>
        <w:t>3.3</w:t>
      </w:r>
      <w:r>
        <w:rPr>
          <w:rFonts w:hint="eastAsia" w:ascii="Times New Roman" w:hAnsi="宋体" w:cs="宋体"/>
          <w:kern w:val="2"/>
          <w:sz w:val="24"/>
          <w:szCs w:val="24"/>
          <w:lang w:bidi="ar"/>
        </w:rPr>
        <w:t>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sz w:val="24"/>
          <w:szCs w:val="24"/>
        </w:rPr>
      </w:pPr>
      <w:r>
        <w:rPr>
          <w:rFonts w:hint="eastAsia" w:ascii="Times New Roman" w:hAnsi="宋体" w:cs="宋体"/>
          <w:kern w:val="2"/>
          <w:sz w:val="24"/>
          <w:szCs w:val="24"/>
          <w:lang w:bidi="ar"/>
        </w:rPr>
        <w:t>一个标段对应生成一个文件夹（</w:t>
      </w:r>
      <w:r>
        <w:rPr>
          <w:rFonts w:ascii="Times New Roman" w:hAnsi="宋体"/>
          <w:kern w:val="2"/>
          <w:sz w:val="24"/>
          <w:szCs w:val="24"/>
          <w:lang w:bidi="ar"/>
        </w:rPr>
        <w:t>xxxx</w:t>
      </w:r>
      <w:r>
        <w:rPr>
          <w:rFonts w:hint="eastAsia" w:ascii="Times New Roman" w:hAnsi="宋体" w:cs="宋体"/>
          <w:kern w:val="2"/>
          <w:sz w:val="24"/>
          <w:szCs w:val="24"/>
          <w:lang w:bidi="ar"/>
        </w:rPr>
        <w:t>项目</w:t>
      </w:r>
      <w:r>
        <w:rPr>
          <w:rFonts w:ascii="Times New Roman" w:hAnsi="宋体"/>
          <w:kern w:val="2"/>
          <w:sz w:val="24"/>
          <w:szCs w:val="24"/>
          <w:lang w:bidi="ar"/>
        </w:rPr>
        <w:t>xx</w:t>
      </w:r>
      <w:r>
        <w:rPr>
          <w:rFonts w:hint="eastAsia" w:ascii="Times New Roman" w:hAnsi="宋体" w:cs="宋体"/>
          <w:kern w:val="2"/>
          <w:sz w:val="24"/>
          <w:szCs w:val="24"/>
          <w:lang w:bidi="ar"/>
        </w:rPr>
        <w:t>标段）</w:t>
      </w:r>
      <w:r>
        <w:rPr>
          <w:rFonts w:ascii="Times New Roman" w:hAnsi="宋体"/>
          <w:kern w:val="2"/>
          <w:sz w:val="24"/>
          <w:szCs w:val="24"/>
          <w:lang w:bidi="ar"/>
        </w:rPr>
        <w:t xml:space="preserve">, </w:t>
      </w:r>
      <w:r>
        <w:rPr>
          <w:rFonts w:hint="eastAsia" w:ascii="Times New Roman" w:hAnsi="宋体" w:cs="宋体"/>
          <w:kern w:val="2"/>
          <w:sz w:val="24"/>
          <w:szCs w:val="24"/>
          <w:lang w:bidi="ar"/>
        </w:rPr>
        <w:t>其中包含</w:t>
      </w:r>
      <w:r>
        <w:rPr>
          <w:rFonts w:ascii="Times New Roman" w:hAnsi="宋体"/>
          <w:kern w:val="2"/>
          <w:sz w:val="24"/>
          <w:szCs w:val="24"/>
          <w:lang w:bidi="ar"/>
        </w:rPr>
        <w:t>2</w:t>
      </w:r>
      <w:r>
        <w:rPr>
          <w:rFonts w:hint="eastAsia" w:ascii="Times New Roman" w:hAnsi="宋体" w:cs="宋体"/>
          <w:kern w:val="2"/>
          <w:sz w:val="24"/>
          <w:szCs w:val="24"/>
          <w:lang w:bidi="ar"/>
        </w:rPr>
        <w:t>个文件和</w:t>
      </w:r>
      <w:r>
        <w:rPr>
          <w:rFonts w:ascii="Times New Roman" w:hAnsi="宋体"/>
          <w:kern w:val="2"/>
          <w:sz w:val="24"/>
          <w:szCs w:val="24"/>
          <w:lang w:bidi="ar"/>
        </w:rPr>
        <w:t>1</w:t>
      </w:r>
      <w:r>
        <w:rPr>
          <w:rFonts w:hint="eastAsia" w:ascii="Times New Roman" w:hAnsi="宋体" w:cs="宋体"/>
          <w:kern w:val="2"/>
          <w:sz w:val="24"/>
          <w:szCs w:val="24"/>
          <w:lang w:bidi="ar"/>
        </w:rPr>
        <w:t>个文件夹。后缀名为“</w:t>
      </w:r>
      <w:r>
        <w:rPr>
          <w:rFonts w:ascii="Times New Roman" w:hAnsi="宋体"/>
          <w:kern w:val="2"/>
          <w:sz w:val="24"/>
          <w:szCs w:val="24"/>
          <w:lang w:bidi="ar"/>
        </w:rPr>
        <w:t>.file</w:t>
      </w:r>
      <w:r>
        <w:rPr>
          <w:rFonts w:hint="eastAsia" w:ascii="Times New Roman" w:hAnsi="宋体" w:cs="宋体"/>
          <w:kern w:val="2"/>
          <w:sz w:val="24"/>
          <w:szCs w:val="24"/>
          <w:lang w:bidi="ar"/>
        </w:rPr>
        <w:t>”的文件用于电子投标使用，“备份文件夹”使用电子介质存储，供开标现场备用。</w:t>
      </w:r>
    </w:p>
    <w:p>
      <w:pPr>
        <w:snapToGrid w:val="0"/>
        <w:spacing w:line="540" w:lineRule="exact"/>
        <w:ind w:left="-170" w:leftChars="-50" w:right="-170" w:rightChars="-50" w:firstLine="480" w:firstLineChars="200"/>
        <w:rPr>
          <w:rFonts w:hAnsi="宋体"/>
          <w:b/>
          <w:sz w:val="24"/>
          <w:szCs w:val="24"/>
        </w:rPr>
      </w:pPr>
      <w:r>
        <w:rPr>
          <w:rFonts w:ascii="Times New Roman" w:hAnsi="宋体"/>
          <w:b/>
          <w:kern w:val="2"/>
          <w:sz w:val="24"/>
          <w:szCs w:val="24"/>
          <w:lang w:bidi="ar"/>
        </w:rPr>
        <w:t>4.</w:t>
      </w:r>
      <w:r>
        <w:rPr>
          <w:rFonts w:hint="eastAsia" w:ascii="Times New Roman" w:hAnsi="宋体" w:cs="宋体"/>
          <w:b/>
          <w:kern w:val="2"/>
          <w:sz w:val="24"/>
          <w:szCs w:val="24"/>
          <w:lang w:bidi="ar"/>
        </w:rPr>
        <w:t>投标保证金的提交</w:t>
      </w:r>
    </w:p>
    <w:p>
      <w:pPr>
        <w:snapToGrid w:val="0"/>
        <w:spacing w:line="540" w:lineRule="exact"/>
        <w:ind w:left="-170" w:leftChars="-50" w:right="-170" w:rightChars="-50" w:firstLine="480" w:firstLineChars="200"/>
        <w:rPr>
          <w:rFonts w:hAnsi="宋体"/>
          <w:sz w:val="24"/>
          <w:szCs w:val="24"/>
        </w:rPr>
      </w:pPr>
      <w:r>
        <w:rPr>
          <w:rFonts w:ascii="Times New Roman" w:hAnsi="宋体"/>
          <w:kern w:val="2"/>
          <w:sz w:val="24"/>
          <w:szCs w:val="24"/>
          <w:lang w:bidi="ar"/>
        </w:rPr>
        <w:t>4.1</w:t>
      </w:r>
      <w:r>
        <w:rPr>
          <w:rFonts w:hint="eastAsia" w:ascii="Times New Roman" w:hAnsi="宋体" w:cs="宋体"/>
          <w:kern w:val="2"/>
          <w:sz w:val="24"/>
          <w:szCs w:val="24"/>
          <w:lang w:bidi="ar"/>
        </w:rPr>
        <w:t>使用银行转帐方式提交的，投标人通过基本账户将款项一次足额递交、成功绑定，以收款人到账时间为准。</w:t>
      </w:r>
    </w:p>
    <w:p>
      <w:pPr>
        <w:snapToGrid w:val="0"/>
        <w:spacing w:line="540" w:lineRule="exact"/>
        <w:ind w:left="-170" w:leftChars="-50" w:right="-170" w:rightChars="-50" w:firstLine="480" w:firstLineChars="200"/>
        <w:rPr>
          <w:rFonts w:hAnsi="宋体"/>
          <w:sz w:val="24"/>
          <w:szCs w:val="24"/>
        </w:rPr>
      </w:pPr>
      <w:r>
        <w:rPr>
          <w:rFonts w:ascii="Times New Roman" w:hAnsi="宋体"/>
          <w:kern w:val="2"/>
          <w:sz w:val="24"/>
          <w:szCs w:val="24"/>
          <w:lang w:bidi="ar"/>
        </w:rPr>
        <w:t>4.1.1</w:t>
      </w:r>
      <w:r>
        <w:rPr>
          <w:rFonts w:hint="eastAsia" w:ascii="Times New Roman" w:hAnsi="宋体" w:cs="宋体"/>
          <w:kern w:val="2"/>
          <w:sz w:val="24"/>
          <w:szCs w:val="24"/>
          <w:lang w:bidi="ar"/>
        </w:rPr>
        <w:t>投标人网上下载招标文件并根据每个标段的缴纳说明单在开标截止时间前提交。每个投标人每个项目每个标段只有唯一缴纳账号，切勿重复缴纳或错误缴纳。</w:t>
      </w:r>
    </w:p>
    <w:p>
      <w:pPr>
        <w:snapToGrid w:val="0"/>
        <w:spacing w:line="540" w:lineRule="exact"/>
        <w:ind w:left="-170" w:leftChars="-50" w:right="-170" w:rightChars="-50" w:firstLine="480" w:firstLineChars="200"/>
        <w:rPr>
          <w:rFonts w:hAnsi="宋体"/>
          <w:sz w:val="24"/>
          <w:szCs w:val="24"/>
        </w:rPr>
      </w:pPr>
      <w:r>
        <w:rPr>
          <w:rFonts w:ascii="Times New Roman" w:hAnsi="宋体"/>
          <w:kern w:val="2"/>
          <w:sz w:val="24"/>
          <w:szCs w:val="24"/>
          <w:lang w:bidi="ar"/>
        </w:rPr>
        <w:t>4.1.2</w:t>
      </w:r>
      <w:r>
        <w:rPr>
          <w:rFonts w:hint="eastAsia" w:ascii="Times New Roman" w:hAnsi="宋体" w:cs="宋体"/>
          <w:kern w:val="2"/>
          <w:sz w:val="24"/>
          <w:szCs w:val="24"/>
          <w:lang w:bidi="ar"/>
        </w:rPr>
        <w:t>提交后再次登录</w:t>
      </w:r>
      <w:r>
        <w:fldChar w:fldCharType="begin"/>
      </w:r>
      <w:r>
        <w:instrText xml:space="preserve"> HYPERLINK "http://221.14.6.70:8088/ggzy" </w:instrText>
      </w:r>
      <w:r>
        <w:fldChar w:fldCharType="separate"/>
      </w:r>
      <w:r>
        <w:rPr>
          <w:rStyle w:val="22"/>
          <w:rFonts w:hAnsi="宋体"/>
          <w:sz w:val="24"/>
          <w:szCs w:val="24"/>
        </w:rPr>
        <w:t>http://221.14.6.70:8088/ggzy</w:t>
      </w:r>
      <w:r>
        <w:rPr>
          <w:rStyle w:val="22"/>
          <w:rFonts w:hAnsi="宋体"/>
          <w:sz w:val="24"/>
          <w:szCs w:val="24"/>
        </w:rPr>
        <w:fldChar w:fldCharType="end"/>
      </w:r>
      <w:r>
        <w:rPr>
          <w:rFonts w:hint="eastAsia" w:ascii="Times New Roman" w:hAnsi="宋体" w:cs="宋体"/>
          <w:kern w:val="2"/>
          <w:sz w:val="24"/>
          <w:szCs w:val="24"/>
          <w:lang w:bidi="ar"/>
        </w:rPr>
        <w:t>系统，依次点击“会员向导”→“参与投标”→“保证金绑定”→“绑定”进行投标保证金绑定，前述系统显示“许昌市建安区公共资源交易中心保证金缴纳回执”表示投标保证金提交完成。未绑定标段的投标保证金，视为未按规定提交。</w:t>
      </w:r>
    </w:p>
    <w:p>
      <w:pPr>
        <w:snapToGrid w:val="0"/>
        <w:spacing w:line="540" w:lineRule="exact"/>
        <w:ind w:left="-170" w:leftChars="-50" w:right="-170" w:rightChars="-50" w:firstLine="480" w:firstLineChars="200"/>
        <w:rPr>
          <w:rFonts w:hAnsi="宋体"/>
          <w:sz w:val="24"/>
          <w:szCs w:val="24"/>
        </w:rPr>
      </w:pPr>
      <w:r>
        <w:rPr>
          <w:rFonts w:ascii="Times New Roman" w:hAnsi="宋体"/>
          <w:kern w:val="2"/>
          <w:sz w:val="24"/>
          <w:szCs w:val="24"/>
          <w:lang w:bidi="ar"/>
        </w:rPr>
        <w:t>4.1.3</w:t>
      </w:r>
      <w:r>
        <w:rPr>
          <w:rFonts w:hint="eastAsia" w:ascii="Times New Roman" w:hAnsi="宋体" w:cs="宋体"/>
          <w:kern w:val="2"/>
          <w:sz w:val="24"/>
          <w:szCs w:val="24"/>
          <w:lang w:bidi="ar"/>
        </w:rPr>
        <w:t>投标人按照所投项目及标段将缴纳凭证“许昌市建安区公共资源交易中心保证金缴纳回执”附于投标文件中。</w:t>
      </w:r>
    </w:p>
    <w:p>
      <w:pPr>
        <w:snapToGrid w:val="0"/>
        <w:spacing w:line="540" w:lineRule="exact"/>
        <w:ind w:left="-170" w:leftChars="-50" w:right="-170" w:rightChars="-50" w:firstLine="480" w:firstLineChars="200"/>
        <w:rPr>
          <w:rFonts w:hAnsi="宋体"/>
          <w:sz w:val="24"/>
          <w:szCs w:val="24"/>
        </w:rPr>
      </w:pPr>
      <w:r>
        <w:rPr>
          <w:rFonts w:ascii="Times New Roman" w:hAnsi="宋体"/>
          <w:kern w:val="2"/>
          <w:sz w:val="24"/>
          <w:szCs w:val="24"/>
          <w:lang w:bidi="ar"/>
        </w:rPr>
        <w:t>4.2</w:t>
      </w:r>
      <w:r>
        <w:rPr>
          <w:rFonts w:hint="eastAsia" w:ascii="Times New Roman" w:hAnsi="宋体" w:cs="宋体"/>
          <w:kern w:val="2"/>
          <w:sz w:val="24"/>
          <w:szCs w:val="24"/>
          <w:lang w:bidi="ar"/>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pPr>
        <w:snapToGrid w:val="0"/>
        <w:spacing w:line="540" w:lineRule="exact"/>
        <w:ind w:left="-170" w:leftChars="-50" w:right="-170" w:rightChars="-50" w:firstLine="480" w:firstLineChars="200"/>
        <w:rPr>
          <w:rFonts w:hAnsi="宋体"/>
          <w:b/>
          <w:sz w:val="24"/>
          <w:szCs w:val="24"/>
        </w:rPr>
      </w:pPr>
      <w:r>
        <w:rPr>
          <w:rFonts w:ascii="Times New Roman" w:hAnsi="宋体"/>
          <w:b/>
          <w:kern w:val="2"/>
          <w:sz w:val="24"/>
          <w:szCs w:val="24"/>
          <w:lang w:bidi="ar"/>
        </w:rPr>
        <w:t>5.</w:t>
      </w:r>
      <w:r>
        <w:rPr>
          <w:rFonts w:hint="eastAsia" w:ascii="Times New Roman" w:hAnsi="宋体" w:cs="宋体"/>
          <w:b/>
          <w:kern w:val="2"/>
          <w:sz w:val="24"/>
          <w:szCs w:val="24"/>
          <w:lang w:bidi="ar"/>
        </w:rPr>
        <w:t>加密电子投标文件的提交</w:t>
      </w:r>
    </w:p>
    <w:p>
      <w:pPr>
        <w:snapToGrid w:val="0"/>
        <w:spacing w:line="540" w:lineRule="exact"/>
        <w:ind w:left="-170" w:leftChars="-50" w:right="-170" w:rightChars="-50" w:firstLine="480" w:firstLineChars="200"/>
        <w:rPr>
          <w:rFonts w:hAnsi="宋体"/>
          <w:sz w:val="24"/>
          <w:szCs w:val="24"/>
        </w:rPr>
      </w:pPr>
      <w:r>
        <w:rPr>
          <w:rFonts w:ascii="Times New Roman" w:hAnsi="宋体"/>
          <w:kern w:val="2"/>
          <w:sz w:val="24"/>
          <w:szCs w:val="24"/>
          <w:lang w:bidi="ar"/>
        </w:rPr>
        <w:t xml:space="preserve"> 5.1</w:t>
      </w:r>
      <w:r>
        <w:rPr>
          <w:rFonts w:hint="eastAsia" w:ascii="Times New Roman" w:hAnsi="宋体" w:cs="宋体"/>
          <w:kern w:val="2"/>
          <w:sz w:val="24"/>
          <w:szCs w:val="24"/>
          <w:lang w:bidi="ar"/>
        </w:rPr>
        <w:t>电子投标文件应在招标文件规定的投标文件提交截止时间（开标时间）之前成功提交至《全国公共资源交易平台</w:t>
      </w:r>
      <w:r>
        <w:rPr>
          <w:rFonts w:ascii="Times New Roman" w:hAnsi="宋体"/>
          <w:kern w:val="2"/>
          <w:sz w:val="24"/>
          <w:szCs w:val="24"/>
          <w:lang w:bidi="ar"/>
        </w:rPr>
        <w:t>(</w:t>
      </w:r>
      <w:r>
        <w:rPr>
          <w:rFonts w:hint="eastAsia" w:ascii="Times New Roman" w:hAnsi="宋体" w:cs="宋体"/>
          <w:kern w:val="2"/>
          <w:sz w:val="24"/>
          <w:szCs w:val="24"/>
          <w:lang w:bidi="ar"/>
        </w:rPr>
        <w:t>河南省</w:t>
      </w:r>
      <w:r>
        <w:rPr>
          <w:rFonts w:hint="eastAsia" w:ascii="MS Gothic" w:hAnsi="MS Gothic" w:eastAsia="MS Gothic" w:cs="MS Gothic"/>
          <w:kern w:val="2"/>
          <w:sz w:val="24"/>
          <w:szCs w:val="24"/>
          <w:lang w:bidi="ar"/>
        </w:rPr>
        <w:t>▪</w:t>
      </w:r>
      <w:r>
        <w:rPr>
          <w:rFonts w:hint="eastAsia" w:hAnsi="宋体" w:cs="宋体"/>
          <w:kern w:val="2"/>
          <w:sz w:val="24"/>
          <w:szCs w:val="24"/>
          <w:lang w:bidi="ar"/>
        </w:rPr>
        <w:t>许昌市</w:t>
      </w:r>
      <w:r>
        <w:rPr>
          <w:rFonts w:ascii="Times New Roman" w:hAnsi="宋体"/>
          <w:kern w:val="2"/>
          <w:sz w:val="24"/>
          <w:szCs w:val="24"/>
          <w:lang w:bidi="ar"/>
        </w:rPr>
        <w:t>)</w:t>
      </w:r>
      <w:r>
        <w:rPr>
          <w:rFonts w:hint="eastAsia" w:ascii="Times New Roman" w:hAnsi="宋体" w:cs="宋体"/>
          <w:kern w:val="2"/>
          <w:sz w:val="24"/>
          <w:szCs w:val="24"/>
          <w:lang w:bidi="ar"/>
        </w:rPr>
        <w:t>》公共资源交易系统（</w:t>
      </w:r>
      <w:r>
        <w:fldChar w:fldCharType="begin"/>
      </w:r>
      <w:r>
        <w:instrText xml:space="preserve"> HYPERLINK "http://221.14.6.70:8088/ggzy/" </w:instrText>
      </w:r>
      <w:r>
        <w:fldChar w:fldCharType="separate"/>
      </w:r>
      <w:r>
        <w:rPr>
          <w:rStyle w:val="22"/>
          <w:rFonts w:hAnsi="宋体"/>
          <w:sz w:val="24"/>
          <w:szCs w:val="24"/>
        </w:rPr>
        <w:t>http://221.14.6.70:8088/ggzy/</w:t>
      </w:r>
      <w:r>
        <w:rPr>
          <w:rStyle w:val="22"/>
          <w:rFonts w:hAnsi="宋体"/>
          <w:sz w:val="24"/>
          <w:szCs w:val="24"/>
        </w:rPr>
        <w:fldChar w:fldCharType="end"/>
      </w:r>
      <w:r>
        <w:rPr>
          <w:rFonts w:hint="eastAsia" w:ascii="Times New Roman" w:hAnsi="宋体" w:cs="宋体"/>
          <w:kern w:val="2"/>
          <w:sz w:val="24"/>
          <w:szCs w:val="24"/>
          <w:lang w:bidi="ar"/>
        </w:rPr>
        <w:t>）。</w:t>
      </w:r>
    </w:p>
    <w:p>
      <w:pPr>
        <w:snapToGrid w:val="0"/>
        <w:spacing w:line="540" w:lineRule="exact"/>
        <w:ind w:left="-170" w:leftChars="-50" w:right="-170" w:rightChars="-50" w:firstLine="480" w:firstLineChars="200"/>
        <w:rPr>
          <w:rFonts w:hAnsi="宋体"/>
          <w:sz w:val="24"/>
          <w:szCs w:val="24"/>
        </w:rPr>
      </w:pPr>
      <w:r>
        <w:rPr>
          <w:rFonts w:hint="eastAsia" w:ascii="Times New Roman" w:hAnsi="宋体" w:cs="宋体"/>
          <w:kern w:val="2"/>
          <w:sz w:val="24"/>
          <w:szCs w:val="24"/>
          <w:lang w:bidi="ar"/>
        </w:rPr>
        <w:t>投标人应充分考虑并预留技术处理和上传数据所需时间。</w:t>
      </w:r>
    </w:p>
    <w:p>
      <w:pPr>
        <w:snapToGrid w:val="0"/>
        <w:spacing w:line="540" w:lineRule="exact"/>
        <w:ind w:left="-170" w:leftChars="-50" w:right="-170" w:rightChars="-50" w:firstLine="480" w:firstLineChars="200"/>
        <w:rPr>
          <w:rFonts w:hAnsi="宋体"/>
          <w:sz w:val="24"/>
          <w:szCs w:val="24"/>
        </w:rPr>
      </w:pPr>
      <w:r>
        <w:rPr>
          <w:rFonts w:ascii="Times New Roman" w:hAnsi="宋体"/>
          <w:kern w:val="2"/>
          <w:sz w:val="24"/>
          <w:szCs w:val="24"/>
          <w:lang w:bidi="ar"/>
        </w:rPr>
        <w:t xml:space="preserve">5.2 </w:t>
      </w:r>
      <w:r>
        <w:rPr>
          <w:rFonts w:hint="eastAsia" w:ascii="Times New Roman" w:hAnsi="宋体" w:cs="宋体"/>
          <w:kern w:val="2"/>
          <w:sz w:val="24"/>
          <w:szCs w:val="24"/>
          <w:lang w:bidi="ar"/>
        </w:rPr>
        <w:t>投标人对同一项目多个标段进行投标的，电子投标文件应按标段分别提交。</w:t>
      </w:r>
    </w:p>
    <w:p>
      <w:pPr>
        <w:snapToGrid w:val="0"/>
        <w:spacing w:line="540" w:lineRule="exact"/>
        <w:ind w:left="-170" w:leftChars="-50" w:right="-170" w:rightChars="-50" w:firstLine="480" w:firstLineChars="200"/>
        <w:rPr>
          <w:rFonts w:hAnsi="宋体"/>
          <w:sz w:val="24"/>
          <w:szCs w:val="24"/>
        </w:rPr>
      </w:pPr>
      <w:r>
        <w:rPr>
          <w:rFonts w:ascii="Times New Roman" w:hAnsi="宋体"/>
          <w:kern w:val="2"/>
          <w:sz w:val="24"/>
          <w:szCs w:val="24"/>
          <w:lang w:bidi="ar"/>
        </w:rPr>
        <w:t xml:space="preserve">5.3 </w:t>
      </w:r>
      <w:r>
        <w:rPr>
          <w:rFonts w:hint="eastAsia" w:ascii="Times New Roman" w:hAnsi="宋体" w:cs="宋体"/>
          <w:kern w:val="2"/>
          <w:sz w:val="24"/>
          <w:szCs w:val="24"/>
          <w:lang w:bidi="ar"/>
        </w:rPr>
        <w:t>电子投标文件成功提交后，投标人应打印“投标文件提交回执单”，供开标现场备查。</w:t>
      </w:r>
    </w:p>
    <w:p>
      <w:pPr>
        <w:snapToGrid w:val="0"/>
        <w:spacing w:line="540" w:lineRule="exact"/>
        <w:ind w:left="-170" w:leftChars="-50" w:right="-170" w:rightChars="-50" w:firstLine="480" w:firstLineChars="200"/>
        <w:rPr>
          <w:rFonts w:hAnsi="宋体"/>
          <w:b/>
          <w:sz w:val="24"/>
          <w:szCs w:val="24"/>
        </w:rPr>
      </w:pPr>
      <w:r>
        <w:rPr>
          <w:rFonts w:ascii="Times New Roman" w:hAnsi="宋体"/>
          <w:b/>
          <w:kern w:val="2"/>
          <w:sz w:val="24"/>
          <w:szCs w:val="24"/>
          <w:lang w:bidi="ar"/>
        </w:rPr>
        <w:t>6.</w:t>
      </w:r>
      <w:r>
        <w:rPr>
          <w:rFonts w:hint="eastAsia" w:ascii="Times New Roman" w:hAnsi="宋体" w:cs="宋体"/>
          <w:b/>
          <w:kern w:val="2"/>
          <w:sz w:val="24"/>
          <w:szCs w:val="24"/>
          <w:lang w:bidi="ar"/>
        </w:rPr>
        <w:t>评标依据</w:t>
      </w:r>
    </w:p>
    <w:p>
      <w:pPr>
        <w:snapToGrid w:val="0"/>
        <w:spacing w:line="540" w:lineRule="exact"/>
        <w:ind w:left="-170" w:leftChars="-50" w:right="-170" w:rightChars="-50" w:firstLine="480" w:firstLineChars="200"/>
        <w:rPr>
          <w:rFonts w:hAnsi="宋体"/>
          <w:sz w:val="24"/>
          <w:szCs w:val="24"/>
        </w:rPr>
      </w:pPr>
      <w:r>
        <w:rPr>
          <w:rFonts w:ascii="Times New Roman" w:hAnsi="宋体"/>
          <w:kern w:val="2"/>
          <w:sz w:val="24"/>
          <w:szCs w:val="24"/>
          <w:lang w:bidi="ar"/>
        </w:rPr>
        <w:t>6.1</w:t>
      </w:r>
      <w:r>
        <w:rPr>
          <w:rFonts w:hint="eastAsia" w:ascii="Times New Roman" w:hAnsi="宋体" w:cs="宋体"/>
          <w:kern w:val="2"/>
          <w:sz w:val="24"/>
          <w:szCs w:val="24"/>
          <w:lang w:bidi="ar"/>
        </w:rPr>
        <w:t>采用全流程电子化交易评标时，评标委员会以电子投标文件为依据评标。</w:t>
      </w:r>
    </w:p>
    <w:p>
      <w:pPr>
        <w:snapToGrid w:val="0"/>
        <w:spacing w:line="540" w:lineRule="exact"/>
        <w:ind w:left="-170" w:leftChars="-50" w:right="-170" w:rightChars="-50" w:firstLine="480" w:firstLineChars="200"/>
        <w:rPr>
          <w:rFonts w:hAnsi="宋体"/>
          <w:sz w:val="24"/>
          <w:szCs w:val="24"/>
        </w:rPr>
      </w:pPr>
      <w:r>
        <w:rPr>
          <w:rFonts w:ascii="Times New Roman" w:hAnsi="宋体"/>
          <w:kern w:val="2"/>
          <w:sz w:val="24"/>
          <w:szCs w:val="24"/>
          <w:lang w:bidi="ar"/>
        </w:rPr>
        <w:t>6.2</w:t>
      </w:r>
      <w:r>
        <w:rPr>
          <w:rFonts w:hint="eastAsia" w:ascii="Times New Roman" w:hAnsi="宋体" w:cs="宋体"/>
          <w:kern w:val="2"/>
          <w:sz w:val="24"/>
          <w:szCs w:val="24"/>
          <w:lang w:bidi="ar"/>
        </w:rPr>
        <w:t>全流程电子化交易如因系统异常情况无法完成，将以人工方式进行。评标委员会以存储有备份文件的电子介质为依据评标。</w:t>
      </w:r>
    </w:p>
    <w:p>
      <w:pPr>
        <w:pStyle w:val="16"/>
        <w:widowControl/>
        <w:ind w:firstLine="210"/>
        <w:rPr>
          <w:rFonts w:hAnsi="宋体"/>
          <w:sz w:val="34"/>
          <w:szCs w:val="34"/>
        </w:rPr>
      </w:pPr>
      <w:r>
        <w:rPr>
          <w:rFonts w:hAnsi="宋体"/>
        </w:rPr>
        <w:t xml:space="preserve"> </w:t>
      </w:r>
    </w:p>
    <w:p>
      <w:pPr>
        <w:snapToGrid w:val="0"/>
        <w:spacing w:line="540" w:lineRule="exact"/>
        <w:ind w:left="-170" w:leftChars="-50" w:right="-170" w:rightChars="-50" w:firstLine="480" w:firstLineChars="200"/>
        <w:rPr>
          <w:rFonts w:hAnsi="宋体" w:cs="宋体"/>
          <w:sz w:val="24"/>
          <w:szCs w:val="24"/>
        </w:rPr>
      </w:pPr>
    </w:p>
    <w:p>
      <w:pPr>
        <w:pStyle w:val="16"/>
        <w:ind w:firstLine="210"/>
        <w:rPr>
          <w:rFonts w:asciiTheme="minorEastAsia" w:hAnsiTheme="minorEastAsia" w:eastAsiaTheme="minorEastAsia" w:cstheme="minorEastAsia"/>
        </w:rPr>
      </w:pPr>
    </w:p>
    <w:p>
      <w:pPr>
        <w:tabs>
          <w:tab w:val="left" w:pos="4140"/>
          <w:tab w:val="left" w:pos="4260"/>
        </w:tabs>
        <w:spacing w:line="360" w:lineRule="auto"/>
        <w:ind w:right="-578" w:rightChars="-170" w:firstLine="360" w:firstLineChars="10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sz w:val="36"/>
          <w:szCs w:val="36"/>
        </w:rPr>
        <w:br w:type="page"/>
      </w:r>
      <w:r>
        <w:rPr>
          <w:rFonts w:hint="eastAsia" w:asciiTheme="minorEastAsia" w:hAnsiTheme="minorEastAsia" w:eastAsiaTheme="minorEastAsia" w:cstheme="minorEastAsia"/>
          <w:b/>
          <w:sz w:val="36"/>
          <w:szCs w:val="36"/>
        </w:rPr>
        <w:t xml:space="preserve">               第二章  </w:t>
      </w:r>
      <w:bookmarkEnd w:id="0"/>
      <w:r>
        <w:rPr>
          <w:rFonts w:hint="eastAsia" w:asciiTheme="minorEastAsia" w:hAnsiTheme="minorEastAsia" w:eastAsiaTheme="minorEastAsia" w:cstheme="minorEastAsia"/>
          <w:b/>
          <w:sz w:val="36"/>
          <w:szCs w:val="36"/>
        </w:rPr>
        <w:t>投标人须知</w:t>
      </w:r>
    </w:p>
    <w:p>
      <w:pPr>
        <w:autoSpaceDE w:val="0"/>
        <w:autoSpaceDN w:val="0"/>
        <w:adjustRightInd w:val="0"/>
        <w:outlineLvl w:val="0"/>
        <w:rPr>
          <w:rFonts w:asciiTheme="minorEastAsia" w:hAnsiTheme="minorEastAsia" w:eastAsiaTheme="minorEastAsia" w:cstheme="minorEastAsia"/>
          <w:b/>
          <w:sz w:val="28"/>
          <w:szCs w:val="28"/>
        </w:rPr>
      </w:pPr>
      <w:bookmarkStart w:id="3" w:name="_Toc283559940"/>
      <w:r>
        <w:rPr>
          <w:rFonts w:hint="eastAsia" w:asciiTheme="minorEastAsia" w:hAnsiTheme="minorEastAsia" w:eastAsiaTheme="minorEastAsia" w:cstheme="minorEastAsia"/>
          <w:b/>
          <w:sz w:val="28"/>
          <w:szCs w:val="28"/>
        </w:rPr>
        <w:t>投标人须知前附表</w:t>
      </w:r>
      <w:bookmarkEnd w:id="3"/>
    </w:p>
    <w:tbl>
      <w:tblPr>
        <w:tblStyle w:val="18"/>
        <w:tblW w:w="9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8"/>
        <w:gridCol w:w="1571"/>
        <w:gridCol w:w="863"/>
        <w:gridCol w:w="78"/>
        <w:gridCol w:w="525"/>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条款号</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条 款 名 称</w:t>
            </w:r>
          </w:p>
        </w:tc>
        <w:tc>
          <w:tcPr>
            <w:tcW w:w="6278" w:type="dxa"/>
            <w:gridSpan w:val="2"/>
            <w:vAlign w:val="center"/>
          </w:tcPr>
          <w:p>
            <w:pPr>
              <w:autoSpaceDE w:val="0"/>
              <w:autoSpaceDN w:val="0"/>
              <w:adjustRightInd w:val="0"/>
              <w:spacing w:line="42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w:t>
            </w:r>
          </w:p>
        </w:tc>
        <w:tc>
          <w:tcPr>
            <w:tcW w:w="6278" w:type="dxa"/>
            <w:gridSpan w:val="2"/>
            <w:vAlign w:val="center"/>
          </w:tcPr>
          <w:p>
            <w:pPr>
              <w:autoSpaceDE w:val="0"/>
              <w:autoSpaceDN w:val="0"/>
              <w:adjustRightInd w:val="0"/>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招标人：许昌市建安区农业农村局</w:t>
            </w:r>
          </w:p>
          <w:p>
            <w:pPr>
              <w:autoSpaceDE w:val="0"/>
              <w:autoSpaceDN w:val="0"/>
              <w:adjustRightInd w:val="0"/>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地址：建安区兴业大厦</w:t>
            </w:r>
          </w:p>
          <w:p>
            <w:pPr>
              <w:autoSpaceDE w:val="0"/>
              <w:autoSpaceDN w:val="0"/>
              <w:adjustRightInd w:val="0"/>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项目负责人：王先生</w:t>
            </w:r>
          </w:p>
          <w:p>
            <w:pPr>
              <w:autoSpaceDE w:val="0"/>
              <w:autoSpaceDN w:val="0"/>
              <w:adjustRightInd w:val="0"/>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 18039916665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招标代理机构</w:t>
            </w:r>
          </w:p>
        </w:tc>
        <w:tc>
          <w:tcPr>
            <w:tcW w:w="6278" w:type="dxa"/>
            <w:gridSpan w:val="2"/>
            <w:vAlign w:val="center"/>
          </w:tcPr>
          <w:p>
            <w:pPr>
              <w:autoSpaceDE w:val="0"/>
              <w:autoSpaceDN w:val="0"/>
              <w:adjustRightInd w:val="0"/>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招标代理机构名称：中建山河建设管理集团有限公司</w:t>
            </w:r>
          </w:p>
          <w:p>
            <w:pPr>
              <w:tabs>
                <w:tab w:val="left" w:pos="4140"/>
                <w:tab w:val="left" w:pos="4260"/>
              </w:tabs>
              <w:spacing w:line="360" w:lineRule="auto"/>
              <w:ind w:right="-578" w:rightChars="-17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项目负责人：郑晓光</w:t>
            </w:r>
          </w:p>
          <w:p>
            <w:pPr>
              <w:tabs>
                <w:tab w:val="left" w:pos="4140"/>
                <w:tab w:val="left" w:pos="4260"/>
              </w:tabs>
              <w:spacing w:line="360" w:lineRule="auto"/>
              <w:ind w:right="-578" w:rightChars="-17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电话：13569917698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1.1.4</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278"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许昌市建安区2019年高标准农田建设示范区项目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1.1.5</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建设地点</w:t>
            </w:r>
          </w:p>
        </w:tc>
        <w:tc>
          <w:tcPr>
            <w:tcW w:w="6278" w:type="dxa"/>
            <w:gridSpan w:val="2"/>
            <w:vAlign w:val="center"/>
          </w:tcPr>
          <w:p>
            <w:pPr>
              <w:autoSpaceDE w:val="0"/>
              <w:autoSpaceDN w:val="0"/>
              <w:adjustRightInd w:val="0"/>
              <w:spacing w:line="4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资金来源</w:t>
            </w:r>
          </w:p>
        </w:tc>
        <w:tc>
          <w:tcPr>
            <w:tcW w:w="6278"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出资比例</w:t>
            </w:r>
          </w:p>
        </w:tc>
        <w:tc>
          <w:tcPr>
            <w:tcW w:w="6278" w:type="dxa"/>
            <w:gridSpan w:val="2"/>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1.2.3</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资金落实情况</w:t>
            </w:r>
          </w:p>
        </w:tc>
        <w:tc>
          <w:tcPr>
            <w:tcW w:w="6278"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1.3.1</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招标范围</w:t>
            </w:r>
          </w:p>
        </w:tc>
        <w:tc>
          <w:tcPr>
            <w:tcW w:w="6278" w:type="dxa"/>
            <w:gridSpan w:val="2"/>
            <w:tcBorders>
              <w:bottom w:val="single" w:color="auto" w:sz="4" w:space="0"/>
            </w:tcBorders>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招标文件、工程量清单、施工图纸、设计变更（如有）及答疑纪要（如有）范围内的所有工程内容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计划工期</w:t>
            </w:r>
          </w:p>
        </w:tc>
        <w:tc>
          <w:tcPr>
            <w:tcW w:w="62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90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1.3.3</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质量要求</w:t>
            </w:r>
          </w:p>
        </w:tc>
        <w:tc>
          <w:tcPr>
            <w:tcW w:w="6278" w:type="dxa"/>
            <w:gridSpan w:val="2"/>
            <w:tcBorders>
              <w:top w:val="single" w:color="auto" w:sz="4" w:space="0"/>
            </w:tcBorders>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1.4.1</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投标人资质条件</w:t>
            </w:r>
          </w:p>
        </w:tc>
        <w:tc>
          <w:tcPr>
            <w:tcW w:w="6278" w:type="dxa"/>
            <w:gridSpan w:val="2"/>
          </w:tcPr>
          <w:p>
            <w:pPr>
              <w:autoSpaceDE w:val="0"/>
              <w:autoSpaceDN w:val="0"/>
              <w:adjustRightInd w:val="0"/>
              <w:spacing w:line="360" w:lineRule="auto"/>
              <w:ind w:firstLine="480" w:firstLineChars="200"/>
              <w:jc w:val="left"/>
              <w:outlineLvl w:val="0"/>
              <w:rPr>
                <w:rFonts w:hAnsi="宋体"/>
                <w:sz w:val="24"/>
              </w:rPr>
            </w:pPr>
            <w:r>
              <w:rPr>
                <w:rFonts w:hint="eastAsia" w:hAnsi="宋体"/>
                <w:sz w:val="24"/>
              </w:rPr>
              <w:t>1、资格要求</w:t>
            </w:r>
          </w:p>
          <w:p>
            <w:pPr>
              <w:autoSpaceDE w:val="0"/>
              <w:autoSpaceDN w:val="0"/>
              <w:adjustRightInd w:val="0"/>
              <w:spacing w:line="360" w:lineRule="auto"/>
              <w:ind w:firstLine="480" w:firstLineChars="200"/>
              <w:jc w:val="left"/>
              <w:outlineLvl w:val="0"/>
              <w:rPr>
                <w:rFonts w:hAnsi="宋体"/>
                <w:sz w:val="24"/>
              </w:rPr>
            </w:pPr>
            <w:r>
              <w:rPr>
                <w:rFonts w:hint="eastAsia" w:hAnsi="宋体"/>
                <w:sz w:val="24"/>
              </w:rPr>
              <w:t>投标人须具备独立法人资格和合法经营资格，投标人须具备水利水电工程施工总承包叁级及以上资质，且具有有效的安全生产许可证；在人员、设备、资金等方面具有相应的施工能力。拟派项目负责人应具备水利水电专业贰级以上（含贰级）注册建造师执业资格证和项目负责人安全生产考核合格证，且未承担其它在施建设工程项目。</w:t>
            </w:r>
          </w:p>
          <w:p>
            <w:pPr>
              <w:autoSpaceDE w:val="0"/>
              <w:autoSpaceDN w:val="0"/>
              <w:adjustRightInd w:val="0"/>
              <w:spacing w:line="360" w:lineRule="auto"/>
              <w:ind w:firstLine="480" w:firstLineChars="200"/>
              <w:jc w:val="left"/>
              <w:outlineLvl w:val="0"/>
              <w:rPr>
                <w:rFonts w:hAnsi="宋体"/>
                <w:sz w:val="24"/>
              </w:rPr>
            </w:pPr>
            <w:r>
              <w:rPr>
                <w:rFonts w:hint="eastAsia" w:hAnsi="宋体"/>
                <w:sz w:val="24"/>
              </w:rPr>
              <w:t>2、信誉要求</w:t>
            </w:r>
          </w:p>
          <w:p>
            <w:pPr>
              <w:autoSpaceDE w:val="0"/>
              <w:autoSpaceDN w:val="0"/>
              <w:adjustRightInd w:val="0"/>
              <w:spacing w:line="360" w:lineRule="auto"/>
              <w:ind w:firstLine="480" w:firstLineChars="200"/>
              <w:jc w:val="left"/>
              <w:outlineLvl w:val="0"/>
              <w:rPr>
                <w:rFonts w:hAnsi="宋体"/>
                <w:sz w:val="24"/>
              </w:rPr>
            </w:pPr>
            <w:r>
              <w:rPr>
                <w:rFonts w:hint="eastAsia" w:hAnsi="宋体"/>
                <w:sz w:val="24"/>
              </w:rPr>
              <w:t>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pPr>
              <w:autoSpaceDE w:val="0"/>
              <w:autoSpaceDN w:val="0"/>
              <w:adjustRightInd w:val="0"/>
              <w:spacing w:line="360" w:lineRule="auto"/>
              <w:ind w:firstLine="480" w:firstLineChars="200"/>
              <w:jc w:val="left"/>
              <w:outlineLvl w:val="0"/>
              <w:rPr>
                <w:rFonts w:hAnsi="宋体"/>
                <w:sz w:val="24"/>
              </w:rPr>
            </w:pPr>
            <w:r>
              <w:rPr>
                <w:rFonts w:hint="eastAsia" w:hAnsi="宋体"/>
                <w:sz w:val="24"/>
              </w:rPr>
              <w:t>3、投标人须在全国水利建设市场监管服务平台公开进行信用信息公示。拟派项目负责人须在全国水利建设市场监管服务平台公开进行信用信息公示，委托代理人须是全国水利建设市场监管服务平台公开进行信用信息公示中的专职投标委托代理人（以上内容均以网页版公示为准）。</w:t>
            </w:r>
          </w:p>
          <w:p>
            <w:pPr>
              <w:autoSpaceDE w:val="0"/>
              <w:autoSpaceDN w:val="0"/>
              <w:adjustRightInd w:val="0"/>
              <w:spacing w:line="360" w:lineRule="auto"/>
              <w:ind w:firstLine="480" w:firstLineChars="200"/>
              <w:jc w:val="left"/>
              <w:outlineLvl w:val="0"/>
              <w:rPr>
                <w:rFonts w:hAnsi="宋体"/>
                <w:sz w:val="24"/>
              </w:rPr>
            </w:pPr>
            <w:r>
              <w:rPr>
                <w:rFonts w:hint="eastAsia" w:hAnsi="宋体"/>
                <w:sz w:val="24"/>
              </w:rPr>
              <w:t>4、本项目不接受联合体投标。</w:t>
            </w:r>
          </w:p>
          <w:p>
            <w:pPr>
              <w:autoSpaceDE w:val="0"/>
              <w:autoSpaceDN w:val="0"/>
              <w:adjustRightInd w:val="0"/>
              <w:spacing w:line="360" w:lineRule="auto"/>
              <w:ind w:firstLine="480" w:firstLineChars="200"/>
              <w:jc w:val="left"/>
              <w:outlineLvl w:val="0"/>
              <w:rPr>
                <w:rFonts w:hAnsi="宋体"/>
                <w:sz w:val="24"/>
              </w:rPr>
            </w:pPr>
            <w:r>
              <w:rPr>
                <w:rFonts w:hint="eastAsia" w:hAnsi="宋体"/>
                <w:sz w:val="24"/>
              </w:rPr>
              <w:t>5、本项目不得转包、挂靠及违法分包。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是否接受联合体投标</w:t>
            </w:r>
          </w:p>
        </w:tc>
        <w:tc>
          <w:tcPr>
            <w:tcW w:w="6278"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1.9.1</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踏勘现场</w:t>
            </w:r>
          </w:p>
        </w:tc>
        <w:tc>
          <w:tcPr>
            <w:tcW w:w="6278"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1.10.1</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投标预备会</w:t>
            </w:r>
          </w:p>
        </w:tc>
        <w:tc>
          <w:tcPr>
            <w:tcW w:w="6278"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1.10.2</w:t>
            </w:r>
          </w:p>
        </w:tc>
        <w:tc>
          <w:tcPr>
            <w:tcW w:w="2590" w:type="dxa"/>
            <w:gridSpan w:val="4"/>
            <w:vAlign w:val="center"/>
          </w:tcPr>
          <w:p>
            <w:pPr>
              <w:autoSpaceDE w:val="0"/>
              <w:autoSpaceDN w:val="0"/>
              <w:adjustRightInd w:val="0"/>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投标人提出问题的</w:t>
            </w:r>
          </w:p>
          <w:p>
            <w:pPr>
              <w:autoSpaceDE w:val="0"/>
              <w:autoSpaceDN w:val="0"/>
              <w:adjustRightInd w:val="0"/>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截止时间</w:t>
            </w:r>
          </w:p>
        </w:tc>
        <w:tc>
          <w:tcPr>
            <w:tcW w:w="6278" w:type="dxa"/>
            <w:gridSpan w:val="2"/>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03"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1.10.3</w:t>
            </w:r>
          </w:p>
        </w:tc>
        <w:tc>
          <w:tcPr>
            <w:tcW w:w="2590" w:type="dxa"/>
            <w:gridSpan w:val="4"/>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招标人澄清的时间</w:t>
            </w:r>
          </w:p>
        </w:tc>
        <w:tc>
          <w:tcPr>
            <w:tcW w:w="6278" w:type="dxa"/>
            <w:gridSpan w:val="2"/>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分包</w:t>
            </w:r>
          </w:p>
        </w:tc>
        <w:tc>
          <w:tcPr>
            <w:tcW w:w="6278"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1.12 </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偏离</w:t>
            </w:r>
          </w:p>
        </w:tc>
        <w:tc>
          <w:tcPr>
            <w:tcW w:w="6278"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2.1 </w:t>
            </w:r>
          </w:p>
        </w:tc>
        <w:tc>
          <w:tcPr>
            <w:tcW w:w="2590" w:type="dxa"/>
            <w:gridSpan w:val="4"/>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招标文件及施工图纸的获取</w:t>
            </w:r>
          </w:p>
        </w:tc>
        <w:tc>
          <w:tcPr>
            <w:tcW w:w="6278" w:type="dxa"/>
            <w:gridSpan w:val="2"/>
          </w:tcPr>
          <w:p>
            <w:pPr>
              <w:autoSpaceDE w:val="0"/>
              <w:autoSpaceDN w:val="0"/>
              <w:adjustRightInd w:val="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招标文件的获取：投标人于投标文件递交截止时间前均可登录《全国公共资源交易平台(河南省▪许昌市)》，通过“投标人/供应商登录”后自行下载。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w:t>
            </w:r>
          </w:p>
        </w:tc>
        <w:tc>
          <w:tcPr>
            <w:tcW w:w="2590" w:type="dxa"/>
            <w:gridSpan w:val="4"/>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构成招标文件的其他材料</w:t>
            </w:r>
          </w:p>
        </w:tc>
        <w:tc>
          <w:tcPr>
            <w:tcW w:w="6278" w:type="dxa"/>
            <w:gridSpan w:val="2"/>
            <w:vAlign w:val="center"/>
          </w:tcPr>
          <w:p>
            <w:pPr>
              <w:autoSpaceDE w:val="0"/>
              <w:autoSpaceDN w:val="0"/>
              <w:adjustRightInd w:val="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2.2.1</w:t>
            </w:r>
          </w:p>
        </w:tc>
        <w:tc>
          <w:tcPr>
            <w:tcW w:w="2590" w:type="dxa"/>
            <w:gridSpan w:val="4"/>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投标人要求澄清招标文件的截止时间</w:t>
            </w:r>
          </w:p>
        </w:tc>
        <w:tc>
          <w:tcPr>
            <w:tcW w:w="6278" w:type="dxa"/>
            <w:gridSpan w:val="2"/>
            <w:vAlign w:val="center"/>
          </w:tcPr>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投标截止时间</w:t>
            </w:r>
          </w:p>
        </w:tc>
        <w:tc>
          <w:tcPr>
            <w:tcW w:w="6278" w:type="dxa"/>
            <w:gridSpan w:val="2"/>
          </w:tcPr>
          <w:p>
            <w:pPr>
              <w:autoSpaceDE w:val="0"/>
              <w:autoSpaceDN w:val="0"/>
              <w:adjustRightInd w:val="0"/>
              <w:spacing w:line="42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2020年 6月 22日 9 时 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w:t>
            </w:r>
          </w:p>
        </w:tc>
        <w:tc>
          <w:tcPr>
            <w:tcW w:w="2590" w:type="dxa"/>
            <w:gridSpan w:val="4"/>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投标人确认收到招标文件澄清的时间</w:t>
            </w:r>
          </w:p>
        </w:tc>
        <w:tc>
          <w:tcPr>
            <w:tcW w:w="6278" w:type="dxa"/>
            <w:gridSpan w:val="2"/>
            <w:vAlign w:val="center"/>
          </w:tcPr>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w:t>
            </w:r>
          </w:p>
        </w:tc>
        <w:tc>
          <w:tcPr>
            <w:tcW w:w="2590" w:type="dxa"/>
            <w:gridSpan w:val="4"/>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投标人确认收到招标文件修改的时间</w:t>
            </w:r>
          </w:p>
        </w:tc>
        <w:tc>
          <w:tcPr>
            <w:tcW w:w="6278" w:type="dxa"/>
            <w:gridSpan w:val="2"/>
            <w:vAlign w:val="center"/>
          </w:tcPr>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w:t>
            </w:r>
          </w:p>
        </w:tc>
        <w:tc>
          <w:tcPr>
            <w:tcW w:w="2590" w:type="dxa"/>
            <w:gridSpan w:val="4"/>
            <w:vAlign w:val="center"/>
          </w:tcPr>
          <w:p>
            <w:pPr>
              <w:autoSpaceDE w:val="0"/>
              <w:autoSpaceDN w:val="0"/>
              <w:adjustRightInd w:val="0"/>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构成投标文件的其他材料</w:t>
            </w:r>
          </w:p>
        </w:tc>
        <w:tc>
          <w:tcPr>
            <w:tcW w:w="6278"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3.3.1</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投标有效期</w:t>
            </w:r>
          </w:p>
        </w:tc>
        <w:tc>
          <w:tcPr>
            <w:tcW w:w="6278"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bookmarkStart w:id="4" w:name="OLE_LINK3" w:colFirst="0" w:colLast="2"/>
            <w:bookmarkStart w:id="5" w:name="OLE_LINK4" w:colFirst="0" w:colLast="2"/>
            <w:bookmarkStart w:id="6" w:name="_Hlk424659721"/>
            <w:r>
              <w:rPr>
                <w:rFonts w:hint="eastAsia" w:asciiTheme="minorEastAsia" w:hAnsiTheme="minorEastAsia" w:eastAsiaTheme="minorEastAsia" w:cstheme="minorEastAsia"/>
                <w:sz w:val="24"/>
              </w:rPr>
              <w:t>3.4.2</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w:t>
            </w:r>
          </w:p>
        </w:tc>
        <w:tc>
          <w:tcPr>
            <w:tcW w:w="6278" w:type="dxa"/>
            <w:gridSpan w:val="2"/>
            <w:vAlign w:val="center"/>
          </w:tcPr>
          <w:p>
            <w:pPr>
              <w:autoSpaceDE w:val="0"/>
              <w:autoSpaceDN w:val="0"/>
              <w:adjustRightInd w:val="0"/>
              <w:spacing w:line="276"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详见附件四</w:t>
            </w:r>
          </w:p>
        </w:tc>
      </w:tr>
      <w:bookmarkEnd w:id="4"/>
      <w:bookmarkEnd w:id="5"/>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3.5.2</w:t>
            </w:r>
          </w:p>
        </w:tc>
        <w:tc>
          <w:tcPr>
            <w:tcW w:w="2590" w:type="dxa"/>
            <w:gridSpan w:val="4"/>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近年财务状况要求</w:t>
            </w:r>
          </w:p>
        </w:tc>
        <w:tc>
          <w:tcPr>
            <w:tcW w:w="6278" w:type="dxa"/>
            <w:gridSpan w:val="2"/>
            <w:vAlign w:val="center"/>
          </w:tcPr>
          <w:p>
            <w:pPr>
              <w:autoSpaceDE w:val="0"/>
              <w:autoSpaceDN w:val="0"/>
              <w:adjustRightInd w:val="0"/>
              <w:spacing w:line="276"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 w:val="24"/>
              </w:rPr>
              <w:t>近年指2016、</w:t>
            </w:r>
            <w:r>
              <w:rPr>
                <w:rFonts w:hint="eastAsia" w:hAnsi="宋体" w:cs="宋体"/>
                <w:sz w:val="24"/>
                <w:szCs w:val="24"/>
              </w:rPr>
              <w:t>2017、2018（或2017、2018、2019年）</w:t>
            </w:r>
            <w:r>
              <w:rPr>
                <w:rFonts w:hint="eastAsia" w:asciiTheme="minorEastAsia" w:hAnsiTheme="minorEastAsia" w:eastAsiaTheme="minorEastAsia" w:cstheme="minorEastAsia"/>
                <w:sz w:val="24"/>
              </w:rPr>
              <w:t>。（若公司成立未满三年，须提供成立当年至今的财务报告）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3.5.3</w:t>
            </w:r>
          </w:p>
        </w:tc>
        <w:tc>
          <w:tcPr>
            <w:tcW w:w="2590" w:type="dxa"/>
            <w:gridSpan w:val="4"/>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近年完成的类似项目</w:t>
            </w:r>
          </w:p>
        </w:tc>
        <w:tc>
          <w:tcPr>
            <w:tcW w:w="6278" w:type="dxa"/>
            <w:gridSpan w:val="2"/>
            <w:vAlign w:val="center"/>
          </w:tcPr>
          <w:p>
            <w:pPr>
              <w:autoSpaceDE w:val="0"/>
              <w:autoSpaceDN w:val="0"/>
              <w:adjustRightInd w:val="0"/>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3.5.5</w:t>
            </w:r>
          </w:p>
        </w:tc>
        <w:tc>
          <w:tcPr>
            <w:tcW w:w="2590" w:type="dxa"/>
            <w:gridSpan w:val="4"/>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近年发生的诉讼及仲裁</w:t>
            </w:r>
          </w:p>
        </w:tc>
        <w:tc>
          <w:tcPr>
            <w:tcW w:w="6278" w:type="dxa"/>
            <w:gridSpan w:val="2"/>
            <w:vAlign w:val="center"/>
          </w:tcPr>
          <w:p>
            <w:pPr>
              <w:autoSpaceDE w:val="0"/>
              <w:autoSpaceDN w:val="0"/>
              <w:adjustRightInd w:val="0"/>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3.6</w:t>
            </w:r>
          </w:p>
        </w:tc>
        <w:tc>
          <w:tcPr>
            <w:tcW w:w="2590" w:type="dxa"/>
            <w:gridSpan w:val="4"/>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是否允许递交备选投标方案</w:t>
            </w:r>
          </w:p>
        </w:tc>
        <w:tc>
          <w:tcPr>
            <w:tcW w:w="6278" w:type="dxa"/>
            <w:gridSpan w:val="2"/>
            <w:vAlign w:val="center"/>
          </w:tcPr>
          <w:p>
            <w:pPr>
              <w:autoSpaceDE w:val="0"/>
              <w:autoSpaceDN w:val="0"/>
              <w:adjustRightInd w:val="0"/>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3.7.3</w:t>
            </w:r>
          </w:p>
        </w:tc>
        <w:tc>
          <w:tcPr>
            <w:tcW w:w="2590" w:type="dxa"/>
            <w:gridSpan w:val="4"/>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2"/>
              </w:rPr>
              <w:t>投标文件签字或盖章要求</w:t>
            </w:r>
          </w:p>
        </w:tc>
        <w:tc>
          <w:tcPr>
            <w:tcW w:w="6278" w:type="dxa"/>
            <w:gridSpan w:val="2"/>
            <w:vAlign w:val="center"/>
          </w:tcPr>
          <w:p>
            <w:pPr>
              <w:autoSpaceDE w:val="0"/>
              <w:autoSpaceDN w:val="0"/>
              <w:adjustRightInd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2"/>
              </w:rPr>
              <w:t>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3.7.4</w:t>
            </w:r>
          </w:p>
        </w:tc>
        <w:tc>
          <w:tcPr>
            <w:tcW w:w="2590" w:type="dxa"/>
            <w:gridSpan w:val="4"/>
            <w:vAlign w:val="center"/>
          </w:tcPr>
          <w:p>
            <w:pPr>
              <w:autoSpaceDE w:val="0"/>
              <w:autoSpaceDN w:val="0"/>
              <w:adjustRightInd w:val="0"/>
              <w:jc w:val="center"/>
              <w:rPr>
                <w:rFonts w:asciiTheme="minorEastAsia" w:hAnsiTheme="minorEastAsia" w:eastAsiaTheme="minorEastAsia" w:cstheme="minorEastAsia"/>
                <w:sz w:val="24"/>
                <w:szCs w:val="22"/>
              </w:rPr>
            </w:pPr>
          </w:p>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2"/>
              </w:rPr>
              <w:t>投标文件副本份数及其他要求</w:t>
            </w:r>
          </w:p>
        </w:tc>
        <w:tc>
          <w:tcPr>
            <w:tcW w:w="6278" w:type="dxa"/>
            <w:gridSpan w:val="2"/>
            <w:vAlign w:val="center"/>
          </w:tcPr>
          <w:p>
            <w:pPr>
              <w:autoSpaceDE w:val="0"/>
              <w:autoSpaceDN w:val="0"/>
              <w:adjustRightInd w:val="0"/>
              <w:spacing w:line="360" w:lineRule="auto"/>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1、电子投标文件</w:t>
            </w:r>
          </w:p>
          <w:p>
            <w:pPr>
              <w:autoSpaceDE w:val="0"/>
              <w:autoSpaceDN w:val="0"/>
              <w:adjustRightInd w:val="0"/>
              <w:spacing w:line="360" w:lineRule="auto"/>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（1）成功上传至《全国公共资源交易平台（河南省·许昌市）》公共资源交易系统电子投标文件1份（文件格式为：XX公司XXX项目编号.file）。</w:t>
            </w:r>
          </w:p>
          <w:p>
            <w:pPr>
              <w:autoSpaceDE w:val="0"/>
              <w:autoSpaceDN w:val="0"/>
              <w:adjustRightInd w:val="0"/>
              <w:spacing w:line="360" w:lineRule="auto"/>
              <w:jc w:val="left"/>
              <w:rPr>
                <w:rFonts w:asciiTheme="minorEastAsia" w:hAnsiTheme="minorEastAsia" w:cstheme="minorEastAsia"/>
                <w:sz w:val="24"/>
                <w:szCs w:val="22"/>
              </w:rPr>
            </w:pPr>
            <w:r>
              <w:rPr>
                <w:rFonts w:hint="eastAsia" w:asciiTheme="minorEastAsia" w:hAnsiTheme="minorEastAsia" w:eastAsiaTheme="minorEastAsia" w:cstheme="minorEastAsia"/>
                <w:sz w:val="24"/>
                <w:szCs w:val="22"/>
              </w:rPr>
              <w:t>（2）使用电子介质（U盘）存储的投标文件2份文件格式为：XXX公司XXX（项目编号）.bin。（同时生成与电子投标文件</w:t>
            </w:r>
            <w:r>
              <w:rPr>
                <w:rFonts w:hint="eastAsia" w:hAnsi="宋体" w:cs="宋体"/>
                <w:sz w:val="24"/>
                <w:szCs w:val="22"/>
              </w:rPr>
              <w:t>内容、格式、水印码、</w:t>
            </w:r>
            <w:r>
              <w:rPr>
                <w:rFonts w:hint="eastAsia" w:hAnsi="宋体" w:cs="宋体"/>
                <w:bCs/>
                <w:sz w:val="24"/>
                <w:szCs w:val="22"/>
              </w:rPr>
              <w:t>电子签章一致的电子文件2份用于监督部门、招标人及代理机构存档。</w:t>
            </w:r>
            <w:r>
              <w:rPr>
                <w:rFonts w:hint="eastAsia" w:asciiTheme="minorEastAsia" w:hAnsiTheme="minorEastAsia" w:eastAsiaTheme="minorEastAsia" w:cstheme="minorEastAsia"/>
                <w:sz w:val="24"/>
                <w:szCs w:val="22"/>
              </w:rPr>
              <w:t>）</w:t>
            </w:r>
          </w:p>
          <w:p>
            <w:pPr>
              <w:autoSpaceDE w:val="0"/>
              <w:autoSpaceDN w:val="0"/>
              <w:adjustRightIn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szCs w:val="22"/>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3.7.5</w:t>
            </w:r>
          </w:p>
        </w:tc>
        <w:tc>
          <w:tcPr>
            <w:tcW w:w="2590" w:type="dxa"/>
            <w:gridSpan w:val="4"/>
            <w:vAlign w:val="center"/>
          </w:tcPr>
          <w:p>
            <w:pPr>
              <w:autoSpaceDE w:val="0"/>
              <w:autoSpaceDN w:val="0"/>
              <w:adjustRightInd w:val="0"/>
              <w:jc w:val="center"/>
              <w:rPr>
                <w:rFonts w:asciiTheme="minorEastAsia" w:hAnsiTheme="minorEastAsia" w:eastAsiaTheme="minorEastAsia" w:cstheme="minorEastAsia"/>
                <w:sz w:val="24"/>
                <w:szCs w:val="22"/>
              </w:rPr>
            </w:pPr>
          </w:p>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2"/>
              </w:rPr>
              <w:t>投标文件是否需分册装订</w:t>
            </w:r>
          </w:p>
        </w:tc>
        <w:tc>
          <w:tcPr>
            <w:tcW w:w="6278" w:type="dxa"/>
            <w:gridSpan w:val="2"/>
            <w:vAlign w:val="center"/>
          </w:tcPr>
          <w:p>
            <w:pPr>
              <w:autoSpaceDE w:val="0"/>
              <w:autoSpaceDN w:val="0"/>
              <w:adjustRightInd w:val="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√不需要</w:t>
            </w:r>
          </w:p>
          <w:p>
            <w:pPr>
              <w:autoSpaceDE w:val="0"/>
              <w:autoSpaceDN w:val="0"/>
              <w:adjustRightInd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2"/>
              </w:rPr>
              <w:t>□需要，分册装订要求：无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4.1.2</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封套上写明</w:t>
            </w:r>
          </w:p>
        </w:tc>
        <w:tc>
          <w:tcPr>
            <w:tcW w:w="6278" w:type="dxa"/>
            <w:gridSpan w:val="2"/>
          </w:tcPr>
          <w:p>
            <w:pPr>
              <w:autoSpaceDE w:val="0"/>
              <w:autoSpaceDN w:val="0"/>
              <w:adjustRightInd w:val="0"/>
              <w:spacing w:line="3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p>
            <w:pPr>
              <w:autoSpaceDE w:val="0"/>
              <w:autoSpaceDN w:val="0"/>
              <w:adjustRightInd w:val="0"/>
              <w:spacing w:line="3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招标人名称：　</w:t>
            </w:r>
          </w:p>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（工程名称/标段）     </w:t>
            </w:r>
            <w:r>
              <w:rPr>
                <w:rFonts w:hint="eastAsia" w:asciiTheme="minorEastAsia" w:hAnsiTheme="minorEastAsia" w:eastAsiaTheme="minorEastAsia" w:cstheme="minorEastAsia"/>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4.2.2</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开标时间和地点</w:t>
            </w:r>
          </w:p>
        </w:tc>
        <w:tc>
          <w:tcPr>
            <w:tcW w:w="6278"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开标时间：同投标截止时间</w:t>
            </w:r>
          </w:p>
          <w:p>
            <w:pPr>
              <w:autoSpaceDE w:val="0"/>
              <w:autoSpaceDN w:val="0"/>
              <w:adjustRightInd w:val="0"/>
              <w:spacing w:line="420" w:lineRule="exact"/>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开标地点：同投标文件提交地点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4.2.3</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是否退还投标文件</w:t>
            </w:r>
          </w:p>
        </w:tc>
        <w:tc>
          <w:tcPr>
            <w:tcW w:w="6278"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开标程序</w:t>
            </w:r>
          </w:p>
        </w:tc>
        <w:tc>
          <w:tcPr>
            <w:tcW w:w="6278"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6.1.1 </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评标委员会的组建</w:t>
            </w:r>
          </w:p>
        </w:tc>
        <w:tc>
          <w:tcPr>
            <w:tcW w:w="6278" w:type="dxa"/>
            <w:gridSpan w:val="2"/>
            <w:vAlign w:val="center"/>
          </w:tcPr>
          <w:p>
            <w:pPr>
              <w:spacing w:line="288"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评标委员会构成：由评标专家4人和招标人代表1人组成。</w:t>
            </w:r>
          </w:p>
          <w:p>
            <w:pPr>
              <w:spacing w:line="288"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评标专家确定方式：从河南省综合评标专家库中随机抽取。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w:t>
            </w:r>
          </w:p>
        </w:tc>
        <w:tc>
          <w:tcPr>
            <w:tcW w:w="2590" w:type="dxa"/>
            <w:gridSpan w:val="4"/>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是否授权评标委员会确定中标人</w:t>
            </w:r>
          </w:p>
        </w:tc>
        <w:tc>
          <w:tcPr>
            <w:tcW w:w="6278"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2"/>
              </w:rPr>
              <w:t>7.4</w:t>
            </w:r>
          </w:p>
        </w:tc>
        <w:tc>
          <w:tcPr>
            <w:tcW w:w="2590" w:type="dxa"/>
            <w:gridSpan w:val="4"/>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2"/>
              </w:rPr>
              <w:t>履约保证金</w:t>
            </w:r>
          </w:p>
        </w:tc>
        <w:tc>
          <w:tcPr>
            <w:tcW w:w="6278" w:type="dxa"/>
            <w:gridSpan w:val="2"/>
            <w:vAlign w:val="center"/>
          </w:tcPr>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2"/>
              </w:rPr>
              <w:t>不超过中标合同金额的5%。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1" w:type="dxa"/>
            <w:gridSpan w:val="7"/>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71" w:type="dxa"/>
            <w:gridSpan w:val="7"/>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81" w:type="dxa"/>
            <w:gridSpan w:val="2"/>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10.1.1</w:t>
            </w:r>
          </w:p>
        </w:tc>
        <w:tc>
          <w:tcPr>
            <w:tcW w:w="1571" w:type="dxa"/>
            <w:vAlign w:val="center"/>
          </w:tcPr>
          <w:p>
            <w:pPr>
              <w:autoSpaceDE w:val="0"/>
              <w:autoSpaceDN w:val="0"/>
              <w:adjustRightInd w:val="0"/>
              <w:spacing w:line="420" w:lineRule="exact"/>
              <w:jc w:val="center"/>
              <w:rPr>
                <w:rFonts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类似项目</w:t>
            </w:r>
          </w:p>
        </w:tc>
        <w:tc>
          <w:tcPr>
            <w:tcW w:w="7219" w:type="dxa"/>
            <w:gridSpan w:val="4"/>
            <w:vAlign w:val="center"/>
          </w:tcPr>
          <w:p>
            <w:pPr>
              <w:autoSpaceDE w:val="0"/>
              <w:autoSpaceDN w:val="0"/>
              <w:adjustRightInd w:val="0"/>
              <w:spacing w:line="420" w:lineRule="exact"/>
              <w:jc w:val="left"/>
              <w:rPr>
                <w:rFonts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指2017年1月1日以来承建过类似相应的项目业绩。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1" w:type="dxa"/>
            <w:gridSpan w:val="7"/>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81" w:type="dxa"/>
            <w:gridSpan w:val="2"/>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10.2.1</w:t>
            </w:r>
          </w:p>
        </w:tc>
        <w:tc>
          <w:tcPr>
            <w:tcW w:w="1571"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招标控制价</w:t>
            </w:r>
          </w:p>
        </w:tc>
        <w:tc>
          <w:tcPr>
            <w:tcW w:w="7219" w:type="dxa"/>
            <w:gridSpan w:val="4"/>
            <w:vAlign w:val="center"/>
          </w:tcPr>
          <w:p>
            <w:pPr>
              <w:keepNext/>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本工程设招标控制价：</w:t>
            </w:r>
          </w:p>
          <w:p>
            <w:pPr>
              <w:spacing w:line="340" w:lineRule="exact"/>
              <w:rPr>
                <w:rFonts w:cs="宋体" w:asciiTheme="minorEastAsia" w:hAnsiTheme="minorEastAsia" w:eastAsiaTheme="minorEastAsia"/>
                <w:b/>
                <w:bCs/>
                <w:sz w:val="24"/>
              </w:rPr>
            </w:pPr>
            <w:r>
              <w:rPr>
                <w:rFonts w:hint="eastAsia" w:cs="宋体" w:asciiTheme="minorEastAsia" w:hAnsiTheme="minorEastAsia" w:eastAsiaTheme="minorEastAsia"/>
                <w:b/>
                <w:bCs/>
                <w:sz w:val="24"/>
              </w:rPr>
              <w:t>大写： 肆佰肆拾玖万玖仟肆佰贰拾玖元肆角叁分；</w:t>
            </w:r>
          </w:p>
          <w:p>
            <w:pPr>
              <w:spacing w:line="340" w:lineRule="exact"/>
              <w:rPr>
                <w:rFonts w:asciiTheme="minorEastAsia" w:hAnsiTheme="minorEastAsia" w:eastAsiaTheme="minorEastAsia" w:cstheme="minorEastAsia"/>
                <w:sz w:val="24"/>
                <w:szCs w:val="24"/>
              </w:rPr>
            </w:pPr>
            <w:r>
              <w:rPr>
                <w:rFonts w:hint="eastAsia" w:cs="宋体" w:asciiTheme="minorEastAsia" w:hAnsiTheme="minorEastAsia" w:eastAsiaTheme="minorEastAsia"/>
                <w:b/>
                <w:bCs/>
                <w:sz w:val="24"/>
              </w:rPr>
              <w:t>小写：</w:t>
            </w:r>
            <w:r>
              <w:rPr>
                <w:rFonts w:hint="eastAsia" w:cs="仿宋_GB2312" w:asciiTheme="minorEastAsia" w:hAnsiTheme="minorEastAsia" w:eastAsiaTheme="minorEastAsia"/>
                <w:b/>
                <w:bCs/>
                <w:sz w:val="24"/>
              </w:rPr>
              <w:t xml:space="preserve"> </w:t>
            </w:r>
            <w:r>
              <w:rPr>
                <w:rFonts w:hint="eastAsia" w:cs="宋体" w:asciiTheme="minorEastAsia" w:hAnsiTheme="minorEastAsia" w:eastAsiaTheme="minorEastAsia"/>
                <w:b/>
                <w:bCs/>
                <w:sz w:val="24"/>
              </w:rPr>
              <w:t>4499429.43</w:t>
            </w:r>
            <w:r>
              <w:rPr>
                <w:rFonts w:hint="eastAsia" w:cs="仿宋_GB2312" w:asciiTheme="minorEastAsia" w:hAnsiTheme="minorEastAsia" w:eastAsiaTheme="minorEastAsia"/>
                <w:b/>
                <w:bCs/>
                <w:sz w:val="24"/>
              </w:rPr>
              <w:t>元</w:t>
            </w:r>
            <w:r>
              <w:rPr>
                <w:rFonts w:hint="eastAsia" w:asciiTheme="minorEastAsia" w:hAnsiTheme="minorEastAsia" w:eastAsiaTheme="minorEastAsia"/>
                <w:b/>
                <w:bCs/>
                <w:sz w:val="24"/>
              </w:rPr>
              <w:t>；</w:t>
            </w:r>
          </w:p>
          <w:p>
            <w:pPr>
              <w:spacing w:line="3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特别说明：</w:t>
            </w:r>
          </w:p>
          <w:p>
            <w:pPr>
              <w:spacing w:line="3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凡投标人的投标报价高于招标控制价（不含等于“招标控制价”）的，该投标人的投标文件应予拒绝。</w:t>
            </w: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1" w:type="dxa"/>
            <w:gridSpan w:val="2"/>
            <w:vAlign w:val="center"/>
          </w:tcPr>
          <w:p>
            <w:pPr>
              <w:spacing w:line="312" w:lineRule="auto"/>
              <w:rPr>
                <w:rFonts w:asciiTheme="minorEastAsia" w:hAnsiTheme="minorEastAsia" w:eastAsiaTheme="minorEastAsia" w:cstheme="minorEastAsia"/>
                <w:sz w:val="24"/>
              </w:rPr>
            </w:pPr>
          </w:p>
        </w:tc>
        <w:tc>
          <w:tcPr>
            <w:tcW w:w="3037" w:type="dxa"/>
            <w:gridSpan w:val="4"/>
            <w:vAlign w:val="center"/>
          </w:tcPr>
          <w:p>
            <w:pPr>
              <w:spacing w:line="2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技术标是否采用“暗标”评审方式</w:t>
            </w:r>
          </w:p>
        </w:tc>
        <w:tc>
          <w:tcPr>
            <w:tcW w:w="5753" w:type="dxa"/>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ind w:left="240" w:hanging="240" w:hanging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81" w:type="dxa"/>
            <w:gridSpan w:val="2"/>
            <w:vAlign w:val="center"/>
          </w:tcPr>
          <w:p>
            <w:pPr>
              <w:spacing w:line="312" w:lineRule="auto"/>
              <w:rPr>
                <w:rFonts w:asciiTheme="minorEastAsia" w:hAnsiTheme="minorEastAsia" w:eastAsiaTheme="minorEastAsia" w:cstheme="minorEastAsia"/>
                <w:sz w:val="24"/>
              </w:rPr>
            </w:pPr>
          </w:p>
        </w:tc>
        <w:tc>
          <w:tcPr>
            <w:tcW w:w="8790" w:type="dxa"/>
            <w:gridSpan w:val="5"/>
            <w:vAlign w:val="center"/>
          </w:tcPr>
          <w:p>
            <w:pPr>
              <w:pStyle w:val="16"/>
              <w:spacing w:line="360" w:lineRule="auto"/>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b/>
                <w:bCs/>
                <w:sz w:val="24"/>
                <w:szCs w:val="22"/>
              </w:rPr>
              <w:t>1、开标时各投标人的法定代表人或授权委托人持身份证及授权委托书，到开标现场签到，缺席或逾期不到者视为放弃。各投标单位参加会议人数不得多于两人。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081" w:type="dxa"/>
            <w:gridSpan w:val="2"/>
            <w:vAlign w:val="center"/>
          </w:tcPr>
          <w:p>
            <w:pPr>
              <w:spacing w:line="312" w:lineRule="auto"/>
              <w:rPr>
                <w:rFonts w:asciiTheme="minorEastAsia" w:hAnsiTheme="minorEastAsia" w:eastAsiaTheme="minorEastAsia" w:cstheme="minorEastAsia"/>
                <w:sz w:val="24"/>
              </w:rPr>
            </w:pPr>
          </w:p>
        </w:tc>
        <w:tc>
          <w:tcPr>
            <w:tcW w:w="8790" w:type="dxa"/>
            <w:gridSpan w:val="5"/>
            <w:vAlign w:val="center"/>
          </w:tcPr>
          <w:p>
            <w:pPr>
              <w:spacing w:line="276"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1、在中标通知书发出前，招标人将中标候选人的情况在《全国公共资源交易平台（河南省·许昌市）》和《河南省电子招标投标公共服务平台》予以公示，公示期不少于3日。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Theme="minorEastAsia" w:hAnsiTheme="minorEastAsia" w:eastAsiaTheme="minorEastAsia" w:cstheme="minorEastAsia"/>
                <w:sz w:val="24"/>
              </w:rPr>
            </w:pPr>
          </w:p>
        </w:tc>
        <w:tc>
          <w:tcPr>
            <w:tcW w:w="8790" w:type="dxa"/>
            <w:gridSpan w:val="5"/>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Theme="minorEastAsia" w:hAnsiTheme="minorEastAsia" w:eastAsiaTheme="minorEastAsia" w:cstheme="minorEastAsia"/>
                <w:sz w:val="24"/>
              </w:rPr>
            </w:pPr>
          </w:p>
        </w:tc>
        <w:tc>
          <w:tcPr>
            <w:tcW w:w="8790" w:type="dxa"/>
            <w:gridSpan w:val="5"/>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81" w:type="dxa"/>
            <w:gridSpan w:val="2"/>
            <w:vAlign w:val="center"/>
          </w:tcPr>
          <w:p>
            <w:pPr>
              <w:spacing w:line="312" w:lineRule="auto"/>
              <w:rPr>
                <w:rFonts w:asciiTheme="minorEastAsia" w:hAnsiTheme="minorEastAsia" w:eastAsiaTheme="minorEastAsia" w:cstheme="minorEastAsia"/>
                <w:sz w:val="24"/>
              </w:rPr>
            </w:pPr>
          </w:p>
        </w:tc>
        <w:tc>
          <w:tcPr>
            <w:tcW w:w="8790" w:type="dxa"/>
            <w:gridSpan w:val="5"/>
            <w:vAlign w:val="center"/>
          </w:tcPr>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构成投标文件组成部分的“通用合同条款”、“专用合同条款”、“技术标准和要求”等章节中出现的措辞“发包人”和“承包人”，在招标投标阶段应当分别按“招标人”和“投标人”进行理解。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1081" w:type="dxa"/>
            <w:gridSpan w:val="2"/>
            <w:vAlign w:val="center"/>
          </w:tcPr>
          <w:p>
            <w:pPr>
              <w:spacing w:line="312" w:lineRule="auto"/>
              <w:rPr>
                <w:rFonts w:asciiTheme="minorEastAsia" w:hAnsiTheme="minorEastAsia" w:eastAsiaTheme="minorEastAsia" w:cstheme="minorEastAsia"/>
                <w:sz w:val="24"/>
              </w:rPr>
            </w:pPr>
          </w:p>
        </w:tc>
        <w:tc>
          <w:tcPr>
            <w:tcW w:w="8790" w:type="dxa"/>
            <w:gridSpan w:val="5"/>
            <w:vAlign w:val="center"/>
          </w:tcPr>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Theme="minorEastAsia" w:hAnsiTheme="minorEastAsia" w:eastAsiaTheme="minorEastAsia" w:cstheme="minorEastAsia"/>
                <w:sz w:val="24"/>
              </w:rPr>
            </w:pPr>
          </w:p>
        </w:tc>
        <w:tc>
          <w:tcPr>
            <w:tcW w:w="8790" w:type="dxa"/>
            <w:gridSpan w:val="5"/>
            <w:vAlign w:val="center"/>
          </w:tcPr>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构成本招标文件的各个组成文件应互为解释，互为说明；</w:t>
            </w:r>
          </w:p>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1、如有不明确或不一致，构成合同文件组成内容，以合同文件约定内容为准，且以专用合同条款约定的合同文件优先顺序解释；</w:t>
            </w:r>
          </w:p>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2、除招标文件中有特别规定外，仅适用于招标投标阶段的规定，按招标公告（投标邀请书）、投标人须知、评标办法、投标文件格式的先后顺序解释；</w:t>
            </w:r>
          </w:p>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3、同一组成文件中就同一事项的规定或约定不一致的，以编排顺序在后者为准；</w:t>
            </w:r>
          </w:p>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4、同一组成文件不同版本之间有不一致的，以形成时间在后者为准。</w:t>
            </w:r>
          </w:p>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10.11</w:t>
            </w:r>
            <w:r>
              <w:rPr>
                <w:rFonts w:hint="eastAsia" w:hAnsi="宋体" w:cs="仿宋_GB2312"/>
                <w:sz w:val="24"/>
                <w:szCs w:val="22"/>
              </w:rPr>
              <w:t>农民工工资保证金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autoSpaceDE w:val="0"/>
              <w:autoSpaceDN w:val="0"/>
              <w:adjustRightInd w:val="0"/>
              <w:jc w:val="center"/>
              <w:rPr>
                <w:rFonts w:asciiTheme="minorEastAsia" w:hAnsiTheme="minorEastAsia" w:eastAsiaTheme="minorEastAsia" w:cstheme="minorEastAsia"/>
                <w:sz w:val="24"/>
              </w:rPr>
            </w:pPr>
          </w:p>
        </w:tc>
        <w:tc>
          <w:tcPr>
            <w:tcW w:w="8790" w:type="dxa"/>
            <w:gridSpan w:val="5"/>
            <w:vAlign w:val="center"/>
          </w:tcPr>
          <w:p>
            <w:pPr>
              <w:autoSpaceDE w:val="0"/>
              <w:autoSpaceDN w:val="0"/>
              <w:adjustRightInd w:val="0"/>
              <w:rPr>
                <w:rFonts w:asciiTheme="minorEastAsia" w:hAnsiTheme="minorEastAsia" w:eastAsiaTheme="minorEastAsia" w:cstheme="minorEastAsia"/>
                <w:sz w:val="24"/>
              </w:rPr>
            </w:pPr>
            <w:r>
              <w:rPr>
                <w:rFonts w:hint="eastAsia" w:hAnsi="宋体" w:cs="仿宋_GB2312"/>
                <w:sz w:val="24"/>
                <w:szCs w:val="22"/>
              </w:rPr>
              <w:t>按照《许昌市水利建设领域保障农民工工资支付工作管理办法》（许市水[2018]153号）文件要求，“施工总承包企业应在工程开工前按照中标价的2%向建设单位缴纳农民工工资保证金，并由建设单位将施工总承包企业缴纳农民工工资保证金的银行凭证向工程所在地水行政主管部门报备”，</w:t>
            </w:r>
            <w:r>
              <w:rPr>
                <w:rFonts w:hint="eastAsia" w:hAnsi="宋体" w:cs="仿宋_GB2312"/>
                <w:b/>
                <w:bCs/>
                <w:sz w:val="24"/>
                <w:szCs w:val="22"/>
              </w:rPr>
              <w:t>投标人必须在标书中作如下承诺：1．承诺中标后及时、足额缴纳农民工工资保证金。2．承诺依法足额支付农民工工资，一旦其承建的工程项目出现拖欠农民工工资情况的，可由建设单位从其缴纳的农民工工资保证金中先予垫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1" w:type="dxa"/>
            <w:gridSpan w:val="7"/>
            <w:vAlign w:val="center"/>
          </w:tcPr>
          <w:p>
            <w:pPr>
              <w:spacing w:line="312"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Theme="minorEastAsia" w:hAnsiTheme="minorEastAsia" w:eastAsiaTheme="minorEastAsia" w:cstheme="minorEastAsia"/>
                <w:sz w:val="24"/>
              </w:rPr>
            </w:pPr>
            <w:bookmarkStart w:id="7" w:name="_Toc283559965"/>
            <w:bookmarkStart w:id="8" w:name="_Toc225243456"/>
            <w:r>
              <w:rPr>
                <w:rFonts w:hint="eastAsia" w:asciiTheme="minorEastAsia" w:hAnsiTheme="minorEastAsia" w:eastAsiaTheme="minorEastAsia" w:cstheme="minorEastAsia"/>
                <w:sz w:val="24"/>
              </w:rPr>
              <w:t>10.11.1 投标文件的拒收</w:t>
            </w:r>
            <w:bookmarkEnd w:id="7"/>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Theme="minorEastAsia" w:hAnsiTheme="minorEastAsia" w:eastAsiaTheme="minorEastAsia" w:cstheme="minorEastAsia"/>
                <w:sz w:val="24"/>
              </w:rPr>
            </w:pPr>
          </w:p>
        </w:tc>
        <w:tc>
          <w:tcPr>
            <w:tcW w:w="8790" w:type="dxa"/>
            <w:gridSpan w:val="5"/>
            <w:vAlign w:val="center"/>
          </w:tcPr>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1、逾期送达的或者未送达指定地点的电子介质存储的投标文件；</w:t>
            </w:r>
          </w:p>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2、电子介质存储的投标文件未按招标文件要求密封的；</w:t>
            </w:r>
          </w:p>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3、未按招标文件要求缴纳投标保证金的；</w:t>
            </w:r>
          </w:p>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4、开标时法人或授权委托人（持有效的授权委托书）未携带本人身份证到开标现场并签到的；</w:t>
            </w:r>
          </w:p>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10.11.2</w:t>
            </w:r>
          </w:p>
        </w:tc>
        <w:tc>
          <w:tcPr>
            <w:tcW w:w="2434" w:type="dxa"/>
            <w:gridSpan w:val="2"/>
            <w:vAlign w:val="center"/>
          </w:tcPr>
          <w:p>
            <w:pPr>
              <w:spacing w:line="3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标后履约</w:t>
            </w:r>
          </w:p>
        </w:tc>
        <w:tc>
          <w:tcPr>
            <w:tcW w:w="6356" w:type="dxa"/>
            <w:gridSpan w:val="3"/>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按照《招投标法规定》必须到行政主管部门办理相关手续，同时由项目单位进行监管。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10.11.3</w:t>
            </w:r>
          </w:p>
        </w:tc>
        <w:tc>
          <w:tcPr>
            <w:tcW w:w="2434" w:type="dxa"/>
            <w:gridSpan w:val="2"/>
            <w:vAlign w:val="center"/>
          </w:tcPr>
          <w:p>
            <w:pPr>
              <w:spacing w:line="3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相关费用</w:t>
            </w:r>
          </w:p>
        </w:tc>
        <w:tc>
          <w:tcPr>
            <w:tcW w:w="6356" w:type="dxa"/>
            <w:gridSpan w:val="3"/>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本项目招标代理费由中标人支付，收费标准参照国家计价格【2002】1980号、发改办价格［2011］534号文件。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40" w:lineRule="exact"/>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10.11.4</w:t>
            </w:r>
          </w:p>
        </w:tc>
        <w:tc>
          <w:tcPr>
            <w:tcW w:w="2434" w:type="dxa"/>
            <w:gridSpan w:val="2"/>
            <w:vAlign w:val="center"/>
          </w:tcPr>
          <w:p>
            <w:pPr>
              <w:spacing w:line="340" w:lineRule="exact"/>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招标人实质性响应</w:t>
            </w:r>
          </w:p>
          <w:p>
            <w:pPr>
              <w:spacing w:line="340" w:lineRule="exact"/>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条款</w:t>
            </w:r>
          </w:p>
        </w:tc>
        <w:tc>
          <w:tcPr>
            <w:tcW w:w="6356" w:type="dxa"/>
            <w:gridSpan w:val="3"/>
            <w:vAlign w:val="center"/>
          </w:tcPr>
          <w:p>
            <w:pPr>
              <w:spacing w:line="360" w:lineRule="auto"/>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合同价包括完成本项目规定的各项工作的费用、利润、税金及风险等。除合同规定以外，合同总价均不作调整。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1" w:type="dxa"/>
            <w:gridSpan w:val="7"/>
            <w:vAlign w:val="center"/>
          </w:tcPr>
          <w:p>
            <w:pPr>
              <w:autoSpaceDE w:val="0"/>
              <w:autoSpaceDN w:val="0"/>
              <w:spacing w:line="440" w:lineRule="exact"/>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10.22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Theme="minorEastAsia" w:hAnsiTheme="minorEastAsia" w:eastAsiaTheme="minorEastAsia" w:cstheme="minorEastAsia"/>
                <w:sz w:val="24"/>
              </w:rPr>
            </w:pPr>
          </w:p>
        </w:tc>
        <w:tc>
          <w:tcPr>
            <w:tcW w:w="8790" w:type="dxa"/>
            <w:gridSpan w:val="5"/>
            <w:vAlign w:val="center"/>
          </w:tcPr>
          <w:p>
            <w:pPr>
              <w:autoSpaceDE w:val="0"/>
              <w:autoSpaceDN w:val="0"/>
              <w:spacing w:line="440" w:lineRule="exact"/>
              <w:jc w:val="left"/>
              <w:outlineLvl w:val="0"/>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1、潜在投标人如对招标文件有异议，请在规定时间内在《全国公共资源交易平台（河南省·许昌市）》公共资源交易系统中提出，以其他方式递交的异议不予接受。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2、投标人在投标截止时间前应随时关注《全国公共资源交易平台（河南省·许昌市）》公共资源交易系统发出的有关本项目的答疑、修改等相关内容。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3、本项目试行全流程电子化交易，如因交易系统异常情况无法完成，将以人工方式进行。</w:t>
            </w:r>
          </w:p>
          <w:p>
            <w:pPr>
              <w:autoSpaceDE w:val="0"/>
              <w:autoSpaceDN w:val="0"/>
              <w:spacing w:line="440" w:lineRule="exact"/>
              <w:jc w:val="left"/>
              <w:outlineLvl w:val="0"/>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4、投标文件依据最终的招标文件进行编制。如果招标文件发生变更，投标人应以招标人最终发出的电子招标文件为准，编制投标文件，务请投标人随时关注项目变更信息。</w:t>
            </w:r>
          </w:p>
          <w:p>
            <w:pPr>
              <w:autoSpaceDE w:val="0"/>
              <w:autoSpaceDN w:val="0"/>
              <w:spacing w:line="440" w:lineRule="exact"/>
              <w:jc w:val="left"/>
              <w:outlineLvl w:val="0"/>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5、投标人电子投标文件成功提交后，应打印“投标文件提交回执单”，供开标现场备查。</w:t>
            </w:r>
          </w:p>
          <w:p>
            <w:pPr>
              <w:autoSpaceDE w:val="0"/>
              <w:autoSpaceDN w:val="0"/>
              <w:spacing w:line="440" w:lineRule="exact"/>
              <w:jc w:val="left"/>
              <w:outlineLvl w:val="0"/>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6、投标文件制作技术咨询：0374-2961598。</w:t>
            </w:r>
          </w:p>
          <w:p>
            <w:pPr>
              <w:spacing w:line="360" w:lineRule="auto"/>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szCs w:val="24"/>
              </w:rPr>
              <w:t>7、</w:t>
            </w:r>
            <w:r>
              <w:rPr>
                <w:rFonts w:hint="eastAsia" w:asciiTheme="minorEastAsia" w:hAnsiTheme="minorEastAsia" w:eastAsiaTheme="minorEastAsia" w:cstheme="minorEastAsia"/>
                <w:b/>
                <w:sz w:val="24"/>
                <w:szCs w:val="24"/>
                <w:lang w:val="zh-CN"/>
              </w:rPr>
              <w:t>不同投标人电子投标文件记录的网卡MAC地址、CPU序号、硬盘序列号等硬件特征码均相同时，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asciiTheme="minorEastAsia" w:hAnsiTheme="minorEastAsia" w:eastAsiaTheme="minorEastAsia" w:cstheme="minorEastAsia"/>
          <w:b/>
          <w:sz w:val="28"/>
          <w:szCs w:val="28"/>
        </w:rPr>
      </w:pPr>
      <w:bookmarkStart w:id="9" w:name="_Toc283559947"/>
      <w:r>
        <w:rPr>
          <w:rFonts w:hint="eastAsia" w:asciiTheme="minorEastAsia" w:hAnsiTheme="minorEastAsia" w:eastAsiaTheme="minorEastAsia" w:cstheme="minorEastAsia"/>
          <w:b/>
          <w:sz w:val="28"/>
          <w:szCs w:val="28"/>
        </w:rPr>
        <w:t>1. 总则</w:t>
      </w:r>
    </w:p>
    <w:p>
      <w:pPr>
        <w:autoSpaceDE w:val="0"/>
        <w:autoSpaceDN w:val="0"/>
        <w:spacing w:line="440" w:lineRule="exact"/>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 项目概况</w:t>
      </w:r>
      <w:r>
        <w:rPr>
          <w:rFonts w:hint="eastAsia" w:asciiTheme="minorEastAsia" w:hAnsiTheme="minorEastAsia" w:eastAsiaTheme="minorEastAsia" w:cstheme="minorEastAsia"/>
          <w:b/>
          <w:sz w:val="24"/>
        </w:rPr>
        <w:tab/>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1.1.1根据《中华人民共和国招标投标法》等有关法律、法规和规章的规定，本招标项目已具备招标条件，现对该项目施工进行招标。</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 本招标项目招标人：见投标人须知前附表。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 本招标项目招标代理机构：见投标人须知前附表。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1.1.4 本招标项目名称：见投标人须知前附表。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1.1.5 本标段建设地点：见投标人须知前附表。</w:t>
      </w:r>
    </w:p>
    <w:p>
      <w:pPr>
        <w:autoSpaceDE w:val="0"/>
        <w:autoSpaceDN w:val="0"/>
        <w:spacing w:line="440" w:lineRule="exact"/>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1.2 资金来源和落实情况</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 本招标项目的资金来源：见投标人须知前附表。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 本招标项目的出资比例：见投标人须知前附表。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 本招标项目的资金落实情况：见投标人须知前附表。</w:t>
      </w:r>
    </w:p>
    <w:p>
      <w:pPr>
        <w:autoSpaceDE w:val="0"/>
        <w:autoSpaceDN w:val="0"/>
        <w:adjustRightInd w:val="0"/>
        <w:spacing w:line="420" w:lineRule="exact"/>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1.3 招标范围、工期和质量要求</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1.3.1 本招标项目的招标范围：见投标人须知前附表。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1.3.2 本招标项目的工期要求：见投标人须知前附表。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1.3.3 本招标项目的质量要求：见投标人须知前附表。</w:t>
      </w:r>
    </w:p>
    <w:p>
      <w:pPr>
        <w:autoSpaceDE w:val="0"/>
        <w:autoSpaceDN w:val="0"/>
        <w:spacing w:line="440" w:lineRule="exact"/>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1.4 投标人、项目负责人资格要求</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1.4.1投标人、项目负责人资格要求：见投标人须知前附表。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 投标人资格要求（详见投标人须知前附表）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投标人不得存在下列情形之一：</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（1）为招标人不具有独立法人资格的附属机构（单位）；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（2）为本标段前期准备提供设计或咨询服务的；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（3）为本标段的监理人；</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（4）为本标段的代建人；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（5）为本标段提供招标代理服务的；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（7）与本标段的监理人或代建人或招标代理机构相互控股或参股的；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（8）与本标段的监理人或代建人或招标代理机构相互任职或工作的；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（9）被责令停业的；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（10）被暂停或取消投标资格的；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（11）财产被接管或冻结的；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（12）在最近三年内有骗取中标或严重违约或重大工程质量问题的。</w:t>
      </w:r>
    </w:p>
    <w:p>
      <w:pPr>
        <w:autoSpaceDE w:val="0"/>
        <w:autoSpaceDN w:val="0"/>
        <w:spacing w:line="440" w:lineRule="exact"/>
        <w:jc w:val="left"/>
        <w:outlineLvl w:val="0"/>
        <w:rPr>
          <w:rFonts w:asciiTheme="minorEastAsia" w:hAnsiTheme="minorEastAsia" w:eastAsiaTheme="minorEastAsia" w:cstheme="minorEastAsia"/>
          <w:b/>
          <w:sz w:val="24"/>
        </w:rPr>
      </w:pPr>
      <w:bookmarkStart w:id="10" w:name="_Toc179632552"/>
      <w:bookmarkStart w:id="11" w:name="_Toc152045535"/>
      <w:bookmarkStart w:id="12" w:name="_Toc144974503"/>
      <w:bookmarkStart w:id="13" w:name="_Toc152042311"/>
      <w:r>
        <w:rPr>
          <w:rFonts w:hint="eastAsia" w:asciiTheme="minorEastAsia" w:hAnsiTheme="minorEastAsia" w:eastAsiaTheme="minorEastAsia" w:cstheme="minorEastAsia"/>
          <w:b/>
          <w:sz w:val="24"/>
        </w:rPr>
        <w:t>1.5 费用承担</w:t>
      </w:r>
      <w:bookmarkEnd w:id="10"/>
      <w:bookmarkEnd w:id="11"/>
      <w:bookmarkEnd w:id="12"/>
      <w:bookmarkEnd w:id="13"/>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投标人准备和参加投标活动发生的费用自理。</w:t>
      </w:r>
    </w:p>
    <w:p>
      <w:pPr>
        <w:autoSpaceDE w:val="0"/>
        <w:autoSpaceDN w:val="0"/>
        <w:spacing w:line="440" w:lineRule="exact"/>
        <w:jc w:val="left"/>
        <w:outlineLvl w:val="0"/>
        <w:rPr>
          <w:rFonts w:asciiTheme="minorEastAsia" w:hAnsiTheme="minorEastAsia" w:eastAsiaTheme="minorEastAsia" w:cstheme="minorEastAsia"/>
          <w:b/>
          <w:sz w:val="24"/>
        </w:rPr>
      </w:pPr>
      <w:bookmarkStart w:id="14" w:name="_Toc144974504"/>
      <w:bookmarkStart w:id="15" w:name="_Toc152042312"/>
      <w:bookmarkStart w:id="16" w:name="_Toc152045536"/>
      <w:bookmarkStart w:id="17" w:name="_Toc179632553"/>
      <w:r>
        <w:rPr>
          <w:rFonts w:hint="eastAsia" w:asciiTheme="minorEastAsia" w:hAnsiTheme="minorEastAsia" w:eastAsiaTheme="minorEastAsia" w:cstheme="minorEastAsia"/>
          <w:b/>
          <w:sz w:val="24"/>
        </w:rPr>
        <w:t>1.6 保密</w:t>
      </w:r>
      <w:bookmarkEnd w:id="14"/>
      <w:bookmarkEnd w:id="15"/>
      <w:bookmarkEnd w:id="16"/>
      <w:bookmarkEnd w:id="17"/>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asciiTheme="minorEastAsia" w:hAnsiTheme="minorEastAsia" w:eastAsiaTheme="minorEastAsia" w:cstheme="minorEastAsia"/>
          <w:b/>
          <w:sz w:val="24"/>
        </w:rPr>
      </w:pPr>
      <w:bookmarkStart w:id="18" w:name="_Toc144974505"/>
      <w:bookmarkStart w:id="19" w:name="_Toc152045537"/>
      <w:bookmarkStart w:id="20" w:name="_Toc152042313"/>
      <w:bookmarkStart w:id="21" w:name="_Toc179632554"/>
      <w:r>
        <w:rPr>
          <w:rFonts w:hint="eastAsia" w:asciiTheme="minorEastAsia" w:hAnsiTheme="minorEastAsia" w:eastAsiaTheme="minorEastAsia" w:cstheme="minorEastAsia"/>
          <w:b/>
          <w:sz w:val="24"/>
        </w:rPr>
        <w:t>1.7 语言</w:t>
      </w:r>
      <w:bookmarkEnd w:id="18"/>
      <w:r>
        <w:rPr>
          <w:rFonts w:hint="eastAsia" w:asciiTheme="minorEastAsia" w:hAnsiTheme="minorEastAsia" w:eastAsiaTheme="minorEastAsia" w:cstheme="minorEastAsia"/>
          <w:b/>
          <w:sz w:val="24"/>
        </w:rPr>
        <w:t>文字</w:t>
      </w:r>
      <w:bookmarkEnd w:id="19"/>
      <w:bookmarkEnd w:id="20"/>
      <w:bookmarkEnd w:id="21"/>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除专用术语外，与招标投标有关的语言均使用中文。必要时专用术语应附有中文注释。</w:t>
      </w:r>
    </w:p>
    <w:p>
      <w:pPr>
        <w:autoSpaceDE w:val="0"/>
        <w:autoSpaceDN w:val="0"/>
        <w:spacing w:line="440" w:lineRule="exact"/>
        <w:jc w:val="left"/>
        <w:outlineLvl w:val="0"/>
        <w:rPr>
          <w:rFonts w:asciiTheme="minorEastAsia" w:hAnsiTheme="minorEastAsia" w:eastAsiaTheme="minorEastAsia" w:cstheme="minorEastAsia"/>
          <w:b/>
          <w:sz w:val="24"/>
        </w:rPr>
      </w:pPr>
      <w:bookmarkStart w:id="22" w:name="_Toc144974506"/>
      <w:bookmarkStart w:id="23" w:name="_Toc179632555"/>
      <w:bookmarkStart w:id="24" w:name="_Toc152045538"/>
      <w:bookmarkStart w:id="25" w:name="_Toc152042314"/>
      <w:r>
        <w:rPr>
          <w:rFonts w:hint="eastAsia" w:asciiTheme="minorEastAsia" w:hAnsiTheme="minorEastAsia" w:eastAsiaTheme="minorEastAsia" w:cstheme="minorEastAsia"/>
          <w:b/>
          <w:sz w:val="24"/>
        </w:rPr>
        <w:t>1.8 计量单位</w:t>
      </w:r>
      <w:bookmarkEnd w:id="22"/>
      <w:bookmarkEnd w:id="23"/>
      <w:bookmarkEnd w:id="24"/>
      <w:bookmarkEnd w:id="25"/>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所有计量均采用中华人民共和国法定计量单位。</w:t>
      </w:r>
    </w:p>
    <w:p>
      <w:pPr>
        <w:autoSpaceDE w:val="0"/>
        <w:autoSpaceDN w:val="0"/>
        <w:spacing w:line="440" w:lineRule="exact"/>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1.9 踏勘现场</w:t>
      </w:r>
      <w:bookmarkEnd w:id="9"/>
    </w:p>
    <w:p>
      <w:pPr>
        <w:autoSpaceDE w:val="0"/>
        <w:autoSpaceDN w:val="0"/>
        <w:spacing w:line="440" w:lineRule="exact"/>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1.9.1 不组织。          </w:t>
      </w:r>
    </w:p>
    <w:p>
      <w:pPr>
        <w:autoSpaceDE w:val="0"/>
        <w:autoSpaceDN w:val="0"/>
        <w:spacing w:line="440" w:lineRule="exact"/>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1.9.2 投标人踏勘现场发生的费用自理。</w:t>
      </w:r>
    </w:p>
    <w:p>
      <w:pPr>
        <w:autoSpaceDE w:val="0"/>
        <w:autoSpaceDN w:val="0"/>
        <w:spacing w:line="440" w:lineRule="exact"/>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asciiTheme="minorEastAsia" w:hAnsiTheme="minorEastAsia" w:eastAsiaTheme="minorEastAsia" w:cstheme="minorEastAsia"/>
          <w:b/>
          <w:sz w:val="24"/>
        </w:rPr>
      </w:pPr>
      <w:bookmarkStart w:id="26" w:name="_Toc283559948"/>
      <w:r>
        <w:rPr>
          <w:rFonts w:hint="eastAsia" w:asciiTheme="minorEastAsia" w:hAnsiTheme="minorEastAsia" w:eastAsiaTheme="minorEastAsia" w:cstheme="minorEastAsia"/>
          <w:b/>
          <w:sz w:val="24"/>
        </w:rPr>
        <w:t>1.10 投标预备会</w:t>
      </w:r>
      <w:bookmarkEnd w:id="26"/>
    </w:p>
    <w:p>
      <w:pPr>
        <w:autoSpaceDE w:val="0"/>
        <w:autoSpaceDN w:val="0"/>
        <w:spacing w:line="450" w:lineRule="exact"/>
        <w:ind w:firstLine="470" w:firstLineChars="196"/>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1.10.1 招标人不召开投标预备会。</w:t>
      </w:r>
    </w:p>
    <w:p>
      <w:pPr>
        <w:autoSpaceDE w:val="0"/>
        <w:autoSpaceDN w:val="0"/>
        <w:spacing w:line="45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1.10.2 投标人应在投标人须知前附表规定的时间前，将问题在全国公共资源交易平台（河南省·许昌市）系统电子平台上提出。</w:t>
      </w:r>
    </w:p>
    <w:p>
      <w:pPr>
        <w:autoSpaceDE w:val="0"/>
        <w:autoSpaceDN w:val="0"/>
        <w:spacing w:line="45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1.10.3 招标人在投标人须知前附表规定的时间内，将对投标人所提问题的澄清，在全国公共资源交易平台（河南省·许昌市）系统电子平台上予以澄清。该澄清内容为招标文件的组成部分。</w:t>
      </w:r>
    </w:p>
    <w:p>
      <w:pPr>
        <w:autoSpaceDE w:val="0"/>
        <w:autoSpaceDN w:val="0"/>
        <w:spacing w:line="450" w:lineRule="exact"/>
        <w:jc w:val="left"/>
        <w:outlineLvl w:val="0"/>
        <w:rPr>
          <w:rFonts w:asciiTheme="minorEastAsia" w:hAnsiTheme="minorEastAsia" w:eastAsiaTheme="minorEastAsia" w:cstheme="minorEastAsia"/>
          <w:b/>
          <w:sz w:val="24"/>
        </w:rPr>
      </w:pPr>
      <w:bookmarkStart w:id="27" w:name="_Toc283559949"/>
      <w:r>
        <w:rPr>
          <w:rFonts w:hint="eastAsia" w:asciiTheme="minorEastAsia" w:hAnsiTheme="minorEastAsia" w:eastAsiaTheme="minorEastAsia" w:cstheme="minorEastAsia"/>
          <w:b/>
          <w:sz w:val="24"/>
        </w:rPr>
        <w:t>1.11 分包</w:t>
      </w:r>
      <w:bookmarkEnd w:id="27"/>
    </w:p>
    <w:p>
      <w:pPr>
        <w:autoSpaceDE w:val="0"/>
        <w:autoSpaceDN w:val="0"/>
        <w:spacing w:line="45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1.11.1 投标人须知前附表规定应当由分包人实施的非主体、非关键性工作，投标人应当按照“发包人要求”的规定提供分包人侯选名单及其相应资料。</w:t>
      </w:r>
    </w:p>
    <w:p>
      <w:pPr>
        <w:autoSpaceDE w:val="0"/>
        <w:autoSpaceDN w:val="0"/>
        <w:spacing w:line="45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1.11.2 投标人拟在中标后将中标项目的部分非主体、非关键性工作进行分包的，应符合投标人须知前附表规定的分包内容、分包金额和资质要求等限制性条件。</w:t>
      </w:r>
    </w:p>
    <w:p>
      <w:pPr>
        <w:autoSpaceDE w:val="0"/>
        <w:autoSpaceDN w:val="0"/>
        <w:adjustRightInd w:val="0"/>
        <w:spacing w:line="450" w:lineRule="exact"/>
        <w:jc w:val="left"/>
        <w:outlineLvl w:val="0"/>
        <w:rPr>
          <w:rFonts w:asciiTheme="minorEastAsia" w:hAnsiTheme="minorEastAsia" w:eastAsiaTheme="minorEastAsia" w:cstheme="minorEastAsia"/>
          <w:b/>
          <w:sz w:val="24"/>
          <w:szCs w:val="24"/>
        </w:rPr>
      </w:pPr>
      <w:bookmarkStart w:id="28" w:name="_Toc283559950"/>
      <w:r>
        <w:rPr>
          <w:rFonts w:hint="eastAsia" w:asciiTheme="minorEastAsia" w:hAnsiTheme="minorEastAsia" w:eastAsiaTheme="minorEastAsia" w:cstheme="minorEastAsia"/>
          <w:b/>
          <w:sz w:val="24"/>
        </w:rPr>
        <w:t>1.12 偏</w:t>
      </w:r>
      <w:r>
        <w:rPr>
          <w:rFonts w:hint="eastAsia" w:asciiTheme="minorEastAsia" w:hAnsiTheme="minorEastAsia" w:eastAsiaTheme="minorEastAsia" w:cstheme="minorEastAsia"/>
          <w:b/>
          <w:sz w:val="24"/>
          <w:szCs w:val="24"/>
        </w:rPr>
        <w:t>离</w:t>
      </w:r>
      <w:bookmarkEnd w:id="28"/>
    </w:p>
    <w:p>
      <w:pPr>
        <w:autoSpaceDE w:val="0"/>
        <w:autoSpaceDN w:val="0"/>
        <w:adjustRightInd w:val="0"/>
        <w:spacing w:line="450" w:lineRule="exact"/>
        <w:ind w:firstLine="480" w:firstLineChars="200"/>
        <w:jc w:val="left"/>
        <w:outlineLvl w:val="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投标人须知前附表允许投标文件偏离招标文件某些要求的，偏离应当符合招标文件规定的偏离范围和幅度。</w:t>
      </w:r>
    </w:p>
    <w:p>
      <w:pPr>
        <w:pStyle w:val="23"/>
        <w:spacing w:line="450" w:lineRule="exact"/>
        <w:jc w:val="both"/>
        <w:outlineLvl w:val="0"/>
        <w:rPr>
          <w:rFonts w:asciiTheme="minorEastAsia" w:hAnsiTheme="minorEastAsia" w:eastAsiaTheme="minorEastAsia" w:cstheme="minorEastAsia"/>
          <w:b/>
          <w:color w:val="auto"/>
        </w:rPr>
      </w:pPr>
      <w:bookmarkStart w:id="29" w:name="_Toc283559951"/>
      <w:r>
        <w:rPr>
          <w:rFonts w:hint="eastAsia" w:asciiTheme="minorEastAsia" w:hAnsiTheme="minorEastAsia" w:eastAsiaTheme="minorEastAsia" w:cstheme="minorEastAsia"/>
          <w:b/>
          <w:color w:val="auto"/>
        </w:rPr>
        <w:t>2. 招标文件</w:t>
      </w:r>
      <w:bookmarkEnd w:id="29"/>
    </w:p>
    <w:p>
      <w:pPr>
        <w:autoSpaceDE w:val="0"/>
        <w:autoSpaceDN w:val="0"/>
        <w:spacing w:line="450" w:lineRule="exact"/>
        <w:jc w:val="left"/>
        <w:outlineLvl w:val="0"/>
        <w:rPr>
          <w:rFonts w:asciiTheme="minorEastAsia" w:hAnsiTheme="minorEastAsia" w:eastAsiaTheme="minorEastAsia" w:cstheme="minorEastAsia"/>
          <w:b/>
          <w:sz w:val="24"/>
          <w:szCs w:val="24"/>
        </w:rPr>
      </w:pPr>
      <w:bookmarkStart w:id="30" w:name="_Toc283559952"/>
      <w:r>
        <w:rPr>
          <w:rFonts w:hint="eastAsia" w:asciiTheme="minorEastAsia" w:hAnsiTheme="minorEastAsia" w:eastAsiaTheme="minorEastAsia" w:cstheme="minorEastAsia"/>
          <w:b/>
          <w:sz w:val="24"/>
          <w:szCs w:val="24"/>
        </w:rPr>
        <w:t>2.1 招标文件的组成</w:t>
      </w:r>
      <w:bookmarkEnd w:id="30"/>
    </w:p>
    <w:p>
      <w:pPr>
        <w:autoSpaceDE w:val="0"/>
        <w:autoSpaceDN w:val="0"/>
        <w:spacing w:line="450" w:lineRule="exact"/>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本招标文件包括：</w:t>
      </w:r>
    </w:p>
    <w:p>
      <w:pPr>
        <w:autoSpaceDE w:val="0"/>
        <w:autoSpaceDN w:val="0"/>
        <w:spacing w:line="450" w:lineRule="exact"/>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第一章  招标公告</w:t>
      </w:r>
      <w:r>
        <w:rPr>
          <w:rFonts w:hint="eastAsia" w:asciiTheme="minorEastAsia" w:hAnsiTheme="minorEastAsia" w:eastAsiaTheme="minorEastAsia" w:cstheme="minorEastAsia"/>
          <w:sz w:val="24"/>
          <w:szCs w:val="24"/>
        </w:rPr>
        <w:tab/>
      </w:r>
    </w:p>
    <w:p>
      <w:pPr>
        <w:autoSpaceDE w:val="0"/>
        <w:autoSpaceDN w:val="0"/>
        <w:spacing w:line="450" w:lineRule="exact"/>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第二章  投标人须知</w:t>
      </w:r>
      <w:r>
        <w:rPr>
          <w:rFonts w:hint="eastAsia" w:asciiTheme="minorEastAsia" w:hAnsiTheme="minorEastAsia" w:eastAsiaTheme="minorEastAsia" w:cstheme="minorEastAsia"/>
          <w:sz w:val="24"/>
          <w:szCs w:val="24"/>
        </w:rPr>
        <w:tab/>
      </w:r>
    </w:p>
    <w:p>
      <w:pPr>
        <w:autoSpaceDE w:val="0"/>
        <w:autoSpaceDN w:val="0"/>
        <w:spacing w:line="450" w:lineRule="exact"/>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第三章  评标办法</w:t>
      </w:r>
      <w:r>
        <w:rPr>
          <w:rFonts w:hint="eastAsia" w:asciiTheme="minorEastAsia" w:hAnsiTheme="minorEastAsia" w:eastAsiaTheme="minorEastAsia" w:cstheme="minorEastAsia"/>
          <w:sz w:val="24"/>
          <w:szCs w:val="24"/>
        </w:rPr>
        <w:tab/>
      </w:r>
    </w:p>
    <w:p>
      <w:pPr>
        <w:autoSpaceDE w:val="0"/>
        <w:autoSpaceDN w:val="0"/>
        <w:spacing w:line="450" w:lineRule="exact"/>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第四章  合同条款</w:t>
      </w:r>
      <w:r>
        <w:rPr>
          <w:rFonts w:hint="eastAsia" w:asciiTheme="minorEastAsia" w:hAnsiTheme="minorEastAsia" w:eastAsiaTheme="minorEastAsia" w:cstheme="minorEastAsia"/>
          <w:sz w:val="24"/>
          <w:szCs w:val="24"/>
        </w:rPr>
        <w:tab/>
      </w:r>
    </w:p>
    <w:p>
      <w:pPr>
        <w:autoSpaceDE w:val="0"/>
        <w:autoSpaceDN w:val="0"/>
        <w:spacing w:line="450" w:lineRule="exact"/>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第五章  工程量清单</w:t>
      </w:r>
      <w:r>
        <w:rPr>
          <w:rFonts w:hint="eastAsia" w:asciiTheme="minorEastAsia" w:hAnsiTheme="minorEastAsia" w:eastAsiaTheme="minorEastAsia" w:cstheme="minorEastAsia"/>
          <w:sz w:val="24"/>
          <w:szCs w:val="24"/>
        </w:rPr>
        <w:tab/>
      </w:r>
    </w:p>
    <w:p>
      <w:pPr>
        <w:autoSpaceDE w:val="0"/>
        <w:autoSpaceDN w:val="0"/>
        <w:spacing w:line="450" w:lineRule="exact"/>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第六章  图纸</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p>
    <w:p>
      <w:pPr>
        <w:autoSpaceDE w:val="0"/>
        <w:autoSpaceDN w:val="0"/>
        <w:spacing w:line="450" w:lineRule="exact"/>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第七章  技术标准和要求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p>
    <w:p>
      <w:pPr>
        <w:autoSpaceDE w:val="0"/>
        <w:autoSpaceDN w:val="0"/>
        <w:spacing w:line="450" w:lineRule="exact"/>
        <w:ind w:firstLine="480" w:firstLineChars="20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第八章  投标文件格式</w:t>
      </w:r>
      <w:r>
        <w:rPr>
          <w:rFonts w:hint="eastAsia" w:asciiTheme="minorEastAsia" w:hAnsiTheme="minorEastAsia" w:eastAsiaTheme="minorEastAsia" w:cstheme="minorEastAsia"/>
          <w:sz w:val="24"/>
          <w:szCs w:val="24"/>
        </w:rPr>
        <w:tab/>
      </w:r>
    </w:p>
    <w:p>
      <w:pPr>
        <w:autoSpaceDE w:val="0"/>
        <w:autoSpaceDN w:val="0"/>
        <w:spacing w:line="45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根据本章第2.2 款和第2.</w:t>
      </w:r>
      <w:r>
        <w:rPr>
          <w:rFonts w:hint="eastAsia" w:asciiTheme="minorEastAsia" w:hAnsiTheme="minorEastAsia" w:eastAsiaTheme="minorEastAsia" w:cstheme="minorEastAsia"/>
          <w:sz w:val="24"/>
        </w:rPr>
        <w:t>3 款对招标文件所作的澄清、修改，构成招标文件的组成部分。</w:t>
      </w:r>
    </w:p>
    <w:p>
      <w:pPr>
        <w:autoSpaceDE w:val="0"/>
        <w:autoSpaceDN w:val="0"/>
        <w:spacing w:line="45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当招标文件、招标文件的澄清或修改等在同一内容的表述上不一致时，以最后发出的书面文件为准。</w:t>
      </w:r>
    </w:p>
    <w:p>
      <w:pPr>
        <w:autoSpaceDE w:val="0"/>
        <w:autoSpaceDN w:val="0"/>
        <w:spacing w:line="450" w:lineRule="exact"/>
        <w:jc w:val="left"/>
        <w:outlineLvl w:val="0"/>
        <w:rPr>
          <w:rFonts w:asciiTheme="minorEastAsia" w:hAnsiTheme="minorEastAsia" w:eastAsiaTheme="minorEastAsia" w:cstheme="minorEastAsia"/>
          <w:b/>
          <w:sz w:val="24"/>
        </w:rPr>
      </w:pPr>
      <w:bookmarkStart w:id="31" w:name="_Toc283559953"/>
      <w:r>
        <w:rPr>
          <w:rFonts w:hint="eastAsia" w:asciiTheme="minorEastAsia" w:hAnsiTheme="minorEastAsia" w:eastAsiaTheme="minorEastAsia" w:cstheme="minorEastAsia"/>
          <w:b/>
          <w:sz w:val="24"/>
        </w:rPr>
        <w:t>2.2 招标文件的澄清</w:t>
      </w:r>
      <w:bookmarkEnd w:id="31"/>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rPr>
      </w:pPr>
      <w:bookmarkStart w:id="32" w:name="_Toc283559954"/>
      <w:r>
        <w:rPr>
          <w:rFonts w:hint="eastAsia" w:asciiTheme="minorEastAsia" w:hAnsiTheme="minorEastAsia" w:eastAsiaTheme="minorEastAsia" w:cstheme="minor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Theme="minorEastAsia" w:hAnsiTheme="minorEastAsia" w:eastAsiaTheme="minorEastAsia" w:cstheme="minorEastAsia"/>
          <w:b/>
          <w:bCs/>
          <w:sz w:val="24"/>
        </w:rPr>
        <w:t>如未提出异议，视为全面接受。</w:t>
      </w:r>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 招标文件的澄清将在投标人须知前附表规定的投标截止时间15天前通过全国公共资源交易平台（河南省·许昌市）系统电子平台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 所有澄清、答疑全部以全国公共资源交易平台（河南省·许昌市）系统电子平台发出的为准，不再接受书面形式的递交。</w:t>
      </w:r>
    </w:p>
    <w:p>
      <w:pPr>
        <w:autoSpaceDE w:val="0"/>
        <w:autoSpaceDN w:val="0"/>
        <w:spacing w:line="450" w:lineRule="exact"/>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2.3 招标文件的修改</w:t>
      </w:r>
      <w:bookmarkEnd w:id="32"/>
    </w:p>
    <w:p>
      <w:pPr>
        <w:autoSpaceDE w:val="0"/>
        <w:autoSpaceDN w:val="0"/>
        <w:spacing w:line="42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 在投标截止时间15天前，招标人可以通过全国公共资源交易平台（河南省·许昌市）系统电子平台修改招标文件，如果修改招标文件的时间距投标截止时间不足15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 当招标文件、补充通知、答疑纪要，内容相互矛盾时，以最后发出的通知或纪要为准。</w:t>
      </w:r>
    </w:p>
    <w:p>
      <w:pPr>
        <w:autoSpaceDE w:val="0"/>
        <w:autoSpaceDN w:val="0"/>
        <w:spacing w:line="420" w:lineRule="exact"/>
        <w:jc w:val="left"/>
        <w:outlineLvl w:val="0"/>
        <w:rPr>
          <w:rFonts w:asciiTheme="minorEastAsia" w:hAnsiTheme="minorEastAsia" w:eastAsiaTheme="minorEastAsia" w:cstheme="minorEastAsia"/>
          <w:b/>
          <w:sz w:val="24"/>
        </w:rPr>
      </w:pPr>
      <w:bookmarkStart w:id="33" w:name="_Toc179632564"/>
      <w:bookmarkStart w:id="34" w:name="_Toc152042322"/>
      <w:bookmarkStart w:id="35" w:name="_Toc152045546"/>
      <w:bookmarkStart w:id="36" w:name="_Toc144974514"/>
      <w:r>
        <w:rPr>
          <w:rFonts w:hint="eastAsia" w:asciiTheme="minorEastAsia" w:hAnsiTheme="minorEastAsia" w:eastAsiaTheme="minorEastAsia" w:cstheme="minorEastAsia"/>
          <w:b/>
          <w:sz w:val="24"/>
        </w:rPr>
        <w:t>3. 投标文件</w:t>
      </w:r>
      <w:bookmarkEnd w:id="33"/>
      <w:bookmarkEnd w:id="34"/>
      <w:bookmarkEnd w:id="35"/>
      <w:bookmarkEnd w:id="36"/>
    </w:p>
    <w:p>
      <w:pPr>
        <w:autoSpaceDE w:val="0"/>
        <w:autoSpaceDN w:val="0"/>
        <w:spacing w:line="420" w:lineRule="exact"/>
        <w:jc w:val="left"/>
        <w:outlineLvl w:val="0"/>
        <w:rPr>
          <w:rFonts w:asciiTheme="minorEastAsia" w:hAnsiTheme="minorEastAsia" w:eastAsiaTheme="minorEastAsia" w:cstheme="minorEastAsia"/>
          <w:b/>
          <w:sz w:val="24"/>
        </w:rPr>
      </w:pPr>
      <w:bookmarkStart w:id="37" w:name="_Toc278443453"/>
      <w:r>
        <w:rPr>
          <w:rFonts w:hint="eastAsia" w:asciiTheme="minorEastAsia" w:hAnsiTheme="minorEastAsia" w:eastAsiaTheme="minorEastAsia" w:cstheme="minorEastAsia"/>
          <w:b/>
          <w:sz w:val="24"/>
        </w:rPr>
        <w:t>3.1投标文件的组成。</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3.1.1投标文件应包括下列内容：</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一、投标函及投标函附录</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二、法定代表人身份证明或附有法定代表人身份证明的授权委托书</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三、投标保证金</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四、施工组织设计</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五、项目管理机构配备情况</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六、投标单位基本信息表</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七、资格证明文件</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八、近年财务状况</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九、近年完成的类似项目情况</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十、正在施工的和新承接的项目情况</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十一、近年发生的诉讼及仲裁情况</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十二、承诺书</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十三、已标价的工程量清单</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十四、其他材料</w:t>
      </w:r>
    </w:p>
    <w:p>
      <w:pPr>
        <w:autoSpaceDE w:val="0"/>
        <w:autoSpaceDN w:val="0"/>
        <w:spacing w:line="420" w:lineRule="exact"/>
        <w:jc w:val="left"/>
        <w:outlineLvl w:val="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bookmarkStart w:id="38" w:name="OLE_LINK21"/>
      <w:r>
        <w:rPr>
          <w:rFonts w:hint="eastAsia" w:asciiTheme="minorEastAsia" w:hAnsiTheme="minorEastAsia" w:eastAsiaTheme="minorEastAsia" w:cstheme="minorEastAsia"/>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3.2.2 投标人在投标截止时间前修改投标函中的投标报价总额，应同时修改“已标价工程量清单”中的相应报价，投标报价总额为各分项金额之和。此修改须符合本章第4.3款的有关要求。</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3.2.3 招标人设有招标控制价的，投标人的投标报价不得超过招标控制价，招标控制价或其计算方法在投标人须知前附表中载明。</w:t>
      </w:r>
    </w:p>
    <w:bookmarkEnd w:id="38"/>
    <w:p>
      <w:pPr>
        <w:tabs>
          <w:tab w:val="left" w:pos="3060"/>
        </w:tabs>
        <w:autoSpaceDE w:val="0"/>
        <w:autoSpaceDN w:val="0"/>
        <w:spacing w:line="420" w:lineRule="exact"/>
        <w:jc w:val="left"/>
        <w:outlineLvl w:val="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3.3 投标有效期</w:t>
      </w:r>
      <w:bookmarkEnd w:id="37"/>
      <w:r>
        <w:rPr>
          <w:rFonts w:hint="eastAsia" w:asciiTheme="minorEastAsia" w:hAnsiTheme="minorEastAsia" w:eastAsiaTheme="minorEastAsia" w:cstheme="minorEastAsia"/>
          <w:b/>
          <w:bCs/>
          <w:sz w:val="24"/>
        </w:rPr>
        <w:tab/>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3.3.1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3.3.2 出现特殊情况需要延长投标有效期的，招标人在全国公共资源交易平台（河南省·许昌市）系统电子平台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asciiTheme="minorEastAsia" w:hAnsiTheme="minorEastAsia" w:eastAsiaTheme="minorEastAsia" w:cstheme="minorEastAsia"/>
          <w:sz w:val="24"/>
        </w:rPr>
      </w:pPr>
      <w:bookmarkStart w:id="39" w:name="_Toc282436964"/>
      <w:bookmarkStart w:id="40" w:name="_Toc283559960"/>
      <w:r>
        <w:rPr>
          <w:rFonts w:hint="eastAsia" w:asciiTheme="minorEastAsia" w:hAnsiTheme="minorEastAsia" w:eastAsiaTheme="minorEastAsia" w:cstheme="minorEastAsia"/>
          <w:b/>
          <w:bCs/>
          <w:sz w:val="24"/>
        </w:rPr>
        <w:t>3.4 投标保证金</w:t>
      </w:r>
      <w:bookmarkEnd w:id="39"/>
      <w:r>
        <w:rPr>
          <w:rFonts w:hint="eastAsia" w:hAnsi="宋体" w:cs="宋体"/>
          <w:b/>
          <w:bCs/>
          <w:sz w:val="24"/>
          <w:szCs w:val="24"/>
        </w:rPr>
        <w:t>（见附表）</w:t>
      </w:r>
    </w:p>
    <w:p>
      <w:pPr>
        <w:pStyle w:val="10"/>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rPr>
        <w:t>3.4.1</w:t>
      </w:r>
      <w:r>
        <w:rPr>
          <w:rFonts w:hint="eastAsia" w:asciiTheme="minorEastAsia" w:hAnsiTheme="minorEastAsia" w:eastAsiaTheme="minorEastAsia" w:cstheme="minorEastAsia"/>
          <w:kern w:val="2"/>
          <w:sz w:val="24"/>
          <w:szCs w:val="24"/>
        </w:rPr>
        <w:t>投标保证金的相关规定</w:t>
      </w:r>
    </w:p>
    <w:p>
      <w:pPr>
        <w:pStyle w:val="10"/>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（1）中标公告发出后，5个工作日内退还非中标人投标保证金及银行同期活期存款利息。</w:t>
      </w:r>
    </w:p>
    <w:p>
      <w:pPr>
        <w:pStyle w:val="10"/>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pPr>
        <w:pStyle w:val="10"/>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（3）项目废标或招标人终止招标的，在此后5个工作日内退还投标保证金及银行同期活期存款利息。</w:t>
      </w:r>
    </w:p>
    <w:p>
      <w:pPr>
        <w:pStyle w:val="10"/>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（4）投标活动中出现质疑、投诉的，中标候选人、质疑人和被质疑人、投诉人和被投诉人的投标保证金暂停退还。</w:t>
      </w:r>
    </w:p>
    <w:p>
      <w:pPr>
        <w:pStyle w:val="10"/>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（5）相关投标人有违法违规行为的项目，其投标保证金暂不退还，待行政监督部门对相关情况处置后，按照有关规定办理。</w:t>
      </w:r>
    </w:p>
    <w:p>
      <w:pPr>
        <w:pStyle w:val="10"/>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（6）退还投标保证金，除另有规定外，一般以转账方式一次性退还至投标保证金的原提交账户。</w:t>
      </w:r>
    </w:p>
    <w:p>
      <w:pPr>
        <w:pStyle w:val="10"/>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3.4.2投标人有下列情形之一的，不予退还投标保证金：</w:t>
      </w:r>
    </w:p>
    <w:p>
      <w:pPr>
        <w:pStyle w:val="10"/>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 xml:space="preserve">（1）在招标文件要求提交投标文件的截止时间后至投标文件有效期满前撤回投标的； </w:t>
      </w:r>
    </w:p>
    <w:p>
      <w:pPr>
        <w:pStyle w:val="10"/>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 xml:space="preserve">（2）中标通知书发出后，中标人无故放弃中标项目或无正当理由在规定时间内不与招标人签订合同或未按招标文件规定提交履约担保的； </w:t>
      </w:r>
    </w:p>
    <w:p>
      <w:pPr>
        <w:pStyle w:val="10"/>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 xml:space="preserve">（3）将中标项目转让给他人，或者在投标文件中未说明，且未经招标人同意，将中标项目分包给他人的； </w:t>
      </w:r>
    </w:p>
    <w:p>
      <w:pPr>
        <w:pStyle w:val="10"/>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 xml:space="preserve">（4）投标人在招投标活动中弄虚作假、围标串标，骗取中标并经招投标行政监督部门调查核实的； </w:t>
      </w:r>
    </w:p>
    <w:p>
      <w:pPr>
        <w:pStyle w:val="10"/>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（5）拒绝履行合同义务的；</w:t>
      </w:r>
    </w:p>
    <w:p>
      <w:pPr>
        <w:pStyle w:val="10"/>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（6）相关法律、法规规定不予退还的其它情形。</w:t>
      </w:r>
    </w:p>
    <w:p>
      <w:pPr>
        <w:pStyle w:val="1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2"/>
          <w:sz w:val="24"/>
          <w:szCs w:val="24"/>
        </w:rPr>
        <w:t>（7）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hint="eastAsia" w:asciiTheme="minorEastAsia" w:hAnsiTheme="minorEastAsia" w:eastAsiaTheme="minorEastAsia" w:cstheme="minorEastAsia"/>
          <w:bCs/>
          <w:sz w:val="24"/>
          <w:szCs w:val="20"/>
        </w:rPr>
        <w:t>。</w:t>
      </w:r>
    </w:p>
    <w:p>
      <w:pPr>
        <w:autoSpaceDE w:val="0"/>
        <w:autoSpaceDN w:val="0"/>
        <w:spacing w:line="420" w:lineRule="exact"/>
        <w:jc w:val="left"/>
        <w:outlineLvl w:val="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3.5 资格审查资料</w:t>
      </w:r>
    </w:p>
    <w:p>
      <w:pPr>
        <w:spacing w:line="400" w:lineRule="exact"/>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3.5.1 “投标人基本情况表”后应附投标人营业执照副本、资质证书副本、安全生产许可证、基本账户开户许可证等材料的原件扫描件或图片。</w:t>
      </w:r>
    </w:p>
    <w:p>
      <w:pPr>
        <w:spacing w:line="400" w:lineRule="exact"/>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3.5.2 “近年财务状况表”应附经会计师事务所或审计机构审计的财务会计报表，包括资产负债表、现金流量表、利润表和财务情况说明书的原件扫描件（或图片），具体年份要求见投标人须知前附表。</w:t>
      </w:r>
    </w:p>
    <w:p>
      <w:pPr>
        <w:spacing w:line="400" w:lineRule="exact"/>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投标人的成立时间少于投标人须知前附表规定年份的，应提供成立以来的财务状况表。</w:t>
      </w:r>
    </w:p>
    <w:p>
      <w:pPr>
        <w:spacing w:line="400" w:lineRule="exact"/>
        <w:ind w:firstLine="480" w:firstLineChars="200"/>
        <w:rPr>
          <w:rFonts w:asciiTheme="minorEastAsia" w:hAnsiTheme="minorEastAsia" w:eastAsiaTheme="minorEastAsia" w:cstheme="minorEastAsia"/>
          <w:b/>
          <w:bCs/>
          <w:kern w:val="2"/>
          <w:sz w:val="24"/>
          <w:szCs w:val="24"/>
          <w:u w:val="single"/>
        </w:rPr>
      </w:pPr>
      <w:r>
        <w:rPr>
          <w:rFonts w:hint="eastAsia" w:asciiTheme="minorEastAsia" w:hAnsiTheme="minorEastAsia" w:eastAsiaTheme="minorEastAsia" w:cstheme="minorEastAsia"/>
          <w:kern w:val="2"/>
          <w:sz w:val="24"/>
          <w:szCs w:val="24"/>
        </w:rPr>
        <w:t>3.5.3 “近年完成的类似项目情况表”</w:t>
      </w:r>
      <w:r>
        <w:rPr>
          <w:rFonts w:hint="eastAsia" w:asciiTheme="minorEastAsia" w:hAnsiTheme="minorEastAsia" w:eastAsiaTheme="minorEastAsia" w:cstheme="minorEastAsia"/>
          <w:bCs/>
          <w:kern w:val="2"/>
          <w:sz w:val="24"/>
          <w:szCs w:val="24"/>
        </w:rPr>
        <w:t>需</w:t>
      </w:r>
      <w:r>
        <w:rPr>
          <w:rFonts w:hint="eastAsia" w:asciiTheme="minorEastAsia" w:hAnsiTheme="minorEastAsia" w:eastAsiaTheme="minorEastAsia" w:cstheme="minorEastAsia"/>
          <w:kern w:val="2"/>
          <w:sz w:val="24"/>
          <w:szCs w:val="24"/>
        </w:rPr>
        <w:t xml:space="preserve">附合同、中标通知书或竣工验收资料、合同的原件扫描件或图片，具体年份要求见投标人须知前附表。每张表格只填写一个项目，并标明序号。 </w:t>
      </w:r>
    </w:p>
    <w:p>
      <w:pPr>
        <w:spacing w:line="400" w:lineRule="exact"/>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3.5.4 “正在施工和新承接的项目情况表”应附合同（或协议书）、中标通知书的原件扫描件或图片。每张表格只填写一个项目，并标明序号。</w:t>
      </w:r>
    </w:p>
    <w:p>
      <w:pPr>
        <w:autoSpaceDE w:val="0"/>
        <w:autoSpaceDN w:val="0"/>
        <w:adjustRightInd w:val="0"/>
        <w:snapToGrid w:val="0"/>
        <w:spacing w:line="420" w:lineRule="atLeas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3.5.5“近年发生的诉讼及仲裁情况”应说明相关情况，并附法院或仲裁机构作出的判决、裁决等有关法律文书的原件扫描件或图片，具体年份要求见投标人须知前附表，无要求不提供</w:t>
      </w:r>
      <w:r>
        <w:rPr>
          <w:rFonts w:hint="eastAsia" w:asciiTheme="minorEastAsia" w:hAnsiTheme="minorEastAsia" w:eastAsiaTheme="minorEastAsia" w:cstheme="minorEastAsia"/>
          <w:sz w:val="24"/>
          <w:szCs w:val="24"/>
        </w:rPr>
        <w:t>。</w:t>
      </w:r>
    </w:p>
    <w:p>
      <w:pPr>
        <w:autoSpaceDE w:val="0"/>
        <w:autoSpaceDN w:val="0"/>
        <w:spacing w:line="440" w:lineRule="exact"/>
        <w:ind w:firstLine="480"/>
        <w:jc w:val="left"/>
        <w:rPr>
          <w:color w:val="000000"/>
          <w:sz w:val="24"/>
          <w:szCs w:val="24"/>
        </w:rPr>
      </w:pPr>
      <w:r>
        <w:rPr>
          <w:rFonts w:hint="eastAsia"/>
          <w:color w:val="000000"/>
          <w:sz w:val="24"/>
          <w:szCs w:val="24"/>
        </w:rPr>
        <w:t xml:space="preserve">3.5.6 </w:t>
      </w:r>
      <w:r>
        <w:rPr>
          <w:rFonts w:hint="eastAsia" w:ascii="新宋体" w:hAnsi="新宋体" w:eastAsia="新宋体" w:cs="仿宋_GB2312"/>
          <w:color w:val="000000"/>
          <w:sz w:val="24"/>
          <w:szCs w:val="24"/>
        </w:rPr>
        <w:t>未按规定提交投标保证金的，由评标委员会否决其投标。</w:t>
      </w:r>
    </w:p>
    <w:p>
      <w:pPr>
        <w:autoSpaceDE w:val="0"/>
        <w:autoSpaceDN w:val="0"/>
        <w:adjustRightInd w:val="0"/>
        <w:snapToGrid w:val="0"/>
        <w:spacing w:line="420" w:lineRule="atLeas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3.6 </w:t>
      </w:r>
      <w:bookmarkStart w:id="41" w:name="_Toc152042329"/>
      <w:bookmarkStart w:id="42" w:name="_Toc179632571"/>
      <w:bookmarkStart w:id="43" w:name="_Toc144974521"/>
      <w:bookmarkStart w:id="44" w:name="_Toc152045553"/>
      <w:r>
        <w:rPr>
          <w:rFonts w:hint="eastAsia" w:asciiTheme="minorEastAsia" w:hAnsiTheme="minorEastAsia" w:eastAsiaTheme="minorEastAsia" w:cstheme="minorEastAsia"/>
          <w:b/>
          <w:sz w:val="24"/>
        </w:rPr>
        <w:t>备选投标方案</w:t>
      </w:r>
    </w:p>
    <w:bookmarkEnd w:id="41"/>
    <w:bookmarkEnd w:id="42"/>
    <w:bookmarkEnd w:id="43"/>
    <w:bookmarkEnd w:id="44"/>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3.7 投标文件的编制</w:t>
      </w:r>
      <w:bookmarkEnd w:id="40"/>
      <w:bookmarkStart w:id="45" w:name="_Toc283559961"/>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3.7.1 投标文件应参照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3.7.2 投标文件应当对招标文件有关工期、投标有效期、质量要求、招标范围作出响应。</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3.7.3 投标人登录许昌公共资源交易系统下载“许昌投标文件制作系统SEARUN V1.1”，按招标文件要求制作电子投标文件。</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3.7.4 使用电子介质（U盘）存储的备份文件2份。</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3.7.5 同时生成与电子投标文件内容、水印码、电子签章一致的PDF文件。</w:t>
      </w:r>
    </w:p>
    <w:p>
      <w:pPr>
        <w:autoSpaceDE w:val="0"/>
        <w:autoSpaceDN w:val="0"/>
        <w:adjustRightInd w:val="0"/>
        <w:spacing w:line="460" w:lineRule="exact"/>
        <w:ind w:firstLine="480"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3.7.6  投标文件制作注意事项：</w:t>
      </w:r>
    </w:p>
    <w:p>
      <w:pPr>
        <w:autoSpaceDE w:val="0"/>
        <w:autoSpaceDN w:val="0"/>
        <w:adjustRightInd w:val="0"/>
        <w:spacing w:line="460" w:lineRule="exact"/>
        <w:ind w:firstLine="480"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3.7.6.1 投标人登录《全国公共资源交易平台（河南省·许昌市）》公共资源交易系统下载“许昌投标文件制作系统SEARUN V1.1” 和操作手册（工程项目），按招标文件要求制作投标文件。</w:t>
      </w:r>
    </w:p>
    <w:p>
      <w:pPr>
        <w:autoSpaceDE w:val="0"/>
        <w:autoSpaceDN w:val="0"/>
        <w:adjustRightInd w:val="0"/>
        <w:spacing w:line="460" w:lineRule="exact"/>
        <w:ind w:firstLine="480"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3.7.6.2 投标文件制作技术咨询：0374-2961598。</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3.7.7 当生成的电子投标文件投标报价大小写不一致时，以大写为准。</w:t>
      </w:r>
    </w:p>
    <w:p>
      <w:pPr>
        <w:adjustRightInd w:val="0"/>
        <w:snapToGrid w:val="0"/>
        <w:spacing w:line="420" w:lineRule="atLeas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 投标</w:t>
      </w:r>
      <w:bookmarkEnd w:id="45"/>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bookmarkStart w:id="46" w:name="_Toc283559962"/>
      <w:r>
        <w:rPr>
          <w:rFonts w:hint="eastAsia" w:asciiTheme="minorEastAsia" w:hAnsiTheme="minorEastAsia" w:eastAsiaTheme="minorEastAsia" w:cstheme="minorEastAsia"/>
          <w:b/>
          <w:sz w:val="24"/>
        </w:rPr>
        <w:t>4.1 投标文件的密封和标记</w:t>
      </w:r>
      <w:bookmarkEnd w:id="46"/>
    </w:p>
    <w:p>
      <w:pPr>
        <w:adjustRightInd w:val="0"/>
        <w:snapToGrid w:val="0"/>
        <w:spacing w:line="420" w:lineRule="atLeast"/>
        <w:ind w:firstLine="480" w:firstLineChars="200"/>
        <w:rPr>
          <w:rFonts w:asciiTheme="minorEastAsia" w:hAnsiTheme="minorEastAsia" w:eastAsiaTheme="minorEastAsia" w:cstheme="minorEastAsia"/>
          <w:sz w:val="24"/>
        </w:rPr>
      </w:pPr>
      <w:bookmarkStart w:id="47" w:name="_Toc283559963"/>
      <w:r>
        <w:rPr>
          <w:rFonts w:hint="eastAsia" w:asciiTheme="minorEastAsia" w:hAnsiTheme="minorEastAsia" w:eastAsiaTheme="minorEastAsia" w:cstheme="minorEastAsia"/>
          <w:sz w:val="24"/>
        </w:rPr>
        <w:t>4.1.1 两份电子介质（U盘）存储的投标文件应密封包装，并加盖单位公章，法定代表人或委托代理人签名，在投标截止时间前递交，密封不符合要求的不予受理。</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4.1.2 未按本章第4.1.1项要求密封和加写标记的投标文件，招标人不予受理。</w:t>
      </w:r>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4.2 投标文件的递交</w:t>
      </w:r>
      <w:bookmarkEnd w:id="47"/>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4.2.1 投标人应在投标人须知前附表中规定的投标截止时间前成功上传提交电子投标文件和电子介质（U盘）存储的投标文件。</w:t>
      </w:r>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4.2.2 投标人提交电子介质存储的投标文件地点：见投标人须知前附表。</w:t>
      </w:r>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4.2.3 除投标人须知前附表另有规定外，投标人所提交的电子投标文件及电子介质存储的投标文件不予退还。</w:t>
      </w:r>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4.2.4 逾期送达的或者未送达指定地点的电子介质存储的投标文件，招标人不予受理。</w:t>
      </w:r>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bookmarkStart w:id="48" w:name="_Toc283559964"/>
      <w:r>
        <w:rPr>
          <w:rFonts w:hint="eastAsia" w:asciiTheme="minorEastAsia" w:hAnsiTheme="minorEastAsia" w:eastAsiaTheme="minorEastAsia" w:cstheme="minorEastAsia"/>
          <w:b/>
          <w:sz w:val="24"/>
        </w:rPr>
        <w:t>4.3 投标文件的修改与撤回</w:t>
      </w:r>
      <w:bookmarkEnd w:id="48"/>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4.3.1 在投标人须知前附表中规定的投标截止时间前，投标人可以修改或撤回已递交的投标文件，但应以书面形式通知招标人。</w:t>
      </w:r>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4.3.2 投标人修改或撤回已递交投标文件的书面通知应按照本章第3.7.3 项的要求签字或盖章。招标人收到书面通知后，向投标人出具签收凭证。</w:t>
      </w:r>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4.3.3 修改的内容为投标文件的组成部分。修改的投标文件应按照本章第3条、第4条规定进行编制、密封、标记和递交，并标明“修改”字样。</w:t>
      </w:r>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4.3.4 投标人应当在投标截止时间前完成电子投标文件的提交，可以补充、修改或撤回。投标截止时间前未完成电子投标文件提交、取得“投标文件提交回执单”的，视为撤回投标文件。</w:t>
      </w:r>
    </w:p>
    <w:p>
      <w:pPr>
        <w:pStyle w:val="23"/>
        <w:snapToGrid w:val="0"/>
        <w:spacing w:line="420" w:lineRule="atLeast"/>
        <w:jc w:val="both"/>
        <w:outlineLvl w:val="0"/>
        <w:rPr>
          <w:rFonts w:asciiTheme="minorEastAsia" w:hAnsiTheme="minorEastAsia" w:eastAsiaTheme="minorEastAsia" w:cstheme="minorEastAsia"/>
          <w:b/>
          <w:color w:val="auto"/>
        </w:rPr>
      </w:pPr>
      <w:bookmarkStart w:id="49" w:name="_Toc283559967"/>
      <w:r>
        <w:rPr>
          <w:rFonts w:hint="eastAsia" w:asciiTheme="minorEastAsia" w:hAnsiTheme="minorEastAsia" w:eastAsiaTheme="minorEastAsia" w:cstheme="minorEastAsia"/>
          <w:b/>
          <w:color w:val="auto"/>
        </w:rPr>
        <w:t>5. 开标</w:t>
      </w:r>
      <w:bookmarkEnd w:id="49"/>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bookmarkStart w:id="50" w:name="_Toc283559968"/>
      <w:r>
        <w:rPr>
          <w:rFonts w:hint="eastAsia" w:asciiTheme="minorEastAsia" w:hAnsiTheme="minorEastAsia" w:eastAsiaTheme="minorEastAsia" w:cstheme="minorEastAsia"/>
          <w:b/>
          <w:sz w:val="24"/>
        </w:rPr>
        <w:t>5.1 开标时间和地点</w:t>
      </w:r>
      <w:bookmarkEnd w:id="50"/>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招标人在投标人须知前附表中规定的投标截止时间（开标时间）和投标人须知前附表规定的地点公开开标，并邀请所有投标人的法定代表人或其委托代理人准时参加。</w:t>
      </w:r>
    </w:p>
    <w:p>
      <w:pPr>
        <w:autoSpaceDE w:val="0"/>
        <w:autoSpaceDN w:val="0"/>
        <w:adjustRightInd w:val="0"/>
        <w:snapToGrid w:val="0"/>
        <w:spacing w:line="420" w:lineRule="atLeas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5.2 开标程序</w:t>
      </w:r>
    </w:p>
    <w:p>
      <w:pPr>
        <w:adjustRightInd w:val="0"/>
        <w:snapToGrid w:val="0"/>
        <w:spacing w:line="420" w:lineRule="atLeast"/>
        <w:ind w:firstLine="480" w:firstLineChars="200"/>
        <w:rPr>
          <w:rFonts w:asciiTheme="minorEastAsia" w:hAnsiTheme="minorEastAsia" w:eastAsiaTheme="minorEastAsia" w:cstheme="minorEastAsia"/>
          <w:sz w:val="24"/>
        </w:rPr>
      </w:pPr>
      <w:bookmarkStart w:id="51" w:name="_Toc283559970"/>
      <w:r>
        <w:rPr>
          <w:rFonts w:hint="eastAsia" w:asciiTheme="minorEastAsia" w:hAnsiTheme="minorEastAsia" w:eastAsiaTheme="minorEastAsia" w:cstheme="minorEastAsia"/>
          <w:sz w:val="24"/>
        </w:rPr>
        <w:t>5.2.1主持人按下列程序进行开标：</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（1）宣布投标截止时间，并公布招标人、代理机构、监督部门名称；</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（2）宣布开标纪律； </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（3）公布在投标截止时间前递交投标文件的投标人名称和投标保证金缴纳情况；</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（4）电子投标文件解密；</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（5）宣布唱标顺序，按已定顺序唱标，唱标内容为：投标人名称、投标报价、质量目标、工期及其他内容，并记录；</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（6）现场抽取参与计算评标基准价的K值并宣布，同时公布招标控制价；</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（7）投标人代表、招标人代表、监标人、记录人等有关人员在开标记录上签字确认；</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（8）开标结束。</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5.2.2 电子投标文件的解密</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5.2.2.1本项目为全流程电子化交易项目，电子投标文件采用双重加密。在投标截止时间到达后，分标段进行解密。</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(1)投标人解密：投标人使用本单位CA数字证书远程或现场进行解密。需现场使用一体机进行解密的，请在代理机构引导下进行。</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(2)代理机构解密：代理机构按电子投标文件到达交易系统的先后顺序，使用本单位CA数字证书进行再次解密。</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5.2.2.2电子投标文件解密异常情况处理</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（1）因电子交易系统异常无法解密电子投标文件的，使用电子介质存储文件，以人工方式进行。</w:t>
      </w:r>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23"/>
        <w:snapToGrid w:val="0"/>
        <w:spacing w:line="420" w:lineRule="atLeast"/>
        <w:jc w:val="both"/>
        <w:outlineLvl w:val="0"/>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6. 评标</w:t>
      </w:r>
      <w:bookmarkEnd w:id="51"/>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bookmarkStart w:id="52" w:name="_Toc283559971"/>
      <w:r>
        <w:rPr>
          <w:rFonts w:hint="eastAsia" w:asciiTheme="minorEastAsia" w:hAnsiTheme="minorEastAsia" w:eastAsiaTheme="minorEastAsia" w:cstheme="minorEastAsia"/>
          <w:b/>
          <w:sz w:val="24"/>
        </w:rPr>
        <w:t>6.1 评标委员会</w:t>
      </w:r>
      <w:bookmarkEnd w:id="52"/>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6.1.2 评标委员会成员有下列情形之一的，应当回避：</w:t>
      </w:r>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（1）招标人或投标人的主要负责人的近亲属；</w:t>
      </w:r>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（2）项目主管部门或者行政监督部门的人员；</w:t>
      </w:r>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（3）与投标人有经济利益关系，可能影响对投标公正评审的；</w:t>
      </w:r>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（4）曾因在招标、评标以及其他与招标投标有关活动中从事违法行为而受过行政处罚或刑事处罚的。</w:t>
      </w:r>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bookmarkStart w:id="53" w:name="_Toc283559972"/>
      <w:r>
        <w:rPr>
          <w:rFonts w:hint="eastAsia" w:asciiTheme="minorEastAsia" w:hAnsiTheme="minorEastAsia" w:eastAsiaTheme="minorEastAsia" w:cstheme="minorEastAsia"/>
          <w:b/>
          <w:sz w:val="24"/>
        </w:rPr>
        <w:t>6.2 评标原则</w:t>
      </w:r>
      <w:bookmarkEnd w:id="53"/>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评标活动遵循公平、公正、科学和择优的原则。</w:t>
      </w:r>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bookmarkStart w:id="54" w:name="_Toc283559973"/>
      <w:r>
        <w:rPr>
          <w:rFonts w:hint="eastAsia" w:asciiTheme="minorEastAsia" w:hAnsiTheme="minorEastAsia" w:eastAsiaTheme="minorEastAsia" w:cstheme="minorEastAsia"/>
          <w:b/>
          <w:sz w:val="24"/>
        </w:rPr>
        <w:t>6.3 评标</w:t>
      </w:r>
      <w:bookmarkEnd w:id="54"/>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评标委员会按照第三章“评标办法”规定的方法、评审因素、标准和程序对投标文件进行评审。第三章“评标办法”没有规定的方法、评审因素和标准，不作为评标依据。</w:t>
      </w:r>
    </w:p>
    <w:p>
      <w:pPr>
        <w:pStyle w:val="23"/>
        <w:snapToGrid w:val="0"/>
        <w:spacing w:line="420" w:lineRule="atLeast"/>
        <w:jc w:val="both"/>
        <w:outlineLvl w:val="0"/>
        <w:rPr>
          <w:rFonts w:asciiTheme="minorEastAsia" w:hAnsiTheme="minorEastAsia" w:eastAsiaTheme="minorEastAsia" w:cstheme="minorEastAsia"/>
          <w:b/>
          <w:color w:val="auto"/>
        </w:rPr>
      </w:pPr>
      <w:bookmarkStart w:id="55" w:name="_Toc283559974"/>
      <w:r>
        <w:rPr>
          <w:rFonts w:hint="eastAsia" w:asciiTheme="minorEastAsia" w:hAnsiTheme="minorEastAsia" w:eastAsiaTheme="minorEastAsia" w:cstheme="minorEastAsia"/>
          <w:b/>
          <w:color w:val="auto"/>
        </w:rPr>
        <w:t>7. 合同授予</w:t>
      </w:r>
      <w:bookmarkEnd w:id="55"/>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bookmarkStart w:id="56" w:name="_Toc283559975"/>
      <w:r>
        <w:rPr>
          <w:rFonts w:hint="eastAsia" w:asciiTheme="minorEastAsia" w:hAnsiTheme="minorEastAsia" w:eastAsiaTheme="minorEastAsia" w:cstheme="minorEastAsia"/>
          <w:b/>
          <w:sz w:val="24"/>
        </w:rPr>
        <w:t>7.1 定标方式</w:t>
      </w:r>
      <w:bookmarkEnd w:id="56"/>
    </w:p>
    <w:p>
      <w:pPr>
        <w:adjustRightInd w:val="0"/>
        <w:snapToGrid w:val="0"/>
        <w:spacing w:line="42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bookmarkStart w:id="57" w:name="_Toc283559976"/>
      <w:r>
        <w:rPr>
          <w:rFonts w:hint="eastAsia" w:asciiTheme="minorEastAsia" w:hAnsiTheme="minorEastAsia" w:eastAsiaTheme="minorEastAsia" w:cstheme="minorEastAsia"/>
          <w:b/>
          <w:sz w:val="24"/>
        </w:rPr>
        <w:t>7.2 中标通知</w:t>
      </w:r>
      <w:bookmarkEnd w:id="57"/>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在投标人须知前附表规定的投标有效期内，招标人以书面形式向中标人发出中标通知书，同时将中标结果通知未中标的投标人。</w:t>
      </w:r>
      <w:bookmarkStart w:id="58" w:name="_Toc152045569"/>
      <w:bookmarkStart w:id="59" w:name="_Toc152042345"/>
      <w:bookmarkStart w:id="60" w:name="_Toc179632587"/>
      <w:bookmarkStart w:id="61" w:name="_Toc144974537"/>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7.3 履约担保</w:t>
      </w:r>
    </w:p>
    <w:p>
      <w:pPr>
        <w:autoSpaceDE w:val="0"/>
        <w:autoSpaceDN w:val="0"/>
        <w:spacing w:line="440" w:lineRule="exact"/>
        <w:ind w:left="800" w:leftChars="200" w:hanging="120" w:hangingChars="50"/>
        <w:jc w:val="left"/>
        <w:outlineLvl w:val="0"/>
        <w:rPr>
          <w:rFonts w:hAnsi="宋体" w:cs="宋体"/>
          <w:sz w:val="24"/>
        </w:rPr>
      </w:pPr>
      <w:r>
        <w:rPr>
          <w:rFonts w:hint="eastAsia" w:hAnsi="宋体" w:cs="宋体"/>
          <w:sz w:val="24"/>
        </w:rPr>
        <w:t xml:space="preserve">(一) </w:t>
      </w:r>
      <w:r>
        <w:rPr>
          <w:rFonts w:hAnsi="宋体" w:cs="宋体"/>
          <w:sz w:val="24"/>
        </w:rPr>
        <w:t>、履约保证金提交方式</w:t>
      </w:r>
      <w:r>
        <w:rPr>
          <w:rFonts w:hint="eastAsia" w:hAnsi="宋体" w:cs="宋体"/>
          <w:sz w:val="24"/>
        </w:rPr>
        <w:t>及注意事项</w:t>
      </w:r>
      <w:r>
        <w:rPr>
          <w:rFonts w:hAnsi="宋体" w:cs="宋体"/>
          <w:sz w:val="24"/>
        </w:rPr>
        <w:br w:type="textWrapping"/>
      </w:r>
      <w:r>
        <w:rPr>
          <w:rFonts w:hAnsi="宋体" w:cs="宋体"/>
          <w:sz w:val="24"/>
        </w:rPr>
        <w:t>1、以网银、银行转账、银行电汇</w:t>
      </w:r>
      <w:r>
        <w:rPr>
          <w:rFonts w:hint="eastAsia" w:hAnsi="宋体" w:cs="宋体"/>
          <w:sz w:val="24"/>
        </w:rPr>
        <w:t>、银行保函</w:t>
      </w:r>
      <w:r>
        <w:rPr>
          <w:rFonts w:hAnsi="宋体" w:cs="宋体"/>
          <w:sz w:val="24"/>
        </w:rPr>
        <w:t>方式提交。</w:t>
      </w:r>
      <w:r>
        <w:rPr>
          <w:rFonts w:hAnsi="宋体" w:cs="宋体"/>
          <w:sz w:val="24"/>
        </w:rPr>
        <w:br w:type="textWrapping"/>
      </w:r>
      <w:r>
        <w:rPr>
          <w:rFonts w:hAnsi="宋体" w:cs="宋体"/>
          <w:sz w:val="24"/>
        </w:rPr>
        <w:t>2、现金支票和现金不得作为履约保证金提交方式。</w:t>
      </w:r>
      <w:r>
        <w:rPr>
          <w:rFonts w:hAnsi="宋体" w:cs="宋体"/>
          <w:sz w:val="24"/>
        </w:rPr>
        <w:br w:type="textWrapping"/>
      </w:r>
      <w:r>
        <w:rPr>
          <w:rFonts w:hAnsi="宋体" w:cs="宋体"/>
          <w:sz w:val="24"/>
        </w:rPr>
        <w:t>3、中标人必须通过其公司账户按照规定的方式提交，其名称应与中标单位的名</w:t>
      </w:r>
    </w:p>
    <w:p>
      <w:pPr>
        <w:autoSpaceDE w:val="0"/>
        <w:autoSpaceDN w:val="0"/>
        <w:spacing w:line="440" w:lineRule="exact"/>
        <w:ind w:left="720" w:hanging="720" w:hangingChars="300"/>
        <w:jc w:val="left"/>
        <w:outlineLvl w:val="0"/>
        <w:rPr>
          <w:rFonts w:hAnsi="宋体" w:cs="宋体"/>
          <w:sz w:val="24"/>
        </w:rPr>
      </w:pPr>
      <w:r>
        <w:rPr>
          <w:rFonts w:hAnsi="宋体" w:cs="宋体"/>
          <w:sz w:val="24"/>
        </w:rPr>
        <w:t>称一致</w:t>
      </w:r>
      <w:r>
        <w:rPr>
          <w:rFonts w:hint="eastAsia" w:hAnsi="宋体" w:cs="宋体"/>
          <w:sz w:val="24"/>
        </w:rPr>
        <w:t>。</w:t>
      </w:r>
      <w:r>
        <w:rPr>
          <w:rFonts w:hAnsi="宋体" w:cs="宋体"/>
          <w:sz w:val="24"/>
        </w:rPr>
        <w:br w:type="textWrapping"/>
      </w:r>
      <w:r>
        <w:rPr>
          <w:rFonts w:hint="eastAsia" w:hAnsi="宋体" w:cs="宋体"/>
          <w:sz w:val="24"/>
        </w:rPr>
        <w:t>4、中标人在缴纳履约保证金时，必须在附言、备注和用途栏注明“项目编号及</w:t>
      </w:r>
    </w:p>
    <w:p>
      <w:pPr>
        <w:autoSpaceDE w:val="0"/>
        <w:autoSpaceDN w:val="0"/>
        <w:spacing w:line="440" w:lineRule="exact"/>
        <w:ind w:left="720" w:hanging="720" w:hangingChars="300"/>
        <w:jc w:val="left"/>
        <w:outlineLvl w:val="0"/>
        <w:rPr>
          <w:rFonts w:hAnsi="宋体" w:cs="宋体"/>
          <w:sz w:val="24"/>
        </w:rPr>
      </w:pPr>
      <w:r>
        <w:rPr>
          <w:rFonts w:hint="eastAsia" w:hAnsi="宋体" w:cs="宋体"/>
          <w:sz w:val="24"/>
        </w:rPr>
        <w:t>标段”，否则可能造成延迟退还。</w:t>
      </w:r>
    </w:p>
    <w:p>
      <w:pPr>
        <w:autoSpaceDE w:val="0"/>
        <w:autoSpaceDN w:val="0"/>
        <w:spacing w:line="440" w:lineRule="exact"/>
        <w:ind w:left="800" w:leftChars="200" w:hanging="120" w:hangingChars="50"/>
        <w:jc w:val="left"/>
        <w:outlineLvl w:val="0"/>
        <w:rPr>
          <w:rFonts w:hAnsi="宋体" w:cs="宋体"/>
          <w:sz w:val="24"/>
        </w:rPr>
      </w:pPr>
      <w:r>
        <w:rPr>
          <w:rFonts w:hint="eastAsia" w:hAnsi="宋体" w:cs="宋体"/>
          <w:sz w:val="24"/>
        </w:rPr>
        <w:t>（二）</w:t>
      </w:r>
      <w:r>
        <w:rPr>
          <w:rFonts w:hAnsi="宋体" w:cs="宋体"/>
          <w:sz w:val="24"/>
        </w:rPr>
        <w:t>、履约保证金提交比例和数额</w:t>
      </w:r>
      <w:r>
        <w:rPr>
          <w:rFonts w:hAnsi="宋体" w:cs="宋体"/>
          <w:sz w:val="24"/>
        </w:rPr>
        <w:br w:type="textWrapping"/>
      </w:r>
      <w:r>
        <w:rPr>
          <w:rFonts w:hAnsi="宋体" w:cs="宋体"/>
          <w:sz w:val="24"/>
        </w:rPr>
        <w:t>履约保证金数额不得超过中标合同金额的</w:t>
      </w:r>
      <w:r>
        <w:rPr>
          <w:rFonts w:hint="eastAsia" w:hAnsi="宋体" w:cs="宋体"/>
          <w:sz w:val="24"/>
        </w:rPr>
        <w:t>5</w:t>
      </w:r>
      <w:r>
        <w:rPr>
          <w:rFonts w:hAnsi="宋体" w:cs="宋体"/>
          <w:sz w:val="24"/>
        </w:rPr>
        <w:t>%。</w:t>
      </w:r>
      <w:r>
        <w:rPr>
          <w:rFonts w:hAnsi="宋体" w:cs="宋体"/>
          <w:sz w:val="24"/>
        </w:rPr>
        <w:br w:type="textWrapping"/>
      </w:r>
      <w:r>
        <w:rPr>
          <w:rFonts w:hint="eastAsia" w:hAnsi="宋体" w:cs="宋体"/>
          <w:sz w:val="24"/>
        </w:rPr>
        <w:t>（三）</w:t>
      </w:r>
      <w:r>
        <w:rPr>
          <w:rFonts w:hAnsi="宋体" w:cs="宋体"/>
          <w:sz w:val="24"/>
        </w:rPr>
        <w:t>、履约保证金的退还</w:t>
      </w:r>
      <w:r>
        <w:rPr>
          <w:rFonts w:hAnsi="宋体" w:cs="宋体"/>
          <w:sz w:val="24"/>
        </w:rPr>
        <w:br w:type="textWrapping"/>
      </w:r>
      <w:r>
        <w:rPr>
          <w:rFonts w:hAnsi="宋体" w:cs="宋体"/>
          <w:sz w:val="24"/>
        </w:rPr>
        <w:t>1、项目完工后，由</w:t>
      </w:r>
      <w:r>
        <w:rPr>
          <w:rFonts w:hint="eastAsia" w:hAnsi="宋体" w:cs="宋体"/>
          <w:sz w:val="24"/>
        </w:rPr>
        <w:t>中标</w:t>
      </w:r>
      <w:r>
        <w:rPr>
          <w:rFonts w:hAnsi="宋体" w:cs="宋体"/>
          <w:sz w:val="24"/>
        </w:rPr>
        <w:t>人</w:t>
      </w:r>
      <w:r>
        <w:rPr>
          <w:rFonts w:hint="eastAsia" w:hAnsi="宋体" w:cs="宋体"/>
          <w:sz w:val="24"/>
        </w:rPr>
        <w:t>持</w:t>
      </w:r>
      <w:r>
        <w:rPr>
          <w:rFonts w:hAnsi="宋体" w:cs="宋体"/>
          <w:sz w:val="24"/>
        </w:rPr>
        <w:t>《履约保证金退还</w:t>
      </w:r>
      <w:r>
        <w:rPr>
          <w:rFonts w:hint="eastAsia" w:hAnsi="宋体" w:cs="宋体"/>
          <w:sz w:val="24"/>
        </w:rPr>
        <w:t>申请表</w:t>
      </w:r>
      <w:r>
        <w:rPr>
          <w:rFonts w:hAnsi="宋体" w:cs="宋体"/>
          <w:sz w:val="24"/>
        </w:rPr>
        <w:t>》</w:t>
      </w:r>
      <w:r>
        <w:rPr>
          <w:rFonts w:hint="eastAsia" w:hAnsi="宋体" w:cs="宋体"/>
          <w:sz w:val="24"/>
        </w:rPr>
        <w:t>、《中标通知书》（原</w:t>
      </w:r>
    </w:p>
    <w:p>
      <w:pPr>
        <w:autoSpaceDE w:val="0"/>
        <w:autoSpaceDN w:val="0"/>
        <w:spacing w:line="440" w:lineRule="exact"/>
        <w:jc w:val="left"/>
        <w:outlineLvl w:val="0"/>
        <w:rPr>
          <w:rFonts w:hAnsi="宋体" w:cs="宋体"/>
          <w:sz w:val="24"/>
        </w:rPr>
      </w:pPr>
      <w:r>
        <w:rPr>
          <w:rFonts w:hint="eastAsia" w:hAnsi="宋体" w:cs="宋体"/>
          <w:sz w:val="24"/>
        </w:rPr>
        <w:t>件）、《履约保证金缴存通知书》（原件）、履约保证金转账凭证（原件或复印件）办理退款，交易</w:t>
      </w:r>
      <w:r>
        <w:rPr>
          <w:rFonts w:hAnsi="宋体" w:cs="宋体"/>
          <w:sz w:val="24"/>
        </w:rPr>
        <w:t>中心</w:t>
      </w:r>
      <w:r>
        <w:rPr>
          <w:rFonts w:hint="eastAsia" w:hAnsi="宋体" w:cs="宋体"/>
          <w:sz w:val="24"/>
        </w:rPr>
        <w:t>在收到退款手续后的</w:t>
      </w:r>
      <w:r>
        <w:rPr>
          <w:rFonts w:hAnsi="宋体" w:cs="宋体"/>
          <w:sz w:val="24"/>
        </w:rPr>
        <w:t>五个工作日内退还履约保证金及银行同期活期存款利息至中标人账户。</w:t>
      </w:r>
      <w:r>
        <w:rPr>
          <w:rFonts w:hAnsi="宋体" w:cs="宋体"/>
          <w:sz w:val="24"/>
        </w:rPr>
        <w:br w:type="textWrapping"/>
      </w:r>
      <w:r>
        <w:rPr>
          <w:rFonts w:hint="eastAsia" w:hAnsi="宋体" w:cs="宋体"/>
          <w:sz w:val="24"/>
        </w:rPr>
        <w:t xml:space="preserve">       </w:t>
      </w:r>
      <w:r>
        <w:rPr>
          <w:rFonts w:hAnsi="宋体" w:cs="宋体"/>
          <w:sz w:val="24"/>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7.</w:t>
      </w:r>
      <w:bookmarkEnd w:id="58"/>
      <w:bookmarkEnd w:id="59"/>
      <w:bookmarkEnd w:id="60"/>
      <w:bookmarkEnd w:id="61"/>
      <w:bookmarkStart w:id="62" w:name="_Toc283559977"/>
      <w:r>
        <w:rPr>
          <w:rFonts w:hint="eastAsia" w:asciiTheme="minorEastAsia" w:hAnsiTheme="minorEastAsia" w:eastAsiaTheme="minorEastAsia" w:cstheme="minorEastAsia"/>
          <w:b/>
          <w:sz w:val="24"/>
        </w:rPr>
        <w:t>4签订合同</w:t>
      </w:r>
      <w:bookmarkEnd w:id="62"/>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adjustRightInd w:val="0"/>
        <w:snapToGrid w:val="0"/>
        <w:spacing w:line="420" w:lineRule="atLeast"/>
        <w:ind w:firstLine="480" w:firstLineChars="20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7.4.2 发出中标通知书后，招标人无正当理由拒签合同的，招标人向中标人退还投标保证金；给中标人造成损失的，还应当赔偿损失。</w:t>
      </w:r>
      <w:bookmarkStart w:id="63" w:name="_Toc283559978"/>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8. 重新招标和不再招标</w:t>
      </w:r>
      <w:bookmarkEnd w:id="63"/>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bookmarkStart w:id="64" w:name="_Toc283559979"/>
      <w:r>
        <w:rPr>
          <w:rFonts w:hint="eastAsia" w:asciiTheme="minorEastAsia" w:hAnsiTheme="minorEastAsia" w:eastAsiaTheme="minorEastAsia" w:cstheme="minorEastAsia"/>
          <w:b/>
          <w:sz w:val="24"/>
        </w:rPr>
        <w:t>8.1 重新招标</w:t>
      </w:r>
      <w:bookmarkEnd w:id="64"/>
    </w:p>
    <w:p>
      <w:pPr>
        <w:autoSpaceDE w:val="0"/>
        <w:autoSpaceDN w:val="0"/>
        <w:adjustRightInd w:val="0"/>
        <w:snapToGrid w:val="0"/>
        <w:spacing w:line="420" w:lineRule="atLeas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有下列情形之一的，招标人将重新招标：</w:t>
      </w:r>
    </w:p>
    <w:p>
      <w:pPr>
        <w:autoSpaceDE w:val="0"/>
        <w:autoSpaceDN w:val="0"/>
        <w:adjustRightInd w:val="0"/>
        <w:snapToGrid w:val="0"/>
        <w:spacing w:line="420" w:lineRule="atLeas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（1）投标截止时间止，投标人少于3 个的；</w:t>
      </w:r>
    </w:p>
    <w:p>
      <w:pPr>
        <w:autoSpaceDE w:val="0"/>
        <w:autoSpaceDN w:val="0"/>
        <w:adjustRightInd w:val="0"/>
        <w:snapToGrid w:val="0"/>
        <w:spacing w:line="420" w:lineRule="atLeas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（2）经评标委员会评审后否决所有投标的。</w:t>
      </w:r>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bookmarkStart w:id="65" w:name="_Toc283559980"/>
      <w:r>
        <w:rPr>
          <w:rFonts w:hint="eastAsia" w:asciiTheme="minorEastAsia" w:hAnsiTheme="minorEastAsia" w:eastAsiaTheme="minorEastAsia" w:cstheme="minorEastAsia"/>
          <w:b/>
          <w:sz w:val="24"/>
        </w:rPr>
        <w:t>8.2 不再招标</w:t>
      </w:r>
      <w:bookmarkEnd w:id="65"/>
    </w:p>
    <w:p>
      <w:pPr>
        <w:autoSpaceDE w:val="0"/>
        <w:autoSpaceDN w:val="0"/>
        <w:adjustRightInd w:val="0"/>
        <w:snapToGrid w:val="0"/>
        <w:spacing w:line="420" w:lineRule="atLeast"/>
        <w:ind w:firstLine="540" w:firstLineChars="22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重新招标后投标人仍少于3个，属于必须审批或核准的工程建设项目，经原审批或核准部门批准后不再进行招标。</w:t>
      </w:r>
    </w:p>
    <w:p>
      <w:pPr>
        <w:pStyle w:val="23"/>
        <w:snapToGrid w:val="0"/>
        <w:spacing w:line="420" w:lineRule="atLeast"/>
        <w:jc w:val="both"/>
        <w:outlineLvl w:val="0"/>
        <w:rPr>
          <w:rFonts w:asciiTheme="minorEastAsia" w:hAnsiTheme="minorEastAsia" w:eastAsiaTheme="minorEastAsia" w:cstheme="minorEastAsia"/>
          <w:b/>
          <w:color w:val="auto"/>
        </w:rPr>
      </w:pPr>
      <w:bookmarkStart w:id="66" w:name="_Toc283559981"/>
      <w:r>
        <w:rPr>
          <w:rFonts w:hint="eastAsia" w:asciiTheme="minorEastAsia" w:hAnsiTheme="minorEastAsia" w:eastAsiaTheme="minorEastAsia" w:cstheme="minorEastAsia"/>
          <w:b/>
          <w:color w:val="auto"/>
        </w:rPr>
        <w:t>9. 纪律和监督</w:t>
      </w:r>
      <w:bookmarkEnd w:id="66"/>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bookmarkStart w:id="67" w:name="_Toc283559982"/>
      <w:r>
        <w:rPr>
          <w:rFonts w:hint="eastAsia" w:asciiTheme="minorEastAsia" w:hAnsiTheme="minorEastAsia" w:eastAsiaTheme="minorEastAsia" w:cstheme="minorEastAsia"/>
          <w:b/>
          <w:sz w:val="24"/>
        </w:rPr>
        <w:t>9.1 对招标人的纪律要求</w:t>
      </w:r>
      <w:bookmarkEnd w:id="67"/>
    </w:p>
    <w:p>
      <w:pPr>
        <w:autoSpaceDE w:val="0"/>
        <w:autoSpaceDN w:val="0"/>
        <w:adjustRightInd w:val="0"/>
        <w:snapToGrid w:val="0"/>
        <w:spacing w:line="420" w:lineRule="atLeas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招标人不得泄漏招标投标活动中应当保密的情况和资料，不得与投标人串通损害国家利益、社会公共利益或者他人合法权益。</w:t>
      </w:r>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bookmarkStart w:id="68" w:name="_Toc283559983"/>
      <w:r>
        <w:rPr>
          <w:rFonts w:hint="eastAsia" w:asciiTheme="minorEastAsia" w:hAnsiTheme="minorEastAsia" w:eastAsiaTheme="minorEastAsia" w:cstheme="minorEastAsia"/>
          <w:b/>
          <w:sz w:val="24"/>
        </w:rPr>
        <w:t>9.2 对投标人的纪律要求</w:t>
      </w:r>
      <w:bookmarkEnd w:id="68"/>
    </w:p>
    <w:p>
      <w:pPr>
        <w:autoSpaceDE w:val="0"/>
        <w:autoSpaceDN w:val="0"/>
        <w:adjustRightInd w:val="0"/>
        <w:snapToGrid w:val="0"/>
        <w:spacing w:line="420" w:lineRule="atLeas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bookmarkStart w:id="69" w:name="_Toc283559984"/>
      <w:r>
        <w:rPr>
          <w:rFonts w:hint="eastAsia" w:asciiTheme="minorEastAsia" w:hAnsiTheme="minorEastAsia" w:eastAsiaTheme="minorEastAsia" w:cstheme="minorEastAsia"/>
          <w:b/>
          <w:sz w:val="24"/>
        </w:rPr>
        <w:t>9.3 对评标委员会成员的纪律要求</w:t>
      </w:r>
      <w:bookmarkEnd w:id="69"/>
    </w:p>
    <w:p>
      <w:pPr>
        <w:autoSpaceDE w:val="0"/>
        <w:autoSpaceDN w:val="0"/>
        <w:adjustRightInd w:val="0"/>
        <w:snapToGrid w:val="0"/>
        <w:spacing w:line="420" w:lineRule="atLeas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bookmarkStart w:id="70" w:name="_Toc283559985"/>
      <w:r>
        <w:rPr>
          <w:rFonts w:hint="eastAsia" w:asciiTheme="minorEastAsia" w:hAnsiTheme="minorEastAsia" w:eastAsiaTheme="minorEastAsia" w:cstheme="minorEastAsia"/>
          <w:b/>
          <w:sz w:val="24"/>
        </w:rPr>
        <w:t>9.4 对与评标活动有关的工作人员的纪律要求</w:t>
      </w:r>
      <w:bookmarkEnd w:id="70"/>
    </w:p>
    <w:p>
      <w:pPr>
        <w:autoSpaceDE w:val="0"/>
        <w:autoSpaceDN w:val="0"/>
        <w:adjustRightInd w:val="0"/>
        <w:snapToGrid w:val="0"/>
        <w:spacing w:line="420" w:lineRule="atLeas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420" w:lineRule="atLeast"/>
        <w:jc w:val="left"/>
        <w:outlineLvl w:val="0"/>
        <w:rPr>
          <w:rFonts w:asciiTheme="minorEastAsia" w:hAnsiTheme="minorEastAsia" w:eastAsiaTheme="minorEastAsia" w:cstheme="minorEastAsia"/>
          <w:b/>
          <w:sz w:val="24"/>
        </w:rPr>
      </w:pPr>
      <w:bookmarkStart w:id="71" w:name="_Toc283559986"/>
      <w:r>
        <w:rPr>
          <w:rFonts w:hint="eastAsia" w:asciiTheme="minorEastAsia" w:hAnsiTheme="minorEastAsia" w:eastAsiaTheme="minorEastAsia" w:cstheme="minorEastAsia"/>
          <w:b/>
          <w:sz w:val="24"/>
        </w:rPr>
        <w:t>9.5 投诉</w:t>
      </w:r>
      <w:bookmarkEnd w:id="71"/>
    </w:p>
    <w:p>
      <w:pPr>
        <w:autoSpaceDE w:val="0"/>
        <w:autoSpaceDN w:val="0"/>
        <w:adjustRightInd w:val="0"/>
        <w:snapToGrid w:val="0"/>
        <w:spacing w:line="420" w:lineRule="atLeas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投标人和其他利害关系人认为本次招标活动违反法律、法规和规章规定的，有权向有关行政监督部门投诉。</w:t>
      </w:r>
    </w:p>
    <w:p>
      <w:pPr>
        <w:pStyle w:val="23"/>
        <w:snapToGrid w:val="0"/>
        <w:spacing w:line="420" w:lineRule="atLeast"/>
        <w:jc w:val="both"/>
        <w:outlineLvl w:val="0"/>
        <w:rPr>
          <w:rFonts w:asciiTheme="minorEastAsia" w:hAnsiTheme="minorEastAsia" w:eastAsiaTheme="minorEastAsia" w:cstheme="minorEastAsia"/>
          <w:b/>
          <w:color w:val="auto"/>
        </w:rPr>
      </w:pPr>
      <w:bookmarkStart w:id="72" w:name="_Toc283559987"/>
      <w:r>
        <w:rPr>
          <w:rFonts w:hint="eastAsia" w:asciiTheme="minorEastAsia" w:hAnsiTheme="minorEastAsia" w:eastAsiaTheme="minorEastAsia" w:cstheme="minorEastAsia"/>
          <w:b/>
          <w:color w:val="auto"/>
        </w:rPr>
        <w:t>10. 需要补充的其他内容</w:t>
      </w:r>
      <w:bookmarkEnd w:id="72"/>
    </w:p>
    <w:p>
      <w:pPr>
        <w:autoSpaceDE w:val="0"/>
        <w:autoSpaceDN w:val="0"/>
        <w:adjustRightInd w:val="0"/>
        <w:snapToGrid w:val="0"/>
        <w:spacing w:line="420" w:lineRule="atLeas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需要补充的其他内容：见投标人须知前附表。</w:t>
      </w:r>
    </w:p>
    <w:p>
      <w:pPr>
        <w:autoSpaceDE w:val="0"/>
        <w:autoSpaceDN w:val="0"/>
        <w:adjustRightIn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4"/>
        </w:rPr>
        <w:t>附表一：问题澄清通知</w:t>
      </w:r>
    </w:p>
    <w:p>
      <w:pPr>
        <w:spacing w:before="312" w:beforeLines="100" w:after="312" w:afterLines="100"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问题澄清通知</w:t>
      </w:r>
    </w:p>
    <w:p>
      <w:pPr>
        <w:spacing w:line="400" w:lineRule="exact"/>
        <w:ind w:firstLine="6120" w:firstLineChars="255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编号：</w:t>
      </w:r>
      <w:r>
        <w:rPr>
          <w:rFonts w:hint="eastAsia" w:asciiTheme="minorEastAsia" w:hAnsiTheme="minorEastAsia" w:eastAsiaTheme="minorEastAsia" w:cstheme="minorEastAsia"/>
          <w:sz w:val="24"/>
          <w:u w:val="single"/>
        </w:rPr>
        <w:t xml:space="preserve">                  </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sz w:val="24"/>
          <w:u w:val="single"/>
        </w:rPr>
        <w:t xml:space="preserve">        标</w:t>
      </w:r>
      <w:r>
        <w:rPr>
          <w:rFonts w:hint="eastAsia" w:asciiTheme="minorEastAsia" w:hAnsiTheme="minorEastAsia" w:eastAsiaTheme="minorEastAsia" w:cstheme="minorEastAsia"/>
          <w:sz w:val="24"/>
        </w:rPr>
        <w:t>段招标的评标委员会，对你方的投标文件进行了仔细的审查，现需你方对本通知所附质疑问卷中的问题以书面形式予以澄清、说明或者补正。</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请将上述问题的澄清、说明或者补正于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时前密封递交至（详细地址）。</w:t>
      </w:r>
    </w:p>
    <w:p>
      <w:pPr>
        <w:spacing w:line="480" w:lineRule="exact"/>
        <w:rPr>
          <w:rFonts w:asciiTheme="minorEastAsia" w:hAnsiTheme="minorEastAsia" w:eastAsiaTheme="minorEastAsia" w:cstheme="minorEastAsia"/>
          <w:sz w:val="24"/>
        </w:rPr>
      </w:pP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附件：质疑问卷</w:t>
      </w: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2880" w:firstLineChars="1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招标人或招标代理机构：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（签字或盖章）</w:t>
      </w:r>
    </w:p>
    <w:p>
      <w:pPr>
        <w:spacing w:line="480" w:lineRule="exact"/>
        <w:ind w:firstLine="5280" w:firstLineChars="2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spacing w:line="480" w:lineRule="exact"/>
        <w:rPr>
          <w:rFonts w:asciiTheme="minorEastAsia" w:hAnsiTheme="minorEastAsia" w:eastAsiaTheme="minorEastAsia" w:cstheme="minorEastAsia"/>
          <w:sz w:val="24"/>
        </w:rPr>
      </w:pPr>
    </w:p>
    <w:p>
      <w:pPr>
        <w:spacing w:line="400" w:lineRule="exact"/>
        <w:ind w:firstLine="480" w:firstLineChars="200"/>
        <w:rPr>
          <w:rFonts w:asciiTheme="minorEastAsia" w:hAnsiTheme="minorEastAsia" w:eastAsiaTheme="minorEastAsia" w:cstheme="minorEastAsia"/>
          <w:sz w:val="24"/>
        </w:rPr>
      </w:pPr>
    </w:p>
    <w:p>
      <w:pPr>
        <w:spacing w:line="400" w:lineRule="exact"/>
        <w:ind w:firstLine="480" w:firstLineChars="200"/>
        <w:rPr>
          <w:rFonts w:asciiTheme="minorEastAsia" w:hAnsiTheme="minorEastAsia" w:eastAsiaTheme="minorEastAsia" w:cstheme="minorEastAsia"/>
          <w:sz w:val="24"/>
        </w:rPr>
      </w:pPr>
    </w:p>
    <w:p>
      <w:pPr>
        <w:pStyle w:val="16"/>
        <w:ind w:firstLine="210"/>
        <w:rPr>
          <w:rFonts w:asciiTheme="minorEastAsia" w:hAnsiTheme="minorEastAsia" w:eastAsiaTheme="minorEastAsia" w:cstheme="minorEastAsia"/>
        </w:rPr>
      </w:pP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附表二：问题的澄清</w:t>
      </w:r>
    </w:p>
    <w:p>
      <w:pPr>
        <w:spacing w:before="312" w:beforeLines="100" w:after="312" w:afterLines="100" w:line="48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问题的澄清、说明或补正</w:t>
      </w:r>
    </w:p>
    <w:p>
      <w:pPr>
        <w:spacing w:line="400" w:lineRule="exact"/>
        <w:ind w:firstLine="6120" w:firstLineChars="255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编号：</w:t>
      </w:r>
      <w:r>
        <w:rPr>
          <w:rFonts w:hint="eastAsia" w:asciiTheme="minorEastAsia" w:hAnsiTheme="minorEastAsia" w:eastAsiaTheme="minorEastAsia" w:cstheme="minorEastAsia"/>
          <w:sz w:val="24"/>
          <w:u w:val="single"/>
        </w:rPr>
        <w:t xml:space="preserve">                  </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标段招标评标委员会：</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问题澄清通知（编号：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）已收悉，现澄清、说明或者补正如下：</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wordWrap w:val="0"/>
        <w:spacing w:line="48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（盖单位章） </w:t>
      </w:r>
    </w:p>
    <w:p>
      <w:pPr>
        <w:wordWrap w:val="0"/>
        <w:spacing w:before="156" w:beforeLines="50" w:after="156" w:afterLines="50" w:line="480" w:lineRule="exact"/>
        <w:ind w:right="21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法定代表人或其委托代理人：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（签字） </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spacing w:line="480" w:lineRule="exact"/>
        <w:rPr>
          <w:rFonts w:asciiTheme="minorEastAsia" w:hAnsiTheme="minorEastAsia" w:eastAsiaTheme="minorEastAsia" w:cstheme="minorEastAsia"/>
          <w:sz w:val="24"/>
        </w:rPr>
      </w:pPr>
    </w:p>
    <w:p>
      <w:pPr>
        <w:spacing w:line="480" w:lineRule="exact"/>
        <w:rPr>
          <w:rFonts w:asciiTheme="minorEastAsia" w:hAnsiTheme="minorEastAsia" w:eastAsiaTheme="minorEastAsia" w:cstheme="minorEastAsia"/>
        </w:rPr>
      </w:pPr>
    </w:p>
    <w:p>
      <w:pPr>
        <w:widowControl/>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br w:type="page"/>
      </w:r>
    </w:p>
    <w:p>
      <w:pPr>
        <w:snapToGrid w:val="0"/>
        <w:spacing w:line="360" w:lineRule="auto"/>
        <w:jc w:val="center"/>
        <w:rPr>
          <w:rFonts w:asciiTheme="minorEastAsia" w:hAnsiTheme="minorEastAsia" w:eastAsiaTheme="minorEastAsia" w:cstheme="minorEastAsia"/>
          <w:b/>
          <w:bCs/>
          <w:sz w:val="28"/>
          <w:szCs w:val="28"/>
          <w:lang w:bidi="ar"/>
        </w:rPr>
      </w:pPr>
      <w:r>
        <w:rPr>
          <w:rFonts w:hint="eastAsia" w:asciiTheme="minorEastAsia" w:hAnsiTheme="minorEastAsia" w:eastAsiaTheme="minorEastAsia" w:cstheme="minorEastAsia"/>
          <w:b/>
          <w:bCs/>
          <w:sz w:val="36"/>
          <w:szCs w:val="36"/>
          <w:lang w:bidi="ar"/>
        </w:rPr>
        <w:t>第三章 评标办法（合理投标价法）</w:t>
      </w:r>
      <w:r>
        <w:rPr>
          <w:rFonts w:hint="eastAsia" w:asciiTheme="minorEastAsia" w:hAnsiTheme="minorEastAsia" w:eastAsiaTheme="minorEastAsia" w:cstheme="minorEastAsia"/>
          <w:b/>
          <w:bCs/>
          <w:sz w:val="28"/>
          <w:szCs w:val="28"/>
          <w:lang w:bidi="ar"/>
        </w:rPr>
        <w:t xml:space="preserve">   </w:t>
      </w:r>
      <w:bookmarkStart w:id="73" w:name="_Toc247514024"/>
      <w:bookmarkStart w:id="74" w:name="_Toc247527625"/>
      <w:bookmarkStart w:id="75" w:name="_Toc152042377"/>
      <w:bookmarkStart w:id="76" w:name="_Toc144974567"/>
      <w:bookmarkStart w:id="77" w:name="_Toc152045600"/>
    </w:p>
    <w:bookmarkEnd w:id="73"/>
    <w:bookmarkEnd w:id="74"/>
    <w:bookmarkEnd w:id="75"/>
    <w:bookmarkEnd w:id="76"/>
    <w:bookmarkEnd w:id="77"/>
    <w:p>
      <w:pPr>
        <w:rPr>
          <w:rFonts w:hAnsi="宋体"/>
          <w:b/>
          <w:bCs/>
          <w:sz w:val="24"/>
          <w:szCs w:val="24"/>
        </w:rPr>
      </w:pPr>
      <w:bookmarkStart w:id="78" w:name="_Toc283559990"/>
      <w:r>
        <w:rPr>
          <w:rFonts w:hint="eastAsia" w:hAnsi="宋体"/>
          <w:b/>
          <w:bCs/>
          <w:sz w:val="24"/>
          <w:szCs w:val="24"/>
        </w:rPr>
        <w:t>一、评标依据:《河南省水利工程建设项目施工评标办法》（豫水建【2016】49号）</w:t>
      </w:r>
    </w:p>
    <w:p>
      <w:pPr>
        <w:snapToGrid w:val="0"/>
        <w:spacing w:line="360" w:lineRule="auto"/>
        <w:rPr>
          <w:rFonts w:hAnsi="宋体"/>
          <w:b/>
          <w:bCs/>
          <w:sz w:val="24"/>
          <w:szCs w:val="24"/>
        </w:rPr>
      </w:pPr>
      <w:r>
        <w:rPr>
          <w:rFonts w:hint="eastAsia" w:hAnsi="宋体"/>
          <w:b/>
          <w:bCs/>
          <w:sz w:val="24"/>
          <w:szCs w:val="24"/>
        </w:rPr>
        <w:t>二、评标办法前附表</w:t>
      </w:r>
    </w:p>
    <w:tbl>
      <w:tblPr>
        <w:tblStyle w:val="18"/>
        <w:tblW w:w="9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625"/>
        <w:gridCol w:w="2618"/>
        <w:gridCol w:w="5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1525" w:type="dxa"/>
            <w:gridSpan w:val="2"/>
            <w:tcBorders>
              <w:top w:val="single" w:color="auto" w:sz="4" w:space="0"/>
              <w:left w:val="single" w:color="auto" w:sz="4" w:space="0"/>
              <w:bottom w:val="single" w:color="auto" w:sz="4" w:space="0"/>
              <w:right w:val="single" w:color="auto" w:sz="4" w:space="0"/>
            </w:tcBorders>
            <w:noWrap/>
            <w:vAlign w:val="center"/>
          </w:tcPr>
          <w:p>
            <w:pPr>
              <w:spacing w:line="312" w:lineRule="auto"/>
              <w:jc w:val="center"/>
              <w:rPr>
                <w:rFonts w:hAnsi="宋体"/>
                <w:b/>
                <w:bCs/>
                <w:kern w:val="2"/>
                <w:sz w:val="21"/>
                <w:szCs w:val="21"/>
              </w:rPr>
            </w:pPr>
            <w:bookmarkStart w:id="79" w:name="_Toc276293405"/>
            <w:r>
              <w:rPr>
                <w:rFonts w:hint="eastAsia" w:hAnsi="宋体"/>
                <w:b/>
                <w:bCs/>
              </w:rPr>
              <w:t>条款号</w:t>
            </w:r>
            <w:bookmarkEnd w:id="79"/>
          </w:p>
        </w:tc>
        <w:tc>
          <w:tcPr>
            <w:tcW w:w="2618" w:type="dxa"/>
            <w:tcBorders>
              <w:top w:val="single" w:color="auto" w:sz="4" w:space="0"/>
              <w:left w:val="nil"/>
              <w:bottom w:val="single" w:color="auto" w:sz="4" w:space="0"/>
              <w:right w:val="single" w:color="auto" w:sz="4" w:space="0"/>
            </w:tcBorders>
            <w:noWrap/>
            <w:vAlign w:val="center"/>
          </w:tcPr>
          <w:p>
            <w:pPr>
              <w:spacing w:line="312" w:lineRule="auto"/>
              <w:jc w:val="center"/>
              <w:rPr>
                <w:rFonts w:hAnsi="宋体"/>
                <w:b/>
                <w:bCs/>
                <w:kern w:val="2"/>
                <w:sz w:val="21"/>
                <w:szCs w:val="21"/>
              </w:rPr>
            </w:pPr>
            <w:bookmarkStart w:id="80" w:name="_Toc221950446"/>
            <w:r>
              <w:rPr>
                <w:rFonts w:hint="eastAsia" w:hAnsi="宋体"/>
                <w:b/>
                <w:bCs/>
              </w:rPr>
              <w:t>评审因素</w:t>
            </w:r>
            <w:bookmarkEnd w:id="80"/>
          </w:p>
        </w:tc>
        <w:tc>
          <w:tcPr>
            <w:tcW w:w="5741" w:type="dxa"/>
            <w:tcBorders>
              <w:top w:val="single" w:color="auto" w:sz="4" w:space="0"/>
              <w:left w:val="nil"/>
              <w:bottom w:val="single" w:color="auto" w:sz="4" w:space="0"/>
              <w:right w:val="single" w:color="auto" w:sz="4" w:space="0"/>
            </w:tcBorders>
            <w:noWrap/>
            <w:vAlign w:val="center"/>
          </w:tcPr>
          <w:p>
            <w:pPr>
              <w:spacing w:line="312" w:lineRule="auto"/>
              <w:jc w:val="center"/>
              <w:rPr>
                <w:rFonts w:hAnsi="宋体"/>
                <w:b/>
                <w:bCs/>
                <w:kern w:val="2"/>
                <w:sz w:val="21"/>
                <w:szCs w:val="21"/>
              </w:rPr>
            </w:pPr>
            <w:r>
              <w:rPr>
                <w:rFonts w:hint="eastAsia" w:hAnsi="宋体"/>
                <w:b/>
                <w:bCs/>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900" w:type="dxa"/>
            <w:vMerge w:val="restart"/>
            <w:tcBorders>
              <w:top w:val="nil"/>
              <w:left w:val="single" w:color="auto" w:sz="4" w:space="0"/>
              <w:bottom w:val="single" w:color="auto" w:sz="4" w:space="0"/>
              <w:right w:val="single" w:color="auto" w:sz="4" w:space="0"/>
            </w:tcBorders>
            <w:noWrap/>
            <w:vAlign w:val="center"/>
          </w:tcPr>
          <w:p>
            <w:pPr>
              <w:spacing w:line="312" w:lineRule="auto"/>
              <w:jc w:val="center"/>
              <w:rPr>
                <w:rFonts w:hAnsi="宋体"/>
                <w:kern w:val="2"/>
                <w:sz w:val="24"/>
                <w:szCs w:val="24"/>
              </w:rPr>
            </w:pPr>
            <w:bookmarkStart w:id="81" w:name="_Toc221950448"/>
            <w:r>
              <w:rPr>
                <w:rFonts w:hAnsi="宋体"/>
                <w:sz w:val="24"/>
                <w:szCs w:val="24"/>
              </w:rPr>
              <w:t>2.1.1</w:t>
            </w:r>
            <w:bookmarkEnd w:id="81"/>
          </w:p>
        </w:tc>
        <w:tc>
          <w:tcPr>
            <w:tcW w:w="625" w:type="dxa"/>
            <w:vMerge w:val="restart"/>
            <w:tcBorders>
              <w:top w:val="nil"/>
              <w:left w:val="nil"/>
              <w:bottom w:val="single" w:color="auto" w:sz="4" w:space="0"/>
              <w:right w:val="single" w:color="auto" w:sz="4" w:space="0"/>
            </w:tcBorders>
            <w:noWrap/>
            <w:vAlign w:val="center"/>
          </w:tcPr>
          <w:p>
            <w:pPr>
              <w:pStyle w:val="15"/>
              <w:autoSpaceDE w:val="0"/>
              <w:autoSpaceDN w:val="0"/>
              <w:spacing w:line="312" w:lineRule="auto"/>
              <w:jc w:val="center"/>
              <w:rPr>
                <w:rFonts w:ascii="Calibri"/>
                <w:kern w:val="2"/>
              </w:rPr>
            </w:pPr>
            <w:r>
              <w:rPr>
                <w:rFonts w:hint="eastAsia" w:ascii="Times New Roman"/>
                <w:kern w:val="2"/>
              </w:rPr>
              <w:t>形式评审</w:t>
            </w:r>
          </w:p>
        </w:tc>
        <w:tc>
          <w:tcPr>
            <w:tcW w:w="2618" w:type="dxa"/>
            <w:tcBorders>
              <w:top w:val="single" w:color="auto" w:sz="4" w:space="0"/>
              <w:left w:val="nil"/>
              <w:bottom w:val="single" w:color="auto" w:sz="4" w:space="0"/>
              <w:right w:val="single" w:color="auto" w:sz="4" w:space="0"/>
            </w:tcBorders>
            <w:noWrap/>
            <w:vAlign w:val="center"/>
          </w:tcPr>
          <w:p>
            <w:pPr>
              <w:pStyle w:val="15"/>
              <w:autoSpaceDE w:val="0"/>
              <w:autoSpaceDN w:val="0"/>
              <w:spacing w:line="312" w:lineRule="auto"/>
              <w:jc w:val="center"/>
              <w:rPr>
                <w:rFonts w:ascii="Calibri"/>
                <w:kern w:val="2"/>
              </w:rPr>
            </w:pPr>
            <w:r>
              <w:rPr>
                <w:rFonts w:hint="eastAsia" w:ascii="Times New Roman"/>
                <w:kern w:val="2"/>
              </w:rPr>
              <w:t>投标人名称</w:t>
            </w:r>
          </w:p>
        </w:tc>
        <w:tc>
          <w:tcPr>
            <w:tcW w:w="5741" w:type="dxa"/>
            <w:tcBorders>
              <w:top w:val="single" w:color="auto" w:sz="4" w:space="0"/>
              <w:left w:val="nil"/>
              <w:bottom w:val="single" w:color="auto" w:sz="4" w:space="0"/>
              <w:right w:val="single" w:color="auto" w:sz="4" w:space="0"/>
            </w:tcBorders>
            <w:noWrap/>
            <w:vAlign w:val="center"/>
          </w:tcPr>
          <w:p>
            <w:pPr>
              <w:pStyle w:val="15"/>
              <w:autoSpaceDE w:val="0"/>
              <w:autoSpaceDN w:val="0"/>
              <w:spacing w:line="312" w:lineRule="auto"/>
              <w:rPr>
                <w:rFonts w:ascii="Calibri"/>
                <w:kern w:val="2"/>
              </w:rPr>
            </w:pPr>
            <w:r>
              <w:rPr>
                <w:rFonts w:hint="eastAsia" w:ascii="Times New Roman"/>
                <w:kern w:val="2"/>
              </w:rPr>
              <w:t>与营业执照、资质证书是否一致；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hAnsi="宋体"/>
                <w:kern w:val="2"/>
                <w:sz w:val="24"/>
                <w:szCs w:val="24"/>
              </w:rPr>
            </w:pPr>
          </w:p>
        </w:tc>
        <w:tc>
          <w:tcPr>
            <w:tcW w:w="625" w:type="dxa"/>
            <w:vMerge w:val="continue"/>
            <w:tcBorders>
              <w:top w:val="nil"/>
              <w:left w:val="nil"/>
              <w:bottom w:val="single" w:color="auto" w:sz="4" w:space="0"/>
              <w:right w:val="single" w:color="auto" w:sz="4" w:space="0"/>
            </w:tcBorders>
            <w:vAlign w:val="center"/>
          </w:tcPr>
          <w:p>
            <w:pPr>
              <w:widowControl/>
              <w:jc w:val="left"/>
              <w:rPr>
                <w:rFonts w:ascii="Calibri" w:hAnsi="宋体"/>
                <w:kern w:val="2"/>
                <w:sz w:val="24"/>
                <w:szCs w:val="24"/>
              </w:rPr>
            </w:pPr>
          </w:p>
        </w:tc>
        <w:tc>
          <w:tcPr>
            <w:tcW w:w="2618" w:type="dxa"/>
            <w:tcBorders>
              <w:top w:val="single" w:color="auto" w:sz="4" w:space="0"/>
              <w:left w:val="nil"/>
              <w:bottom w:val="single" w:color="auto" w:sz="4" w:space="0"/>
              <w:right w:val="single" w:color="auto" w:sz="4" w:space="0"/>
            </w:tcBorders>
            <w:noWrap/>
            <w:vAlign w:val="center"/>
          </w:tcPr>
          <w:p>
            <w:pPr>
              <w:pStyle w:val="15"/>
              <w:autoSpaceDE w:val="0"/>
              <w:autoSpaceDN w:val="0"/>
              <w:spacing w:line="312" w:lineRule="auto"/>
              <w:jc w:val="center"/>
              <w:rPr>
                <w:rFonts w:ascii="Calibri"/>
                <w:kern w:val="2"/>
              </w:rPr>
            </w:pPr>
            <w:r>
              <w:rPr>
                <w:rFonts w:hint="eastAsia" w:ascii="Times New Roman"/>
                <w:kern w:val="2"/>
              </w:rPr>
              <w:t>投标文件的盖章签字</w:t>
            </w:r>
          </w:p>
        </w:tc>
        <w:tc>
          <w:tcPr>
            <w:tcW w:w="5741" w:type="dxa"/>
            <w:tcBorders>
              <w:top w:val="single" w:color="auto" w:sz="4" w:space="0"/>
              <w:left w:val="nil"/>
              <w:bottom w:val="single" w:color="auto" w:sz="4" w:space="0"/>
              <w:right w:val="single" w:color="auto" w:sz="4" w:space="0"/>
            </w:tcBorders>
            <w:noWrap/>
            <w:vAlign w:val="center"/>
          </w:tcPr>
          <w:p>
            <w:pPr>
              <w:spacing w:line="312" w:lineRule="auto"/>
              <w:rPr>
                <w:rFonts w:hAnsi="宋体"/>
                <w:kern w:val="2"/>
                <w:sz w:val="24"/>
                <w:szCs w:val="24"/>
              </w:rPr>
            </w:pPr>
            <w:r>
              <w:rPr>
                <w:rFonts w:hint="eastAsia" w:hAnsi="宋体"/>
                <w:sz w:val="24"/>
                <w:szCs w:val="24"/>
              </w:rPr>
              <w:t>符合第二章投标人须知第规定；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hAnsi="宋体"/>
                <w:kern w:val="2"/>
                <w:sz w:val="24"/>
                <w:szCs w:val="24"/>
              </w:rPr>
            </w:pPr>
          </w:p>
        </w:tc>
        <w:tc>
          <w:tcPr>
            <w:tcW w:w="625" w:type="dxa"/>
            <w:vMerge w:val="continue"/>
            <w:tcBorders>
              <w:top w:val="nil"/>
              <w:left w:val="nil"/>
              <w:bottom w:val="single" w:color="auto" w:sz="4" w:space="0"/>
              <w:right w:val="single" w:color="auto" w:sz="4" w:space="0"/>
            </w:tcBorders>
            <w:vAlign w:val="center"/>
          </w:tcPr>
          <w:p>
            <w:pPr>
              <w:widowControl/>
              <w:jc w:val="left"/>
              <w:rPr>
                <w:rFonts w:ascii="Calibri" w:hAnsi="宋体"/>
                <w:kern w:val="2"/>
                <w:sz w:val="24"/>
                <w:szCs w:val="24"/>
              </w:rPr>
            </w:pPr>
          </w:p>
        </w:tc>
        <w:tc>
          <w:tcPr>
            <w:tcW w:w="2618" w:type="dxa"/>
            <w:tcBorders>
              <w:top w:val="single" w:color="auto" w:sz="4" w:space="0"/>
              <w:left w:val="nil"/>
              <w:bottom w:val="single" w:color="auto" w:sz="4" w:space="0"/>
              <w:right w:val="single" w:color="auto" w:sz="4" w:space="0"/>
            </w:tcBorders>
            <w:noWrap/>
            <w:vAlign w:val="center"/>
          </w:tcPr>
          <w:p>
            <w:pPr>
              <w:pStyle w:val="15"/>
              <w:autoSpaceDE w:val="0"/>
              <w:autoSpaceDN w:val="0"/>
              <w:spacing w:line="312" w:lineRule="auto"/>
              <w:jc w:val="center"/>
              <w:rPr>
                <w:rFonts w:ascii="Calibri"/>
                <w:kern w:val="2"/>
              </w:rPr>
            </w:pPr>
            <w:r>
              <w:rPr>
                <w:rFonts w:hint="eastAsia" w:ascii="Times New Roman"/>
                <w:kern w:val="2"/>
              </w:rPr>
              <w:t>投标文件格式</w:t>
            </w:r>
          </w:p>
        </w:tc>
        <w:tc>
          <w:tcPr>
            <w:tcW w:w="5741" w:type="dxa"/>
            <w:tcBorders>
              <w:top w:val="single" w:color="auto" w:sz="4" w:space="0"/>
              <w:left w:val="nil"/>
              <w:bottom w:val="single" w:color="auto" w:sz="4" w:space="0"/>
              <w:right w:val="single" w:color="auto" w:sz="4" w:space="0"/>
            </w:tcBorders>
            <w:noWrap/>
            <w:vAlign w:val="center"/>
          </w:tcPr>
          <w:p>
            <w:pPr>
              <w:pStyle w:val="15"/>
              <w:autoSpaceDE w:val="0"/>
              <w:autoSpaceDN w:val="0"/>
              <w:spacing w:line="312" w:lineRule="auto"/>
              <w:rPr>
                <w:rFonts w:ascii="Calibri"/>
                <w:kern w:val="2"/>
              </w:rPr>
            </w:pPr>
            <w:r>
              <w:rPr>
                <w:rFonts w:hint="eastAsia" w:ascii="Times New Roman"/>
                <w:kern w:val="2"/>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hAnsi="宋体"/>
                <w:kern w:val="2"/>
                <w:sz w:val="24"/>
                <w:szCs w:val="24"/>
              </w:rPr>
            </w:pPr>
          </w:p>
        </w:tc>
        <w:tc>
          <w:tcPr>
            <w:tcW w:w="625" w:type="dxa"/>
            <w:vMerge w:val="continue"/>
            <w:tcBorders>
              <w:top w:val="nil"/>
              <w:left w:val="nil"/>
              <w:bottom w:val="single" w:color="auto" w:sz="4" w:space="0"/>
              <w:right w:val="single" w:color="auto" w:sz="4" w:space="0"/>
            </w:tcBorders>
            <w:vAlign w:val="center"/>
          </w:tcPr>
          <w:p>
            <w:pPr>
              <w:widowControl/>
              <w:jc w:val="left"/>
              <w:rPr>
                <w:rFonts w:ascii="Calibri" w:hAnsi="宋体"/>
                <w:kern w:val="2"/>
                <w:sz w:val="24"/>
                <w:szCs w:val="24"/>
              </w:rPr>
            </w:pPr>
          </w:p>
        </w:tc>
        <w:tc>
          <w:tcPr>
            <w:tcW w:w="2618" w:type="dxa"/>
            <w:tcBorders>
              <w:top w:val="single" w:color="auto" w:sz="4" w:space="0"/>
              <w:left w:val="nil"/>
              <w:bottom w:val="single" w:color="auto" w:sz="4" w:space="0"/>
              <w:right w:val="single" w:color="auto" w:sz="4" w:space="0"/>
            </w:tcBorders>
            <w:noWrap/>
            <w:vAlign w:val="center"/>
          </w:tcPr>
          <w:p>
            <w:pPr>
              <w:pStyle w:val="15"/>
              <w:autoSpaceDE w:val="0"/>
              <w:autoSpaceDN w:val="0"/>
              <w:spacing w:line="312" w:lineRule="auto"/>
              <w:jc w:val="center"/>
              <w:rPr>
                <w:rFonts w:ascii="Calibri"/>
                <w:kern w:val="2"/>
              </w:rPr>
            </w:pPr>
            <w:r>
              <w:rPr>
                <w:rFonts w:hint="eastAsia" w:ascii="Times New Roman"/>
                <w:kern w:val="2"/>
              </w:rPr>
              <w:t>报价唯一</w:t>
            </w:r>
          </w:p>
        </w:tc>
        <w:tc>
          <w:tcPr>
            <w:tcW w:w="5741" w:type="dxa"/>
            <w:tcBorders>
              <w:top w:val="single" w:color="auto" w:sz="4" w:space="0"/>
              <w:left w:val="nil"/>
              <w:bottom w:val="single" w:color="auto" w:sz="4" w:space="0"/>
              <w:right w:val="single" w:color="auto" w:sz="4" w:space="0"/>
            </w:tcBorders>
            <w:noWrap/>
            <w:vAlign w:val="center"/>
          </w:tcPr>
          <w:p>
            <w:pPr>
              <w:pStyle w:val="15"/>
              <w:autoSpaceDE w:val="0"/>
              <w:autoSpaceDN w:val="0"/>
              <w:spacing w:line="312" w:lineRule="auto"/>
              <w:rPr>
                <w:rFonts w:ascii="Calibri"/>
                <w:kern w:val="2"/>
              </w:rPr>
            </w:pPr>
            <w:r>
              <w:rPr>
                <w:rFonts w:hint="eastAsia" w:ascii="Times New Roman"/>
                <w:kern w:val="2"/>
              </w:rPr>
              <w:t>只能有一个报价；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00" w:type="dxa"/>
            <w:vMerge w:val="restart"/>
            <w:tcBorders>
              <w:top w:val="nil"/>
              <w:left w:val="single" w:color="auto" w:sz="4" w:space="0"/>
              <w:bottom w:val="single" w:color="auto" w:sz="4" w:space="0"/>
              <w:right w:val="single" w:color="auto" w:sz="4" w:space="0"/>
            </w:tcBorders>
            <w:noWrap/>
            <w:vAlign w:val="center"/>
          </w:tcPr>
          <w:p>
            <w:pPr>
              <w:spacing w:line="312" w:lineRule="auto"/>
              <w:jc w:val="center"/>
              <w:rPr>
                <w:rFonts w:hAnsi="宋体"/>
                <w:kern w:val="2"/>
                <w:sz w:val="24"/>
                <w:szCs w:val="24"/>
              </w:rPr>
            </w:pPr>
            <w:r>
              <w:rPr>
                <w:rFonts w:hAnsi="宋体"/>
                <w:sz w:val="24"/>
                <w:szCs w:val="24"/>
              </w:rPr>
              <w:t>2.1.2</w:t>
            </w:r>
          </w:p>
        </w:tc>
        <w:tc>
          <w:tcPr>
            <w:tcW w:w="625" w:type="dxa"/>
            <w:vMerge w:val="restart"/>
            <w:tcBorders>
              <w:top w:val="nil"/>
              <w:left w:val="nil"/>
              <w:bottom w:val="single" w:color="auto" w:sz="4" w:space="0"/>
              <w:right w:val="single" w:color="auto" w:sz="4" w:space="0"/>
            </w:tcBorders>
            <w:noWrap/>
            <w:vAlign w:val="center"/>
          </w:tcPr>
          <w:p>
            <w:pPr>
              <w:pStyle w:val="15"/>
              <w:autoSpaceDE w:val="0"/>
              <w:autoSpaceDN w:val="0"/>
              <w:spacing w:line="312" w:lineRule="auto"/>
              <w:jc w:val="center"/>
              <w:rPr>
                <w:rFonts w:ascii="Calibri"/>
                <w:kern w:val="2"/>
              </w:rPr>
            </w:pPr>
            <w:r>
              <w:rPr>
                <w:rFonts w:hint="eastAsia" w:ascii="Times New Roman"/>
                <w:kern w:val="2"/>
              </w:rPr>
              <w:t>资格评审</w:t>
            </w:r>
          </w:p>
        </w:tc>
        <w:tc>
          <w:tcPr>
            <w:tcW w:w="2618" w:type="dxa"/>
            <w:tcBorders>
              <w:top w:val="single" w:color="auto" w:sz="4" w:space="0"/>
              <w:left w:val="nil"/>
              <w:bottom w:val="single" w:color="auto" w:sz="4" w:space="0"/>
              <w:right w:val="single" w:color="auto" w:sz="4" w:space="0"/>
            </w:tcBorders>
            <w:noWrap/>
            <w:vAlign w:val="center"/>
          </w:tcPr>
          <w:p>
            <w:pPr>
              <w:pStyle w:val="15"/>
              <w:autoSpaceDE w:val="0"/>
              <w:autoSpaceDN w:val="0"/>
              <w:spacing w:line="312" w:lineRule="auto"/>
              <w:jc w:val="center"/>
              <w:rPr>
                <w:rFonts w:ascii="Calibri"/>
                <w:kern w:val="2"/>
              </w:rPr>
            </w:pPr>
            <w:r>
              <w:rPr>
                <w:rFonts w:hint="eastAsia" w:ascii="Times New Roman"/>
                <w:kern w:val="2"/>
              </w:rPr>
              <w:t>营业执照</w:t>
            </w:r>
          </w:p>
        </w:tc>
        <w:tc>
          <w:tcPr>
            <w:tcW w:w="5741" w:type="dxa"/>
            <w:tcBorders>
              <w:top w:val="single" w:color="auto" w:sz="4" w:space="0"/>
              <w:left w:val="nil"/>
              <w:bottom w:val="single" w:color="auto" w:sz="4" w:space="0"/>
              <w:right w:val="single" w:color="auto" w:sz="4" w:space="0"/>
            </w:tcBorders>
            <w:noWrap/>
            <w:vAlign w:val="center"/>
          </w:tcPr>
          <w:p>
            <w:pPr>
              <w:spacing w:line="312" w:lineRule="auto"/>
              <w:rPr>
                <w:rFonts w:hAnsi="宋体"/>
                <w:b/>
                <w:bCs/>
                <w:kern w:val="2"/>
                <w:sz w:val="24"/>
                <w:szCs w:val="24"/>
              </w:rPr>
            </w:pPr>
            <w:r>
              <w:rPr>
                <w:rFonts w:hint="eastAsia" w:hAnsi="宋体"/>
                <w:sz w:val="24"/>
                <w:szCs w:val="24"/>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hAnsi="宋体"/>
                <w:kern w:val="2"/>
                <w:sz w:val="24"/>
                <w:szCs w:val="24"/>
              </w:rPr>
            </w:pPr>
          </w:p>
        </w:tc>
        <w:tc>
          <w:tcPr>
            <w:tcW w:w="625" w:type="dxa"/>
            <w:vMerge w:val="continue"/>
            <w:tcBorders>
              <w:top w:val="nil"/>
              <w:left w:val="nil"/>
              <w:bottom w:val="single" w:color="auto" w:sz="4" w:space="0"/>
              <w:right w:val="single" w:color="auto" w:sz="4" w:space="0"/>
            </w:tcBorders>
            <w:vAlign w:val="center"/>
          </w:tcPr>
          <w:p>
            <w:pPr>
              <w:widowControl/>
              <w:jc w:val="left"/>
              <w:rPr>
                <w:rFonts w:ascii="Calibri" w:hAnsi="宋体"/>
                <w:kern w:val="2"/>
                <w:sz w:val="24"/>
                <w:szCs w:val="24"/>
              </w:rPr>
            </w:pPr>
          </w:p>
        </w:tc>
        <w:tc>
          <w:tcPr>
            <w:tcW w:w="2618" w:type="dxa"/>
            <w:tcBorders>
              <w:top w:val="single" w:color="auto" w:sz="4" w:space="0"/>
              <w:left w:val="nil"/>
              <w:bottom w:val="single" w:color="auto" w:sz="4" w:space="0"/>
              <w:right w:val="single" w:color="auto" w:sz="4" w:space="0"/>
            </w:tcBorders>
            <w:noWrap/>
            <w:vAlign w:val="center"/>
          </w:tcPr>
          <w:p>
            <w:pPr>
              <w:spacing w:line="312" w:lineRule="auto"/>
              <w:jc w:val="center"/>
              <w:rPr>
                <w:rFonts w:hAnsi="宋体"/>
                <w:kern w:val="2"/>
                <w:sz w:val="24"/>
                <w:szCs w:val="24"/>
              </w:rPr>
            </w:pPr>
            <w:r>
              <w:rPr>
                <w:rFonts w:hint="eastAsia" w:hAnsi="宋体"/>
                <w:sz w:val="24"/>
                <w:szCs w:val="24"/>
              </w:rPr>
              <w:t>资质要求</w:t>
            </w:r>
          </w:p>
        </w:tc>
        <w:tc>
          <w:tcPr>
            <w:tcW w:w="5741" w:type="dxa"/>
            <w:tcBorders>
              <w:top w:val="single" w:color="auto" w:sz="4" w:space="0"/>
              <w:left w:val="nil"/>
              <w:bottom w:val="single" w:color="auto" w:sz="4" w:space="0"/>
              <w:right w:val="single" w:color="auto" w:sz="4" w:space="0"/>
            </w:tcBorders>
            <w:noWrap/>
            <w:vAlign w:val="center"/>
          </w:tcPr>
          <w:p>
            <w:pPr>
              <w:spacing w:line="312" w:lineRule="auto"/>
              <w:rPr>
                <w:rFonts w:hAnsi="Courier New" w:cs="Courier New"/>
                <w:b/>
                <w:bCs/>
                <w:kern w:val="2"/>
                <w:sz w:val="24"/>
                <w:szCs w:val="24"/>
              </w:rPr>
            </w:pPr>
            <w:r>
              <w:rPr>
                <w:rFonts w:hint="eastAsia" w:hAnsi="宋体"/>
                <w:sz w:val="24"/>
                <w:szCs w:val="24"/>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hAnsi="宋体"/>
                <w:kern w:val="2"/>
                <w:sz w:val="24"/>
                <w:szCs w:val="24"/>
              </w:rPr>
            </w:pPr>
          </w:p>
        </w:tc>
        <w:tc>
          <w:tcPr>
            <w:tcW w:w="625" w:type="dxa"/>
            <w:vMerge w:val="continue"/>
            <w:tcBorders>
              <w:top w:val="nil"/>
              <w:left w:val="nil"/>
              <w:bottom w:val="single" w:color="auto" w:sz="4" w:space="0"/>
              <w:right w:val="single" w:color="auto" w:sz="4" w:space="0"/>
            </w:tcBorders>
            <w:vAlign w:val="center"/>
          </w:tcPr>
          <w:p>
            <w:pPr>
              <w:widowControl/>
              <w:jc w:val="left"/>
              <w:rPr>
                <w:rFonts w:ascii="Calibri" w:hAnsi="宋体"/>
                <w:kern w:val="2"/>
                <w:sz w:val="24"/>
                <w:szCs w:val="24"/>
              </w:rPr>
            </w:pPr>
          </w:p>
        </w:tc>
        <w:tc>
          <w:tcPr>
            <w:tcW w:w="2618" w:type="dxa"/>
            <w:tcBorders>
              <w:top w:val="single" w:color="auto" w:sz="4" w:space="0"/>
              <w:left w:val="nil"/>
              <w:bottom w:val="single" w:color="auto" w:sz="4" w:space="0"/>
              <w:right w:val="single" w:color="auto" w:sz="4" w:space="0"/>
            </w:tcBorders>
            <w:noWrap/>
            <w:vAlign w:val="center"/>
          </w:tcPr>
          <w:p>
            <w:pPr>
              <w:pStyle w:val="15"/>
              <w:autoSpaceDE w:val="0"/>
              <w:autoSpaceDN w:val="0"/>
              <w:spacing w:line="312" w:lineRule="auto"/>
              <w:jc w:val="center"/>
              <w:rPr>
                <w:rFonts w:ascii="Calibri"/>
                <w:kern w:val="2"/>
              </w:rPr>
            </w:pPr>
            <w:r>
              <w:rPr>
                <w:rFonts w:hint="eastAsia" w:ascii="Times New Roman"/>
                <w:kern w:val="2"/>
              </w:rPr>
              <w:t>财务状况要求</w:t>
            </w:r>
          </w:p>
        </w:tc>
        <w:tc>
          <w:tcPr>
            <w:tcW w:w="5741" w:type="dxa"/>
            <w:tcBorders>
              <w:top w:val="single" w:color="auto" w:sz="4" w:space="0"/>
              <w:left w:val="nil"/>
              <w:bottom w:val="single" w:color="auto" w:sz="4" w:space="0"/>
              <w:right w:val="single" w:color="auto" w:sz="4" w:space="0"/>
            </w:tcBorders>
            <w:noWrap/>
            <w:vAlign w:val="center"/>
          </w:tcPr>
          <w:p>
            <w:pPr>
              <w:spacing w:line="312" w:lineRule="auto"/>
              <w:rPr>
                <w:rFonts w:hAnsi="宋体"/>
                <w:kern w:val="2"/>
                <w:sz w:val="24"/>
                <w:szCs w:val="24"/>
              </w:rPr>
            </w:pPr>
            <w:r>
              <w:rPr>
                <w:rFonts w:hint="eastAsia" w:hAnsi="宋体" w:cs="宋体"/>
                <w:sz w:val="24"/>
                <w:szCs w:val="24"/>
              </w:rPr>
              <w:t>2016、2017、2018或</w:t>
            </w:r>
            <w:r>
              <w:rPr>
                <w:rFonts w:hAnsi="宋体" w:cs="宋体"/>
                <w:sz w:val="24"/>
                <w:szCs w:val="24"/>
              </w:rPr>
              <w:t>201</w:t>
            </w:r>
            <w:r>
              <w:rPr>
                <w:rFonts w:hint="eastAsia" w:hAnsi="宋体" w:cs="宋体"/>
                <w:sz w:val="24"/>
                <w:szCs w:val="24"/>
              </w:rPr>
              <w:t>7</w:t>
            </w:r>
            <w:r>
              <w:rPr>
                <w:rFonts w:hint="eastAsia" w:hAnsi="宋体"/>
                <w:sz w:val="24"/>
                <w:szCs w:val="24"/>
              </w:rPr>
              <w:t>、</w:t>
            </w:r>
            <w:r>
              <w:rPr>
                <w:rFonts w:hAnsi="宋体" w:cs="宋体"/>
                <w:sz w:val="24"/>
                <w:szCs w:val="24"/>
              </w:rPr>
              <w:t>201</w:t>
            </w:r>
            <w:r>
              <w:rPr>
                <w:rFonts w:hint="eastAsia" w:hAnsi="宋体" w:cs="宋体"/>
                <w:sz w:val="24"/>
                <w:szCs w:val="24"/>
              </w:rPr>
              <w:t>8</w:t>
            </w:r>
            <w:r>
              <w:rPr>
                <w:rFonts w:hint="eastAsia" w:hAnsi="宋体"/>
                <w:sz w:val="24"/>
                <w:szCs w:val="24"/>
              </w:rPr>
              <w:t>、</w:t>
            </w:r>
            <w:r>
              <w:rPr>
                <w:rFonts w:hAnsi="宋体" w:cs="宋体"/>
                <w:sz w:val="24"/>
                <w:szCs w:val="24"/>
              </w:rPr>
              <w:t>201</w:t>
            </w:r>
            <w:r>
              <w:rPr>
                <w:rFonts w:hint="eastAsia" w:hAnsi="宋体" w:cs="宋体"/>
                <w:sz w:val="24"/>
                <w:szCs w:val="24"/>
              </w:rPr>
              <w:t>9</w:t>
            </w:r>
            <w:r>
              <w:rPr>
                <w:rFonts w:hint="eastAsia" w:hAnsi="宋体"/>
                <w:sz w:val="24"/>
                <w:szCs w:val="24"/>
              </w:rPr>
              <w:t>年财务良好（以财务报告为准），若公司成立未满三年，须提供成立当年至今的财务报告。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hAnsi="宋体"/>
                <w:kern w:val="2"/>
                <w:sz w:val="24"/>
                <w:szCs w:val="24"/>
              </w:rPr>
            </w:pPr>
          </w:p>
        </w:tc>
        <w:tc>
          <w:tcPr>
            <w:tcW w:w="625" w:type="dxa"/>
            <w:vMerge w:val="continue"/>
            <w:tcBorders>
              <w:top w:val="nil"/>
              <w:left w:val="nil"/>
              <w:bottom w:val="single" w:color="auto" w:sz="4" w:space="0"/>
              <w:right w:val="single" w:color="auto" w:sz="4" w:space="0"/>
            </w:tcBorders>
            <w:vAlign w:val="center"/>
          </w:tcPr>
          <w:p>
            <w:pPr>
              <w:widowControl/>
              <w:jc w:val="left"/>
              <w:rPr>
                <w:rFonts w:ascii="Calibri" w:hAnsi="宋体"/>
                <w:kern w:val="2"/>
                <w:sz w:val="24"/>
                <w:szCs w:val="24"/>
              </w:rPr>
            </w:pPr>
          </w:p>
        </w:tc>
        <w:tc>
          <w:tcPr>
            <w:tcW w:w="2618" w:type="dxa"/>
            <w:tcBorders>
              <w:top w:val="single" w:color="auto" w:sz="4" w:space="0"/>
              <w:left w:val="nil"/>
              <w:bottom w:val="single" w:color="auto" w:sz="4" w:space="0"/>
              <w:right w:val="single" w:color="auto" w:sz="4" w:space="0"/>
            </w:tcBorders>
            <w:noWrap/>
            <w:vAlign w:val="center"/>
          </w:tcPr>
          <w:p>
            <w:pPr>
              <w:spacing w:line="312" w:lineRule="auto"/>
              <w:jc w:val="center"/>
              <w:rPr>
                <w:rFonts w:hAnsi="宋体" w:cs="宋体"/>
                <w:kern w:val="2"/>
                <w:sz w:val="24"/>
                <w:szCs w:val="24"/>
              </w:rPr>
            </w:pPr>
            <w:r>
              <w:rPr>
                <w:rFonts w:hint="eastAsia" w:hAnsi="宋体"/>
                <w:sz w:val="24"/>
                <w:szCs w:val="24"/>
              </w:rPr>
              <w:t>信誉要求</w:t>
            </w:r>
          </w:p>
        </w:tc>
        <w:tc>
          <w:tcPr>
            <w:tcW w:w="5741" w:type="dxa"/>
            <w:tcBorders>
              <w:top w:val="single" w:color="auto" w:sz="4" w:space="0"/>
              <w:left w:val="nil"/>
              <w:bottom w:val="single" w:color="auto" w:sz="4" w:space="0"/>
              <w:right w:val="single" w:color="auto" w:sz="4" w:space="0"/>
            </w:tcBorders>
            <w:noWrap/>
            <w:vAlign w:val="center"/>
          </w:tcPr>
          <w:p>
            <w:pPr>
              <w:spacing w:line="312" w:lineRule="auto"/>
              <w:rPr>
                <w:rFonts w:hAnsi="宋体" w:cs="宋体"/>
                <w:kern w:val="2"/>
                <w:sz w:val="24"/>
                <w:szCs w:val="24"/>
              </w:rPr>
            </w:pPr>
            <w:r>
              <w:rPr>
                <w:rFonts w:hint="eastAsia" w:hAnsi="宋体"/>
                <w:sz w:val="24"/>
                <w:szCs w:val="24"/>
              </w:rPr>
              <w:t>核实投标人信誉及信用记录情况：仅核实投标人获奖、受罚、信用信息登记等的真实性</w:t>
            </w:r>
            <w:r>
              <w:rPr>
                <w:rFonts w:hint="eastAsia" w:hAnsi="宋体"/>
                <w:b/>
                <w:sz w:val="24"/>
              </w:rPr>
              <w:t>（以全国水利建设市场监管服务平台公示为准）</w:t>
            </w:r>
            <w:r>
              <w:rPr>
                <w:rFonts w:hint="eastAsia" w:hAnsi="Courier New" w:cs="Courier New"/>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hAnsi="宋体"/>
                <w:kern w:val="2"/>
                <w:sz w:val="24"/>
                <w:szCs w:val="24"/>
              </w:rPr>
            </w:pPr>
          </w:p>
        </w:tc>
        <w:tc>
          <w:tcPr>
            <w:tcW w:w="625" w:type="dxa"/>
            <w:vMerge w:val="continue"/>
            <w:tcBorders>
              <w:top w:val="nil"/>
              <w:left w:val="nil"/>
              <w:bottom w:val="single" w:color="auto" w:sz="4" w:space="0"/>
              <w:right w:val="single" w:color="auto" w:sz="4" w:space="0"/>
            </w:tcBorders>
            <w:vAlign w:val="center"/>
          </w:tcPr>
          <w:p>
            <w:pPr>
              <w:widowControl/>
              <w:jc w:val="left"/>
              <w:rPr>
                <w:rFonts w:ascii="Calibri" w:hAnsi="宋体"/>
                <w:kern w:val="2"/>
                <w:sz w:val="24"/>
                <w:szCs w:val="24"/>
              </w:rPr>
            </w:pPr>
          </w:p>
        </w:tc>
        <w:tc>
          <w:tcPr>
            <w:tcW w:w="2618" w:type="dxa"/>
            <w:tcBorders>
              <w:top w:val="single" w:color="auto" w:sz="4" w:space="0"/>
              <w:left w:val="nil"/>
              <w:bottom w:val="single" w:color="auto" w:sz="4" w:space="0"/>
              <w:right w:val="single" w:color="auto" w:sz="4" w:space="0"/>
            </w:tcBorders>
            <w:noWrap/>
            <w:vAlign w:val="center"/>
          </w:tcPr>
          <w:p>
            <w:pPr>
              <w:pStyle w:val="15"/>
              <w:autoSpaceDE w:val="0"/>
              <w:autoSpaceDN w:val="0"/>
              <w:spacing w:line="312" w:lineRule="auto"/>
              <w:jc w:val="center"/>
              <w:rPr>
                <w:rFonts w:ascii="Times New Roman"/>
                <w:kern w:val="2"/>
              </w:rPr>
            </w:pPr>
            <w:r>
              <w:rPr>
                <w:rFonts w:hint="eastAsia" w:ascii="Times New Roman"/>
                <w:kern w:val="2"/>
              </w:rPr>
              <w:t>项目经理资格要求</w:t>
            </w:r>
          </w:p>
        </w:tc>
        <w:tc>
          <w:tcPr>
            <w:tcW w:w="5741" w:type="dxa"/>
            <w:tcBorders>
              <w:top w:val="single" w:color="auto" w:sz="4" w:space="0"/>
              <w:left w:val="nil"/>
              <w:bottom w:val="single" w:color="auto" w:sz="4" w:space="0"/>
              <w:right w:val="single" w:color="auto" w:sz="4" w:space="0"/>
            </w:tcBorders>
            <w:noWrap/>
            <w:vAlign w:val="center"/>
          </w:tcPr>
          <w:p>
            <w:pPr>
              <w:spacing w:line="312" w:lineRule="auto"/>
              <w:rPr>
                <w:rFonts w:ascii="Times New Roman"/>
                <w:kern w:val="2"/>
                <w:sz w:val="24"/>
              </w:rPr>
            </w:pPr>
            <w:r>
              <w:rPr>
                <w:rFonts w:hint="eastAsia" w:ascii="Times New Roman"/>
                <w:kern w:val="2"/>
                <w:sz w:val="24"/>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hAnsi="宋体"/>
                <w:kern w:val="2"/>
                <w:sz w:val="24"/>
                <w:szCs w:val="24"/>
              </w:rPr>
            </w:pPr>
          </w:p>
        </w:tc>
        <w:tc>
          <w:tcPr>
            <w:tcW w:w="625" w:type="dxa"/>
            <w:vMerge w:val="continue"/>
            <w:tcBorders>
              <w:top w:val="nil"/>
              <w:left w:val="nil"/>
              <w:bottom w:val="single" w:color="auto" w:sz="4" w:space="0"/>
              <w:right w:val="single" w:color="auto" w:sz="4" w:space="0"/>
            </w:tcBorders>
            <w:vAlign w:val="center"/>
          </w:tcPr>
          <w:p>
            <w:pPr>
              <w:widowControl/>
              <w:jc w:val="left"/>
              <w:rPr>
                <w:rFonts w:ascii="Calibri" w:hAnsi="宋体"/>
                <w:kern w:val="2"/>
                <w:sz w:val="24"/>
                <w:szCs w:val="24"/>
              </w:rPr>
            </w:pPr>
          </w:p>
        </w:tc>
        <w:tc>
          <w:tcPr>
            <w:tcW w:w="2618" w:type="dxa"/>
            <w:tcBorders>
              <w:top w:val="single" w:color="auto" w:sz="4" w:space="0"/>
              <w:left w:val="nil"/>
              <w:bottom w:val="single" w:color="auto" w:sz="4" w:space="0"/>
              <w:right w:val="single" w:color="auto" w:sz="4" w:space="0"/>
            </w:tcBorders>
            <w:noWrap/>
            <w:vAlign w:val="center"/>
          </w:tcPr>
          <w:p>
            <w:pPr>
              <w:autoSpaceDE w:val="0"/>
              <w:autoSpaceDN w:val="0"/>
              <w:spacing w:line="460" w:lineRule="exact"/>
              <w:contextualSpacing/>
              <w:jc w:val="center"/>
              <w:rPr>
                <w:rFonts w:ascii="Times New Roman"/>
                <w:kern w:val="2"/>
                <w:sz w:val="24"/>
              </w:rPr>
            </w:pPr>
            <w:r>
              <w:rPr>
                <w:rFonts w:hint="eastAsia" w:ascii="Times New Roman"/>
                <w:kern w:val="2"/>
                <w:sz w:val="24"/>
              </w:rPr>
              <w:t>其他</w:t>
            </w:r>
          </w:p>
        </w:tc>
        <w:tc>
          <w:tcPr>
            <w:tcW w:w="5741" w:type="dxa"/>
            <w:tcBorders>
              <w:top w:val="single" w:color="auto" w:sz="4" w:space="0"/>
              <w:left w:val="nil"/>
              <w:bottom w:val="single" w:color="auto" w:sz="4" w:space="0"/>
              <w:right w:val="single" w:color="auto" w:sz="4" w:space="0"/>
            </w:tcBorders>
            <w:noWrap/>
            <w:vAlign w:val="center"/>
          </w:tcPr>
          <w:p>
            <w:pPr>
              <w:spacing w:line="460" w:lineRule="exact"/>
              <w:jc w:val="left"/>
              <w:rPr>
                <w:rFonts w:ascii="Times New Roman"/>
                <w:kern w:val="2"/>
                <w:sz w:val="24"/>
              </w:rPr>
            </w:pPr>
            <w:r>
              <w:rPr>
                <w:rFonts w:hint="eastAsia" w:ascii="Times New Roman"/>
                <w:kern w:val="2"/>
                <w:sz w:val="24"/>
              </w:rPr>
              <w:t>符合资格要求的规定；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00" w:type="dxa"/>
            <w:vMerge w:val="restart"/>
            <w:tcBorders>
              <w:top w:val="nil"/>
              <w:left w:val="single" w:color="auto" w:sz="4" w:space="0"/>
              <w:bottom w:val="single" w:color="auto" w:sz="4" w:space="0"/>
              <w:right w:val="single" w:color="auto" w:sz="4" w:space="0"/>
            </w:tcBorders>
            <w:noWrap/>
            <w:vAlign w:val="center"/>
          </w:tcPr>
          <w:p>
            <w:pPr>
              <w:spacing w:line="312" w:lineRule="auto"/>
              <w:jc w:val="center"/>
              <w:rPr>
                <w:rFonts w:hAnsi="宋体"/>
                <w:kern w:val="2"/>
                <w:sz w:val="24"/>
                <w:szCs w:val="24"/>
              </w:rPr>
            </w:pPr>
            <w:bookmarkStart w:id="82" w:name="_Toc221950452"/>
            <w:r>
              <w:rPr>
                <w:rFonts w:hAnsi="宋体"/>
                <w:sz w:val="24"/>
                <w:szCs w:val="24"/>
              </w:rPr>
              <w:t>2.1.3</w:t>
            </w:r>
            <w:bookmarkEnd w:id="82"/>
          </w:p>
        </w:tc>
        <w:tc>
          <w:tcPr>
            <w:tcW w:w="625" w:type="dxa"/>
            <w:vMerge w:val="restart"/>
            <w:tcBorders>
              <w:top w:val="nil"/>
              <w:left w:val="nil"/>
              <w:bottom w:val="single" w:color="auto" w:sz="4" w:space="0"/>
              <w:right w:val="single" w:color="auto" w:sz="4" w:space="0"/>
            </w:tcBorders>
            <w:noWrap/>
            <w:vAlign w:val="center"/>
          </w:tcPr>
          <w:p>
            <w:pPr>
              <w:pStyle w:val="15"/>
              <w:autoSpaceDE w:val="0"/>
              <w:autoSpaceDN w:val="0"/>
              <w:spacing w:line="312" w:lineRule="auto"/>
              <w:jc w:val="center"/>
              <w:rPr>
                <w:rFonts w:ascii="Calibri"/>
                <w:kern w:val="2"/>
                <w:szCs w:val="24"/>
              </w:rPr>
            </w:pPr>
          </w:p>
          <w:p>
            <w:pPr>
              <w:pStyle w:val="15"/>
              <w:autoSpaceDE w:val="0"/>
              <w:autoSpaceDN w:val="0"/>
              <w:spacing w:line="312" w:lineRule="auto"/>
              <w:jc w:val="center"/>
              <w:rPr>
                <w:rFonts w:ascii="Calibri"/>
                <w:kern w:val="2"/>
              </w:rPr>
            </w:pPr>
            <w:r>
              <w:rPr>
                <w:rFonts w:hint="eastAsia" w:ascii="Times New Roman"/>
                <w:kern w:val="2"/>
              </w:rPr>
              <w:t>响应性评审</w:t>
            </w:r>
          </w:p>
        </w:tc>
        <w:tc>
          <w:tcPr>
            <w:tcW w:w="2618" w:type="dxa"/>
            <w:tcBorders>
              <w:top w:val="single" w:color="auto" w:sz="4" w:space="0"/>
              <w:left w:val="nil"/>
              <w:bottom w:val="single" w:color="auto" w:sz="4" w:space="0"/>
              <w:right w:val="single" w:color="auto" w:sz="4" w:space="0"/>
            </w:tcBorders>
            <w:noWrap/>
            <w:vAlign w:val="center"/>
          </w:tcPr>
          <w:p>
            <w:pPr>
              <w:pStyle w:val="15"/>
              <w:autoSpaceDE w:val="0"/>
              <w:autoSpaceDN w:val="0"/>
              <w:spacing w:line="312" w:lineRule="auto"/>
              <w:jc w:val="center"/>
              <w:rPr>
                <w:rFonts w:ascii="Calibri"/>
                <w:kern w:val="2"/>
              </w:rPr>
            </w:pPr>
            <w:r>
              <w:rPr>
                <w:rFonts w:hint="eastAsia" w:ascii="Times New Roman"/>
                <w:kern w:val="2"/>
              </w:rPr>
              <w:t>投标范围</w:t>
            </w:r>
          </w:p>
        </w:tc>
        <w:tc>
          <w:tcPr>
            <w:tcW w:w="5741" w:type="dxa"/>
            <w:tcBorders>
              <w:top w:val="single" w:color="auto" w:sz="4" w:space="0"/>
              <w:left w:val="nil"/>
              <w:bottom w:val="single" w:color="auto" w:sz="4" w:space="0"/>
              <w:right w:val="single" w:color="auto" w:sz="4" w:space="0"/>
            </w:tcBorders>
            <w:noWrap/>
            <w:vAlign w:val="center"/>
          </w:tcPr>
          <w:p>
            <w:pPr>
              <w:spacing w:line="312" w:lineRule="auto"/>
              <w:rPr>
                <w:rFonts w:hAnsi="宋体"/>
                <w:kern w:val="2"/>
                <w:sz w:val="24"/>
                <w:szCs w:val="24"/>
              </w:rPr>
            </w:pPr>
            <w:bookmarkStart w:id="83" w:name="_Toc221950422"/>
            <w:r>
              <w:rPr>
                <w:rFonts w:hint="eastAsia" w:hAnsi="宋体"/>
                <w:sz w:val="24"/>
                <w:szCs w:val="24"/>
              </w:rPr>
              <w:t>符合第二章“投标人须知”</w:t>
            </w:r>
            <w:bookmarkEnd w:id="83"/>
            <w:r>
              <w:rPr>
                <w:rFonts w:hint="eastAsia" w:hAnsi="宋体"/>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hAnsi="宋体"/>
                <w:kern w:val="2"/>
                <w:sz w:val="24"/>
                <w:szCs w:val="24"/>
              </w:rPr>
            </w:pPr>
          </w:p>
        </w:tc>
        <w:tc>
          <w:tcPr>
            <w:tcW w:w="625" w:type="dxa"/>
            <w:vMerge w:val="continue"/>
            <w:tcBorders>
              <w:top w:val="nil"/>
              <w:left w:val="nil"/>
              <w:bottom w:val="single" w:color="auto" w:sz="4" w:space="0"/>
              <w:right w:val="single" w:color="auto" w:sz="4" w:space="0"/>
            </w:tcBorders>
            <w:vAlign w:val="center"/>
          </w:tcPr>
          <w:p>
            <w:pPr>
              <w:widowControl/>
              <w:jc w:val="left"/>
              <w:rPr>
                <w:rFonts w:ascii="Calibri" w:hAnsi="宋体"/>
                <w:kern w:val="2"/>
                <w:sz w:val="24"/>
                <w:szCs w:val="24"/>
              </w:rPr>
            </w:pPr>
          </w:p>
        </w:tc>
        <w:tc>
          <w:tcPr>
            <w:tcW w:w="2618" w:type="dxa"/>
            <w:tcBorders>
              <w:top w:val="single" w:color="auto" w:sz="4" w:space="0"/>
              <w:left w:val="nil"/>
              <w:bottom w:val="single" w:color="auto" w:sz="4" w:space="0"/>
              <w:right w:val="single" w:color="auto" w:sz="4" w:space="0"/>
            </w:tcBorders>
            <w:noWrap/>
            <w:vAlign w:val="center"/>
          </w:tcPr>
          <w:p>
            <w:pPr>
              <w:pStyle w:val="15"/>
              <w:autoSpaceDE w:val="0"/>
              <w:autoSpaceDN w:val="0"/>
              <w:spacing w:line="312" w:lineRule="auto"/>
              <w:jc w:val="center"/>
              <w:rPr>
                <w:rFonts w:ascii="Calibri"/>
                <w:kern w:val="2"/>
              </w:rPr>
            </w:pPr>
            <w:r>
              <w:rPr>
                <w:rFonts w:hint="eastAsia" w:ascii="Times New Roman"/>
                <w:kern w:val="2"/>
              </w:rPr>
              <w:t>计划工期</w:t>
            </w:r>
          </w:p>
        </w:tc>
        <w:tc>
          <w:tcPr>
            <w:tcW w:w="5741" w:type="dxa"/>
            <w:tcBorders>
              <w:top w:val="single" w:color="auto" w:sz="4" w:space="0"/>
              <w:left w:val="nil"/>
              <w:bottom w:val="single" w:color="auto" w:sz="4" w:space="0"/>
              <w:right w:val="single" w:color="auto" w:sz="4" w:space="0"/>
            </w:tcBorders>
            <w:noWrap/>
            <w:vAlign w:val="center"/>
          </w:tcPr>
          <w:p>
            <w:pPr>
              <w:pStyle w:val="15"/>
              <w:autoSpaceDE w:val="0"/>
              <w:autoSpaceDN w:val="0"/>
              <w:spacing w:line="312" w:lineRule="auto"/>
              <w:rPr>
                <w:rFonts w:ascii="Calibri"/>
                <w:kern w:val="2"/>
              </w:rPr>
            </w:pPr>
            <w:r>
              <w:rPr>
                <w:rFonts w:hint="eastAsia" w:ascii="Times New Roman"/>
                <w:kern w:val="2"/>
              </w:rPr>
              <w:t>符合第二章“投标人须知”项规定；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hAnsi="宋体"/>
                <w:kern w:val="2"/>
                <w:sz w:val="24"/>
                <w:szCs w:val="24"/>
              </w:rPr>
            </w:pPr>
          </w:p>
        </w:tc>
        <w:tc>
          <w:tcPr>
            <w:tcW w:w="625" w:type="dxa"/>
            <w:vMerge w:val="continue"/>
            <w:tcBorders>
              <w:top w:val="nil"/>
              <w:left w:val="nil"/>
              <w:bottom w:val="single" w:color="auto" w:sz="4" w:space="0"/>
              <w:right w:val="single" w:color="auto" w:sz="4" w:space="0"/>
            </w:tcBorders>
            <w:vAlign w:val="center"/>
          </w:tcPr>
          <w:p>
            <w:pPr>
              <w:widowControl/>
              <w:jc w:val="left"/>
              <w:rPr>
                <w:rFonts w:ascii="Calibri" w:hAnsi="宋体"/>
                <w:kern w:val="2"/>
                <w:sz w:val="24"/>
                <w:szCs w:val="24"/>
              </w:rPr>
            </w:pPr>
          </w:p>
        </w:tc>
        <w:tc>
          <w:tcPr>
            <w:tcW w:w="2618" w:type="dxa"/>
            <w:tcBorders>
              <w:top w:val="single" w:color="auto" w:sz="4" w:space="0"/>
              <w:left w:val="nil"/>
              <w:bottom w:val="single" w:color="auto" w:sz="4" w:space="0"/>
              <w:right w:val="single" w:color="auto" w:sz="4" w:space="0"/>
            </w:tcBorders>
            <w:noWrap/>
            <w:vAlign w:val="center"/>
          </w:tcPr>
          <w:p>
            <w:pPr>
              <w:pStyle w:val="15"/>
              <w:autoSpaceDE w:val="0"/>
              <w:autoSpaceDN w:val="0"/>
              <w:spacing w:line="312" w:lineRule="auto"/>
              <w:jc w:val="center"/>
              <w:rPr>
                <w:rFonts w:ascii="Calibri"/>
                <w:kern w:val="2"/>
              </w:rPr>
            </w:pPr>
            <w:r>
              <w:rPr>
                <w:rFonts w:hint="eastAsia" w:ascii="Times New Roman"/>
                <w:kern w:val="2"/>
              </w:rPr>
              <w:t>工程质量</w:t>
            </w:r>
          </w:p>
        </w:tc>
        <w:tc>
          <w:tcPr>
            <w:tcW w:w="5741" w:type="dxa"/>
            <w:tcBorders>
              <w:top w:val="single" w:color="auto" w:sz="4" w:space="0"/>
              <w:left w:val="nil"/>
              <w:bottom w:val="single" w:color="auto" w:sz="4" w:space="0"/>
              <w:right w:val="single" w:color="auto" w:sz="4" w:space="0"/>
            </w:tcBorders>
            <w:noWrap/>
            <w:vAlign w:val="center"/>
          </w:tcPr>
          <w:p>
            <w:pPr>
              <w:pStyle w:val="15"/>
              <w:autoSpaceDE w:val="0"/>
              <w:autoSpaceDN w:val="0"/>
              <w:spacing w:line="312" w:lineRule="auto"/>
              <w:rPr>
                <w:rFonts w:ascii="Calibri"/>
                <w:kern w:val="2"/>
              </w:rPr>
            </w:pPr>
            <w:r>
              <w:rPr>
                <w:rFonts w:hint="eastAsia" w:ascii="Times New Roman"/>
                <w:kern w:val="2"/>
              </w:rPr>
              <w:t>符合第二章“投标人须知”项规定；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hAnsi="宋体"/>
                <w:kern w:val="2"/>
                <w:sz w:val="24"/>
                <w:szCs w:val="24"/>
              </w:rPr>
            </w:pPr>
          </w:p>
        </w:tc>
        <w:tc>
          <w:tcPr>
            <w:tcW w:w="625" w:type="dxa"/>
            <w:vMerge w:val="continue"/>
            <w:tcBorders>
              <w:top w:val="nil"/>
              <w:left w:val="nil"/>
              <w:bottom w:val="single" w:color="auto" w:sz="4" w:space="0"/>
              <w:right w:val="single" w:color="auto" w:sz="4" w:space="0"/>
            </w:tcBorders>
            <w:vAlign w:val="center"/>
          </w:tcPr>
          <w:p>
            <w:pPr>
              <w:widowControl/>
              <w:jc w:val="left"/>
              <w:rPr>
                <w:rFonts w:ascii="Calibri" w:hAnsi="宋体"/>
                <w:kern w:val="2"/>
                <w:sz w:val="24"/>
                <w:szCs w:val="24"/>
              </w:rPr>
            </w:pPr>
          </w:p>
        </w:tc>
        <w:tc>
          <w:tcPr>
            <w:tcW w:w="2618" w:type="dxa"/>
            <w:tcBorders>
              <w:top w:val="single" w:color="auto" w:sz="4" w:space="0"/>
              <w:left w:val="nil"/>
              <w:bottom w:val="single" w:color="auto" w:sz="4" w:space="0"/>
              <w:right w:val="single" w:color="auto" w:sz="4" w:space="0"/>
            </w:tcBorders>
            <w:noWrap/>
            <w:vAlign w:val="center"/>
          </w:tcPr>
          <w:p>
            <w:pPr>
              <w:pStyle w:val="15"/>
              <w:autoSpaceDE w:val="0"/>
              <w:autoSpaceDN w:val="0"/>
              <w:spacing w:line="312" w:lineRule="auto"/>
              <w:jc w:val="center"/>
              <w:rPr>
                <w:rFonts w:ascii="Calibri"/>
                <w:kern w:val="2"/>
              </w:rPr>
            </w:pPr>
            <w:r>
              <w:rPr>
                <w:rFonts w:hint="eastAsia" w:ascii="Times New Roman"/>
                <w:kern w:val="2"/>
              </w:rPr>
              <w:t>投标有效期</w:t>
            </w:r>
          </w:p>
        </w:tc>
        <w:tc>
          <w:tcPr>
            <w:tcW w:w="5741" w:type="dxa"/>
            <w:tcBorders>
              <w:top w:val="single" w:color="auto" w:sz="4" w:space="0"/>
              <w:left w:val="nil"/>
              <w:bottom w:val="single" w:color="auto" w:sz="4" w:space="0"/>
              <w:right w:val="single" w:color="auto" w:sz="4" w:space="0"/>
            </w:tcBorders>
            <w:noWrap/>
            <w:vAlign w:val="center"/>
          </w:tcPr>
          <w:p>
            <w:pPr>
              <w:pStyle w:val="15"/>
              <w:autoSpaceDE w:val="0"/>
              <w:autoSpaceDN w:val="0"/>
              <w:spacing w:line="312" w:lineRule="auto"/>
              <w:rPr>
                <w:rFonts w:ascii="Calibri"/>
                <w:kern w:val="2"/>
              </w:rPr>
            </w:pPr>
            <w:r>
              <w:rPr>
                <w:rFonts w:ascii="Calibri"/>
                <w:kern w:val="2"/>
              </w:rPr>
              <w:t>60</w:t>
            </w:r>
            <w:r>
              <w:rPr>
                <w:rFonts w:hint="eastAsia" w:ascii="Times New Roman"/>
                <w:kern w:val="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hAnsi="宋体"/>
                <w:kern w:val="2"/>
                <w:sz w:val="24"/>
                <w:szCs w:val="24"/>
              </w:rPr>
            </w:pPr>
          </w:p>
        </w:tc>
        <w:tc>
          <w:tcPr>
            <w:tcW w:w="625" w:type="dxa"/>
            <w:vMerge w:val="continue"/>
            <w:tcBorders>
              <w:top w:val="nil"/>
              <w:left w:val="nil"/>
              <w:bottom w:val="single" w:color="auto" w:sz="4" w:space="0"/>
              <w:right w:val="single" w:color="auto" w:sz="4" w:space="0"/>
            </w:tcBorders>
            <w:vAlign w:val="center"/>
          </w:tcPr>
          <w:p>
            <w:pPr>
              <w:widowControl/>
              <w:jc w:val="left"/>
              <w:rPr>
                <w:rFonts w:ascii="Calibri" w:hAnsi="宋体"/>
                <w:kern w:val="2"/>
                <w:sz w:val="24"/>
                <w:szCs w:val="24"/>
              </w:rPr>
            </w:pPr>
          </w:p>
        </w:tc>
        <w:tc>
          <w:tcPr>
            <w:tcW w:w="2618" w:type="dxa"/>
            <w:tcBorders>
              <w:top w:val="single" w:color="auto" w:sz="4" w:space="0"/>
              <w:left w:val="nil"/>
              <w:bottom w:val="single" w:color="auto" w:sz="4" w:space="0"/>
              <w:right w:val="single" w:color="auto" w:sz="4" w:space="0"/>
            </w:tcBorders>
            <w:noWrap/>
            <w:vAlign w:val="center"/>
          </w:tcPr>
          <w:p>
            <w:pPr>
              <w:pStyle w:val="15"/>
              <w:autoSpaceDE w:val="0"/>
              <w:autoSpaceDN w:val="0"/>
              <w:spacing w:line="312" w:lineRule="auto"/>
              <w:jc w:val="center"/>
              <w:rPr>
                <w:rFonts w:ascii="Calibri"/>
                <w:kern w:val="2"/>
              </w:rPr>
            </w:pPr>
            <w:r>
              <w:rPr>
                <w:rFonts w:hint="eastAsia" w:ascii="Times New Roman"/>
                <w:kern w:val="2"/>
              </w:rPr>
              <w:t>投标保证金</w:t>
            </w:r>
          </w:p>
        </w:tc>
        <w:tc>
          <w:tcPr>
            <w:tcW w:w="5741" w:type="dxa"/>
            <w:tcBorders>
              <w:top w:val="single" w:color="auto" w:sz="4" w:space="0"/>
              <w:left w:val="nil"/>
              <w:bottom w:val="single" w:color="auto" w:sz="4" w:space="0"/>
              <w:right w:val="single" w:color="auto" w:sz="4" w:space="0"/>
            </w:tcBorders>
            <w:noWrap/>
            <w:vAlign w:val="center"/>
          </w:tcPr>
          <w:p>
            <w:pPr>
              <w:pStyle w:val="15"/>
              <w:autoSpaceDE w:val="0"/>
              <w:autoSpaceDN w:val="0"/>
              <w:spacing w:line="312" w:lineRule="auto"/>
              <w:rPr>
                <w:rFonts w:ascii="Calibri"/>
                <w:kern w:val="2"/>
              </w:rPr>
            </w:pPr>
            <w:r>
              <w:rPr>
                <w:rFonts w:hint="eastAsia" w:ascii="Times New Roman"/>
                <w:kern w:val="2"/>
              </w:rPr>
              <w:t>符合第二章“投标人须知”款规定；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hAnsi="宋体"/>
                <w:kern w:val="2"/>
                <w:sz w:val="24"/>
                <w:szCs w:val="24"/>
              </w:rPr>
            </w:pPr>
          </w:p>
        </w:tc>
        <w:tc>
          <w:tcPr>
            <w:tcW w:w="625" w:type="dxa"/>
            <w:vMerge w:val="continue"/>
            <w:tcBorders>
              <w:top w:val="nil"/>
              <w:left w:val="nil"/>
              <w:bottom w:val="single" w:color="auto" w:sz="4" w:space="0"/>
              <w:right w:val="single" w:color="auto" w:sz="4" w:space="0"/>
            </w:tcBorders>
            <w:vAlign w:val="center"/>
          </w:tcPr>
          <w:p>
            <w:pPr>
              <w:widowControl/>
              <w:jc w:val="left"/>
              <w:rPr>
                <w:rFonts w:ascii="Calibri" w:hAnsi="宋体"/>
                <w:kern w:val="2"/>
                <w:sz w:val="24"/>
                <w:szCs w:val="24"/>
              </w:rPr>
            </w:pPr>
          </w:p>
        </w:tc>
        <w:tc>
          <w:tcPr>
            <w:tcW w:w="2618" w:type="dxa"/>
            <w:tcBorders>
              <w:top w:val="single" w:color="auto" w:sz="4" w:space="0"/>
              <w:left w:val="nil"/>
              <w:bottom w:val="single" w:color="auto" w:sz="4" w:space="0"/>
              <w:right w:val="single" w:color="auto" w:sz="4" w:space="0"/>
            </w:tcBorders>
            <w:noWrap/>
            <w:vAlign w:val="center"/>
          </w:tcPr>
          <w:p>
            <w:pPr>
              <w:pStyle w:val="15"/>
              <w:autoSpaceDE w:val="0"/>
              <w:autoSpaceDN w:val="0"/>
              <w:spacing w:line="312" w:lineRule="auto"/>
              <w:jc w:val="center"/>
              <w:rPr>
                <w:rFonts w:ascii="Calibri"/>
                <w:kern w:val="2"/>
              </w:rPr>
            </w:pPr>
            <w:r>
              <w:rPr>
                <w:rFonts w:hint="eastAsia" w:ascii="Times New Roman"/>
                <w:kern w:val="2"/>
              </w:rPr>
              <w:t>已标价工程量清单</w:t>
            </w:r>
          </w:p>
        </w:tc>
        <w:tc>
          <w:tcPr>
            <w:tcW w:w="5741" w:type="dxa"/>
            <w:tcBorders>
              <w:top w:val="single" w:color="auto" w:sz="4" w:space="0"/>
              <w:left w:val="nil"/>
              <w:bottom w:val="single" w:color="auto" w:sz="4" w:space="0"/>
              <w:right w:val="single" w:color="auto" w:sz="4" w:space="0"/>
            </w:tcBorders>
            <w:noWrap/>
            <w:vAlign w:val="center"/>
          </w:tcPr>
          <w:p>
            <w:pPr>
              <w:pStyle w:val="15"/>
              <w:autoSpaceDE w:val="0"/>
              <w:autoSpaceDN w:val="0"/>
              <w:spacing w:line="312" w:lineRule="auto"/>
              <w:rPr>
                <w:rFonts w:ascii="Calibri"/>
                <w:kern w:val="2"/>
              </w:rPr>
            </w:pPr>
            <w:r>
              <w:rPr>
                <w:rFonts w:hint="eastAsia" w:ascii="Times New Roman"/>
                <w:kern w:val="2"/>
              </w:rPr>
              <w:t>符合第五章“工程量清单”填报的要求；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hAnsi="宋体"/>
                <w:kern w:val="2"/>
                <w:sz w:val="24"/>
                <w:szCs w:val="24"/>
              </w:rPr>
            </w:pPr>
          </w:p>
        </w:tc>
        <w:tc>
          <w:tcPr>
            <w:tcW w:w="625" w:type="dxa"/>
            <w:vMerge w:val="continue"/>
            <w:tcBorders>
              <w:top w:val="nil"/>
              <w:left w:val="nil"/>
              <w:bottom w:val="single" w:color="auto" w:sz="4" w:space="0"/>
              <w:right w:val="single" w:color="auto" w:sz="4" w:space="0"/>
            </w:tcBorders>
            <w:vAlign w:val="center"/>
          </w:tcPr>
          <w:p>
            <w:pPr>
              <w:widowControl/>
              <w:jc w:val="left"/>
              <w:rPr>
                <w:rFonts w:ascii="Calibri" w:hAnsi="宋体"/>
                <w:kern w:val="2"/>
                <w:sz w:val="24"/>
                <w:szCs w:val="24"/>
              </w:rPr>
            </w:pPr>
          </w:p>
        </w:tc>
        <w:tc>
          <w:tcPr>
            <w:tcW w:w="2618" w:type="dxa"/>
            <w:tcBorders>
              <w:top w:val="single" w:color="auto" w:sz="4" w:space="0"/>
              <w:left w:val="nil"/>
              <w:bottom w:val="single" w:color="auto" w:sz="4" w:space="0"/>
              <w:right w:val="single" w:color="auto" w:sz="4" w:space="0"/>
            </w:tcBorders>
            <w:noWrap/>
            <w:vAlign w:val="center"/>
          </w:tcPr>
          <w:p>
            <w:pPr>
              <w:pStyle w:val="15"/>
              <w:autoSpaceDE w:val="0"/>
              <w:autoSpaceDN w:val="0"/>
              <w:spacing w:line="312" w:lineRule="auto"/>
              <w:jc w:val="center"/>
              <w:rPr>
                <w:rFonts w:ascii="Calibri"/>
                <w:kern w:val="2"/>
              </w:rPr>
            </w:pPr>
            <w:r>
              <w:rPr>
                <w:rFonts w:hint="eastAsia" w:ascii="Times New Roman"/>
                <w:kern w:val="2"/>
              </w:rPr>
              <w:t>技术标准和要求</w:t>
            </w:r>
          </w:p>
        </w:tc>
        <w:tc>
          <w:tcPr>
            <w:tcW w:w="5741" w:type="dxa"/>
            <w:tcBorders>
              <w:top w:val="single" w:color="auto" w:sz="4" w:space="0"/>
              <w:left w:val="nil"/>
              <w:bottom w:val="single" w:color="auto" w:sz="4" w:space="0"/>
              <w:right w:val="single" w:color="auto" w:sz="4" w:space="0"/>
            </w:tcBorders>
            <w:noWrap/>
            <w:vAlign w:val="center"/>
          </w:tcPr>
          <w:p>
            <w:pPr>
              <w:pStyle w:val="15"/>
              <w:autoSpaceDE w:val="0"/>
              <w:autoSpaceDN w:val="0"/>
              <w:spacing w:line="312" w:lineRule="auto"/>
              <w:rPr>
                <w:rFonts w:ascii="Calibri"/>
                <w:kern w:val="2"/>
              </w:rPr>
            </w:pPr>
            <w:r>
              <w:rPr>
                <w:rFonts w:hint="eastAsia" w:ascii="Times New Roman"/>
                <w:kern w:val="2"/>
              </w:rPr>
              <w:t>符合第七章“技术标准和要求”（合同技术条款）的规定。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hAnsi="宋体"/>
                <w:kern w:val="2"/>
                <w:sz w:val="24"/>
                <w:szCs w:val="24"/>
              </w:rPr>
            </w:pPr>
          </w:p>
        </w:tc>
        <w:tc>
          <w:tcPr>
            <w:tcW w:w="625" w:type="dxa"/>
            <w:vMerge w:val="continue"/>
            <w:tcBorders>
              <w:top w:val="nil"/>
              <w:left w:val="nil"/>
              <w:bottom w:val="single" w:color="auto" w:sz="4" w:space="0"/>
              <w:right w:val="single" w:color="auto" w:sz="4" w:space="0"/>
            </w:tcBorders>
            <w:vAlign w:val="center"/>
          </w:tcPr>
          <w:p>
            <w:pPr>
              <w:widowControl/>
              <w:jc w:val="left"/>
              <w:rPr>
                <w:rFonts w:ascii="Calibri" w:hAnsi="宋体"/>
                <w:kern w:val="2"/>
                <w:sz w:val="24"/>
                <w:szCs w:val="24"/>
              </w:rPr>
            </w:pPr>
          </w:p>
        </w:tc>
        <w:tc>
          <w:tcPr>
            <w:tcW w:w="2618" w:type="dxa"/>
            <w:tcBorders>
              <w:top w:val="single" w:color="auto" w:sz="4" w:space="0"/>
              <w:left w:val="nil"/>
              <w:bottom w:val="single" w:color="auto" w:sz="4" w:space="0"/>
              <w:right w:val="single" w:color="auto" w:sz="4" w:space="0"/>
            </w:tcBorders>
            <w:noWrap/>
            <w:vAlign w:val="center"/>
          </w:tcPr>
          <w:p>
            <w:pPr>
              <w:pStyle w:val="15"/>
              <w:autoSpaceDE w:val="0"/>
              <w:autoSpaceDN w:val="0"/>
              <w:spacing w:line="312" w:lineRule="auto"/>
              <w:jc w:val="center"/>
              <w:rPr>
                <w:rFonts w:ascii="Calibri"/>
                <w:kern w:val="2"/>
              </w:rPr>
            </w:pPr>
            <w:r>
              <w:rPr>
                <w:rFonts w:hint="eastAsia" w:ascii="Times New Roman"/>
                <w:kern w:val="2"/>
              </w:rPr>
              <w:t>投标报价</w:t>
            </w:r>
          </w:p>
        </w:tc>
        <w:tc>
          <w:tcPr>
            <w:tcW w:w="5741" w:type="dxa"/>
            <w:tcBorders>
              <w:top w:val="single" w:color="auto" w:sz="4" w:space="0"/>
              <w:left w:val="nil"/>
              <w:bottom w:val="single" w:color="auto" w:sz="4" w:space="0"/>
              <w:right w:val="single" w:color="auto" w:sz="4" w:space="0"/>
            </w:tcBorders>
            <w:noWrap/>
            <w:vAlign w:val="center"/>
          </w:tcPr>
          <w:p>
            <w:pPr>
              <w:pStyle w:val="15"/>
              <w:autoSpaceDE w:val="0"/>
              <w:autoSpaceDN w:val="0"/>
              <w:spacing w:line="312" w:lineRule="auto"/>
              <w:rPr>
                <w:rFonts w:ascii="Calibri"/>
                <w:kern w:val="2"/>
              </w:rPr>
            </w:pPr>
            <w:r>
              <w:rPr>
                <w:rFonts w:hint="eastAsia" w:ascii="Times New Roman"/>
                <w:kern w:val="2"/>
              </w:rPr>
              <w:t>投标报价不得低于成本或者高于招标文件设定的最高投标限价；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hAnsi="宋体"/>
                <w:kern w:val="2"/>
                <w:sz w:val="24"/>
                <w:szCs w:val="24"/>
              </w:rPr>
            </w:pPr>
          </w:p>
        </w:tc>
        <w:tc>
          <w:tcPr>
            <w:tcW w:w="625" w:type="dxa"/>
            <w:vMerge w:val="continue"/>
            <w:tcBorders>
              <w:top w:val="nil"/>
              <w:left w:val="nil"/>
              <w:bottom w:val="single" w:color="auto" w:sz="4" w:space="0"/>
              <w:right w:val="single" w:color="auto" w:sz="4" w:space="0"/>
            </w:tcBorders>
            <w:vAlign w:val="center"/>
          </w:tcPr>
          <w:p>
            <w:pPr>
              <w:widowControl/>
              <w:jc w:val="left"/>
              <w:rPr>
                <w:rFonts w:ascii="Calibri" w:hAnsi="宋体"/>
                <w:kern w:val="2"/>
                <w:sz w:val="24"/>
                <w:szCs w:val="24"/>
              </w:rPr>
            </w:pPr>
          </w:p>
        </w:tc>
        <w:tc>
          <w:tcPr>
            <w:tcW w:w="2618" w:type="dxa"/>
            <w:tcBorders>
              <w:top w:val="single" w:color="auto" w:sz="4" w:space="0"/>
              <w:left w:val="nil"/>
              <w:bottom w:val="single" w:color="auto" w:sz="4" w:space="0"/>
              <w:right w:val="single" w:color="auto" w:sz="4" w:space="0"/>
            </w:tcBorders>
            <w:noWrap/>
            <w:vAlign w:val="center"/>
          </w:tcPr>
          <w:p>
            <w:pPr>
              <w:pStyle w:val="15"/>
              <w:autoSpaceDE w:val="0"/>
              <w:autoSpaceDN w:val="0"/>
              <w:spacing w:line="312" w:lineRule="auto"/>
              <w:jc w:val="center"/>
              <w:rPr>
                <w:rFonts w:ascii="Calibri"/>
                <w:kern w:val="2"/>
              </w:rPr>
            </w:pPr>
            <w:r>
              <w:rPr>
                <w:rFonts w:hint="eastAsia" w:ascii="Times New Roman"/>
                <w:kern w:val="2"/>
              </w:rPr>
              <w:t>其他</w:t>
            </w:r>
          </w:p>
        </w:tc>
        <w:tc>
          <w:tcPr>
            <w:tcW w:w="5741" w:type="dxa"/>
            <w:tcBorders>
              <w:top w:val="single" w:color="auto" w:sz="4" w:space="0"/>
              <w:left w:val="nil"/>
              <w:bottom w:val="single" w:color="auto" w:sz="4" w:space="0"/>
              <w:right w:val="single" w:color="auto" w:sz="4" w:space="0"/>
            </w:tcBorders>
            <w:noWrap/>
            <w:vAlign w:val="center"/>
          </w:tcPr>
          <w:p>
            <w:pPr>
              <w:pStyle w:val="15"/>
              <w:autoSpaceDE w:val="0"/>
              <w:autoSpaceDN w:val="0"/>
              <w:spacing w:line="312" w:lineRule="auto"/>
              <w:rPr>
                <w:rFonts w:ascii="Calibri"/>
                <w:kern w:val="2"/>
              </w:rPr>
            </w:pPr>
            <w:r>
              <w:rPr>
                <w:rFonts w:hint="eastAsia" w:ascii="Times New Roman"/>
                <w:kern w:val="2"/>
              </w:rPr>
              <w:t>投标文件应附农民工工资支付承诺书、廉政承诺书。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gridSpan w:val="2"/>
            <w:tcBorders>
              <w:top w:val="single" w:color="auto" w:sz="4" w:space="0"/>
              <w:left w:val="single" w:color="auto" w:sz="4" w:space="0"/>
              <w:bottom w:val="single" w:color="auto" w:sz="4" w:space="0"/>
              <w:right w:val="single" w:color="auto" w:sz="4" w:space="0"/>
            </w:tcBorders>
            <w:noWrap/>
            <w:vAlign w:val="center"/>
          </w:tcPr>
          <w:p>
            <w:pPr>
              <w:spacing w:line="312" w:lineRule="auto"/>
              <w:jc w:val="center"/>
              <w:rPr>
                <w:rFonts w:hAnsi="宋体"/>
                <w:b/>
                <w:bCs/>
                <w:kern w:val="2"/>
                <w:sz w:val="24"/>
                <w:szCs w:val="24"/>
              </w:rPr>
            </w:pPr>
            <w:r>
              <w:rPr>
                <w:rFonts w:hint="eastAsia" w:hAnsi="宋体"/>
                <w:b/>
                <w:bCs/>
                <w:sz w:val="24"/>
                <w:szCs w:val="24"/>
              </w:rPr>
              <w:t>条款号</w:t>
            </w:r>
          </w:p>
        </w:tc>
        <w:tc>
          <w:tcPr>
            <w:tcW w:w="2618" w:type="dxa"/>
            <w:tcBorders>
              <w:top w:val="single" w:color="auto" w:sz="4" w:space="0"/>
              <w:left w:val="nil"/>
              <w:bottom w:val="single" w:color="auto" w:sz="4" w:space="0"/>
              <w:right w:val="single" w:color="auto" w:sz="4" w:space="0"/>
            </w:tcBorders>
            <w:noWrap/>
            <w:vAlign w:val="center"/>
          </w:tcPr>
          <w:p>
            <w:pPr>
              <w:spacing w:line="312" w:lineRule="auto"/>
              <w:jc w:val="center"/>
              <w:rPr>
                <w:rFonts w:hAnsi="宋体"/>
                <w:b/>
                <w:bCs/>
                <w:kern w:val="2"/>
                <w:sz w:val="24"/>
                <w:szCs w:val="24"/>
              </w:rPr>
            </w:pPr>
            <w:r>
              <w:rPr>
                <w:rFonts w:hint="eastAsia" w:hAnsi="宋体"/>
                <w:b/>
                <w:bCs/>
                <w:sz w:val="24"/>
                <w:szCs w:val="24"/>
              </w:rPr>
              <w:t>评分因素</w:t>
            </w:r>
          </w:p>
        </w:tc>
        <w:tc>
          <w:tcPr>
            <w:tcW w:w="5741" w:type="dxa"/>
            <w:tcBorders>
              <w:top w:val="single" w:color="auto" w:sz="4" w:space="0"/>
              <w:left w:val="nil"/>
              <w:bottom w:val="single" w:color="auto" w:sz="4" w:space="0"/>
              <w:right w:val="single" w:color="auto" w:sz="4" w:space="0"/>
            </w:tcBorders>
            <w:noWrap/>
            <w:vAlign w:val="center"/>
          </w:tcPr>
          <w:p>
            <w:pPr>
              <w:spacing w:line="312" w:lineRule="auto"/>
              <w:ind w:right="248"/>
              <w:rPr>
                <w:rFonts w:hAnsi="宋体"/>
                <w:kern w:val="2"/>
                <w:sz w:val="24"/>
                <w:szCs w:val="24"/>
              </w:rPr>
            </w:pPr>
            <w:r>
              <w:rPr>
                <w:rFonts w:hint="eastAsia" w:hAnsi="宋体"/>
                <w:b/>
                <w:bCs/>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25" w:type="dxa"/>
            <w:gridSpan w:val="2"/>
            <w:vMerge w:val="restart"/>
            <w:tcBorders>
              <w:top w:val="nil"/>
              <w:left w:val="single" w:color="auto" w:sz="4" w:space="0"/>
              <w:bottom w:val="single" w:color="auto" w:sz="4" w:space="0"/>
              <w:right w:val="single" w:color="auto" w:sz="4" w:space="0"/>
            </w:tcBorders>
            <w:noWrap/>
            <w:vAlign w:val="center"/>
          </w:tcPr>
          <w:p>
            <w:pPr>
              <w:spacing w:line="273" w:lineRule="auto"/>
              <w:jc w:val="center"/>
              <w:rPr>
                <w:rFonts w:hAnsi="宋体" w:cs="宋体"/>
                <w:kern w:val="2"/>
                <w:sz w:val="24"/>
                <w:szCs w:val="24"/>
              </w:rPr>
            </w:pPr>
            <w:r>
              <w:rPr>
                <w:rFonts w:hAnsi="宋体"/>
                <w:sz w:val="24"/>
                <w:szCs w:val="24"/>
              </w:rPr>
              <w:t>2.2.2</w:t>
            </w:r>
          </w:p>
        </w:tc>
        <w:tc>
          <w:tcPr>
            <w:tcW w:w="2618" w:type="dxa"/>
            <w:tcBorders>
              <w:top w:val="single" w:color="auto" w:sz="4" w:space="0"/>
              <w:left w:val="nil"/>
              <w:bottom w:val="single" w:color="auto" w:sz="4" w:space="0"/>
              <w:right w:val="single" w:color="auto" w:sz="4" w:space="0"/>
            </w:tcBorders>
            <w:noWrap/>
            <w:vAlign w:val="center"/>
          </w:tcPr>
          <w:p>
            <w:pPr>
              <w:pStyle w:val="15"/>
              <w:spacing w:line="273" w:lineRule="auto"/>
              <w:jc w:val="center"/>
              <w:rPr>
                <w:rFonts w:ascii="Calibri"/>
                <w:kern w:val="2"/>
              </w:rPr>
            </w:pPr>
            <w:r>
              <w:rPr>
                <w:rFonts w:hint="eastAsia" w:ascii="Times New Roman"/>
                <w:kern w:val="2"/>
              </w:rPr>
              <w:t>投标人获奖</w:t>
            </w:r>
          </w:p>
        </w:tc>
        <w:tc>
          <w:tcPr>
            <w:tcW w:w="5741" w:type="dxa"/>
            <w:tcBorders>
              <w:top w:val="single" w:color="auto" w:sz="4" w:space="0"/>
              <w:left w:val="nil"/>
              <w:bottom w:val="single" w:color="auto" w:sz="4" w:space="0"/>
              <w:right w:val="single" w:color="auto" w:sz="4" w:space="0"/>
            </w:tcBorders>
            <w:noWrap/>
            <w:vAlign w:val="center"/>
          </w:tcPr>
          <w:p>
            <w:pPr>
              <w:spacing w:line="273" w:lineRule="auto"/>
              <w:rPr>
                <w:rFonts w:hAnsi="宋体" w:cs="宋体"/>
                <w:kern w:val="2"/>
                <w:sz w:val="24"/>
                <w:szCs w:val="24"/>
              </w:rPr>
            </w:pPr>
            <w:r>
              <w:rPr>
                <w:rFonts w:hint="eastAsia" w:hAnsi="宋体"/>
                <w:sz w:val="24"/>
                <w:szCs w:val="24"/>
              </w:rPr>
              <w:t>以下情形为奖励额度，累计不超过</w:t>
            </w:r>
            <w:r>
              <w:rPr>
                <w:rFonts w:hAnsi="宋体" w:cs="宋体"/>
                <w:sz w:val="24"/>
                <w:szCs w:val="24"/>
              </w:rPr>
              <w:t>3%</w:t>
            </w:r>
            <w:r>
              <w:rPr>
                <w:rFonts w:hint="eastAsia" w:hAnsi="宋体"/>
                <w:sz w:val="24"/>
                <w:szCs w:val="24"/>
              </w:rPr>
              <w:t>：</w:t>
            </w:r>
          </w:p>
          <w:p>
            <w:pPr>
              <w:spacing w:line="273" w:lineRule="auto"/>
              <w:rPr>
                <w:rFonts w:hAnsi="宋体" w:cs="宋体"/>
                <w:sz w:val="24"/>
                <w:szCs w:val="24"/>
              </w:rPr>
            </w:pPr>
            <w:r>
              <w:rPr>
                <w:rFonts w:hAnsi="宋体" w:cs="宋体"/>
                <w:sz w:val="24"/>
                <w:szCs w:val="24"/>
              </w:rPr>
              <w:t>1.</w:t>
            </w:r>
            <w:r>
              <w:rPr>
                <w:rFonts w:hint="eastAsia" w:hAnsi="宋体"/>
                <w:sz w:val="24"/>
                <w:szCs w:val="24"/>
              </w:rPr>
              <w:t>承建的水利工程近三年获得省级以上（含省级）行政主管部门或其精神文明指导委员会颁发的“文明工地”称号的，增加或减少投标报价的</w:t>
            </w:r>
            <w:r>
              <w:rPr>
                <w:rFonts w:hAnsi="宋体" w:cs="宋体"/>
                <w:sz w:val="24"/>
                <w:szCs w:val="24"/>
              </w:rPr>
              <w:t>0.1%</w:t>
            </w:r>
            <w:r>
              <w:rPr>
                <w:rFonts w:hint="eastAsia" w:hAnsi="宋体"/>
                <w:sz w:val="24"/>
                <w:szCs w:val="24"/>
              </w:rPr>
              <w:t>，本项最多不超过</w:t>
            </w:r>
            <w:r>
              <w:rPr>
                <w:rFonts w:hAnsi="宋体" w:cs="宋体"/>
                <w:sz w:val="24"/>
                <w:szCs w:val="24"/>
              </w:rPr>
              <w:t>0.5%</w:t>
            </w:r>
            <w:r>
              <w:rPr>
                <w:rFonts w:hint="eastAsia" w:hAnsi="宋体"/>
                <w:sz w:val="24"/>
                <w:szCs w:val="24"/>
              </w:rPr>
              <w:t>。</w:t>
            </w:r>
          </w:p>
          <w:p>
            <w:pPr>
              <w:spacing w:line="273" w:lineRule="auto"/>
              <w:rPr>
                <w:rFonts w:hAnsi="宋体" w:cs="宋体"/>
                <w:sz w:val="24"/>
                <w:szCs w:val="24"/>
              </w:rPr>
            </w:pPr>
            <w:r>
              <w:rPr>
                <w:rFonts w:hAnsi="宋体" w:cs="宋体"/>
                <w:sz w:val="24"/>
                <w:szCs w:val="24"/>
              </w:rPr>
              <w:t>2.</w:t>
            </w:r>
            <w:r>
              <w:rPr>
                <w:rFonts w:hint="eastAsia" w:hAnsi="宋体"/>
                <w:sz w:val="24"/>
                <w:szCs w:val="24"/>
              </w:rPr>
              <w:t>承建的水利工程近三年获得省级行政主管部门颁发的“优质工程”或“优秀施工”的，增加或减少投标报价的</w:t>
            </w:r>
            <w:r>
              <w:rPr>
                <w:rFonts w:hAnsi="宋体" w:cs="宋体"/>
                <w:sz w:val="24"/>
                <w:szCs w:val="24"/>
              </w:rPr>
              <w:t>0.1%</w:t>
            </w:r>
            <w:r>
              <w:rPr>
                <w:rFonts w:hint="eastAsia" w:hAnsi="宋体"/>
                <w:sz w:val="24"/>
                <w:szCs w:val="24"/>
              </w:rPr>
              <w:t>，本项最多不超过</w:t>
            </w:r>
            <w:r>
              <w:rPr>
                <w:rFonts w:hAnsi="宋体" w:cs="宋体"/>
                <w:sz w:val="24"/>
                <w:szCs w:val="24"/>
              </w:rPr>
              <w:t>0.5%</w:t>
            </w:r>
            <w:r>
              <w:rPr>
                <w:rFonts w:hint="eastAsia" w:hAnsi="宋体"/>
                <w:sz w:val="24"/>
                <w:szCs w:val="24"/>
              </w:rPr>
              <w:t>。</w:t>
            </w:r>
          </w:p>
          <w:p>
            <w:pPr>
              <w:spacing w:line="273" w:lineRule="auto"/>
              <w:rPr>
                <w:rFonts w:hAnsi="宋体" w:cs="宋体"/>
                <w:sz w:val="24"/>
                <w:szCs w:val="24"/>
              </w:rPr>
            </w:pPr>
            <w:r>
              <w:rPr>
                <w:rFonts w:hAnsi="宋体" w:cs="宋体"/>
                <w:sz w:val="24"/>
                <w:szCs w:val="24"/>
              </w:rPr>
              <w:t>3.</w:t>
            </w:r>
            <w:r>
              <w:rPr>
                <w:rFonts w:hint="eastAsia" w:hAnsi="宋体"/>
                <w:sz w:val="24"/>
                <w:szCs w:val="24"/>
              </w:rPr>
              <w:t>承建的水利工程近三年获得“大禹奖”或“鲁班奖”的，增加或减少投标报价的</w:t>
            </w:r>
            <w:r>
              <w:rPr>
                <w:rFonts w:hAnsi="宋体" w:cs="宋体"/>
                <w:sz w:val="24"/>
                <w:szCs w:val="24"/>
              </w:rPr>
              <w:t>1%</w:t>
            </w:r>
            <w:r>
              <w:rPr>
                <w:rFonts w:hint="eastAsia" w:hAnsi="宋体"/>
                <w:sz w:val="24"/>
                <w:szCs w:val="24"/>
              </w:rPr>
              <w:t>，本项最多不超过</w:t>
            </w:r>
            <w:r>
              <w:rPr>
                <w:rFonts w:hAnsi="宋体" w:cs="宋体"/>
                <w:sz w:val="24"/>
                <w:szCs w:val="24"/>
              </w:rPr>
              <w:t>1%</w:t>
            </w:r>
            <w:r>
              <w:rPr>
                <w:rFonts w:hint="eastAsia" w:hAnsi="宋体"/>
                <w:sz w:val="24"/>
                <w:szCs w:val="24"/>
              </w:rPr>
              <w:t>。</w:t>
            </w:r>
          </w:p>
          <w:p>
            <w:pPr>
              <w:spacing w:line="273" w:lineRule="auto"/>
              <w:rPr>
                <w:rFonts w:hAnsi="宋体" w:cs="宋体"/>
                <w:sz w:val="24"/>
                <w:szCs w:val="24"/>
              </w:rPr>
            </w:pPr>
            <w:r>
              <w:rPr>
                <w:rFonts w:hAnsi="宋体" w:cs="宋体"/>
                <w:sz w:val="24"/>
                <w:szCs w:val="24"/>
              </w:rPr>
              <w:t>4.</w:t>
            </w:r>
            <w:r>
              <w:rPr>
                <w:rFonts w:hint="eastAsia" w:hAnsi="宋体"/>
                <w:sz w:val="24"/>
                <w:szCs w:val="24"/>
              </w:rPr>
              <w:t>获得“水利安全生产标准化”达标单位的，一级（水利部颁发）增加或减少投标报价</w:t>
            </w:r>
            <w:r>
              <w:rPr>
                <w:rFonts w:hAnsi="宋体" w:cs="宋体"/>
                <w:sz w:val="24"/>
                <w:szCs w:val="24"/>
              </w:rPr>
              <w:t>1.5%</w:t>
            </w:r>
            <w:r>
              <w:rPr>
                <w:rFonts w:hint="eastAsia" w:hAnsi="宋体"/>
                <w:sz w:val="24"/>
                <w:szCs w:val="24"/>
              </w:rPr>
              <w:t>，二级（省级水行政主管部门颁发）增加或减少投标报价</w:t>
            </w:r>
            <w:r>
              <w:rPr>
                <w:rFonts w:hAnsi="宋体" w:cs="宋体"/>
                <w:sz w:val="24"/>
                <w:szCs w:val="24"/>
              </w:rPr>
              <w:t>1%</w:t>
            </w:r>
            <w:r>
              <w:rPr>
                <w:rFonts w:hint="eastAsia" w:hAnsi="宋体"/>
                <w:sz w:val="24"/>
                <w:szCs w:val="24"/>
              </w:rPr>
              <w:t>，三级（省辖市或直管县水行政主管部门颁发）增加或减少投标报价</w:t>
            </w:r>
            <w:r>
              <w:rPr>
                <w:rFonts w:hAnsi="宋体" w:cs="宋体"/>
                <w:sz w:val="24"/>
                <w:szCs w:val="24"/>
              </w:rPr>
              <w:t>0.5%</w:t>
            </w:r>
            <w:r>
              <w:rPr>
                <w:rFonts w:hint="eastAsia" w:hAnsi="宋体"/>
                <w:sz w:val="24"/>
                <w:szCs w:val="24"/>
              </w:rPr>
              <w:t>。</w:t>
            </w:r>
          </w:p>
          <w:p>
            <w:pPr>
              <w:spacing w:line="273" w:lineRule="auto"/>
              <w:rPr>
                <w:rFonts w:hAnsi="宋体" w:cs="宋体"/>
                <w:kern w:val="2"/>
                <w:sz w:val="24"/>
                <w:szCs w:val="24"/>
              </w:rPr>
            </w:pPr>
            <w:r>
              <w:rPr>
                <w:rFonts w:hint="eastAsia" w:hAnsi="宋体"/>
                <w:sz w:val="24"/>
                <w:szCs w:val="24"/>
              </w:rPr>
              <w:t>上述</w:t>
            </w:r>
            <w:r>
              <w:rPr>
                <w:rFonts w:hAnsi="宋体" w:cs="宋体"/>
                <w:sz w:val="24"/>
                <w:szCs w:val="24"/>
              </w:rPr>
              <w:t>1</w:t>
            </w:r>
            <w:r>
              <w:rPr>
                <w:rFonts w:hint="eastAsia" w:hAnsi="宋体"/>
                <w:sz w:val="24"/>
                <w:szCs w:val="24"/>
              </w:rPr>
              <w:t>、</w:t>
            </w:r>
            <w:r>
              <w:rPr>
                <w:rFonts w:hAnsi="宋体" w:cs="宋体"/>
                <w:sz w:val="24"/>
                <w:szCs w:val="24"/>
              </w:rPr>
              <w:t>2</w:t>
            </w:r>
            <w:r>
              <w:rPr>
                <w:rFonts w:hint="eastAsia" w:hAnsi="宋体"/>
                <w:sz w:val="24"/>
                <w:szCs w:val="24"/>
              </w:rPr>
              <w:t>、</w:t>
            </w:r>
            <w:r>
              <w:rPr>
                <w:rFonts w:hAnsi="宋体" w:cs="宋体"/>
                <w:sz w:val="24"/>
                <w:szCs w:val="24"/>
              </w:rPr>
              <w:t>3</w:t>
            </w:r>
            <w:r>
              <w:rPr>
                <w:rFonts w:hint="eastAsia" w:hAnsi="宋体"/>
                <w:sz w:val="24"/>
                <w:szCs w:val="24"/>
              </w:rPr>
              <w:t>项加分时，同一奖项类别的同一工程不重复计算</w:t>
            </w:r>
            <w:r>
              <w:rPr>
                <w:rFonts w:hAnsi="宋体" w:cs="宋体"/>
                <w:sz w:val="24"/>
                <w:szCs w:val="24"/>
              </w:rPr>
              <w:t>,</w:t>
            </w:r>
            <w:r>
              <w:rPr>
                <w:rFonts w:hint="eastAsia" w:hAnsi="宋体"/>
                <w:sz w:val="24"/>
                <w:szCs w:val="24"/>
              </w:rPr>
              <w:t>同一工程获得两个以上奖项按最高奖项计算一次。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2"/>
                <w:sz w:val="24"/>
                <w:szCs w:val="24"/>
              </w:rPr>
            </w:pPr>
          </w:p>
        </w:tc>
        <w:tc>
          <w:tcPr>
            <w:tcW w:w="2618" w:type="dxa"/>
            <w:tcBorders>
              <w:top w:val="single" w:color="auto" w:sz="4" w:space="0"/>
              <w:left w:val="nil"/>
              <w:bottom w:val="single" w:color="auto" w:sz="4" w:space="0"/>
              <w:right w:val="single" w:color="auto" w:sz="4" w:space="0"/>
            </w:tcBorders>
            <w:noWrap/>
            <w:vAlign w:val="center"/>
          </w:tcPr>
          <w:p>
            <w:pPr>
              <w:pStyle w:val="15"/>
              <w:spacing w:line="273" w:lineRule="auto"/>
              <w:jc w:val="center"/>
              <w:rPr>
                <w:rFonts w:ascii="Calibri"/>
                <w:kern w:val="2"/>
              </w:rPr>
            </w:pPr>
            <w:r>
              <w:rPr>
                <w:rFonts w:hint="eastAsia" w:ascii="Times New Roman"/>
                <w:kern w:val="2"/>
              </w:rPr>
              <w:t>投标人受罚</w:t>
            </w:r>
          </w:p>
        </w:tc>
        <w:tc>
          <w:tcPr>
            <w:tcW w:w="5741" w:type="dxa"/>
            <w:tcBorders>
              <w:top w:val="single" w:color="auto" w:sz="4" w:space="0"/>
              <w:left w:val="nil"/>
              <w:bottom w:val="single" w:color="auto" w:sz="4" w:space="0"/>
              <w:right w:val="single" w:color="auto" w:sz="4" w:space="0"/>
            </w:tcBorders>
            <w:noWrap/>
            <w:vAlign w:val="center"/>
          </w:tcPr>
          <w:p>
            <w:pPr>
              <w:spacing w:line="273" w:lineRule="auto"/>
              <w:rPr>
                <w:rFonts w:hAnsi="宋体" w:cs="宋体"/>
                <w:kern w:val="2"/>
                <w:sz w:val="24"/>
                <w:szCs w:val="24"/>
              </w:rPr>
            </w:pPr>
            <w:r>
              <w:rPr>
                <w:rFonts w:hint="eastAsia" w:hAnsi="宋体"/>
                <w:sz w:val="24"/>
                <w:szCs w:val="24"/>
              </w:rPr>
              <w:t>以下情形为惩罚额度，没有累计限制：</w:t>
            </w:r>
          </w:p>
          <w:p>
            <w:pPr>
              <w:spacing w:line="273" w:lineRule="auto"/>
              <w:rPr>
                <w:rFonts w:hAnsi="宋体" w:cs="宋体"/>
                <w:sz w:val="24"/>
                <w:szCs w:val="24"/>
              </w:rPr>
            </w:pPr>
            <w:r>
              <w:rPr>
                <w:rFonts w:hAnsi="宋体" w:cs="宋体"/>
                <w:sz w:val="24"/>
                <w:szCs w:val="24"/>
              </w:rPr>
              <w:t>1.</w:t>
            </w:r>
            <w:r>
              <w:rPr>
                <w:rFonts w:hint="eastAsia" w:hAnsi="宋体"/>
                <w:sz w:val="24"/>
                <w:szCs w:val="24"/>
              </w:rPr>
              <w:t>近三年承建的水利工程发生过一般安全生产事故的，一次增加或减少投标报价的</w:t>
            </w:r>
            <w:r>
              <w:rPr>
                <w:rFonts w:hAnsi="宋体" w:cs="宋体"/>
                <w:sz w:val="24"/>
                <w:szCs w:val="24"/>
              </w:rPr>
              <w:t>3%</w:t>
            </w:r>
            <w:r>
              <w:rPr>
                <w:rFonts w:hint="eastAsia" w:hAnsi="宋体"/>
                <w:sz w:val="24"/>
                <w:szCs w:val="24"/>
              </w:rPr>
              <w:t>，较大及以上的一次增加或减少投标报价的</w:t>
            </w:r>
            <w:r>
              <w:rPr>
                <w:rFonts w:hAnsi="宋体" w:cs="宋体"/>
                <w:sz w:val="24"/>
                <w:szCs w:val="24"/>
              </w:rPr>
              <w:t>5%</w:t>
            </w:r>
            <w:r>
              <w:rPr>
                <w:rFonts w:hint="eastAsia" w:hAnsi="宋体"/>
                <w:sz w:val="24"/>
                <w:szCs w:val="24"/>
              </w:rPr>
              <w:t>。</w:t>
            </w:r>
          </w:p>
          <w:p>
            <w:pPr>
              <w:spacing w:line="273" w:lineRule="auto"/>
              <w:rPr>
                <w:rFonts w:hAnsi="宋体" w:cs="宋体"/>
                <w:sz w:val="24"/>
                <w:szCs w:val="24"/>
              </w:rPr>
            </w:pPr>
            <w:r>
              <w:rPr>
                <w:rFonts w:hAnsi="宋体" w:cs="宋体"/>
                <w:sz w:val="24"/>
                <w:szCs w:val="24"/>
              </w:rPr>
              <w:t>2.</w:t>
            </w:r>
            <w:r>
              <w:rPr>
                <w:rFonts w:hint="eastAsia" w:hAnsi="宋体"/>
                <w:sz w:val="24"/>
                <w:szCs w:val="24"/>
              </w:rPr>
              <w:t>近三年承建的水利工程发生过一般质量事故的，一次增加或减少投标报价的</w:t>
            </w:r>
            <w:r>
              <w:rPr>
                <w:rFonts w:hAnsi="宋体" w:cs="宋体"/>
                <w:sz w:val="24"/>
                <w:szCs w:val="24"/>
              </w:rPr>
              <w:t>3%</w:t>
            </w:r>
            <w:r>
              <w:rPr>
                <w:rFonts w:hint="eastAsia" w:hAnsi="宋体"/>
                <w:sz w:val="24"/>
                <w:szCs w:val="24"/>
              </w:rPr>
              <w:t>，较大及以上的一次增加或减少投标报价的</w:t>
            </w:r>
            <w:r>
              <w:rPr>
                <w:rFonts w:hAnsi="宋体" w:cs="宋体"/>
                <w:sz w:val="24"/>
                <w:szCs w:val="24"/>
              </w:rPr>
              <w:t>5%</w:t>
            </w:r>
            <w:r>
              <w:rPr>
                <w:rFonts w:hint="eastAsia" w:hAnsi="宋体"/>
                <w:sz w:val="24"/>
                <w:szCs w:val="24"/>
              </w:rPr>
              <w:t>。</w:t>
            </w:r>
          </w:p>
          <w:p>
            <w:pPr>
              <w:spacing w:line="273" w:lineRule="auto"/>
              <w:rPr>
                <w:rFonts w:hAnsi="宋体" w:cs="宋体"/>
                <w:kern w:val="2"/>
                <w:sz w:val="24"/>
                <w:szCs w:val="24"/>
              </w:rPr>
            </w:pPr>
            <w:r>
              <w:rPr>
                <w:rFonts w:hAnsi="宋体" w:cs="宋体"/>
                <w:sz w:val="24"/>
                <w:szCs w:val="24"/>
              </w:rPr>
              <w:t>3.</w:t>
            </w:r>
            <w:r>
              <w:rPr>
                <w:rFonts w:hint="eastAsia" w:hAnsi="宋体"/>
                <w:sz w:val="24"/>
                <w:szCs w:val="24"/>
              </w:rPr>
              <w:t>除以上</w:t>
            </w:r>
            <w:r>
              <w:rPr>
                <w:rFonts w:hAnsi="宋体" w:cs="宋体"/>
                <w:sz w:val="24"/>
                <w:szCs w:val="24"/>
              </w:rPr>
              <w:t>1</w:t>
            </w:r>
            <w:r>
              <w:rPr>
                <w:rFonts w:hint="eastAsia" w:hAnsi="宋体"/>
                <w:sz w:val="24"/>
                <w:szCs w:val="24"/>
              </w:rPr>
              <w:t>、</w:t>
            </w:r>
            <w:r>
              <w:rPr>
                <w:rFonts w:hAnsi="宋体" w:cs="宋体"/>
                <w:sz w:val="24"/>
                <w:szCs w:val="24"/>
              </w:rPr>
              <w:t>2</w:t>
            </w:r>
            <w:r>
              <w:rPr>
                <w:rFonts w:hint="eastAsia" w:hAnsi="宋体"/>
                <w:sz w:val="24"/>
                <w:szCs w:val="24"/>
              </w:rPr>
              <w:t>项外，不良行为记录在河南省或全国水利建设市场信用信息平台上公告且在处罚期限内的，一次增加或减少投标报价的</w:t>
            </w:r>
            <w:r>
              <w:rPr>
                <w:rFonts w:hAnsi="宋体" w:cs="宋体"/>
                <w:sz w:val="24"/>
                <w:szCs w:val="24"/>
              </w:rPr>
              <w:t>3%</w:t>
            </w:r>
            <w:r>
              <w:rPr>
                <w:rFonts w:hint="eastAsia"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gridSpan w:val="2"/>
            <w:tcBorders>
              <w:top w:val="single" w:color="auto" w:sz="4" w:space="0"/>
              <w:left w:val="single" w:color="auto" w:sz="4" w:space="0"/>
              <w:bottom w:val="single" w:color="auto" w:sz="4" w:space="0"/>
              <w:right w:val="single" w:color="auto" w:sz="4" w:space="0"/>
            </w:tcBorders>
            <w:noWrap/>
            <w:vAlign w:val="center"/>
          </w:tcPr>
          <w:p>
            <w:pPr>
              <w:spacing w:line="273" w:lineRule="auto"/>
              <w:rPr>
                <w:rFonts w:hAnsi="宋体" w:cs="宋体"/>
                <w:kern w:val="2"/>
                <w:sz w:val="24"/>
                <w:szCs w:val="24"/>
              </w:rPr>
            </w:pPr>
          </w:p>
        </w:tc>
        <w:tc>
          <w:tcPr>
            <w:tcW w:w="2618" w:type="dxa"/>
            <w:tcBorders>
              <w:top w:val="single" w:color="auto" w:sz="4" w:space="0"/>
              <w:left w:val="nil"/>
              <w:bottom w:val="single" w:color="auto" w:sz="4" w:space="0"/>
              <w:right w:val="single" w:color="auto" w:sz="4" w:space="0"/>
            </w:tcBorders>
            <w:noWrap/>
            <w:vAlign w:val="center"/>
          </w:tcPr>
          <w:p>
            <w:pPr>
              <w:pStyle w:val="15"/>
              <w:spacing w:line="273" w:lineRule="auto"/>
              <w:jc w:val="center"/>
              <w:rPr>
                <w:rFonts w:ascii="Calibri"/>
                <w:kern w:val="2"/>
              </w:rPr>
            </w:pPr>
            <w:r>
              <w:rPr>
                <w:rFonts w:hint="eastAsia" w:ascii="Times New Roman"/>
                <w:kern w:val="2"/>
              </w:rPr>
              <w:t>投标人信用等级</w:t>
            </w:r>
          </w:p>
        </w:tc>
        <w:tc>
          <w:tcPr>
            <w:tcW w:w="5741" w:type="dxa"/>
            <w:tcBorders>
              <w:top w:val="single" w:color="auto" w:sz="4" w:space="0"/>
              <w:left w:val="nil"/>
              <w:bottom w:val="single" w:color="auto" w:sz="4" w:space="0"/>
              <w:right w:val="single" w:color="auto" w:sz="4" w:space="0"/>
            </w:tcBorders>
            <w:noWrap/>
            <w:vAlign w:val="center"/>
          </w:tcPr>
          <w:p>
            <w:pPr>
              <w:spacing w:line="273" w:lineRule="auto"/>
              <w:rPr>
                <w:rFonts w:hAnsi="宋体" w:cs="宋体"/>
                <w:kern w:val="2"/>
                <w:sz w:val="24"/>
                <w:szCs w:val="24"/>
              </w:rPr>
            </w:pPr>
            <w:r>
              <w:rPr>
                <w:rFonts w:hint="eastAsia" w:hAnsi="宋体"/>
                <w:sz w:val="24"/>
                <w:szCs w:val="24"/>
              </w:rPr>
              <w:t>投标人信用等级的权重</w:t>
            </w:r>
            <w:r>
              <w:rPr>
                <w:rFonts w:hAnsi="宋体" w:cs="宋体"/>
                <w:sz w:val="24"/>
                <w:szCs w:val="24"/>
              </w:rPr>
              <w:t>:</w:t>
            </w:r>
            <w:r>
              <w:rPr>
                <w:rFonts w:hint="eastAsia" w:hAnsi="宋体"/>
                <w:sz w:val="24"/>
                <w:szCs w:val="24"/>
              </w:rPr>
              <w:t>信用等级经水利部评定且在有效期内，并以</w:t>
            </w:r>
            <w:r>
              <w:rPr>
                <w:rFonts w:hint="eastAsia" w:hAnsi="宋体"/>
                <w:sz w:val="24"/>
              </w:rPr>
              <w:t>全国水利建设市场监管服务平台或</w:t>
            </w:r>
            <w:r>
              <w:rPr>
                <w:rFonts w:hint="eastAsia" w:hAnsi="宋体"/>
                <w:sz w:val="24"/>
                <w:szCs w:val="24"/>
              </w:rPr>
              <w:t>河南省水利建设市场信用信息平台公开的为准。信用等级分值或权重：</w:t>
            </w:r>
            <w:r>
              <w:rPr>
                <w:rFonts w:hAnsi="宋体" w:cs="宋体"/>
                <w:sz w:val="24"/>
                <w:szCs w:val="24"/>
              </w:rPr>
              <w:t>AAA</w:t>
            </w:r>
            <w:r>
              <w:rPr>
                <w:rFonts w:hint="eastAsia" w:hAnsi="宋体"/>
                <w:sz w:val="24"/>
                <w:szCs w:val="24"/>
              </w:rPr>
              <w:t>级为</w:t>
            </w:r>
            <w:r>
              <w:rPr>
                <w:rFonts w:hAnsi="宋体" w:cs="宋体"/>
                <w:sz w:val="24"/>
                <w:szCs w:val="24"/>
              </w:rPr>
              <w:t>5%</w:t>
            </w:r>
            <w:r>
              <w:rPr>
                <w:rFonts w:hint="eastAsia" w:hAnsi="宋体"/>
                <w:sz w:val="24"/>
                <w:szCs w:val="24"/>
              </w:rPr>
              <w:t>，</w:t>
            </w:r>
            <w:r>
              <w:rPr>
                <w:rFonts w:hAnsi="宋体" w:cs="宋体"/>
                <w:sz w:val="24"/>
                <w:szCs w:val="24"/>
              </w:rPr>
              <w:t>AA</w:t>
            </w:r>
            <w:r>
              <w:rPr>
                <w:rFonts w:hint="eastAsia" w:hAnsi="宋体"/>
                <w:sz w:val="24"/>
                <w:szCs w:val="24"/>
              </w:rPr>
              <w:t>级为</w:t>
            </w:r>
            <w:r>
              <w:rPr>
                <w:rFonts w:hAnsi="宋体" w:cs="宋体"/>
                <w:sz w:val="24"/>
                <w:szCs w:val="24"/>
              </w:rPr>
              <w:t>4%</w:t>
            </w:r>
            <w:r>
              <w:rPr>
                <w:rFonts w:hint="eastAsia" w:hAnsi="宋体"/>
                <w:sz w:val="24"/>
                <w:szCs w:val="24"/>
              </w:rPr>
              <w:t>，</w:t>
            </w:r>
            <w:r>
              <w:rPr>
                <w:rFonts w:hAnsi="宋体" w:cs="宋体"/>
                <w:sz w:val="24"/>
                <w:szCs w:val="24"/>
              </w:rPr>
              <w:t>A</w:t>
            </w:r>
            <w:r>
              <w:rPr>
                <w:rFonts w:hint="eastAsia" w:hAnsi="宋体"/>
                <w:sz w:val="24"/>
                <w:szCs w:val="24"/>
              </w:rPr>
              <w:t>级为</w:t>
            </w:r>
            <w:r>
              <w:rPr>
                <w:rFonts w:hAnsi="宋体" w:cs="宋体"/>
                <w:sz w:val="24"/>
                <w:szCs w:val="24"/>
              </w:rPr>
              <w:t>3%</w:t>
            </w:r>
            <w:r>
              <w:rPr>
                <w:rFonts w:hint="eastAsia" w:hAnsi="宋体"/>
                <w:sz w:val="24"/>
                <w:szCs w:val="24"/>
              </w:rPr>
              <w:t>，</w:t>
            </w:r>
            <w:r>
              <w:rPr>
                <w:rFonts w:hAnsi="宋体" w:cs="宋体"/>
                <w:sz w:val="24"/>
                <w:szCs w:val="24"/>
              </w:rPr>
              <w:t>BBB</w:t>
            </w:r>
            <w:r>
              <w:rPr>
                <w:rFonts w:hint="eastAsia" w:hAnsi="宋体"/>
                <w:sz w:val="24"/>
                <w:szCs w:val="24"/>
              </w:rPr>
              <w:t>级为</w:t>
            </w:r>
            <w:r>
              <w:rPr>
                <w:rFonts w:hAnsi="宋体" w:cs="宋体"/>
                <w:sz w:val="24"/>
                <w:szCs w:val="24"/>
              </w:rPr>
              <w:t>1%</w:t>
            </w:r>
            <w:r>
              <w:rPr>
                <w:rFonts w:hint="eastAsia" w:hAnsi="宋体"/>
                <w:sz w:val="24"/>
                <w:szCs w:val="24"/>
              </w:rPr>
              <w:t>，</w:t>
            </w:r>
            <w:r>
              <w:rPr>
                <w:rFonts w:hAnsi="宋体" w:cs="宋体"/>
                <w:sz w:val="24"/>
                <w:szCs w:val="24"/>
              </w:rPr>
              <w:t>CCC</w:t>
            </w:r>
            <w:r>
              <w:rPr>
                <w:rFonts w:hint="eastAsia" w:hAnsi="宋体"/>
                <w:sz w:val="24"/>
                <w:szCs w:val="24"/>
              </w:rPr>
              <w:t>级为</w:t>
            </w:r>
            <w:r>
              <w:rPr>
                <w:rFonts w:hAnsi="宋体" w:cs="宋体"/>
                <w:sz w:val="24"/>
                <w:szCs w:val="24"/>
              </w:rPr>
              <w:t>0</w:t>
            </w:r>
            <w:r>
              <w:rPr>
                <w:rFonts w:hint="eastAsia" w:hAnsi="宋体"/>
                <w:sz w:val="24"/>
                <w:szCs w:val="24"/>
              </w:rPr>
              <w:t>。</w:t>
            </w:r>
          </w:p>
          <w:p>
            <w:pPr>
              <w:spacing w:line="273" w:lineRule="auto"/>
              <w:rPr>
                <w:rFonts w:hAnsi="宋体" w:cs="宋体"/>
                <w:sz w:val="24"/>
                <w:szCs w:val="24"/>
              </w:rPr>
            </w:pPr>
            <w:r>
              <w:rPr>
                <w:rFonts w:hint="eastAsia" w:hAnsi="宋体"/>
                <w:sz w:val="24"/>
                <w:szCs w:val="24"/>
              </w:rPr>
              <w:t>（一）投标人在信用信息平台已建立信用档案，没有信用等级的，其信用等级视为</w:t>
            </w:r>
            <w:r>
              <w:rPr>
                <w:rFonts w:hAnsi="宋体" w:cs="宋体"/>
                <w:sz w:val="24"/>
                <w:szCs w:val="24"/>
              </w:rPr>
              <w:t>BBB</w:t>
            </w:r>
            <w:r>
              <w:rPr>
                <w:rFonts w:hint="eastAsia" w:hAnsi="宋体"/>
                <w:sz w:val="24"/>
                <w:szCs w:val="24"/>
              </w:rPr>
              <w:t>级；未建立信用档案的视为</w:t>
            </w:r>
            <w:r>
              <w:rPr>
                <w:rFonts w:hAnsi="宋体" w:cs="宋体"/>
                <w:sz w:val="24"/>
                <w:szCs w:val="24"/>
              </w:rPr>
              <w:t>CCC</w:t>
            </w:r>
            <w:r>
              <w:rPr>
                <w:rFonts w:hint="eastAsia" w:hAnsi="宋体"/>
                <w:sz w:val="24"/>
                <w:szCs w:val="24"/>
              </w:rPr>
              <w:t>级。</w:t>
            </w:r>
          </w:p>
          <w:p>
            <w:pPr>
              <w:spacing w:line="273" w:lineRule="auto"/>
              <w:rPr>
                <w:rFonts w:hAnsi="宋体" w:cs="宋体"/>
                <w:sz w:val="24"/>
                <w:szCs w:val="24"/>
              </w:rPr>
            </w:pPr>
            <w:r>
              <w:rPr>
                <w:rFonts w:hint="eastAsia" w:hAnsi="宋体"/>
                <w:sz w:val="24"/>
                <w:szCs w:val="24"/>
              </w:rPr>
              <w:t>（二）投标人近两年内存在且被发现有下列严重失信行为的，信用等级视为</w:t>
            </w:r>
            <w:r>
              <w:rPr>
                <w:rFonts w:hAnsi="宋体" w:cs="宋体"/>
                <w:sz w:val="24"/>
                <w:szCs w:val="24"/>
              </w:rPr>
              <w:t>CCC</w:t>
            </w:r>
            <w:r>
              <w:rPr>
                <w:rFonts w:hint="eastAsia" w:hAnsi="宋体"/>
                <w:sz w:val="24"/>
                <w:szCs w:val="24"/>
              </w:rPr>
              <w:t>级：</w:t>
            </w:r>
          </w:p>
          <w:p>
            <w:pPr>
              <w:spacing w:line="273" w:lineRule="auto"/>
              <w:rPr>
                <w:rFonts w:hAnsi="宋体" w:cs="宋体"/>
                <w:sz w:val="24"/>
                <w:szCs w:val="24"/>
              </w:rPr>
            </w:pPr>
            <w:r>
              <w:rPr>
                <w:rFonts w:hAnsi="宋体" w:cs="宋体"/>
                <w:sz w:val="24"/>
                <w:szCs w:val="24"/>
              </w:rPr>
              <w:t>1.</w:t>
            </w:r>
            <w:r>
              <w:rPr>
                <w:rFonts w:hint="eastAsia" w:hAnsi="宋体"/>
                <w:sz w:val="24"/>
                <w:szCs w:val="24"/>
              </w:rPr>
              <w:t>出借、借用资质证书进行投标或承接工程的；</w:t>
            </w:r>
          </w:p>
          <w:p>
            <w:pPr>
              <w:spacing w:line="273" w:lineRule="auto"/>
              <w:rPr>
                <w:rFonts w:hAnsi="宋体" w:cs="宋体"/>
                <w:sz w:val="24"/>
                <w:szCs w:val="24"/>
              </w:rPr>
            </w:pPr>
            <w:r>
              <w:rPr>
                <w:rFonts w:hAnsi="宋体" w:cs="宋体"/>
                <w:sz w:val="24"/>
                <w:szCs w:val="24"/>
              </w:rPr>
              <w:t>2.</w:t>
            </w:r>
            <w:r>
              <w:rPr>
                <w:rFonts w:hint="eastAsia" w:hAnsi="宋体"/>
                <w:sz w:val="24"/>
                <w:szCs w:val="24"/>
              </w:rPr>
              <w:t>围标、串标的；</w:t>
            </w:r>
          </w:p>
          <w:p>
            <w:pPr>
              <w:spacing w:line="273" w:lineRule="auto"/>
              <w:rPr>
                <w:rFonts w:hAnsi="宋体" w:cs="宋体"/>
                <w:sz w:val="24"/>
                <w:szCs w:val="24"/>
              </w:rPr>
            </w:pPr>
            <w:r>
              <w:rPr>
                <w:rFonts w:hAnsi="宋体" w:cs="宋体"/>
                <w:sz w:val="24"/>
                <w:szCs w:val="24"/>
              </w:rPr>
              <w:t>3.</w:t>
            </w:r>
            <w:r>
              <w:rPr>
                <w:rFonts w:hint="eastAsia" w:hAnsi="宋体"/>
                <w:sz w:val="24"/>
                <w:szCs w:val="24"/>
              </w:rPr>
              <w:t>转包或违法分包所承揽工程的；</w:t>
            </w:r>
          </w:p>
          <w:p>
            <w:pPr>
              <w:spacing w:line="273" w:lineRule="auto"/>
              <w:rPr>
                <w:rFonts w:hAnsi="宋体" w:cs="宋体"/>
                <w:sz w:val="24"/>
                <w:szCs w:val="24"/>
              </w:rPr>
            </w:pPr>
            <w:r>
              <w:rPr>
                <w:rFonts w:hAnsi="宋体" w:cs="宋体"/>
                <w:sz w:val="24"/>
                <w:szCs w:val="24"/>
              </w:rPr>
              <w:t>4.</w:t>
            </w:r>
            <w:r>
              <w:rPr>
                <w:rFonts w:hint="eastAsia" w:hAnsi="宋体"/>
                <w:sz w:val="24"/>
                <w:szCs w:val="24"/>
              </w:rPr>
              <w:t>有行贿、受贿违法记录的；</w:t>
            </w:r>
          </w:p>
          <w:p>
            <w:pPr>
              <w:spacing w:line="273" w:lineRule="auto"/>
              <w:rPr>
                <w:rFonts w:hAnsi="宋体" w:cs="宋体"/>
                <w:sz w:val="24"/>
                <w:szCs w:val="24"/>
              </w:rPr>
            </w:pPr>
            <w:r>
              <w:rPr>
                <w:rFonts w:hAnsi="宋体" w:cs="宋体"/>
                <w:sz w:val="24"/>
                <w:szCs w:val="24"/>
              </w:rPr>
              <w:t>5.</w:t>
            </w:r>
            <w:r>
              <w:rPr>
                <w:rFonts w:hint="eastAsia" w:hAnsi="宋体"/>
                <w:sz w:val="24"/>
                <w:szCs w:val="24"/>
              </w:rPr>
              <w:t>对重</w:t>
            </w:r>
            <w:r>
              <w:rPr>
                <w:rFonts w:hAnsi="宋体" w:cs="宋体"/>
                <w:sz w:val="24"/>
                <w:szCs w:val="24"/>
              </w:rPr>
              <w:t>(</w:t>
            </w:r>
            <w:r>
              <w:rPr>
                <w:rFonts w:hint="eastAsia" w:hAnsi="宋体"/>
                <w:sz w:val="24"/>
                <w:szCs w:val="24"/>
              </w:rPr>
              <w:t>特</w:t>
            </w:r>
            <w:r>
              <w:rPr>
                <w:rFonts w:hAnsi="宋体" w:cs="宋体"/>
                <w:sz w:val="24"/>
                <w:szCs w:val="24"/>
              </w:rPr>
              <w:t>)</w:t>
            </w:r>
            <w:r>
              <w:rPr>
                <w:rFonts w:hint="eastAsia" w:hAnsi="宋体"/>
                <w:sz w:val="24"/>
                <w:szCs w:val="24"/>
              </w:rPr>
              <w:t>大质量事故、生产安全事故负有直接责任的；</w:t>
            </w:r>
          </w:p>
          <w:p>
            <w:pPr>
              <w:spacing w:line="273" w:lineRule="auto"/>
              <w:rPr>
                <w:rFonts w:hAnsi="宋体" w:cs="宋体"/>
                <w:sz w:val="24"/>
                <w:szCs w:val="24"/>
              </w:rPr>
            </w:pPr>
            <w:r>
              <w:rPr>
                <w:rFonts w:hAnsi="宋体" w:cs="宋体"/>
                <w:sz w:val="24"/>
                <w:szCs w:val="24"/>
              </w:rPr>
              <w:t>6.</w:t>
            </w:r>
            <w:r>
              <w:rPr>
                <w:rFonts w:hint="eastAsia" w:hAnsi="宋体"/>
                <w:sz w:val="24"/>
                <w:szCs w:val="24"/>
              </w:rPr>
              <w:t>公开信息隐瞒真实情况、弄虚作假的</w:t>
            </w:r>
            <w:r>
              <w:rPr>
                <w:rFonts w:hAnsi="宋体" w:cs="宋体"/>
                <w:sz w:val="24"/>
                <w:szCs w:val="24"/>
              </w:rPr>
              <w:t>;</w:t>
            </w:r>
          </w:p>
          <w:p>
            <w:pPr>
              <w:spacing w:line="273" w:lineRule="auto"/>
              <w:rPr>
                <w:rFonts w:hAnsi="宋体" w:cs="宋体"/>
                <w:sz w:val="24"/>
                <w:szCs w:val="24"/>
              </w:rPr>
            </w:pPr>
            <w:r>
              <w:rPr>
                <w:rFonts w:hAnsi="宋体" w:cs="宋体"/>
                <w:sz w:val="24"/>
                <w:szCs w:val="24"/>
              </w:rPr>
              <w:t>7.</w:t>
            </w:r>
            <w:r>
              <w:rPr>
                <w:rFonts w:hint="eastAsia" w:hAnsi="宋体"/>
                <w:sz w:val="24"/>
                <w:szCs w:val="24"/>
              </w:rPr>
              <w:t>拖欠农民工工资数额较大或造成严重不良影响的</w:t>
            </w:r>
            <w:r>
              <w:rPr>
                <w:rFonts w:hAnsi="宋体" w:cs="宋体"/>
                <w:sz w:val="24"/>
                <w:szCs w:val="24"/>
              </w:rPr>
              <w:t>;</w:t>
            </w:r>
          </w:p>
          <w:p>
            <w:pPr>
              <w:spacing w:line="273" w:lineRule="auto"/>
              <w:rPr>
                <w:rFonts w:hAnsi="宋体" w:cs="宋体"/>
                <w:kern w:val="2"/>
                <w:sz w:val="24"/>
                <w:szCs w:val="24"/>
              </w:rPr>
            </w:pPr>
            <w:r>
              <w:rPr>
                <w:rFonts w:hAnsi="宋体" w:cs="宋体"/>
                <w:sz w:val="24"/>
                <w:szCs w:val="24"/>
              </w:rPr>
              <w:t>8.</w:t>
            </w:r>
            <w:r>
              <w:rPr>
                <w:rFonts w:hint="eastAsia" w:hAnsi="宋体"/>
                <w:sz w:val="24"/>
                <w:szCs w:val="24"/>
              </w:rPr>
              <w:t>国家和省有关法律法规规定的其他情形。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gridSpan w:val="2"/>
            <w:tcBorders>
              <w:top w:val="single" w:color="auto" w:sz="4" w:space="0"/>
              <w:left w:val="single" w:color="auto" w:sz="4" w:space="0"/>
              <w:bottom w:val="single" w:color="auto" w:sz="4" w:space="0"/>
              <w:right w:val="single" w:color="auto" w:sz="4" w:space="0"/>
            </w:tcBorders>
            <w:noWrap/>
            <w:vAlign w:val="center"/>
          </w:tcPr>
          <w:p>
            <w:pPr>
              <w:spacing w:line="273" w:lineRule="auto"/>
              <w:rPr>
                <w:rFonts w:hAnsi="宋体" w:cs="宋体"/>
                <w:kern w:val="2"/>
                <w:sz w:val="24"/>
                <w:szCs w:val="24"/>
              </w:rPr>
            </w:pPr>
          </w:p>
        </w:tc>
        <w:tc>
          <w:tcPr>
            <w:tcW w:w="2618" w:type="dxa"/>
            <w:tcBorders>
              <w:top w:val="single" w:color="auto" w:sz="4" w:space="0"/>
              <w:left w:val="nil"/>
              <w:bottom w:val="single" w:color="auto" w:sz="4" w:space="0"/>
              <w:right w:val="single" w:color="auto" w:sz="4" w:space="0"/>
            </w:tcBorders>
            <w:noWrap/>
            <w:vAlign w:val="center"/>
          </w:tcPr>
          <w:p>
            <w:pPr>
              <w:pStyle w:val="15"/>
              <w:spacing w:line="273" w:lineRule="auto"/>
              <w:jc w:val="center"/>
              <w:rPr>
                <w:rFonts w:ascii="Calibri"/>
                <w:kern w:val="2"/>
              </w:rPr>
            </w:pPr>
            <w:r>
              <w:rPr>
                <w:rFonts w:hint="eastAsia" w:ascii="Times New Roman"/>
                <w:kern w:val="2"/>
              </w:rPr>
              <w:t>评标价的确定</w:t>
            </w:r>
          </w:p>
        </w:tc>
        <w:tc>
          <w:tcPr>
            <w:tcW w:w="5741" w:type="dxa"/>
            <w:tcBorders>
              <w:top w:val="single" w:color="auto" w:sz="4" w:space="0"/>
              <w:left w:val="nil"/>
              <w:bottom w:val="single" w:color="auto" w:sz="4" w:space="0"/>
              <w:right w:val="single" w:color="auto" w:sz="4" w:space="0"/>
            </w:tcBorders>
            <w:noWrap/>
            <w:vAlign w:val="center"/>
          </w:tcPr>
          <w:p>
            <w:pPr>
              <w:spacing w:line="273" w:lineRule="auto"/>
              <w:rPr>
                <w:rFonts w:hAnsi="宋体" w:cs="宋体"/>
                <w:kern w:val="2"/>
                <w:sz w:val="24"/>
                <w:szCs w:val="24"/>
              </w:rPr>
            </w:pPr>
            <w:r>
              <w:rPr>
                <w:rFonts w:hint="eastAsia" w:hAnsi="宋体"/>
                <w:sz w:val="24"/>
                <w:szCs w:val="24"/>
              </w:rPr>
              <w:t>投标人权重</w:t>
            </w:r>
            <w:r>
              <w:rPr>
                <w:rFonts w:hAnsi="宋体" w:cs="宋体"/>
                <w:sz w:val="24"/>
                <w:szCs w:val="24"/>
              </w:rPr>
              <w:t>Q</w:t>
            </w:r>
            <w:r>
              <w:rPr>
                <w:rFonts w:hint="eastAsia" w:hAnsi="宋体"/>
                <w:sz w:val="24"/>
                <w:szCs w:val="24"/>
              </w:rPr>
              <w:t>具体计算过程：</w:t>
            </w:r>
          </w:p>
          <w:p>
            <w:pPr>
              <w:spacing w:line="273" w:lineRule="auto"/>
              <w:rPr>
                <w:rFonts w:hAnsi="宋体" w:cs="宋体"/>
                <w:sz w:val="24"/>
                <w:szCs w:val="24"/>
              </w:rPr>
            </w:pPr>
            <w:r>
              <w:rPr>
                <w:rFonts w:hint="eastAsia" w:hAnsi="宋体"/>
                <w:sz w:val="24"/>
                <w:szCs w:val="24"/>
              </w:rPr>
              <w:t>投标人权重</w:t>
            </w:r>
            <w:r>
              <w:rPr>
                <w:rFonts w:hAnsi="宋体" w:cs="宋体"/>
                <w:sz w:val="24"/>
                <w:szCs w:val="24"/>
              </w:rPr>
              <w:t>Q=</w:t>
            </w:r>
            <w:r>
              <w:rPr>
                <w:rFonts w:hint="eastAsia" w:hAnsi="宋体"/>
                <w:sz w:val="24"/>
                <w:szCs w:val="24"/>
              </w:rPr>
              <w:t>（</w:t>
            </w:r>
            <w:r>
              <w:rPr>
                <w:rFonts w:hAnsi="宋体" w:cs="宋体"/>
                <w:sz w:val="24"/>
                <w:szCs w:val="24"/>
              </w:rPr>
              <w:t>1-|A-B|/A</w:t>
            </w:r>
            <w:r>
              <w:rPr>
                <w:rFonts w:hint="eastAsia" w:hAnsi="宋体"/>
                <w:sz w:val="24"/>
                <w:szCs w:val="24"/>
              </w:rPr>
              <w:t>）×</w:t>
            </w:r>
            <w:r>
              <w:rPr>
                <w:rFonts w:hAnsi="宋体" w:cs="宋体"/>
                <w:sz w:val="24"/>
                <w:szCs w:val="24"/>
              </w:rPr>
              <w:t>100</w:t>
            </w:r>
            <w:r>
              <w:rPr>
                <w:rFonts w:hint="eastAsia" w:hAnsi="宋体"/>
                <w:sz w:val="24"/>
                <w:szCs w:val="24"/>
              </w:rPr>
              <w:t>％</w:t>
            </w:r>
            <w:r>
              <w:rPr>
                <w:rFonts w:hAnsi="宋体" w:cs="宋体"/>
                <w:sz w:val="24"/>
                <w:szCs w:val="24"/>
              </w:rPr>
              <w:t>+C</w:t>
            </w:r>
          </w:p>
          <w:p>
            <w:pPr>
              <w:spacing w:line="273" w:lineRule="auto"/>
              <w:rPr>
                <w:rFonts w:hAnsi="宋体" w:cs="宋体"/>
                <w:sz w:val="24"/>
                <w:szCs w:val="24"/>
              </w:rPr>
            </w:pPr>
            <w:r>
              <w:rPr>
                <w:rFonts w:hint="eastAsia" w:hAnsi="宋体"/>
                <w:sz w:val="24"/>
                <w:szCs w:val="24"/>
              </w:rPr>
              <w:t>投标人权重结果保留两位小数。</w:t>
            </w:r>
          </w:p>
          <w:p>
            <w:pPr>
              <w:spacing w:line="273" w:lineRule="auto"/>
              <w:rPr>
                <w:rFonts w:hAnsi="宋体" w:cs="宋体"/>
                <w:sz w:val="24"/>
                <w:szCs w:val="24"/>
              </w:rPr>
            </w:pPr>
            <w:r>
              <w:rPr>
                <w:rFonts w:hAnsi="宋体" w:cs="宋体"/>
                <w:sz w:val="24"/>
                <w:szCs w:val="24"/>
              </w:rPr>
              <w:t>A</w:t>
            </w:r>
            <w:r>
              <w:rPr>
                <w:rFonts w:hint="eastAsia" w:hAnsi="宋体"/>
                <w:sz w:val="24"/>
                <w:szCs w:val="24"/>
              </w:rPr>
              <w:t>（合理评标价）</w:t>
            </w:r>
            <w:r>
              <w:rPr>
                <w:rFonts w:hAnsi="宋体" w:cs="宋体"/>
                <w:sz w:val="24"/>
                <w:szCs w:val="24"/>
              </w:rPr>
              <w:t>=</w:t>
            </w:r>
            <w:r>
              <w:rPr>
                <w:rFonts w:hint="eastAsia" w:hAnsi="宋体"/>
                <w:sz w:val="24"/>
                <w:szCs w:val="24"/>
              </w:rPr>
              <w:t>最高投标限价×调整系数α</w:t>
            </w:r>
          </w:p>
          <w:p>
            <w:pPr>
              <w:spacing w:line="273" w:lineRule="auto"/>
              <w:rPr>
                <w:rFonts w:hAnsi="宋体" w:cs="宋体"/>
                <w:sz w:val="24"/>
                <w:szCs w:val="24"/>
              </w:rPr>
            </w:pPr>
            <w:r>
              <w:rPr>
                <w:rFonts w:hAnsi="宋体" w:cs="宋体"/>
                <w:sz w:val="24"/>
                <w:szCs w:val="24"/>
              </w:rPr>
              <w:t>B</w:t>
            </w:r>
            <w:r>
              <w:rPr>
                <w:rFonts w:hint="eastAsia" w:hAnsi="宋体"/>
                <w:sz w:val="24"/>
                <w:szCs w:val="24"/>
              </w:rPr>
              <w:t>（投标人评标价）</w:t>
            </w:r>
            <w:r>
              <w:rPr>
                <w:rFonts w:hAnsi="宋体" w:cs="宋体"/>
                <w:sz w:val="24"/>
                <w:szCs w:val="24"/>
              </w:rPr>
              <w:t>=</w:t>
            </w:r>
            <w:r>
              <w:rPr>
                <w:rFonts w:hint="eastAsia" w:hAnsi="宋体"/>
                <w:sz w:val="24"/>
                <w:szCs w:val="24"/>
              </w:rPr>
              <w:t>投标人报价±奖励惩罚额度合计</w:t>
            </w:r>
          </w:p>
          <w:p>
            <w:pPr>
              <w:spacing w:line="273" w:lineRule="auto"/>
              <w:rPr>
                <w:rFonts w:hAnsi="宋体" w:cs="宋体"/>
                <w:sz w:val="24"/>
                <w:szCs w:val="24"/>
              </w:rPr>
            </w:pPr>
            <w:r>
              <w:rPr>
                <w:rFonts w:hAnsi="宋体" w:cs="宋体"/>
                <w:sz w:val="24"/>
                <w:szCs w:val="24"/>
              </w:rPr>
              <w:t>C</w:t>
            </w:r>
            <w:r>
              <w:rPr>
                <w:rFonts w:hint="eastAsia" w:hAnsi="宋体"/>
                <w:sz w:val="24"/>
                <w:szCs w:val="24"/>
              </w:rPr>
              <w:t>（信用权重）</w:t>
            </w:r>
            <w:r>
              <w:rPr>
                <w:rFonts w:hAnsi="宋体" w:cs="宋体"/>
                <w:sz w:val="24"/>
                <w:szCs w:val="24"/>
              </w:rPr>
              <w:t>=0</w:t>
            </w:r>
            <w:r>
              <w:rPr>
                <w:rFonts w:hint="eastAsia" w:hAnsi="宋体"/>
                <w:sz w:val="24"/>
                <w:szCs w:val="24"/>
              </w:rPr>
              <w:t>—</w:t>
            </w:r>
            <w:r>
              <w:rPr>
                <w:rFonts w:hAnsi="宋体" w:cs="宋体"/>
                <w:sz w:val="24"/>
                <w:szCs w:val="24"/>
              </w:rPr>
              <w:t>5%</w:t>
            </w:r>
          </w:p>
          <w:p>
            <w:pPr>
              <w:spacing w:line="273" w:lineRule="auto"/>
              <w:rPr>
                <w:rFonts w:hAnsi="宋体" w:cs="宋体"/>
                <w:sz w:val="24"/>
                <w:szCs w:val="24"/>
              </w:rPr>
            </w:pPr>
            <w:r>
              <w:rPr>
                <w:rFonts w:hAnsi="宋体" w:cs="宋体"/>
                <w:sz w:val="24"/>
                <w:szCs w:val="24"/>
              </w:rPr>
              <w:t> </w:t>
            </w:r>
            <w:r>
              <w:rPr>
                <w:rFonts w:hint="eastAsia" w:hAnsi="宋体"/>
                <w:sz w:val="24"/>
                <w:szCs w:val="24"/>
              </w:rPr>
              <w:t>（一）</w:t>
            </w:r>
            <w:r>
              <w:rPr>
                <w:rFonts w:hint="eastAsia" w:hAnsi="宋体"/>
                <w:b/>
                <w:bCs/>
                <w:sz w:val="24"/>
                <w:szCs w:val="24"/>
              </w:rPr>
              <w:t>合理评标价确定：</w:t>
            </w:r>
            <w:r>
              <w:rPr>
                <w:rFonts w:hint="eastAsia" w:hAnsi="宋体"/>
                <w:sz w:val="24"/>
                <w:szCs w:val="24"/>
              </w:rPr>
              <w:t>以招标人的最高投标限价为标准，约定</w:t>
            </w:r>
            <w:r>
              <w:rPr>
                <w:rFonts w:hAnsi="宋体" w:cs="宋体"/>
                <w:sz w:val="24"/>
                <w:szCs w:val="24"/>
              </w:rPr>
              <w:t>5</w:t>
            </w:r>
            <w:r>
              <w:rPr>
                <w:rFonts w:hint="eastAsia" w:hAnsi="宋体"/>
                <w:sz w:val="24"/>
                <w:szCs w:val="24"/>
              </w:rPr>
              <w:t>个调整系数（≥</w:t>
            </w:r>
            <w:r>
              <w:rPr>
                <w:rFonts w:hAnsi="宋体" w:cs="宋体"/>
                <w:sz w:val="24"/>
                <w:szCs w:val="24"/>
              </w:rPr>
              <w:t>0.95</w:t>
            </w:r>
            <w:r>
              <w:rPr>
                <w:rFonts w:hint="eastAsia" w:hAnsi="宋体"/>
                <w:sz w:val="24"/>
                <w:szCs w:val="24"/>
              </w:rPr>
              <w:t>），在开标时随机抽取</w:t>
            </w:r>
            <w:r>
              <w:rPr>
                <w:rFonts w:hAnsi="宋体" w:cs="宋体"/>
                <w:sz w:val="24"/>
                <w:szCs w:val="24"/>
              </w:rPr>
              <w:t>1</w:t>
            </w:r>
            <w:r>
              <w:rPr>
                <w:rFonts w:hint="eastAsia" w:hAnsi="宋体"/>
                <w:sz w:val="24"/>
                <w:szCs w:val="24"/>
              </w:rPr>
              <w:t>个，将调整后的最高投标限价作为合理评标价。</w:t>
            </w:r>
          </w:p>
          <w:p>
            <w:pPr>
              <w:spacing w:line="273" w:lineRule="auto"/>
              <w:rPr>
                <w:rFonts w:hAnsi="宋体" w:cs="宋体"/>
                <w:sz w:val="24"/>
                <w:szCs w:val="24"/>
              </w:rPr>
            </w:pPr>
            <w:r>
              <w:rPr>
                <w:rFonts w:hint="eastAsia" w:hAnsi="宋体"/>
                <w:sz w:val="24"/>
                <w:szCs w:val="24"/>
              </w:rPr>
              <w:t>调整系数是唱标结束后，在监督人的监督下，由投标人代表随机从</w:t>
            </w:r>
            <w:r>
              <w:rPr>
                <w:rFonts w:hAnsi="宋体" w:cs="宋体"/>
                <w:sz w:val="24"/>
                <w:szCs w:val="24"/>
              </w:rPr>
              <w:t>0.975</w:t>
            </w:r>
            <w:r>
              <w:rPr>
                <w:rFonts w:hint="eastAsia" w:hAnsi="宋体"/>
                <w:sz w:val="24"/>
                <w:szCs w:val="24"/>
              </w:rPr>
              <w:t>、</w:t>
            </w:r>
            <w:r>
              <w:rPr>
                <w:rFonts w:hAnsi="宋体" w:cs="宋体"/>
                <w:sz w:val="24"/>
                <w:szCs w:val="24"/>
              </w:rPr>
              <w:t>0.98</w:t>
            </w:r>
            <w:r>
              <w:rPr>
                <w:rFonts w:hint="eastAsia" w:hAnsi="宋体"/>
                <w:sz w:val="24"/>
                <w:szCs w:val="24"/>
              </w:rPr>
              <w:t>、</w:t>
            </w:r>
            <w:r>
              <w:rPr>
                <w:rFonts w:hAnsi="宋体" w:cs="宋体"/>
                <w:sz w:val="24"/>
                <w:szCs w:val="24"/>
              </w:rPr>
              <w:t>0.985</w:t>
            </w:r>
            <w:r>
              <w:rPr>
                <w:rFonts w:hint="eastAsia" w:hAnsi="宋体"/>
                <w:sz w:val="24"/>
                <w:szCs w:val="24"/>
              </w:rPr>
              <w:t>、</w:t>
            </w:r>
            <w:r>
              <w:rPr>
                <w:rFonts w:hAnsi="宋体" w:cs="宋体"/>
                <w:sz w:val="24"/>
                <w:szCs w:val="24"/>
              </w:rPr>
              <w:t>0.99</w:t>
            </w:r>
            <w:r>
              <w:rPr>
                <w:rFonts w:hint="eastAsia" w:hAnsi="宋体"/>
                <w:sz w:val="24"/>
                <w:szCs w:val="24"/>
              </w:rPr>
              <w:t>、</w:t>
            </w:r>
            <w:r>
              <w:rPr>
                <w:rFonts w:hAnsi="宋体" w:cs="宋体"/>
                <w:sz w:val="24"/>
                <w:szCs w:val="24"/>
              </w:rPr>
              <w:t>0.995</w:t>
            </w:r>
            <w:r>
              <w:rPr>
                <w:rFonts w:hint="eastAsia" w:hAnsi="宋体"/>
                <w:sz w:val="24"/>
                <w:szCs w:val="24"/>
              </w:rPr>
              <w:t>这</w:t>
            </w:r>
            <w:r>
              <w:rPr>
                <w:rFonts w:hAnsi="宋体" w:cs="宋体"/>
                <w:sz w:val="24"/>
                <w:szCs w:val="24"/>
              </w:rPr>
              <w:t>5</w:t>
            </w:r>
            <w:r>
              <w:rPr>
                <w:rFonts w:hint="eastAsia" w:hAnsi="宋体"/>
                <w:sz w:val="24"/>
                <w:szCs w:val="24"/>
              </w:rPr>
              <w:t>个数值中抽取</w:t>
            </w:r>
            <w:r>
              <w:rPr>
                <w:rFonts w:hAnsi="宋体" w:cs="宋体"/>
                <w:sz w:val="24"/>
                <w:szCs w:val="24"/>
              </w:rPr>
              <w:t>1</w:t>
            </w:r>
            <w:r>
              <w:rPr>
                <w:rFonts w:hint="eastAsia" w:hAnsi="宋体"/>
                <w:sz w:val="24"/>
                <w:szCs w:val="24"/>
              </w:rPr>
              <w:t>个数值。</w:t>
            </w:r>
          </w:p>
          <w:p>
            <w:pPr>
              <w:spacing w:line="273" w:lineRule="auto"/>
              <w:rPr>
                <w:rFonts w:hAnsi="宋体" w:cs="宋体"/>
                <w:kern w:val="2"/>
                <w:sz w:val="24"/>
                <w:szCs w:val="24"/>
              </w:rPr>
            </w:pPr>
            <w:r>
              <w:rPr>
                <w:rFonts w:hAnsi="宋体" w:cs="宋体"/>
                <w:sz w:val="24"/>
                <w:szCs w:val="24"/>
              </w:rPr>
              <w:t> </w:t>
            </w:r>
            <w:r>
              <w:rPr>
                <w:rFonts w:hint="eastAsia" w:hAnsi="宋体"/>
                <w:sz w:val="24"/>
                <w:szCs w:val="24"/>
              </w:rPr>
              <w:t>（二）</w:t>
            </w:r>
            <w:r>
              <w:rPr>
                <w:rFonts w:hint="eastAsia" w:hAnsi="宋体"/>
                <w:b/>
                <w:bCs/>
                <w:sz w:val="24"/>
                <w:szCs w:val="24"/>
              </w:rPr>
              <w:t>投标人评标价计算：</w:t>
            </w:r>
            <w:r>
              <w:rPr>
                <w:rFonts w:hint="eastAsia" w:hAnsi="宋体"/>
                <w:sz w:val="24"/>
                <w:szCs w:val="24"/>
              </w:rPr>
              <w:t>奖励额度取正值、惩罚额度取负值计算奖罚额度。奖罚额度合计后，数值为正值时，按有利于投标人（靠近合理评标价）计算投标人评标价，当大于或小于合理评标价时均按合理评标价确定；数值为负值时，按照不利于投标人（远离合理评标价）计算投标人评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1525" w:type="dxa"/>
            <w:gridSpan w:val="2"/>
            <w:tcBorders>
              <w:top w:val="single" w:color="auto" w:sz="4" w:space="0"/>
              <w:left w:val="single" w:color="auto" w:sz="4" w:space="0"/>
              <w:bottom w:val="single" w:color="auto" w:sz="4" w:space="0"/>
              <w:right w:val="single" w:color="auto" w:sz="4" w:space="0"/>
            </w:tcBorders>
            <w:noWrap/>
            <w:vAlign w:val="center"/>
          </w:tcPr>
          <w:p>
            <w:pPr>
              <w:pStyle w:val="15"/>
              <w:autoSpaceDE w:val="0"/>
              <w:autoSpaceDN w:val="0"/>
              <w:spacing w:line="273" w:lineRule="auto"/>
              <w:jc w:val="center"/>
              <w:rPr>
                <w:rFonts w:ascii="Calibri"/>
                <w:kern w:val="2"/>
              </w:rPr>
            </w:pPr>
            <w:r>
              <w:rPr>
                <w:rFonts w:ascii="Calibri"/>
                <w:kern w:val="2"/>
              </w:rPr>
              <w:t>2.2.3</w:t>
            </w:r>
          </w:p>
        </w:tc>
        <w:tc>
          <w:tcPr>
            <w:tcW w:w="2618" w:type="dxa"/>
            <w:tcBorders>
              <w:top w:val="single" w:color="auto" w:sz="4" w:space="0"/>
              <w:left w:val="nil"/>
              <w:bottom w:val="single" w:color="auto" w:sz="4" w:space="0"/>
              <w:right w:val="single" w:color="auto" w:sz="4" w:space="0"/>
            </w:tcBorders>
            <w:noWrap/>
            <w:vAlign w:val="center"/>
          </w:tcPr>
          <w:p>
            <w:pPr>
              <w:pStyle w:val="15"/>
              <w:autoSpaceDE w:val="0"/>
              <w:autoSpaceDN w:val="0"/>
              <w:spacing w:line="273" w:lineRule="auto"/>
              <w:jc w:val="center"/>
              <w:rPr>
                <w:rFonts w:ascii="Calibri"/>
                <w:kern w:val="2"/>
              </w:rPr>
            </w:pPr>
            <w:r>
              <w:rPr>
                <w:rFonts w:hint="eastAsia" w:ascii="Times New Roman"/>
                <w:kern w:val="2"/>
              </w:rPr>
              <w:t>推荐中标候选人</w:t>
            </w:r>
          </w:p>
        </w:tc>
        <w:tc>
          <w:tcPr>
            <w:tcW w:w="5741" w:type="dxa"/>
            <w:tcBorders>
              <w:top w:val="single" w:color="auto" w:sz="4" w:space="0"/>
              <w:left w:val="nil"/>
              <w:bottom w:val="single" w:color="auto" w:sz="4" w:space="0"/>
              <w:right w:val="single" w:color="auto" w:sz="4" w:space="0"/>
            </w:tcBorders>
            <w:noWrap/>
            <w:vAlign w:val="center"/>
          </w:tcPr>
          <w:p>
            <w:pPr>
              <w:spacing w:line="273" w:lineRule="auto"/>
              <w:ind w:right="248"/>
              <w:rPr>
                <w:rFonts w:hAnsi="宋体" w:cs="宋体"/>
                <w:kern w:val="2"/>
                <w:sz w:val="24"/>
                <w:szCs w:val="24"/>
              </w:rPr>
            </w:pPr>
            <w:r>
              <w:rPr>
                <w:rFonts w:hint="eastAsia" w:hAnsi="宋体"/>
                <w:sz w:val="24"/>
                <w:szCs w:val="24"/>
              </w:rPr>
              <w:t>采用合理投标价法的，评标委员会对满足招标文件实质性要求的投标人，对各投标人的报价进行评审，并按照投标人权重由高到低顺序推荐中标候选人。投标人权重相同时，以投标报价低的优先排序；若投标报价也相同时，在监督部门的监督下由评标委员会采用随机抽取的方式进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525" w:type="dxa"/>
            <w:gridSpan w:val="2"/>
            <w:tcBorders>
              <w:top w:val="single" w:color="auto" w:sz="4" w:space="0"/>
              <w:left w:val="single" w:color="auto" w:sz="4" w:space="0"/>
              <w:bottom w:val="single" w:color="auto" w:sz="4" w:space="0"/>
              <w:right w:val="single" w:color="auto" w:sz="4" w:space="0"/>
            </w:tcBorders>
            <w:noWrap/>
            <w:vAlign w:val="center"/>
          </w:tcPr>
          <w:p>
            <w:pPr>
              <w:pStyle w:val="15"/>
              <w:autoSpaceDE w:val="0"/>
              <w:autoSpaceDN w:val="0"/>
              <w:spacing w:line="273" w:lineRule="auto"/>
              <w:jc w:val="center"/>
              <w:rPr>
                <w:rFonts w:ascii="Calibri"/>
                <w:kern w:val="2"/>
              </w:rPr>
            </w:pPr>
            <w:r>
              <w:rPr>
                <w:rFonts w:hint="eastAsia" w:ascii="Times New Roman"/>
                <w:kern w:val="2"/>
              </w:rPr>
              <w:t>惩罚标准</w:t>
            </w:r>
          </w:p>
        </w:tc>
        <w:tc>
          <w:tcPr>
            <w:tcW w:w="8359" w:type="dxa"/>
            <w:gridSpan w:val="2"/>
            <w:tcBorders>
              <w:top w:val="single" w:color="auto" w:sz="4" w:space="0"/>
              <w:left w:val="nil"/>
              <w:bottom w:val="single" w:color="auto" w:sz="4" w:space="0"/>
              <w:right w:val="single" w:color="auto" w:sz="4" w:space="0"/>
            </w:tcBorders>
            <w:noWrap/>
            <w:vAlign w:val="center"/>
          </w:tcPr>
          <w:p>
            <w:pPr>
              <w:spacing w:line="273" w:lineRule="auto"/>
              <w:ind w:firstLine="720" w:firstLineChars="300"/>
              <w:rPr>
                <w:rFonts w:hAnsi="宋体" w:cs="宋体"/>
                <w:kern w:val="2"/>
                <w:sz w:val="24"/>
                <w:szCs w:val="24"/>
              </w:rPr>
            </w:pPr>
            <w:r>
              <w:rPr>
                <w:rFonts w:hint="eastAsia" w:hAnsi="宋体" w:cs="宋体"/>
                <w:bCs/>
                <w:kern w:val="1"/>
                <w:sz w:val="24"/>
                <w:lang w:bidi="zh-CN"/>
              </w:rPr>
              <w:t>投标人获奖、受罚、信用备案等信息，从全国水利建设市场监管服务平台或信用信息平台下载打印（作为评标报告的附件）并向评标委员会提供，评标委员会应以此为依据核实投标人提供的相关证明材料（获奖文件和荣誉证书）。未在上述平台收集到奖励信息的或投标人未按要求提供证明材料的或未在投标文件正本中提供证明材料复印件或扫描件的，三项材料不一致的其获奖情况评标委员会不予认可；在上述平台收集到的受罚、信用信息备案等不利于投标人的情况，不论投标人是否提供相关材料，评标委员会均予以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trPr>
        <w:tc>
          <w:tcPr>
            <w:tcW w:w="9884" w:type="dxa"/>
            <w:gridSpan w:val="4"/>
            <w:tcBorders>
              <w:top w:val="single" w:color="auto" w:sz="4" w:space="0"/>
              <w:left w:val="single" w:color="auto" w:sz="4" w:space="0"/>
              <w:bottom w:val="single" w:color="auto" w:sz="4" w:space="0"/>
              <w:right w:val="single" w:color="auto" w:sz="4" w:space="0"/>
            </w:tcBorders>
            <w:noWrap/>
            <w:vAlign w:val="center"/>
          </w:tcPr>
          <w:p>
            <w:pPr>
              <w:spacing w:line="276" w:lineRule="auto"/>
              <w:ind w:firstLine="641"/>
              <w:rPr>
                <w:rFonts w:hAnsi="宋体" w:cs="宋体"/>
                <w:kern w:val="1"/>
                <w:sz w:val="24"/>
              </w:rPr>
            </w:pPr>
            <w:r>
              <w:rPr>
                <w:rFonts w:hAnsi="宋体" w:cs="宋体"/>
                <w:bCs/>
                <w:kern w:val="1"/>
                <w:sz w:val="24"/>
                <w:lang w:bidi="zh-CN"/>
              </w:rPr>
              <w:t>投标人有下列情形之一的，其单位及主要参建人员的资格资历、工程业绩、良好行为等不予认定：</w:t>
            </w:r>
          </w:p>
          <w:p>
            <w:pPr>
              <w:spacing w:line="276" w:lineRule="auto"/>
              <w:ind w:firstLine="641"/>
              <w:rPr>
                <w:rFonts w:hAnsi="宋体" w:cs="宋体"/>
                <w:kern w:val="1"/>
                <w:sz w:val="24"/>
              </w:rPr>
            </w:pPr>
            <w:r>
              <w:rPr>
                <w:rFonts w:hAnsi="宋体" w:cs="宋体"/>
                <w:bCs/>
                <w:kern w:val="1"/>
                <w:sz w:val="24"/>
                <w:lang w:bidi="zh-CN"/>
              </w:rPr>
              <w:t>（一）未在</w:t>
            </w:r>
            <w:r>
              <w:rPr>
                <w:rFonts w:hint="eastAsia" w:hAnsi="宋体" w:cs="宋体"/>
                <w:bCs/>
                <w:kern w:val="1"/>
                <w:sz w:val="24"/>
                <w:lang w:bidi="zh-CN"/>
              </w:rPr>
              <w:t>全国水利建设市场监管服务平台或</w:t>
            </w:r>
            <w:r>
              <w:rPr>
                <w:rFonts w:hAnsi="宋体" w:cs="宋体"/>
                <w:bCs/>
                <w:kern w:val="1"/>
                <w:sz w:val="24"/>
              </w:rPr>
              <w:t>河南省水利信用平台</w:t>
            </w:r>
            <w:r>
              <w:rPr>
                <w:rFonts w:hAnsi="宋体" w:cs="宋体"/>
                <w:bCs/>
                <w:kern w:val="1"/>
                <w:sz w:val="24"/>
                <w:lang w:bidi="zh-CN"/>
              </w:rPr>
              <w:t>建立信用档案的，或提交的材料与信用平台公开的信息不符的。</w:t>
            </w:r>
          </w:p>
          <w:p>
            <w:pPr>
              <w:spacing w:line="276" w:lineRule="auto"/>
              <w:ind w:firstLine="641"/>
              <w:rPr>
                <w:rFonts w:hAnsi="宋体" w:cs="宋体"/>
                <w:kern w:val="1"/>
                <w:sz w:val="24"/>
              </w:rPr>
            </w:pPr>
            <w:r>
              <w:rPr>
                <w:rFonts w:hAnsi="宋体" w:cs="宋体"/>
                <w:kern w:val="1"/>
                <w:sz w:val="24"/>
              </w:rPr>
              <w:t>（二）河南省水利信用平台内容不包含招标人要求提供的其他信用信息的，投标人未按招标人的要求提供相关证明材料的。</w:t>
            </w:r>
          </w:p>
          <w:p>
            <w:pPr>
              <w:spacing w:line="273" w:lineRule="auto"/>
              <w:ind w:firstLine="641"/>
              <w:rPr>
                <w:rFonts w:hAnsi="宋体" w:cs="宋体"/>
                <w:kern w:val="2"/>
                <w:sz w:val="24"/>
                <w:szCs w:val="24"/>
              </w:rPr>
            </w:pPr>
            <w:r>
              <w:rPr>
                <w:rFonts w:hAnsi="宋体" w:cs="宋体"/>
                <w:kern w:val="1"/>
                <w:sz w:val="24"/>
              </w:rPr>
              <w:t>投标人公开的信用信息隐瞒真实情况、弄虚作假或提交的相关证明材料弄虚作假的，被推荐为中标候选人、确定为中标人的应取消其中标候选人、中标人资格，并按有关规定进行处理。</w:t>
            </w:r>
          </w:p>
        </w:tc>
      </w:tr>
    </w:tbl>
    <w:p>
      <w:pPr>
        <w:spacing w:line="380" w:lineRule="exact"/>
        <w:rPr>
          <w:rFonts w:hAnsi="宋体"/>
          <w:b/>
          <w:bCs/>
          <w:kern w:val="2"/>
          <w:sz w:val="24"/>
          <w:szCs w:val="24"/>
        </w:rPr>
      </w:pPr>
      <w:r>
        <w:rPr>
          <w:rFonts w:hint="eastAsia" w:hAnsi="宋体"/>
          <w:b/>
          <w:bCs/>
          <w:sz w:val="24"/>
          <w:szCs w:val="24"/>
        </w:rPr>
        <w:t>备注：</w:t>
      </w:r>
    </w:p>
    <w:p>
      <w:pPr>
        <w:spacing w:line="380" w:lineRule="exact"/>
        <w:ind w:firstLine="480" w:firstLineChars="200"/>
        <w:rPr>
          <w:rFonts w:hAnsi="宋体"/>
          <w:b/>
          <w:bCs/>
          <w:sz w:val="24"/>
          <w:szCs w:val="24"/>
        </w:rPr>
      </w:pPr>
      <w:r>
        <w:rPr>
          <w:rFonts w:hint="eastAsia" w:hAnsi="宋体"/>
          <w:b/>
          <w:bCs/>
          <w:sz w:val="24"/>
          <w:szCs w:val="24"/>
        </w:rPr>
        <w:t>（1）涉及相关证书、各类证件均不得伪造、涂改，如发现投标人有弄虚作假或伪造、涂改证件者，将取消其资格后审合格资格，并按国家有关规定处理。参与评标的资料需在投标文件中附原件扫描件（或图片），否则该项得分应作0分处理。</w:t>
      </w:r>
    </w:p>
    <w:p>
      <w:pPr>
        <w:spacing w:line="380" w:lineRule="exact"/>
        <w:ind w:firstLine="480" w:firstLineChars="200"/>
        <w:rPr>
          <w:rFonts w:hAnsi="宋体"/>
          <w:b/>
          <w:bCs/>
          <w:sz w:val="24"/>
          <w:szCs w:val="24"/>
        </w:rPr>
      </w:pPr>
      <w:r>
        <w:rPr>
          <w:rFonts w:hint="eastAsia" w:hAnsi="宋体"/>
          <w:b/>
          <w:bCs/>
          <w:sz w:val="24"/>
          <w:szCs w:val="24"/>
        </w:rPr>
        <w:t>（2）所有证件如遇延期办理的应提供相关行政主管部门出具的证明。</w:t>
      </w:r>
    </w:p>
    <w:p>
      <w:pPr>
        <w:pStyle w:val="25"/>
        <w:rPr>
          <w:rFonts w:ascii="宋体" w:hAnsi="宋体" w:eastAsia="宋体"/>
          <w:bCs w:val="0"/>
          <w:color w:val="000000"/>
          <w:sz w:val="24"/>
          <w:szCs w:val="24"/>
        </w:rPr>
      </w:pPr>
      <w:r>
        <w:rPr>
          <w:rFonts w:hint="eastAsia" w:ascii="宋体" w:hAnsi="宋体" w:eastAsia="宋体"/>
          <w:color w:val="000000"/>
          <w:sz w:val="24"/>
          <w:szCs w:val="24"/>
        </w:rPr>
        <w:t>1. 评标方法</w:t>
      </w:r>
    </w:p>
    <w:p>
      <w:pPr>
        <w:snapToGrid w:val="0"/>
        <w:spacing w:line="360" w:lineRule="auto"/>
        <w:ind w:firstLine="480" w:firstLineChars="200"/>
        <w:rPr>
          <w:rFonts w:hAnsi="宋体" w:cs="新宋体"/>
          <w:sz w:val="24"/>
          <w:szCs w:val="24"/>
        </w:rPr>
      </w:pPr>
      <w:r>
        <w:rPr>
          <w:rFonts w:hint="eastAsia" w:hAnsi="宋体" w:cs="新宋体"/>
          <w:sz w:val="24"/>
          <w:szCs w:val="24"/>
        </w:rPr>
        <w:t>本项目采用合理投标价法。评标委员会对满足招标文件实质性要求的投标文件，进行报价评审，确定各投标人的评标价，评标价接近合理投标价的投标人为中标候选人。若两个以上投标人的评标价相同，以投标报价低的优选排序（若投标人评标报价高于合理投标价的数额与低于合理投标价的数额相同，则以评标价低的优先排序）；投标报价也相等的，在评标现场在相关部门的监督下由评标委员会随机抽取进行排序。</w:t>
      </w:r>
    </w:p>
    <w:p>
      <w:pPr>
        <w:pStyle w:val="25"/>
        <w:rPr>
          <w:rFonts w:ascii="宋体" w:hAnsi="宋体" w:eastAsia="宋体" w:cs="宋体"/>
          <w:color w:val="000000"/>
          <w:sz w:val="24"/>
          <w:szCs w:val="24"/>
        </w:rPr>
      </w:pPr>
      <w:r>
        <w:rPr>
          <w:rFonts w:hint="eastAsia" w:ascii="宋体" w:hAnsi="宋体" w:eastAsia="宋体"/>
          <w:color w:val="000000"/>
          <w:sz w:val="24"/>
          <w:szCs w:val="24"/>
        </w:rPr>
        <w:t>2. 评审标准</w:t>
      </w:r>
    </w:p>
    <w:p>
      <w:pPr>
        <w:pStyle w:val="34"/>
        <w:rPr>
          <w:rFonts w:ascii="宋体" w:hAnsi="宋体" w:eastAsia="宋体"/>
          <w:color w:val="000000"/>
        </w:rPr>
      </w:pPr>
      <w:r>
        <w:rPr>
          <w:rFonts w:hint="eastAsia" w:ascii="宋体" w:hAnsi="宋体" w:eastAsia="宋体"/>
          <w:color w:val="000000"/>
        </w:rPr>
        <w:t>2.1 初步评审标准</w:t>
      </w:r>
    </w:p>
    <w:p>
      <w:pPr>
        <w:spacing w:line="400" w:lineRule="exact"/>
        <w:ind w:firstLine="480" w:firstLineChars="200"/>
        <w:rPr>
          <w:rFonts w:hAnsi="宋体"/>
          <w:color w:val="000000"/>
          <w:sz w:val="24"/>
          <w:szCs w:val="24"/>
        </w:rPr>
      </w:pPr>
      <w:r>
        <w:rPr>
          <w:rFonts w:hint="eastAsia" w:hAnsi="宋体"/>
          <w:color w:val="000000"/>
          <w:sz w:val="24"/>
          <w:szCs w:val="24"/>
        </w:rPr>
        <w:t>2.1.1 形式评审标准：见评标办法前附表。</w:t>
      </w:r>
    </w:p>
    <w:p>
      <w:pPr>
        <w:spacing w:line="400" w:lineRule="exact"/>
        <w:ind w:firstLine="480" w:firstLineChars="200"/>
        <w:rPr>
          <w:rFonts w:hAnsi="宋体"/>
          <w:color w:val="000000"/>
          <w:sz w:val="24"/>
          <w:szCs w:val="24"/>
        </w:rPr>
      </w:pPr>
      <w:r>
        <w:rPr>
          <w:rFonts w:hint="eastAsia" w:hAnsi="宋体"/>
          <w:color w:val="000000"/>
          <w:sz w:val="24"/>
          <w:szCs w:val="24"/>
        </w:rPr>
        <w:t>2.1.2 资格评审标准：见评标办法前附表。</w:t>
      </w:r>
      <w:r>
        <w:rPr>
          <w:rFonts w:hint="eastAsia" w:hAnsi="宋体" w:cs="宋体"/>
          <w:sz w:val="24"/>
        </w:rPr>
        <w:t>本项目实行资格后审，投标单位资格应符合本章评标办法前附表第2.1.2款要求，并应提供其相应原件</w:t>
      </w:r>
      <w:r>
        <w:rPr>
          <w:rFonts w:hint="eastAsia" w:hAnsi="宋体" w:cs="宋体"/>
          <w:sz w:val="24"/>
          <w:lang w:val="en-US" w:eastAsia="zh-CN"/>
        </w:rPr>
        <w:t>扫描件或图片</w:t>
      </w:r>
      <w:r>
        <w:rPr>
          <w:rFonts w:hint="eastAsia" w:hAnsi="宋体" w:cs="宋体"/>
          <w:sz w:val="24"/>
        </w:rPr>
        <w:t>，有一项不符合要求或不提供的即视为废标。</w:t>
      </w:r>
    </w:p>
    <w:p>
      <w:pPr>
        <w:spacing w:line="400" w:lineRule="exact"/>
        <w:ind w:firstLine="480" w:firstLineChars="200"/>
        <w:rPr>
          <w:rFonts w:hAnsi="宋体"/>
          <w:color w:val="000000"/>
          <w:sz w:val="24"/>
          <w:szCs w:val="24"/>
        </w:rPr>
      </w:pPr>
      <w:r>
        <w:rPr>
          <w:rFonts w:hint="eastAsia" w:hAnsi="宋体"/>
          <w:color w:val="000000"/>
          <w:sz w:val="24"/>
          <w:szCs w:val="24"/>
        </w:rPr>
        <w:t>2.1.3 响应性评审标准：见评标办法前附表。</w:t>
      </w:r>
    </w:p>
    <w:p>
      <w:pPr>
        <w:pStyle w:val="34"/>
        <w:rPr>
          <w:rFonts w:ascii="宋体" w:hAnsi="宋体" w:eastAsia="宋体"/>
          <w:color w:val="000000"/>
        </w:rPr>
      </w:pPr>
      <w:r>
        <w:rPr>
          <w:rFonts w:hint="eastAsia" w:ascii="宋体" w:hAnsi="宋体" w:eastAsia="宋体"/>
          <w:color w:val="000000"/>
        </w:rPr>
        <w:t>2.2</w:t>
      </w:r>
      <w:r>
        <w:rPr>
          <w:rFonts w:hint="eastAsia" w:ascii="宋体" w:hAnsi="宋体" w:eastAsia="宋体"/>
          <w:b/>
          <w:bCs/>
          <w:color w:val="000000"/>
        </w:rPr>
        <w:t>合理评标价的确定、投标人评标价与信用权重的确定</w:t>
      </w:r>
    </w:p>
    <w:p>
      <w:pPr>
        <w:spacing w:line="360" w:lineRule="auto"/>
        <w:ind w:firstLine="480" w:firstLineChars="200"/>
        <w:rPr>
          <w:rFonts w:ascii="Times New Roman" w:hAnsi="宋体" w:cs="宋体"/>
          <w:sz w:val="24"/>
          <w:szCs w:val="24"/>
        </w:rPr>
      </w:pPr>
      <w:r>
        <w:rPr>
          <w:rFonts w:hint="eastAsia" w:hAnsi="宋体"/>
          <w:color w:val="000000"/>
          <w:sz w:val="24"/>
          <w:szCs w:val="24"/>
        </w:rPr>
        <w:t xml:space="preserve">2.2.1 </w:t>
      </w:r>
      <w:r>
        <w:rPr>
          <w:rFonts w:hint="eastAsia" w:hAnsi="宋体"/>
          <w:sz w:val="24"/>
          <w:szCs w:val="24"/>
        </w:rPr>
        <w:t>合理投标价确定计算方法：详见评标办法前附表。</w:t>
      </w:r>
    </w:p>
    <w:p>
      <w:pPr>
        <w:spacing w:line="360" w:lineRule="auto"/>
        <w:ind w:firstLine="420"/>
        <w:rPr>
          <w:rFonts w:hAnsi="宋体" w:cs="宋体"/>
          <w:sz w:val="24"/>
          <w:szCs w:val="24"/>
        </w:rPr>
      </w:pPr>
      <w:r>
        <w:rPr>
          <w:rFonts w:hint="eastAsia" w:hAnsi="宋体"/>
          <w:color w:val="000000"/>
          <w:sz w:val="24"/>
          <w:szCs w:val="24"/>
        </w:rPr>
        <w:t xml:space="preserve"> 2.2.2</w:t>
      </w:r>
      <w:r>
        <w:rPr>
          <w:rFonts w:hAnsi="宋体" w:cs="宋体"/>
          <w:sz w:val="24"/>
          <w:szCs w:val="24"/>
        </w:rPr>
        <w:t xml:space="preserve"> </w:t>
      </w:r>
      <w:r>
        <w:rPr>
          <w:rFonts w:hint="eastAsia" w:hAnsi="宋体"/>
          <w:sz w:val="24"/>
          <w:szCs w:val="24"/>
        </w:rPr>
        <w:t>投标人评标价的确定计算办法：详见评标办法前附表。</w:t>
      </w:r>
      <w:r>
        <w:rPr>
          <w:rFonts w:hAnsi="宋体" w:cs="宋体"/>
          <w:sz w:val="24"/>
          <w:szCs w:val="24"/>
        </w:rPr>
        <w:tab/>
      </w:r>
    </w:p>
    <w:p>
      <w:pPr>
        <w:spacing w:line="360" w:lineRule="auto"/>
        <w:ind w:firstLine="420"/>
        <w:rPr>
          <w:rFonts w:hAnsi="宋体" w:cs="宋体"/>
          <w:b/>
          <w:bCs/>
          <w:sz w:val="24"/>
          <w:szCs w:val="24"/>
        </w:rPr>
      </w:pPr>
      <w:r>
        <w:rPr>
          <w:rFonts w:hint="eastAsia" w:hAnsi="宋体"/>
          <w:color w:val="000000"/>
          <w:sz w:val="24"/>
          <w:szCs w:val="24"/>
        </w:rPr>
        <w:t xml:space="preserve"> 2.2.3</w:t>
      </w:r>
      <w:r>
        <w:rPr>
          <w:rFonts w:hint="eastAsia" w:hAnsi="宋体"/>
          <w:sz w:val="24"/>
          <w:szCs w:val="24"/>
        </w:rPr>
        <w:t>信用权重的确定计算方法：详见评标办法前附表。</w:t>
      </w:r>
    </w:p>
    <w:p>
      <w:pPr>
        <w:pStyle w:val="25"/>
        <w:rPr>
          <w:rFonts w:ascii="宋体" w:hAnsi="宋体" w:eastAsia="宋体" w:cs="宋体"/>
          <w:bCs w:val="0"/>
          <w:color w:val="000000"/>
          <w:sz w:val="24"/>
          <w:szCs w:val="24"/>
        </w:rPr>
      </w:pPr>
      <w:r>
        <w:rPr>
          <w:rFonts w:hint="eastAsia" w:ascii="宋体" w:hAnsi="宋体" w:eastAsia="宋体"/>
          <w:color w:val="000000"/>
          <w:sz w:val="24"/>
          <w:szCs w:val="24"/>
        </w:rPr>
        <w:t>3. 评标程序</w:t>
      </w:r>
    </w:p>
    <w:p>
      <w:pPr>
        <w:pStyle w:val="34"/>
        <w:rPr>
          <w:rFonts w:ascii="宋体" w:hAnsi="宋体" w:eastAsia="宋体"/>
          <w:color w:val="000000"/>
        </w:rPr>
      </w:pPr>
      <w:r>
        <w:rPr>
          <w:rFonts w:hint="eastAsia" w:ascii="宋体" w:hAnsi="宋体" w:eastAsia="宋体"/>
          <w:color w:val="000000"/>
        </w:rPr>
        <w:t>3.1 初步评审</w:t>
      </w:r>
    </w:p>
    <w:p>
      <w:pPr>
        <w:spacing w:line="400" w:lineRule="exact"/>
        <w:ind w:firstLine="480" w:firstLineChars="200"/>
        <w:rPr>
          <w:rFonts w:hAnsi="宋体"/>
          <w:color w:val="000000"/>
          <w:sz w:val="24"/>
          <w:szCs w:val="24"/>
        </w:rPr>
      </w:pPr>
      <w:r>
        <w:rPr>
          <w:rFonts w:hint="eastAsia" w:hAnsi="宋体"/>
          <w:color w:val="000000"/>
          <w:sz w:val="24"/>
          <w:szCs w:val="24"/>
        </w:rPr>
        <w:t>3.1.1 评标委员会可以要求投标人提交第二章“投标人须知”第3.5.1项至第3.5.3项规定的有关证明和证件的原件，以便核验。评标委员会依据本章第2.1款规定的标准对投标文件进行初步评审。有一项不符合评审标准的，作废标处理。</w:t>
      </w:r>
    </w:p>
    <w:p>
      <w:pPr>
        <w:spacing w:line="400" w:lineRule="exact"/>
        <w:ind w:firstLine="480" w:firstLineChars="200"/>
        <w:rPr>
          <w:rFonts w:hAnsi="宋体"/>
          <w:color w:val="000000"/>
          <w:sz w:val="24"/>
          <w:szCs w:val="24"/>
        </w:rPr>
      </w:pPr>
      <w:r>
        <w:rPr>
          <w:rFonts w:hint="eastAsia" w:hAnsi="宋体"/>
          <w:color w:val="000000"/>
          <w:sz w:val="24"/>
          <w:szCs w:val="24"/>
        </w:rPr>
        <w:t>3.1.2 投标人有以下情形之一的，其投标作废标处理：</w:t>
      </w:r>
    </w:p>
    <w:p>
      <w:pPr>
        <w:spacing w:line="400" w:lineRule="exact"/>
        <w:ind w:firstLine="820" w:firstLineChars="342"/>
        <w:rPr>
          <w:rFonts w:hAnsi="宋体"/>
          <w:color w:val="000000"/>
          <w:sz w:val="24"/>
          <w:szCs w:val="24"/>
        </w:rPr>
      </w:pPr>
      <w:r>
        <w:rPr>
          <w:rFonts w:hint="eastAsia" w:hAnsi="宋体"/>
          <w:color w:val="000000"/>
          <w:sz w:val="24"/>
          <w:szCs w:val="24"/>
        </w:rPr>
        <w:t>（1）串通投标或弄虚作假或有其他违法行为的；</w:t>
      </w:r>
    </w:p>
    <w:p>
      <w:pPr>
        <w:spacing w:line="400" w:lineRule="exact"/>
        <w:ind w:firstLine="480" w:firstLineChars="200"/>
        <w:rPr>
          <w:rFonts w:hAnsi="宋体"/>
          <w:color w:val="000000"/>
          <w:sz w:val="24"/>
          <w:szCs w:val="24"/>
        </w:rPr>
      </w:pPr>
      <w:r>
        <w:rPr>
          <w:rFonts w:hint="eastAsia" w:hAnsi="宋体"/>
          <w:color w:val="000000"/>
          <w:sz w:val="24"/>
          <w:szCs w:val="24"/>
        </w:rPr>
        <w:t xml:space="preserve">   （2）未按要求加盖单位公章和无法人代表或委托代理人签字的；</w:t>
      </w:r>
    </w:p>
    <w:p>
      <w:pPr>
        <w:spacing w:line="400" w:lineRule="exact"/>
        <w:ind w:firstLine="480" w:firstLineChars="200"/>
        <w:rPr>
          <w:rFonts w:hAnsi="宋体"/>
          <w:color w:val="000000"/>
          <w:sz w:val="24"/>
          <w:szCs w:val="24"/>
        </w:rPr>
      </w:pPr>
      <w:r>
        <w:rPr>
          <w:rFonts w:hint="eastAsia" w:hAnsi="宋体"/>
          <w:color w:val="000000"/>
          <w:sz w:val="24"/>
          <w:szCs w:val="24"/>
        </w:rPr>
        <w:t xml:space="preserve">   （3）未按规定的格式填写，内容不全，关键字迹模糊或无法辨认的；</w:t>
      </w:r>
    </w:p>
    <w:p>
      <w:pPr>
        <w:spacing w:line="400" w:lineRule="exact"/>
        <w:ind w:firstLine="480" w:firstLineChars="200"/>
        <w:rPr>
          <w:rFonts w:hAnsi="宋体"/>
          <w:color w:val="000000"/>
          <w:sz w:val="24"/>
          <w:szCs w:val="24"/>
        </w:rPr>
      </w:pPr>
      <w:r>
        <w:rPr>
          <w:rFonts w:hint="eastAsia" w:hAnsi="宋体"/>
          <w:color w:val="000000"/>
          <w:sz w:val="24"/>
          <w:szCs w:val="24"/>
        </w:rPr>
        <w:t xml:space="preserve">   （4）未按招标文件要求提供投标保证金的；</w:t>
      </w:r>
    </w:p>
    <w:p>
      <w:pPr>
        <w:spacing w:line="400" w:lineRule="exact"/>
        <w:ind w:firstLine="480" w:firstLineChars="200"/>
        <w:rPr>
          <w:rFonts w:hAnsi="宋体"/>
          <w:color w:val="000000"/>
          <w:sz w:val="24"/>
          <w:szCs w:val="24"/>
        </w:rPr>
      </w:pPr>
      <w:r>
        <w:rPr>
          <w:rFonts w:hint="eastAsia" w:hAnsi="宋体"/>
          <w:color w:val="000000"/>
          <w:sz w:val="24"/>
          <w:szCs w:val="24"/>
        </w:rPr>
        <w:t xml:space="preserve">   （5）投标人资格条件不符合国家有关规定和招标文件要求的；</w:t>
      </w:r>
    </w:p>
    <w:p>
      <w:pPr>
        <w:spacing w:line="400" w:lineRule="exact"/>
        <w:ind w:firstLine="480" w:firstLineChars="200"/>
        <w:rPr>
          <w:rFonts w:hAnsi="宋体"/>
          <w:color w:val="000000"/>
          <w:sz w:val="24"/>
          <w:szCs w:val="24"/>
        </w:rPr>
      </w:pPr>
      <w:r>
        <w:rPr>
          <w:rFonts w:hint="eastAsia" w:hAnsi="宋体"/>
          <w:color w:val="000000"/>
          <w:sz w:val="24"/>
          <w:szCs w:val="24"/>
        </w:rPr>
        <w:t xml:space="preserve">   （6）违反国家强制性标准的；</w:t>
      </w:r>
    </w:p>
    <w:p>
      <w:pPr>
        <w:spacing w:line="400" w:lineRule="exact"/>
        <w:ind w:firstLine="480" w:firstLineChars="200"/>
        <w:rPr>
          <w:rFonts w:hAnsi="宋体"/>
          <w:color w:val="000000"/>
          <w:sz w:val="24"/>
          <w:szCs w:val="24"/>
        </w:rPr>
      </w:pPr>
      <w:r>
        <w:rPr>
          <w:rFonts w:hint="eastAsia" w:hAnsi="宋体"/>
          <w:color w:val="000000"/>
          <w:sz w:val="24"/>
          <w:szCs w:val="24"/>
        </w:rPr>
        <w:t xml:space="preserve">   （7）不按照要求对投标报价进行确认、对投标文件进行澄清、说明或者补充的；</w:t>
      </w:r>
    </w:p>
    <w:p>
      <w:pPr>
        <w:spacing w:line="400" w:lineRule="exact"/>
        <w:ind w:firstLine="480" w:firstLineChars="200"/>
        <w:rPr>
          <w:rFonts w:hAnsi="宋体"/>
          <w:color w:val="000000"/>
          <w:sz w:val="24"/>
          <w:szCs w:val="24"/>
        </w:rPr>
      </w:pPr>
      <w:r>
        <w:rPr>
          <w:rFonts w:hint="eastAsia" w:hAnsi="宋体"/>
          <w:color w:val="000000"/>
          <w:sz w:val="24"/>
          <w:szCs w:val="24"/>
        </w:rPr>
        <w:t xml:space="preserve">   （8）投标文件附有招标人不能接受的条件的；</w:t>
      </w:r>
    </w:p>
    <w:p>
      <w:pPr>
        <w:spacing w:line="400" w:lineRule="exact"/>
        <w:ind w:firstLine="480" w:firstLineChars="200"/>
        <w:rPr>
          <w:rFonts w:hAnsi="宋体"/>
          <w:color w:val="000000"/>
          <w:sz w:val="24"/>
          <w:szCs w:val="24"/>
        </w:rPr>
      </w:pPr>
      <w:r>
        <w:rPr>
          <w:rFonts w:hint="eastAsia" w:hAnsi="宋体"/>
          <w:color w:val="000000"/>
          <w:sz w:val="24"/>
          <w:szCs w:val="24"/>
        </w:rPr>
        <w:t xml:space="preserve">   （9）对同一标段递交内容不同的投标文件，或在一份投标文件中对同一标段报有两个（含两个）以上报价的（按招标文件规定提交备选投标方案的除外）；</w:t>
      </w:r>
    </w:p>
    <w:p>
      <w:pPr>
        <w:spacing w:line="400" w:lineRule="exact"/>
        <w:ind w:firstLine="480" w:firstLineChars="200"/>
        <w:rPr>
          <w:rFonts w:hAnsi="宋体"/>
          <w:color w:val="000000"/>
          <w:sz w:val="24"/>
          <w:szCs w:val="24"/>
        </w:rPr>
      </w:pPr>
      <w:r>
        <w:rPr>
          <w:rFonts w:hint="eastAsia" w:hAnsi="宋体"/>
          <w:color w:val="000000"/>
          <w:sz w:val="24"/>
          <w:szCs w:val="24"/>
        </w:rPr>
        <w:t xml:space="preserve">   （10）变更工程量清单内容的；</w:t>
      </w:r>
    </w:p>
    <w:p>
      <w:pPr>
        <w:spacing w:line="400" w:lineRule="exact"/>
        <w:ind w:firstLine="480" w:firstLineChars="200"/>
        <w:rPr>
          <w:rFonts w:hAnsi="宋体"/>
          <w:color w:val="000000"/>
          <w:sz w:val="24"/>
          <w:szCs w:val="24"/>
        </w:rPr>
      </w:pPr>
      <w:r>
        <w:rPr>
          <w:rFonts w:hint="eastAsia" w:hAnsi="宋体"/>
          <w:color w:val="000000"/>
          <w:sz w:val="24"/>
          <w:szCs w:val="24"/>
        </w:rPr>
        <w:t xml:space="preserve">   （11）招标文件规定的其它情况。</w:t>
      </w:r>
    </w:p>
    <w:p>
      <w:pPr>
        <w:spacing w:line="400" w:lineRule="exact"/>
        <w:ind w:firstLine="480" w:firstLineChars="200"/>
        <w:rPr>
          <w:rFonts w:hAnsi="宋体"/>
          <w:color w:val="000000"/>
          <w:sz w:val="24"/>
          <w:szCs w:val="24"/>
        </w:rPr>
      </w:pPr>
      <w:r>
        <w:rPr>
          <w:rFonts w:hint="eastAsia" w:hAnsi="宋体"/>
          <w:color w:val="000000"/>
          <w:sz w:val="24"/>
          <w:szCs w:val="24"/>
        </w:rPr>
        <w:t>3.1.3投标报价有算术错误的，评标委员会按以下原则对投标报价进行修正，修正的价格经投标人书面确认后具有约束力。投标人不接受修正价格的，其投标作废标处理。</w:t>
      </w:r>
    </w:p>
    <w:p>
      <w:pPr>
        <w:spacing w:line="400" w:lineRule="exact"/>
        <w:ind w:firstLine="820" w:firstLineChars="342"/>
        <w:rPr>
          <w:rFonts w:hAnsi="宋体"/>
          <w:color w:val="000000"/>
          <w:sz w:val="24"/>
          <w:szCs w:val="24"/>
        </w:rPr>
      </w:pPr>
      <w:r>
        <w:rPr>
          <w:rFonts w:hint="eastAsia" w:hAnsi="宋体"/>
          <w:color w:val="000000"/>
          <w:sz w:val="24"/>
          <w:szCs w:val="24"/>
        </w:rPr>
        <w:t>（1）投标文件中的大写金额与小写金额不一致的，以大写金额为准；</w:t>
      </w:r>
    </w:p>
    <w:p>
      <w:pPr>
        <w:spacing w:line="400" w:lineRule="exact"/>
        <w:ind w:firstLine="820" w:firstLineChars="342"/>
        <w:rPr>
          <w:rFonts w:hAnsi="宋体"/>
          <w:color w:val="000000"/>
          <w:sz w:val="24"/>
          <w:szCs w:val="24"/>
        </w:rPr>
      </w:pPr>
      <w:r>
        <w:rPr>
          <w:rFonts w:hint="eastAsia" w:hAnsi="宋体"/>
          <w:color w:val="000000"/>
          <w:sz w:val="24"/>
          <w:szCs w:val="24"/>
        </w:rPr>
        <w:t>（2）总价金额与依据单价计算出的结果不一致的，以单价金额为准修正总价，但单价金额小数点有明显错误的除外。</w:t>
      </w:r>
    </w:p>
    <w:p>
      <w:pPr>
        <w:pStyle w:val="34"/>
        <w:rPr>
          <w:rFonts w:ascii="宋体" w:hAnsi="宋体" w:eastAsia="宋体"/>
          <w:color w:val="000000"/>
        </w:rPr>
      </w:pPr>
      <w:r>
        <w:rPr>
          <w:rFonts w:hint="eastAsia" w:ascii="宋体" w:hAnsi="宋体" w:eastAsia="宋体"/>
          <w:color w:val="000000"/>
        </w:rPr>
        <w:t>3.2 详细评审</w:t>
      </w:r>
    </w:p>
    <w:p>
      <w:pPr>
        <w:spacing w:line="420" w:lineRule="exact"/>
        <w:ind w:firstLine="480" w:firstLineChars="200"/>
        <w:rPr>
          <w:rFonts w:hAnsi="宋体"/>
          <w:b/>
          <w:bCs/>
          <w:color w:val="000000"/>
          <w:sz w:val="24"/>
          <w:szCs w:val="24"/>
        </w:rPr>
      </w:pPr>
      <w:r>
        <w:rPr>
          <w:rFonts w:hint="eastAsia" w:hAnsi="宋体"/>
          <w:b/>
          <w:bCs/>
          <w:color w:val="000000"/>
          <w:sz w:val="24"/>
          <w:szCs w:val="24"/>
        </w:rPr>
        <w:t>只有通过了初步评审、被判定为合格的投标方可进入详细评审。</w:t>
      </w:r>
    </w:p>
    <w:p>
      <w:pPr>
        <w:spacing w:line="360" w:lineRule="auto"/>
        <w:ind w:firstLine="480" w:firstLineChars="200"/>
        <w:rPr>
          <w:rFonts w:hAnsi="宋体"/>
          <w:sz w:val="24"/>
          <w:szCs w:val="24"/>
        </w:rPr>
      </w:pPr>
      <w:r>
        <w:rPr>
          <w:rFonts w:hint="eastAsia" w:hAnsi="宋体"/>
          <w:sz w:val="24"/>
          <w:szCs w:val="24"/>
        </w:rPr>
        <w:t>3.2.1 评标委员会按本章第2.2 款规定的量化因素和要求进行评审，并计算出投标人评标价。</w:t>
      </w:r>
    </w:p>
    <w:p>
      <w:pPr>
        <w:spacing w:line="360" w:lineRule="auto"/>
        <w:ind w:firstLine="480" w:firstLineChars="200"/>
        <w:rPr>
          <w:rFonts w:hAnsi="宋体"/>
          <w:sz w:val="24"/>
          <w:szCs w:val="24"/>
        </w:rPr>
      </w:pPr>
      <w:r>
        <w:rPr>
          <w:rFonts w:hint="eastAsia" w:hAnsi="宋体"/>
          <w:sz w:val="24"/>
          <w:szCs w:val="24"/>
        </w:rPr>
        <w:t>3.2.2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pacing w:line="360" w:lineRule="auto"/>
        <w:ind w:firstLine="480" w:firstLineChars="200"/>
        <w:rPr>
          <w:rFonts w:hAnsi="宋体"/>
          <w:sz w:val="24"/>
          <w:szCs w:val="24"/>
        </w:rPr>
      </w:pPr>
      <w:r>
        <w:rPr>
          <w:rFonts w:hint="eastAsia" w:hAnsi="宋体"/>
          <w:sz w:val="24"/>
          <w:szCs w:val="24"/>
        </w:rPr>
        <w:t>3.2.3投标人获奖、受罚、信用信息登记等，从“全国水利建设市场信用信息平台”（http://rcpu.cwun.org/）及“河南省水利建设市场主体信用信息管理平台”(http://xyxxgk.hnsl.gov.cn/)上收集并向评标委员会提供，评标委员会应以此为依据核实投标人提供的相关证明材料。</w:t>
      </w:r>
    </w:p>
    <w:p>
      <w:pPr>
        <w:spacing w:line="400" w:lineRule="exact"/>
        <w:ind w:firstLine="480" w:firstLineChars="200"/>
        <w:rPr>
          <w:rFonts w:hAnsi="宋体"/>
          <w:color w:val="000000"/>
          <w:sz w:val="24"/>
          <w:szCs w:val="24"/>
        </w:rPr>
      </w:pPr>
      <w:r>
        <w:rPr>
          <w:rFonts w:hint="eastAsia" w:hAnsi="宋体"/>
          <w:color w:val="000000"/>
          <w:sz w:val="24"/>
          <w:szCs w:val="24"/>
        </w:rPr>
        <w:t>3.3 投标文件的澄清和补正</w:t>
      </w:r>
    </w:p>
    <w:p>
      <w:pPr>
        <w:spacing w:line="400" w:lineRule="exact"/>
        <w:ind w:firstLine="480" w:firstLineChars="200"/>
        <w:rPr>
          <w:rFonts w:hAnsi="宋体"/>
          <w:color w:val="000000"/>
          <w:sz w:val="24"/>
          <w:szCs w:val="24"/>
        </w:rPr>
      </w:pPr>
      <w:r>
        <w:rPr>
          <w:rFonts w:hint="eastAsia" w:hAnsi="宋体"/>
          <w:color w:val="000000"/>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80" w:firstLineChars="200"/>
        <w:rPr>
          <w:rFonts w:hAnsi="宋体"/>
          <w:color w:val="000000"/>
          <w:sz w:val="24"/>
          <w:szCs w:val="24"/>
        </w:rPr>
      </w:pPr>
      <w:r>
        <w:rPr>
          <w:rFonts w:hint="eastAsia" w:hAnsi="宋体"/>
          <w:color w:val="000000"/>
          <w:sz w:val="24"/>
          <w:szCs w:val="24"/>
        </w:rPr>
        <w:t>3.3.2 澄清、说明和补正不得改变投标文件的实质性内容（算术性错误修正的除外）。投标人的书面澄清、说明和补正属于投标文件的组成部分。</w:t>
      </w:r>
    </w:p>
    <w:p>
      <w:pPr>
        <w:spacing w:line="400" w:lineRule="exact"/>
        <w:ind w:firstLine="480" w:firstLineChars="200"/>
        <w:rPr>
          <w:rFonts w:hAnsi="宋体"/>
          <w:color w:val="000000"/>
          <w:sz w:val="24"/>
          <w:szCs w:val="24"/>
        </w:rPr>
      </w:pPr>
      <w:r>
        <w:rPr>
          <w:rFonts w:hint="eastAsia" w:hAnsi="宋体"/>
          <w:color w:val="000000"/>
          <w:sz w:val="24"/>
          <w:szCs w:val="24"/>
        </w:rPr>
        <w:t>3.3.3 评标委员会对投标人提交的澄清、说明或补正有疑问的，可以要求投标人进一步澄清、说明或补正，直至满足评标委员会的要求。</w:t>
      </w:r>
    </w:p>
    <w:p>
      <w:pPr>
        <w:spacing w:line="400" w:lineRule="exact"/>
        <w:ind w:firstLine="480" w:firstLineChars="200"/>
        <w:rPr>
          <w:rFonts w:hAnsi="宋体"/>
          <w:color w:val="000000"/>
          <w:sz w:val="24"/>
          <w:szCs w:val="24"/>
        </w:rPr>
      </w:pPr>
      <w:r>
        <w:rPr>
          <w:rFonts w:hint="eastAsia" w:hAnsi="宋体"/>
          <w:color w:val="000000"/>
          <w:sz w:val="24"/>
          <w:szCs w:val="24"/>
        </w:rPr>
        <w:t>3.4 评标结果</w:t>
      </w:r>
    </w:p>
    <w:p>
      <w:pPr>
        <w:spacing w:line="400" w:lineRule="exact"/>
        <w:ind w:firstLine="480" w:firstLineChars="200"/>
        <w:rPr>
          <w:rFonts w:hAnsi="宋体"/>
          <w:color w:val="000000"/>
          <w:sz w:val="24"/>
          <w:szCs w:val="24"/>
        </w:rPr>
      </w:pPr>
      <w:r>
        <w:rPr>
          <w:rFonts w:hint="eastAsia" w:hAnsi="宋体"/>
          <w:color w:val="000000"/>
          <w:sz w:val="24"/>
          <w:szCs w:val="24"/>
        </w:rPr>
        <w:t>3.4.1评标委员会依据本章第2.2条评分标准进行评分，按评标办法前附表的约定计算投标人最终得分，根据得分由高到低的顺序推荐1-3名中标候选人，并标明推荐顺序。</w:t>
      </w:r>
    </w:p>
    <w:p>
      <w:pPr>
        <w:spacing w:line="400" w:lineRule="exact"/>
        <w:ind w:firstLine="480" w:firstLineChars="200"/>
        <w:rPr>
          <w:rFonts w:hAnsi="宋体"/>
          <w:color w:val="000000"/>
          <w:sz w:val="24"/>
          <w:szCs w:val="24"/>
        </w:rPr>
      </w:pPr>
      <w:r>
        <w:rPr>
          <w:rFonts w:hint="eastAsia" w:hAnsi="宋体"/>
          <w:color w:val="000000"/>
          <w:sz w:val="24"/>
          <w:szCs w:val="24"/>
        </w:rPr>
        <w:t>3.4.2 评标委员会完成评标后，应当向招标人提交书面评标报告。</w:t>
      </w:r>
    </w:p>
    <w:p>
      <w:pPr>
        <w:spacing w:line="400" w:lineRule="exact"/>
        <w:ind w:firstLine="480" w:firstLineChars="200"/>
        <w:rPr>
          <w:rFonts w:hAnsi="宋体"/>
          <w:color w:val="000000"/>
          <w:sz w:val="24"/>
          <w:szCs w:val="24"/>
        </w:rPr>
      </w:pPr>
      <w:r>
        <w:rPr>
          <w:rFonts w:hint="eastAsia" w:hAnsi="宋体"/>
          <w:color w:val="000000"/>
          <w:sz w:val="24"/>
          <w:szCs w:val="24"/>
        </w:rPr>
        <w:t>3.4.3招标人根据评标委员会提供的书面评标报告，取排名第一的中标候选人为中标人。排名第一的中标候选人放弃中标或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可以重新招标，但不得在中标候选人以外确定中标人。</w:t>
      </w:r>
    </w:p>
    <w:p>
      <w:pPr>
        <w:snapToGrid w:val="0"/>
        <w:spacing w:line="360" w:lineRule="auto"/>
        <w:ind w:firstLine="480" w:firstLineChars="200"/>
        <w:rPr>
          <w:rFonts w:hAnsi="宋体" w:cs="新宋体"/>
          <w:sz w:val="24"/>
          <w:szCs w:val="24"/>
        </w:rPr>
      </w:pPr>
      <w:r>
        <w:rPr>
          <w:rFonts w:hint="eastAsia" w:hAnsi="宋体"/>
          <w:sz w:val="24"/>
          <w:szCs w:val="24"/>
        </w:rPr>
        <w:t>备注：上述增加、减少投标报价的额度精确到两位小数，</w:t>
      </w:r>
      <w:r>
        <w:rPr>
          <w:rFonts w:hint="eastAsia" w:hAnsi="宋体" w:cs="新宋体"/>
          <w:sz w:val="24"/>
          <w:szCs w:val="24"/>
        </w:rPr>
        <w:t>第三位四舍五入。</w:t>
      </w:r>
    </w:p>
    <w:p>
      <w:pPr>
        <w:snapToGrid w:val="0"/>
        <w:spacing w:line="360" w:lineRule="auto"/>
        <w:jc w:val="left"/>
        <w:rPr>
          <w:rFonts w:ascii="新宋体" w:hAnsi="新宋体" w:eastAsia="新宋体" w:cs="宋体"/>
          <w:b/>
          <w:bCs/>
          <w:sz w:val="24"/>
          <w:szCs w:val="24"/>
        </w:rPr>
      </w:pPr>
      <w:r>
        <w:rPr>
          <w:rFonts w:hint="eastAsia" w:ascii="新宋体" w:hAnsi="新宋体" w:eastAsia="新宋体" w:cs="宋体"/>
          <w:b/>
          <w:bCs/>
          <w:sz w:val="24"/>
          <w:szCs w:val="24"/>
        </w:rPr>
        <w:t>4、评标报告</w:t>
      </w:r>
    </w:p>
    <w:p>
      <w:pPr>
        <w:snapToGrid w:val="0"/>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评标委员会根据投标人须知前附表7.1条的规定向招标人提交评标报告，在评标报告中显示“不同投标人电子投标文件制作硬件特征码”是否雷同的分析及判定结果，评标报告应当由全体评标委员会成员签字，并于评标结束时抄送有关行政监督部门。</w:t>
      </w:r>
    </w:p>
    <w:p>
      <w:pPr>
        <w:snapToGrid w:val="0"/>
        <w:spacing w:line="360" w:lineRule="auto"/>
        <w:rPr>
          <w:rFonts w:ascii="新宋体" w:hAnsi="新宋体" w:eastAsia="新宋体"/>
          <w:sz w:val="24"/>
          <w:szCs w:val="24"/>
        </w:rPr>
      </w:pPr>
      <w:r>
        <w:rPr>
          <w:rFonts w:hint="eastAsia" w:ascii="新宋体" w:hAnsi="新宋体" w:eastAsia="新宋体" w:cs="宋体"/>
          <w:b/>
          <w:bCs/>
          <w:sz w:val="24"/>
          <w:szCs w:val="24"/>
        </w:rPr>
        <w:t>5、公示</w:t>
      </w:r>
    </w:p>
    <w:p>
      <w:pPr>
        <w:snapToGrid w:val="0"/>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中标人确定后，招标人应当在《全国公共资源交易平台(河南省</w:t>
      </w:r>
      <w:r>
        <w:rPr>
          <w:rFonts w:hint="eastAsia" w:ascii="MS Gothic" w:hAnsi="MS Gothic" w:eastAsia="MS Gothic" w:cs="MS Gothic"/>
          <w:sz w:val="24"/>
          <w:szCs w:val="24"/>
        </w:rPr>
        <w:t>▪</w:t>
      </w:r>
      <w:r>
        <w:rPr>
          <w:rFonts w:hint="eastAsia" w:ascii="新宋体" w:hAnsi="新宋体" w:eastAsia="新宋体" w:cs="新宋体"/>
          <w:sz w:val="24"/>
          <w:szCs w:val="24"/>
        </w:rPr>
        <w:t>许昌市</w:t>
      </w:r>
      <w:r>
        <w:rPr>
          <w:rFonts w:hint="eastAsia" w:ascii="新宋体" w:hAnsi="新宋体" w:eastAsia="新宋体"/>
          <w:sz w:val="24"/>
          <w:szCs w:val="24"/>
        </w:rPr>
        <w:t>)》和《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rPr>
          <w:rFonts w:ascii="新宋体" w:hAnsi="新宋体" w:eastAsia="新宋体"/>
          <w:b/>
          <w:bCs/>
          <w:sz w:val="24"/>
          <w:szCs w:val="24"/>
        </w:rPr>
      </w:pPr>
      <w:r>
        <w:rPr>
          <w:rFonts w:hint="eastAsia" w:ascii="新宋体" w:hAnsi="新宋体" w:eastAsia="新宋体"/>
          <w:b/>
          <w:bCs/>
          <w:sz w:val="24"/>
          <w:szCs w:val="24"/>
        </w:rPr>
        <w:t>6、特殊情况的处置程序</w:t>
      </w:r>
    </w:p>
    <w:p>
      <w:pPr>
        <w:snapToGrid w:val="0"/>
        <w:spacing w:line="360" w:lineRule="auto"/>
        <w:ind w:firstLine="480" w:firstLineChars="200"/>
        <w:rPr>
          <w:rFonts w:ascii="新宋体" w:hAnsi="新宋体" w:eastAsia="新宋体"/>
          <w:b/>
          <w:bCs/>
          <w:sz w:val="24"/>
          <w:szCs w:val="24"/>
        </w:rPr>
      </w:pPr>
      <w:r>
        <w:rPr>
          <w:rFonts w:hint="eastAsia" w:ascii="新宋体" w:hAnsi="新宋体" w:eastAsia="新宋体"/>
          <w:b/>
          <w:bCs/>
          <w:sz w:val="24"/>
          <w:szCs w:val="24"/>
        </w:rPr>
        <w:t>6.1关于澄清、说明或补正</w:t>
      </w:r>
    </w:p>
    <w:p>
      <w:pPr>
        <w:snapToGrid w:val="0"/>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w:t>
      </w:r>
    </w:p>
    <w:p>
      <w:pPr>
        <w:snapToGrid w:val="0"/>
        <w:spacing w:line="360" w:lineRule="auto"/>
        <w:ind w:firstLine="480" w:firstLineChars="200"/>
        <w:rPr>
          <w:rFonts w:ascii="新宋体" w:hAnsi="新宋体" w:eastAsia="新宋体"/>
          <w:b/>
          <w:bCs/>
          <w:sz w:val="24"/>
          <w:szCs w:val="24"/>
        </w:rPr>
      </w:pPr>
      <w:r>
        <w:rPr>
          <w:rFonts w:hint="eastAsia" w:ascii="新宋体" w:hAnsi="新宋体" w:eastAsia="新宋体"/>
          <w:b/>
          <w:bCs/>
          <w:sz w:val="24"/>
          <w:szCs w:val="24"/>
        </w:rPr>
        <w:t>6.2关于评标活动暂停</w:t>
      </w:r>
    </w:p>
    <w:p>
      <w:pPr>
        <w:snapToGrid w:val="0"/>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6.2.1评标委员会应当执行连续评标的原则，按评标办法中规定的程序、内容、方法、标准完成全部评标工作。只有发生不可抗力导致评标工作无法继续时，评标活动方可暂停。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6.2.2发生评标暂停情况时，评标委员会应当封存全部投标文件和评标记录，待不可抗力的影响结束且具备继续评标的条件时，由原评标委员会继续评标。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hAnsi="新宋体" w:eastAsia="新宋体"/>
          <w:b/>
          <w:bCs/>
          <w:sz w:val="24"/>
          <w:szCs w:val="24"/>
        </w:rPr>
      </w:pPr>
      <w:r>
        <w:rPr>
          <w:rFonts w:hint="eastAsia" w:ascii="新宋体" w:hAnsi="新宋体" w:eastAsia="新宋体"/>
          <w:b/>
          <w:bCs/>
          <w:sz w:val="24"/>
          <w:szCs w:val="24"/>
        </w:rPr>
        <w:t>6.3关于评标中途更换评标委员会成员</w:t>
      </w:r>
    </w:p>
    <w:p>
      <w:pPr>
        <w:snapToGrid w:val="0"/>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6.3.1除非发生下列情况之一，评标委员会成员不得在评标中途更换：</w:t>
      </w:r>
    </w:p>
    <w:p>
      <w:pPr>
        <w:snapToGrid w:val="0"/>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（1）因不可抗拒的客观原因，不能到场或需在评标中途退出评标活动。</w:t>
      </w:r>
    </w:p>
    <w:p>
      <w:pPr>
        <w:snapToGrid w:val="0"/>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（2）根据法律法规规定，某个或某几个评标委员会成员需要回避。</w:t>
      </w:r>
    </w:p>
    <w:p>
      <w:pPr>
        <w:snapToGrid w:val="0"/>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6.3.2退出评标的评标委员会成员，其已完成的评标行为无效。由招标人根据本招标文件规定的评标委员会成员产生方式另行确定替代者进行评标。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hAnsi="新宋体" w:eastAsia="新宋体"/>
          <w:b/>
          <w:bCs/>
          <w:sz w:val="24"/>
          <w:szCs w:val="24"/>
        </w:rPr>
      </w:pPr>
      <w:r>
        <w:rPr>
          <w:rFonts w:hint="eastAsia" w:ascii="新宋体" w:hAnsi="新宋体" w:eastAsia="新宋体"/>
          <w:b/>
          <w:bCs/>
          <w:sz w:val="24"/>
          <w:szCs w:val="24"/>
        </w:rPr>
        <w:t>6.4记名投票</w:t>
      </w:r>
    </w:p>
    <w:p>
      <w:pPr>
        <w:snapToGrid w:val="0"/>
        <w:spacing w:line="360" w:lineRule="auto"/>
        <w:ind w:firstLine="480" w:firstLineChars="200"/>
        <w:rPr>
          <w:rFonts w:ascii="新宋体" w:hAnsi="新宋体" w:eastAsia="新宋体"/>
          <w:sz w:val="24"/>
          <w:szCs w:val="24"/>
        </w:rPr>
      </w:pPr>
      <w:r>
        <w:rPr>
          <w:rFonts w:hint="eastAsia" w:ascii="新宋体" w:hAnsi="新宋体" w:eastAsia="新宋体"/>
          <w:sz w:val="24"/>
          <w:szCs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rFonts w:ascii="Times New Roman"/>
          <w:b/>
          <w:bCs/>
          <w:sz w:val="24"/>
          <w:szCs w:val="24"/>
        </w:rPr>
      </w:pPr>
      <w:r>
        <w:rPr>
          <w:b/>
          <w:bCs/>
          <w:sz w:val="24"/>
          <w:szCs w:val="24"/>
        </w:rPr>
        <w:t>6.5</w:t>
      </w:r>
      <w:r>
        <w:rPr>
          <w:rFonts w:hint="eastAsia" w:hAnsi="宋体"/>
          <w:b/>
          <w:bCs/>
          <w:sz w:val="24"/>
          <w:szCs w:val="24"/>
        </w:rPr>
        <w:t>评标委员会对评标结果有异议的</w:t>
      </w:r>
    </w:p>
    <w:p>
      <w:pPr>
        <w:pStyle w:val="16"/>
        <w:ind w:left="680" w:firstLine="234"/>
        <w:rPr>
          <w:szCs w:val="21"/>
        </w:rPr>
      </w:pPr>
      <w:r>
        <w:rPr>
          <w:rFonts w:hint="eastAsia" w:ascii="宋体" w:hAnsi="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16"/>
        <w:ind w:left="680" w:firstLine="210"/>
      </w:pPr>
      <w:r>
        <w:t xml:space="preserve"> </w:t>
      </w:r>
    </w:p>
    <w:p>
      <w:pPr>
        <w:spacing w:line="400" w:lineRule="exact"/>
        <w:ind w:firstLine="480" w:firstLineChars="200"/>
        <w:rPr>
          <w:rFonts w:hAnsi="宋体" w:cs="宋体"/>
          <w:sz w:val="24"/>
          <w:szCs w:val="24"/>
        </w:rPr>
      </w:pPr>
    </w:p>
    <w:p>
      <w:pPr>
        <w:spacing w:line="480" w:lineRule="exact"/>
        <w:jc w:val="lef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sz w:val="36"/>
          <w:szCs w:val="36"/>
        </w:rPr>
        <w:br w:type="page"/>
      </w:r>
      <w:r>
        <w:rPr>
          <w:rFonts w:hint="eastAsia" w:asciiTheme="minorEastAsia" w:hAnsiTheme="minorEastAsia" w:eastAsiaTheme="minorEastAsia" w:cstheme="minorEastAsia"/>
          <w:b/>
          <w:bCs/>
          <w:sz w:val="32"/>
          <w:szCs w:val="32"/>
        </w:rPr>
        <w:t>附件四：投标保证金</w:t>
      </w:r>
    </w:p>
    <w:p>
      <w:pPr>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投标保证金交纳须知</w:t>
      </w:r>
    </w:p>
    <w:tbl>
      <w:tblPr>
        <w:tblStyle w:val="18"/>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建安建工公字〔2020〕</w:t>
            </w:r>
            <w:r>
              <w:rPr>
                <w:rFonts w:hint="eastAsia" w:asciiTheme="minorEastAsia" w:hAnsiTheme="minorEastAsia" w:eastAsiaTheme="minorEastAsia" w:cstheme="minorEastAsia"/>
                <w:bCs/>
                <w:sz w:val="24"/>
                <w:lang w:val="en-US" w:eastAsia="zh-CN"/>
              </w:rPr>
              <w:t>69</w:t>
            </w:r>
            <w:r>
              <w:rPr>
                <w:rFonts w:hint="eastAsia" w:asciiTheme="minorEastAsia" w:hAnsiTheme="minorEastAsia" w:eastAsiaTheme="minorEastAsia" w:cstheme="minorEastAsia"/>
                <w:bCs/>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许昌市建安区2019年高标准农田建设示范区项目</w:t>
            </w:r>
            <w:bookmarkStart w:id="179" w:name="_GoBack"/>
            <w:bookmarkEnd w:id="1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w:t>
            </w:r>
          </w:p>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金额：</w:t>
            </w:r>
            <w:r>
              <w:rPr>
                <w:rFonts w:hint="eastAsia" w:asciiTheme="minorEastAsia" w:hAnsiTheme="minorEastAsia" w:eastAsiaTheme="minorEastAsia" w:cstheme="minorEastAsia"/>
                <w:b/>
                <w:bCs/>
                <w:sz w:val="24"/>
              </w:rPr>
              <w:t>人民币 捌万元整（¥ 80000.00元）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Theme="minorEastAsia" w:hAnsiTheme="minorEastAsia" w:eastAsiaTheme="minorEastAsia" w:cstheme="minorEastAsia"/>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Theme="minorEastAsia" w:hAnsiTheme="minorEastAsia" w:eastAsiaTheme="minorEastAsia" w:cstheme="minorEastAsia"/>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rPr>
                <w:rFonts w:hAnsi="宋体" w:cs="宋体"/>
                <w:sz w:val="24"/>
                <w:lang w:val="zh-CN"/>
              </w:rPr>
            </w:pPr>
            <w:r>
              <w:rPr>
                <w:rFonts w:hint="eastAsia" w:hAnsi="宋体" w:cs="宋体"/>
                <w:sz w:val="24"/>
                <w:lang w:val="zh-CN"/>
              </w:rPr>
              <w:t xml:space="preserve"> 1、投标保证金的递交方式：银行转账、银行电汇、保函，不接受以现金方式缴纳的投标保证金。凡以现金方式缴纳投标保证金而影响其投标结果的，由投标人自行负责。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使用银行转帐、银行电汇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使用保函方式的，</w:t>
            </w:r>
            <w:r>
              <w:rPr>
                <w:rFonts w:hint="eastAsia" w:hAnsi="宋体" w:cs="宋体"/>
                <w:sz w:val="24"/>
              </w:rPr>
              <w:t>投标</w:t>
            </w:r>
            <w:r>
              <w:rPr>
                <w:rFonts w:hint="eastAsia" w:hAnsi="宋体" w:cs="宋体"/>
                <w:sz w:val="24"/>
                <w:lang w:val="zh-CN"/>
              </w:rPr>
              <w:t>保函应明确项目名称、项目编号及标段、受益人（招标人）、有效期（不低于本项目投标有效期）、保函担保金额（不低于本项目本标段投标保证金数额）。投标人应将</w:t>
            </w:r>
            <w:r>
              <w:rPr>
                <w:rFonts w:hint="eastAsia" w:hAnsi="宋体" w:cs="宋体"/>
                <w:sz w:val="24"/>
              </w:rPr>
              <w:t>真实</w:t>
            </w:r>
            <w:r>
              <w:rPr>
                <w:rFonts w:hint="eastAsia" w:hAnsi="宋体" w:cs="宋体"/>
                <w:sz w:val="24"/>
                <w:lang w:val="zh-CN"/>
              </w:rPr>
              <w:t>合法的保函原件扫描件附于投标文件中，否则视为未按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 xml:space="preserve">    </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 xml:space="preserve">    (2)</w:t>
            </w:r>
            <w:r>
              <w:rPr>
                <w:rFonts w:hint="eastAsia" w:hAnsi="宋体" w:cs="宋体"/>
                <w:sz w:val="24"/>
                <w:lang w:val="zh-CN"/>
              </w:rPr>
              <w:t>成功缴纳后</w:t>
            </w:r>
            <w:r>
              <w:rPr>
                <w:rFonts w:hint="eastAsia" w:hAnsi="宋体" w:cs="宋体"/>
                <w:sz w:val="24"/>
              </w:rPr>
              <w:t>再次</w:t>
            </w:r>
            <w:r>
              <w:rPr>
                <w:rFonts w:hint="eastAsia" w:hAnsi="宋体" w:cs="宋体"/>
                <w:sz w:val="24"/>
                <w:lang w:val="zh-CN"/>
              </w:rPr>
              <w:t>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进行投标保证金绑定。未绑定标段的投标保证金，视为未按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w:t>
            </w:r>
            <w:r>
              <w:rPr>
                <w:rFonts w:hint="eastAsia" w:hAnsi="宋体" w:cs="宋体"/>
                <w:sz w:val="24"/>
              </w:rPr>
              <w:t>(3)</w:t>
            </w:r>
            <w:r>
              <w:rPr>
                <w:rFonts w:hint="eastAsia" w:hAnsi="宋体" w:cs="宋体"/>
                <w:sz w:val="24"/>
                <w:lang w:val="zh-CN"/>
              </w:rPr>
              <w:t>投标人成功绑定投标保证金，将缴纳凭证</w:t>
            </w:r>
            <w:r>
              <w:rPr>
                <w:rFonts w:hint="eastAsia" w:hAnsi="宋体" w:cs="宋体"/>
                <w:sz w:val="24"/>
              </w:rPr>
              <w:t>即本项目投保保证金</w:t>
            </w:r>
            <w:r>
              <w:rPr>
                <w:rFonts w:hint="eastAsia" w:hAnsi="宋体" w:cs="宋体"/>
                <w:sz w:val="24"/>
                <w:lang w:val="zh-CN"/>
              </w:rPr>
              <w:t>“许昌市建安区公共资源交易中心保证金缴纳回执”附于投标文件中，</w:t>
            </w:r>
            <w:r>
              <w:rPr>
                <w:rFonts w:hint="eastAsia" w:hAnsi="宋体" w:cs="宋体"/>
                <w:sz w:val="24"/>
              </w:rPr>
              <w:t>否则视为未按规定提交。</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w:t>
            </w:r>
            <w:r>
              <w:rPr>
                <w:rFonts w:hint="eastAsia" w:hAnsi="宋体" w:cs="宋体"/>
                <w:sz w:val="24"/>
              </w:rPr>
              <w:t>(4)</w:t>
            </w:r>
            <w:r>
              <w:rPr>
                <w:rFonts w:hint="eastAsia" w:hAnsi="宋体" w:cs="宋体"/>
                <w:sz w:val="24"/>
                <w:lang w:val="zh-CN"/>
              </w:rPr>
              <w:t>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 xml:space="preserve">   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 xml:space="preserve">   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 xml:space="preserve">   (1)投标保证金未从投标人的基本账户转出；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 xml:space="preserve">   (2)投标保证金未按照招标文件划分的标段转账。</w:t>
            </w:r>
          </w:p>
          <w:p>
            <w:pPr>
              <w:autoSpaceDE w:val="0"/>
              <w:autoSpaceDN w:val="0"/>
              <w:adjustRightInd w:val="0"/>
              <w:spacing w:line="340" w:lineRule="exact"/>
              <w:rPr>
                <w:rFonts w:hAnsi="宋体" w:cs="宋体"/>
                <w:sz w:val="24"/>
              </w:rPr>
            </w:pPr>
            <w:r>
              <w:rPr>
                <w:rFonts w:hint="eastAsia" w:hAnsi="宋体" w:cs="宋体"/>
                <w:sz w:val="24"/>
              </w:rPr>
              <w:t xml:space="preserve">   6、《保证金缴纳绑定操作指南》获取方法：</w:t>
            </w:r>
          </w:p>
          <w:p>
            <w:pPr>
              <w:autoSpaceDE w:val="0"/>
              <w:autoSpaceDN w:val="0"/>
              <w:adjustRightInd w:val="0"/>
              <w:spacing w:line="340" w:lineRule="exact"/>
              <w:rPr>
                <w:rFonts w:hint="eastAsia" w:hAnsi="宋体" w:cs="宋体"/>
                <w:sz w:val="24"/>
              </w:rPr>
            </w:pPr>
            <w:r>
              <w:rPr>
                <w:rFonts w:hint="eastAsia" w:hAnsi="宋体" w:cs="宋体"/>
                <w:sz w:val="24"/>
              </w:rPr>
              <w:t xml:space="preserve">   (1)自文件发布之日起，投标人需进行基本户备案，已备案的基本户开户银行、账户发生变化的，须重新办理备案手续。备案后方可提交投标（竞买）保证金。</w:t>
            </w:r>
          </w:p>
          <w:p>
            <w:pPr>
              <w:autoSpaceDE w:val="0"/>
              <w:autoSpaceDN w:val="0"/>
              <w:adjustRightInd w:val="0"/>
              <w:spacing w:line="340" w:lineRule="exact"/>
              <w:rPr>
                <w:rFonts w:hint="eastAsia" w:hAnsi="宋体" w:cs="宋体"/>
                <w:sz w:val="24"/>
              </w:rPr>
            </w:pPr>
            <w:r>
              <w:rPr>
                <w:rFonts w:hint="eastAsia" w:hAnsi="宋体" w:cs="宋体"/>
                <w:sz w:val="24"/>
              </w:rPr>
              <w:t xml:space="preserve">  (2)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rPr>
                <w:rFonts w:hint="eastAsia" w:hAnsi="宋体" w:cs="宋体"/>
                <w:sz w:val="24"/>
              </w:rPr>
            </w:pPr>
            <w:r>
              <w:rPr>
                <w:rFonts w:hint="eastAsia" w:hAnsi="宋体" w:cs="宋体"/>
                <w:sz w:val="24"/>
              </w:rPr>
              <w:t xml:space="preserve">  (3)特殊情况处理</w:t>
            </w:r>
          </w:p>
          <w:p>
            <w:pPr>
              <w:autoSpaceDE w:val="0"/>
              <w:autoSpaceDN w:val="0"/>
              <w:adjustRightInd w:val="0"/>
              <w:spacing w:line="340" w:lineRule="exact"/>
              <w:rPr>
                <w:rFonts w:hAnsi="宋体" w:cs="宋体"/>
                <w:sz w:val="24"/>
                <w:lang w:val="zh-CN"/>
              </w:rPr>
            </w:pPr>
            <w:r>
              <w:rPr>
                <w:rFonts w:hint="eastAsia" w:hAnsi="宋体" w:cs="宋体"/>
                <w:sz w:val="24"/>
              </w:rPr>
              <w:t xml:space="preserve">   投标人投标过程中因账户开户银行、银行账号发生变化，不能按照来款途径原路返还投标保证金的，投标人须提供原账户开户银行相关证明及新开账户开户许可证，到建安区公共资源交易中心四楼财务部办理退款手续。登录许昌公共资源交易系统-组件下载-《保证金缴纳绑定操作指南》。</w:t>
            </w:r>
          </w:p>
          <w:p>
            <w:pPr>
              <w:rPr>
                <w:rFonts w:asciiTheme="minorEastAsia" w:hAnsiTheme="minorEastAsia" w:eastAsiaTheme="minorEastAsia" w:cstheme="minorEastAsia"/>
                <w:sz w:val="24"/>
              </w:rPr>
            </w:pPr>
            <w:r>
              <w:rPr>
                <w:rFonts w:hint="eastAsia" w:hAnsi="宋体" w:cs="宋体"/>
                <w:sz w:val="24"/>
              </w:rPr>
              <w:t xml:space="preserve">    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rPr>
              <w:t>1、自文件发布之日起，投标人需进行基本户备案，已备案的基本户开户银行、账户发生变化的，须重新办理备案手续。备案后方可提交投标（竞买）保证金。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rPr>
              <w:t>2、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rPr>
              <w:t>3、特殊情况处理</w:t>
            </w:r>
          </w:p>
          <w:p>
            <w:pPr>
              <w:adjustRightInd w:val="0"/>
              <w:spacing w:line="360" w:lineRule="exact"/>
              <w:ind w:firstLine="470" w:firstLineChars="196"/>
              <w:rPr>
                <w:rFonts w:asciiTheme="minorEastAsia" w:hAnsiTheme="minorEastAsia" w:eastAsiaTheme="minorEastAsia" w:cstheme="minorEastAsia"/>
                <w:sz w:val="24"/>
              </w:rPr>
            </w:pPr>
            <w:r>
              <w:rPr>
                <w:rFonts w:hint="eastAsia" w:cs="宋体" w:asciiTheme="minorEastAsia" w:hAnsiTheme="minorEastAsia" w:eastAsiaTheme="minor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ind w:firstLine="2880" w:firstLineChars="800"/>
        <w:rPr>
          <w:rFonts w:asciiTheme="minorEastAsia" w:hAnsiTheme="minorEastAsia" w:eastAsiaTheme="minorEastAsia" w:cstheme="minorEastAsia"/>
          <w:sz w:val="36"/>
          <w:szCs w:val="36"/>
        </w:rPr>
      </w:pPr>
    </w:p>
    <w:bookmarkEnd w:id="78"/>
    <w:p>
      <w:pPr>
        <w:widowControl/>
        <w:jc w:val="left"/>
        <w:rPr>
          <w:rFonts w:asciiTheme="minorEastAsia" w:hAnsiTheme="minorEastAsia" w:eastAsiaTheme="minorEastAsia" w:cstheme="minorEastAsia"/>
          <w:sz w:val="36"/>
          <w:szCs w:val="36"/>
        </w:rPr>
      </w:pPr>
      <w:bookmarkStart w:id="84" w:name="_Toc15330"/>
      <w:bookmarkStart w:id="85" w:name="_Toc26082"/>
      <w:bookmarkStart w:id="86" w:name="_Toc401323967"/>
      <w:r>
        <w:rPr>
          <w:rFonts w:asciiTheme="minorEastAsia" w:hAnsiTheme="minorEastAsia" w:eastAsiaTheme="minorEastAsia" w:cstheme="minorEastAsia"/>
          <w:sz w:val="36"/>
          <w:szCs w:val="36"/>
        </w:rPr>
        <w:br w:type="page"/>
      </w:r>
    </w:p>
    <w:p>
      <w:pPr>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投标保证金退还申请表</w:t>
      </w:r>
    </w:p>
    <w:tbl>
      <w:tblPr>
        <w:tblStyle w:val="18"/>
        <w:tblpPr w:leftFromText="180" w:rightFromText="180" w:vertAnchor="text" w:horzAnchor="page" w:tblpXSpec="center" w:tblpY="37"/>
        <w:tblOverlap w:val="never"/>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9"/>
        <w:gridCol w:w="3516"/>
        <w:gridCol w:w="264"/>
        <w:gridCol w:w="722"/>
        <w:gridCol w:w="1078"/>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jc w:val="center"/>
        </w:trPr>
        <w:tc>
          <w:tcPr>
            <w:tcW w:w="2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rPr>
            </w:pPr>
          </w:p>
        </w:tc>
        <w:tc>
          <w:tcPr>
            <w:tcW w:w="206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是否中标</w:t>
            </w:r>
          </w:p>
        </w:tc>
        <w:tc>
          <w:tcPr>
            <w:tcW w:w="148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jc w:val="center"/>
        </w:trPr>
        <w:tc>
          <w:tcPr>
            <w:tcW w:w="2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申请单位（签章）</w:t>
            </w:r>
          </w:p>
        </w:tc>
        <w:tc>
          <w:tcPr>
            <w:tcW w:w="706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jc w:val="center"/>
        </w:trPr>
        <w:tc>
          <w:tcPr>
            <w:tcW w:w="282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p>
        </w:tc>
        <w:tc>
          <w:tcPr>
            <w:tcW w:w="37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账号</w:t>
            </w:r>
          </w:p>
        </w:tc>
        <w:tc>
          <w:tcPr>
            <w:tcW w:w="2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jc w:val="center"/>
        </w:trPr>
        <w:tc>
          <w:tcPr>
            <w:tcW w:w="282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申请金额</w:t>
            </w:r>
          </w:p>
        </w:tc>
        <w:tc>
          <w:tcPr>
            <w:tcW w:w="706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jc w:val="center"/>
        </w:trPr>
        <w:tc>
          <w:tcPr>
            <w:tcW w:w="9889" w:type="dxa"/>
            <w:gridSpan w:val="6"/>
            <w:tcBorders>
              <w:top w:val="nil"/>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jc w:val="center"/>
        </w:trPr>
        <w:tc>
          <w:tcPr>
            <w:tcW w:w="9889" w:type="dxa"/>
            <w:gridSpan w:val="6"/>
            <w:tcBorders>
              <w:top w:val="single" w:color="auto" w:sz="4" w:space="0"/>
              <w:left w:val="single" w:color="auto" w:sz="4" w:space="0"/>
              <w:bottom w:val="single" w:color="auto" w:sz="4" w:space="0"/>
              <w:right w:val="single" w:color="auto" w:sz="4" w:space="0"/>
            </w:tcBorders>
          </w:tcPr>
          <w:p>
            <w:pPr>
              <w:spacing w:line="360" w:lineRule="auto"/>
              <w:jc w:val="right"/>
              <w:rPr>
                <w:rFonts w:asciiTheme="minorEastAsia" w:hAnsiTheme="minorEastAsia" w:eastAsiaTheme="minorEastAsia" w:cstheme="minorEastAsia"/>
                <w:sz w:val="24"/>
              </w:rPr>
            </w:pPr>
          </w:p>
          <w:p>
            <w:pPr>
              <w:spacing w:line="360" w:lineRule="auto"/>
              <w:ind w:right="480" w:firstLine="5880" w:firstLineChars="2450"/>
              <w:rPr>
                <w:rFonts w:asciiTheme="minorEastAsia" w:hAnsiTheme="minorEastAsia" w:eastAsiaTheme="minorEastAsia" w:cstheme="minorEastAsia"/>
                <w:sz w:val="24"/>
              </w:rPr>
            </w:pPr>
          </w:p>
          <w:p>
            <w:pPr>
              <w:spacing w:line="360" w:lineRule="auto"/>
              <w:ind w:right="480" w:firstLine="5880" w:firstLineChars="2450"/>
              <w:rPr>
                <w:rFonts w:asciiTheme="minorEastAsia" w:hAnsiTheme="minorEastAsia" w:eastAsiaTheme="minorEastAsia" w:cstheme="minorEastAsia"/>
                <w:sz w:val="24"/>
              </w:rPr>
            </w:pPr>
          </w:p>
          <w:p>
            <w:pPr>
              <w:spacing w:line="360" w:lineRule="auto"/>
              <w:ind w:right="480" w:firstLine="5880" w:firstLineChars="2450"/>
              <w:rPr>
                <w:rFonts w:asciiTheme="minorEastAsia" w:hAnsiTheme="minorEastAsia" w:eastAsiaTheme="minorEastAsia" w:cstheme="minorEastAsia"/>
                <w:sz w:val="24"/>
              </w:rPr>
            </w:pPr>
          </w:p>
          <w:p>
            <w:pPr>
              <w:spacing w:line="360" w:lineRule="auto"/>
              <w:ind w:right="480" w:firstLine="5880" w:firstLineChars="24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bl>
    <w:p>
      <w:pPr>
        <w:spacing w:line="360" w:lineRule="auto"/>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sz w:val="24"/>
        </w:rPr>
        <w:t>备注：中标单位使用此表退还保证金时，此表格大小及格式不得改变</w:t>
      </w:r>
      <w:r>
        <w:rPr>
          <w:rFonts w:hint="eastAsia" w:asciiTheme="minorEastAsia" w:hAnsiTheme="minorEastAsia" w:eastAsiaTheme="minorEastAsia" w:cstheme="minorEastAsia"/>
          <w:sz w:val="28"/>
          <w:szCs w:val="28"/>
        </w:rPr>
        <w:t>。</w:t>
      </w:r>
    </w:p>
    <w:p>
      <w:pPr>
        <w:spacing w:line="360" w:lineRule="auto"/>
        <w:rPr>
          <w:rFonts w:asciiTheme="minorEastAsia" w:hAnsiTheme="minorEastAsia" w:eastAsiaTheme="minorEastAsia" w:cstheme="minorEastAsia"/>
          <w:sz w:val="24"/>
        </w:rPr>
      </w:pPr>
    </w:p>
    <w:p>
      <w:pPr>
        <w:jc w:val="center"/>
        <w:rPr>
          <w:rFonts w:hAnsi="宋体"/>
          <w:color w:val="000000"/>
          <w:sz w:val="36"/>
          <w:szCs w:val="36"/>
        </w:rPr>
      </w:pPr>
      <w:r>
        <w:rPr>
          <w:rFonts w:hint="eastAsia" w:hAnsi="宋体"/>
          <w:color w:val="000000"/>
          <w:sz w:val="36"/>
          <w:szCs w:val="36"/>
        </w:rPr>
        <w:t>履约保证金退还通知单</w:t>
      </w:r>
    </w:p>
    <w:p>
      <w:pPr>
        <w:pStyle w:val="16"/>
        <w:ind w:firstLine="210"/>
      </w:pPr>
    </w:p>
    <w:tbl>
      <w:tblPr>
        <w:tblStyle w:val="18"/>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267"/>
        <w:gridCol w:w="1134"/>
        <w:gridCol w:w="101"/>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hAnsi="宋体"/>
                <w:color w:val="000000"/>
                <w:sz w:val="24"/>
              </w:rPr>
            </w:pPr>
            <w:r>
              <w:rPr>
                <w:rFonts w:hint="eastAsia" w:hAnsi="宋体"/>
                <w:color w:val="000000"/>
                <w:sz w:val="24"/>
              </w:rPr>
              <w:t>项目编号</w:t>
            </w:r>
          </w:p>
        </w:tc>
        <w:tc>
          <w:tcPr>
            <w:tcW w:w="7208" w:type="dxa"/>
            <w:gridSpan w:val="4"/>
            <w:vAlign w:val="center"/>
          </w:tcPr>
          <w:p>
            <w:pPr>
              <w:spacing w:line="360" w:lineRule="exact"/>
              <w:ind w:firstLine="240" w:firstLineChars="100"/>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hAnsi="宋体"/>
                <w:color w:val="000000"/>
                <w:sz w:val="24"/>
              </w:rPr>
            </w:pPr>
            <w:r>
              <w:rPr>
                <w:rFonts w:hint="eastAsia" w:hAnsi="宋体"/>
                <w:color w:val="000000"/>
                <w:sz w:val="24"/>
              </w:rPr>
              <w:t>中标企业名称</w:t>
            </w:r>
          </w:p>
        </w:tc>
        <w:tc>
          <w:tcPr>
            <w:tcW w:w="7208" w:type="dxa"/>
            <w:gridSpan w:val="4"/>
            <w:vAlign w:val="center"/>
          </w:tcPr>
          <w:p>
            <w:pPr>
              <w:spacing w:line="360" w:lineRule="exact"/>
              <w:jc w:val="cente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color w:val="000000"/>
                <w:sz w:val="24"/>
              </w:rPr>
            </w:pPr>
            <w:r>
              <w:rPr>
                <w:rFonts w:hint="eastAsia" w:hAnsi="宋体"/>
                <w:color w:val="000000"/>
                <w:sz w:val="24"/>
              </w:rPr>
              <w:t>开户银行</w:t>
            </w:r>
          </w:p>
        </w:tc>
        <w:tc>
          <w:tcPr>
            <w:tcW w:w="3267" w:type="dxa"/>
            <w:vAlign w:val="center"/>
          </w:tcPr>
          <w:p>
            <w:pPr>
              <w:rPr>
                <w:rFonts w:hAnsi="宋体"/>
                <w:color w:val="000000"/>
                <w:sz w:val="24"/>
              </w:rPr>
            </w:pPr>
          </w:p>
        </w:tc>
        <w:tc>
          <w:tcPr>
            <w:tcW w:w="1134" w:type="dxa"/>
            <w:vAlign w:val="center"/>
          </w:tcPr>
          <w:p>
            <w:pPr>
              <w:spacing w:line="360" w:lineRule="exact"/>
              <w:rPr>
                <w:rFonts w:hAnsi="宋体"/>
                <w:color w:val="000000"/>
                <w:sz w:val="24"/>
              </w:rPr>
            </w:pPr>
            <w:r>
              <w:rPr>
                <w:rFonts w:hint="eastAsia" w:hAnsi="宋体"/>
                <w:color w:val="000000"/>
                <w:sz w:val="24"/>
              </w:rPr>
              <w:t>账号</w:t>
            </w:r>
          </w:p>
        </w:tc>
        <w:tc>
          <w:tcPr>
            <w:tcW w:w="2807" w:type="dxa"/>
            <w:gridSpan w:val="2"/>
            <w:vAlign w:val="center"/>
          </w:tcPr>
          <w:p>
            <w:pP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color w:val="000000"/>
                <w:sz w:val="24"/>
              </w:rPr>
            </w:pPr>
            <w:r>
              <w:rPr>
                <w:rFonts w:hint="eastAsia" w:hAnsi="宋体"/>
                <w:color w:val="000000"/>
                <w:sz w:val="24"/>
              </w:rPr>
              <w:t>金额</w:t>
            </w:r>
          </w:p>
        </w:tc>
        <w:tc>
          <w:tcPr>
            <w:tcW w:w="7208" w:type="dxa"/>
            <w:gridSpan w:val="4"/>
            <w:vAlign w:val="center"/>
          </w:tcPr>
          <w:p>
            <w:pPr>
              <w:rPr>
                <w:rFonts w:hAnsi="宋体"/>
                <w:color w:val="000000"/>
                <w:sz w:val="24"/>
              </w:rPr>
            </w:pPr>
            <w:r>
              <w:rPr>
                <w:rFonts w:hint="eastAsia" w:hAnsi="宋体"/>
                <w:color w:val="000000"/>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color w:val="000000"/>
                <w:sz w:val="24"/>
              </w:rPr>
            </w:pPr>
            <w:r>
              <w:rPr>
                <w:rFonts w:hint="eastAsia" w:hAnsi="宋体"/>
                <w:color w:val="000000"/>
                <w:sz w:val="24"/>
              </w:rPr>
              <w:t>中标时间</w:t>
            </w:r>
          </w:p>
        </w:tc>
        <w:tc>
          <w:tcPr>
            <w:tcW w:w="3267" w:type="dxa"/>
            <w:vAlign w:val="center"/>
          </w:tcPr>
          <w:p>
            <w:pPr>
              <w:rPr>
                <w:rFonts w:hAnsi="宋体"/>
                <w:color w:val="000000"/>
                <w:sz w:val="24"/>
              </w:rPr>
            </w:pPr>
          </w:p>
        </w:tc>
        <w:tc>
          <w:tcPr>
            <w:tcW w:w="1235" w:type="dxa"/>
            <w:gridSpan w:val="2"/>
            <w:vAlign w:val="center"/>
          </w:tcPr>
          <w:p>
            <w:pPr>
              <w:spacing w:line="360" w:lineRule="exact"/>
              <w:rPr>
                <w:rFonts w:hAnsi="宋体"/>
                <w:color w:val="000000"/>
                <w:sz w:val="24"/>
              </w:rPr>
            </w:pPr>
            <w:r>
              <w:rPr>
                <w:rFonts w:hint="eastAsia" w:hAnsi="宋体"/>
                <w:color w:val="000000"/>
                <w:sz w:val="24"/>
              </w:rPr>
              <w:t>履约期限</w:t>
            </w:r>
          </w:p>
        </w:tc>
        <w:tc>
          <w:tcPr>
            <w:tcW w:w="2706" w:type="dxa"/>
            <w:vAlign w:val="center"/>
          </w:tcPr>
          <w:p>
            <w:pP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2" w:hRule="atLeast"/>
        </w:trPr>
        <w:tc>
          <w:tcPr>
            <w:tcW w:w="9294" w:type="dxa"/>
            <w:gridSpan w:val="5"/>
          </w:tcPr>
          <w:p>
            <w:pPr>
              <w:jc w:val="center"/>
              <w:rPr>
                <w:rFonts w:hAnsi="宋体"/>
                <w:color w:val="000000"/>
                <w:sz w:val="24"/>
              </w:rPr>
            </w:pPr>
          </w:p>
          <w:p>
            <w:pPr>
              <w:ind w:firstLine="840" w:firstLineChars="350"/>
              <w:rPr>
                <w:rFonts w:hAnsi="宋体"/>
                <w:color w:val="000000"/>
                <w:sz w:val="24"/>
              </w:rPr>
            </w:pPr>
            <w:r>
              <w:rPr>
                <w:rFonts w:hint="eastAsia" w:hAnsi="宋体"/>
                <w:color w:val="000000"/>
                <w:sz w:val="24"/>
              </w:rPr>
              <w:t>项目负责人签字：</w:t>
            </w:r>
          </w:p>
          <w:p>
            <w:pPr>
              <w:ind w:firstLine="840" w:firstLineChars="350"/>
              <w:rPr>
                <w:rFonts w:hAnsi="宋体"/>
                <w:color w:val="000000"/>
                <w:sz w:val="24"/>
              </w:rPr>
            </w:pPr>
          </w:p>
          <w:p>
            <w:pPr>
              <w:ind w:firstLine="840" w:firstLineChars="350"/>
              <w:rPr>
                <w:rFonts w:hAnsi="宋体"/>
                <w:color w:val="000000"/>
                <w:sz w:val="24"/>
              </w:rPr>
            </w:pPr>
            <w:r>
              <w:rPr>
                <w:rFonts w:hint="eastAsia" w:hAnsi="宋体"/>
                <w:color w:val="000000"/>
                <w:sz w:val="24"/>
              </w:rPr>
              <w:t xml:space="preserve">联  系  电  话：                     盖     章：                        </w:t>
            </w:r>
          </w:p>
          <w:p>
            <w:pPr>
              <w:jc w:val="center"/>
              <w:rPr>
                <w:rFonts w:hAnsi="宋体"/>
                <w:color w:val="000000"/>
                <w:sz w:val="24"/>
              </w:rPr>
            </w:pPr>
          </w:p>
          <w:p>
            <w:pPr>
              <w:ind w:right="480" w:firstLine="5880" w:firstLineChars="2450"/>
              <w:rPr>
                <w:rFonts w:hAnsi="宋体"/>
                <w:color w:val="000000"/>
                <w:sz w:val="24"/>
              </w:rPr>
            </w:pPr>
            <w:r>
              <w:rPr>
                <w:rFonts w:hint="eastAsia" w:hAnsi="宋体"/>
                <w:color w:val="000000"/>
                <w:sz w:val="24"/>
              </w:rPr>
              <w:t>年   月   日</w:t>
            </w:r>
          </w:p>
        </w:tc>
      </w:tr>
    </w:tbl>
    <w:p>
      <w:pPr>
        <w:widowControl/>
        <w:spacing w:line="520" w:lineRule="exact"/>
        <w:rPr>
          <w:rFonts w:ascii="仿宋_GB2312" w:hAnsi="Arial" w:eastAsia="仿宋_GB2312" w:cs="Arial"/>
          <w:b/>
          <w:bCs/>
          <w:color w:val="000000"/>
          <w:sz w:val="40"/>
          <w:szCs w:val="40"/>
        </w:rPr>
      </w:pPr>
    </w:p>
    <w:p>
      <w:pP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br w:type="page"/>
      </w:r>
    </w:p>
    <w:p>
      <w:pPr>
        <w:jc w:val="center"/>
        <w:outlineLvl w:val="0"/>
        <w:rPr>
          <w:rFonts w:asciiTheme="minorEastAsia" w:hAnsiTheme="minorEastAsia" w:eastAsiaTheme="minorEastAsia" w:cstheme="minorEastAsia"/>
          <w:b/>
          <w:bCs/>
          <w:kern w:val="44"/>
          <w:sz w:val="44"/>
          <w:szCs w:val="44"/>
        </w:rPr>
      </w:pPr>
      <w:r>
        <w:rPr>
          <w:rFonts w:hint="eastAsia" w:asciiTheme="minorEastAsia" w:hAnsiTheme="minorEastAsia" w:eastAsiaTheme="minorEastAsia" w:cstheme="minorEastAsia"/>
          <w:b/>
          <w:sz w:val="44"/>
          <w:szCs w:val="44"/>
        </w:rPr>
        <w:t>第四章  合同条款及格式</w:t>
      </w:r>
      <w:bookmarkEnd w:id="84"/>
      <w:bookmarkEnd w:id="85"/>
      <w:bookmarkEnd w:id="86"/>
    </w:p>
    <w:p>
      <w:pPr>
        <w:spacing w:after="468" w:afterLines="150" w:line="380" w:lineRule="exact"/>
        <w:jc w:val="center"/>
        <w:rPr>
          <w:rFonts w:asciiTheme="minorEastAsia" w:hAnsiTheme="minorEastAsia" w:eastAsiaTheme="minorEastAsia" w:cstheme="minorEastAsia"/>
          <w:b/>
          <w:sz w:val="24"/>
          <w:szCs w:val="36"/>
        </w:rPr>
      </w:pPr>
    </w:p>
    <w:p>
      <w:pPr>
        <w:spacing w:after="468" w:afterLines="150" w:line="380" w:lineRule="exact"/>
        <w:jc w:val="center"/>
        <w:rPr>
          <w:rFonts w:asciiTheme="minorEastAsia" w:hAnsiTheme="minorEastAsia" w:eastAsiaTheme="minorEastAsia" w:cstheme="minorEastAsia"/>
          <w:b/>
          <w:sz w:val="24"/>
          <w:szCs w:val="36"/>
        </w:rPr>
      </w:pPr>
      <w:r>
        <w:rPr>
          <w:rFonts w:hint="eastAsia" w:asciiTheme="minorEastAsia" w:hAnsiTheme="minorEastAsia" w:eastAsiaTheme="minorEastAsia" w:cstheme="minorEastAsia"/>
          <w:b/>
          <w:sz w:val="24"/>
          <w:szCs w:val="36"/>
        </w:rPr>
        <w:t>具体事项中标后由双方根据相关法规、招标文件、项目情况友好平等协商。</w:t>
      </w:r>
    </w:p>
    <w:p>
      <w:pPr>
        <w:autoSpaceDE w:val="0"/>
        <w:autoSpaceDN w:val="0"/>
        <w:adjustRightInd w:val="0"/>
        <w:spacing w:line="420" w:lineRule="exact"/>
        <w:jc w:val="center"/>
        <w:rPr>
          <w:rFonts w:asciiTheme="minorEastAsia" w:hAnsiTheme="minorEastAsia" w:eastAsiaTheme="minorEastAsia" w:cstheme="minorEastAsia"/>
          <w:sz w:val="24"/>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br w:type="page"/>
      </w:r>
    </w:p>
    <w:p>
      <w:pPr>
        <w:tabs>
          <w:tab w:val="left" w:leader="hyphen" w:pos="7919"/>
        </w:tabs>
        <w:snapToGrid w:val="0"/>
        <w:spacing w:line="480" w:lineRule="auto"/>
        <w:ind w:firstLine="562"/>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第五章  工程量清单（另附）</w:t>
      </w:r>
    </w:p>
    <w:p>
      <w:pPr>
        <w:pStyle w:val="25"/>
        <w:spacing w:line="240" w:lineRule="auto"/>
        <w:rPr>
          <w:rFonts w:ascii="宋体" w:hAnsi="宋体" w:eastAsia="宋体"/>
          <w:sz w:val="24"/>
          <w:szCs w:val="24"/>
        </w:rPr>
      </w:pPr>
      <w:bookmarkStart w:id="87" w:name="_Toc152042555"/>
      <w:bookmarkStart w:id="88" w:name="_Toc144974835"/>
      <w:bookmarkStart w:id="89" w:name="_Toc152045773"/>
      <w:bookmarkStart w:id="90" w:name="_Toc179632790"/>
      <w:r>
        <w:rPr>
          <w:rFonts w:hint="eastAsia" w:ascii="宋体" w:hAnsi="宋体" w:eastAsia="宋体"/>
          <w:sz w:val="24"/>
          <w:szCs w:val="24"/>
        </w:rPr>
        <w:t>1. 工程量清单说明</w:t>
      </w:r>
      <w:bookmarkEnd w:id="87"/>
      <w:bookmarkEnd w:id="88"/>
      <w:bookmarkEnd w:id="89"/>
      <w:bookmarkEnd w:id="90"/>
    </w:p>
    <w:p>
      <w:pPr>
        <w:spacing w:line="400" w:lineRule="exact"/>
        <w:ind w:firstLine="480" w:firstLineChars="200"/>
        <w:rPr>
          <w:rFonts w:hAnsi="宋体" w:cs="宋体"/>
          <w:sz w:val="24"/>
        </w:rPr>
      </w:pPr>
      <w:r>
        <w:rPr>
          <w:rFonts w:hint="eastAsia" w:hAnsi="宋体" w:cs="宋体"/>
          <w:sz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400" w:lineRule="exact"/>
        <w:ind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本工程量清单应与招标文件中的投标人须知、通用合同条款、专用合同条款、技术标准和要求及图纸等一起阅读和理解。</w:t>
      </w:r>
    </w:p>
    <w:p>
      <w:pPr>
        <w:spacing w:line="400" w:lineRule="exact"/>
        <w:ind w:firstLine="480" w:firstLineChars="200"/>
        <w:rPr>
          <w:rFonts w:hAnsi="宋体" w:cs="宋体"/>
          <w:sz w:val="24"/>
        </w:rPr>
      </w:pPr>
      <w:r>
        <w:rPr>
          <w:rFonts w:hint="eastAsia" w:hAnsi="宋体" w:cs="宋体"/>
          <w:sz w:val="24"/>
        </w:rPr>
        <w:t>1.3 本工程量清单仅是投标报价的共同基础，实际工程计量和工程价款的支付应遵循合同条款的约定和第七章“技术标准和要求”的有关规定。</w:t>
      </w:r>
    </w:p>
    <w:p>
      <w:pPr>
        <w:pStyle w:val="25"/>
        <w:rPr>
          <w:rFonts w:ascii="宋体" w:hAnsi="宋体" w:eastAsia="宋体"/>
          <w:sz w:val="24"/>
          <w:szCs w:val="24"/>
        </w:rPr>
      </w:pPr>
      <w:bookmarkStart w:id="91" w:name="_Toc144974836"/>
      <w:bookmarkStart w:id="92" w:name="_Toc179632791"/>
      <w:bookmarkStart w:id="93" w:name="_Toc152042556"/>
      <w:bookmarkStart w:id="94" w:name="_Toc152045774"/>
      <w:r>
        <w:rPr>
          <w:rFonts w:hint="eastAsia" w:ascii="宋体" w:hAnsi="宋体" w:eastAsia="宋体"/>
          <w:sz w:val="24"/>
          <w:szCs w:val="24"/>
        </w:rPr>
        <w:t>2. 投标报价说明</w:t>
      </w:r>
      <w:bookmarkEnd w:id="91"/>
      <w:bookmarkEnd w:id="92"/>
      <w:bookmarkEnd w:id="93"/>
      <w:bookmarkEnd w:id="94"/>
    </w:p>
    <w:p>
      <w:pPr>
        <w:spacing w:line="400" w:lineRule="exact"/>
        <w:ind w:firstLine="480" w:firstLineChars="200"/>
        <w:rPr>
          <w:rFonts w:hAnsi="宋体" w:cs="宋体"/>
          <w:sz w:val="24"/>
        </w:rPr>
      </w:pPr>
      <w:r>
        <w:rPr>
          <w:rFonts w:hint="eastAsia" w:hAnsi="宋体" w:cs="宋体"/>
          <w:sz w:val="24"/>
        </w:rPr>
        <w:t>2.1 工程量清单中的每一子目须填入单价或价格，且只允许有一个报价。每一子目须有子目单价分析表。</w:t>
      </w:r>
    </w:p>
    <w:p>
      <w:pPr>
        <w:spacing w:line="400" w:lineRule="exact"/>
        <w:ind w:firstLine="480" w:firstLineChars="200"/>
        <w:rPr>
          <w:rFonts w:hAnsi="宋体" w:cs="宋体"/>
          <w:sz w:val="24"/>
        </w:rPr>
      </w:pPr>
      <w:r>
        <w:rPr>
          <w:rFonts w:hint="eastAsia" w:hAnsi="宋体" w:cs="宋体"/>
          <w:sz w:val="24"/>
        </w:rPr>
        <w:t>2.2 工程量清单中标价的单价或金额，应包括所需人工费、施工机械使用费、材料费、其他（运杂费、质检费、安装费、缺陷修复费、保险费，以及合同明示或暗示的风险、责任和义务等），以及管理费、利润等。</w:t>
      </w:r>
    </w:p>
    <w:p>
      <w:pPr>
        <w:spacing w:line="400" w:lineRule="exact"/>
        <w:ind w:firstLine="480" w:firstLineChars="200"/>
        <w:rPr>
          <w:rFonts w:hAnsi="宋体" w:cs="宋体"/>
          <w:sz w:val="24"/>
        </w:rPr>
      </w:pPr>
      <w:r>
        <w:rPr>
          <w:rFonts w:hint="eastAsia" w:hAnsi="宋体" w:cs="宋体"/>
          <w:sz w:val="24"/>
        </w:rPr>
        <w:t>2.3 工程量清单中投标人没有填入单价或价格的子目，其费用视为已分摊在工程量清单中其他相关子目的单价或价格之中。</w:t>
      </w:r>
    </w:p>
    <w:p>
      <w:pPr>
        <w:spacing w:line="400" w:lineRule="exact"/>
        <w:ind w:firstLine="480" w:firstLineChars="200"/>
        <w:rPr>
          <w:rFonts w:hAnsi="宋体" w:cs="宋体"/>
          <w:sz w:val="24"/>
          <w:u w:val="single"/>
        </w:rPr>
      </w:pPr>
      <w:r>
        <w:rPr>
          <w:rFonts w:hint="eastAsia" w:hAnsi="宋体" w:cs="宋体"/>
          <w:sz w:val="24"/>
        </w:rPr>
        <w:t>2.4 暂列金额的数量及拟用子目的说明：</w:t>
      </w:r>
      <w:r>
        <w:rPr>
          <w:rFonts w:hint="eastAsia" w:hAnsi="宋体" w:cs="宋体"/>
          <w:sz w:val="24"/>
          <w:u w:val="single"/>
        </w:rPr>
        <w:t xml:space="preserve">   /    </w:t>
      </w:r>
    </w:p>
    <w:p>
      <w:pPr>
        <w:spacing w:line="400" w:lineRule="exact"/>
        <w:ind w:firstLine="480" w:firstLineChars="200"/>
        <w:rPr>
          <w:rFonts w:hAnsi="宋体" w:cs="宋体"/>
          <w:sz w:val="24"/>
          <w:u w:val="single"/>
        </w:rPr>
      </w:pPr>
      <w:r>
        <w:rPr>
          <w:rFonts w:hint="eastAsia" w:hAnsi="宋体" w:cs="宋体"/>
          <w:sz w:val="24"/>
        </w:rPr>
        <w:t>2.5暂估价的数量及拟用子目的说明：</w:t>
      </w:r>
      <w:r>
        <w:rPr>
          <w:rFonts w:hint="eastAsia" w:hAnsi="宋体" w:cs="宋体"/>
          <w:sz w:val="24"/>
          <w:u w:val="single"/>
        </w:rPr>
        <w:t xml:space="preserve">    /    </w:t>
      </w:r>
    </w:p>
    <w:p>
      <w:pPr>
        <w:pStyle w:val="25"/>
        <w:rPr>
          <w:rFonts w:ascii="宋体" w:hAnsi="宋体" w:eastAsia="宋体"/>
          <w:sz w:val="24"/>
          <w:szCs w:val="24"/>
        </w:rPr>
      </w:pPr>
      <w:bookmarkStart w:id="95" w:name="_Toc179632792"/>
      <w:r>
        <w:rPr>
          <w:rFonts w:hint="eastAsia" w:ascii="宋体" w:hAnsi="宋体" w:eastAsia="宋体"/>
          <w:sz w:val="24"/>
          <w:szCs w:val="24"/>
        </w:rPr>
        <w:t>3. 其他说明</w:t>
      </w:r>
      <w:bookmarkEnd w:id="95"/>
    </w:p>
    <w:p>
      <w:pPr>
        <w:spacing w:line="500" w:lineRule="exact"/>
        <w:ind w:firstLine="480" w:firstLineChars="200"/>
        <w:jc w:val="left"/>
        <w:rPr>
          <w:rFonts w:hAnsi="宋体" w:cs="宋体"/>
          <w:bCs/>
          <w:sz w:val="24"/>
        </w:rPr>
      </w:pPr>
      <w:r>
        <w:rPr>
          <w:rFonts w:hint="eastAsia" w:hAnsi="宋体" w:cs="宋体"/>
          <w:bCs/>
          <w:sz w:val="24"/>
        </w:rPr>
        <w:t>3.1工程量清单中有计算或汇总中的算术错误时，应按以下原则改正：</w:t>
      </w:r>
    </w:p>
    <w:p>
      <w:pPr>
        <w:spacing w:line="500" w:lineRule="exact"/>
        <w:ind w:firstLine="480" w:firstLineChars="200"/>
        <w:jc w:val="left"/>
        <w:rPr>
          <w:rFonts w:hAnsi="宋体" w:cs="宋体"/>
          <w:bCs/>
          <w:sz w:val="24"/>
        </w:rPr>
      </w:pPr>
      <w:r>
        <w:rPr>
          <w:rFonts w:hint="eastAsia" w:hAnsi="宋体" w:cs="宋体"/>
          <w:bCs/>
          <w:sz w:val="24"/>
        </w:rPr>
        <w:t>（1）投标文件中的大写与小写金额不一致的，以大写金额为准；</w:t>
      </w:r>
    </w:p>
    <w:p>
      <w:pPr>
        <w:spacing w:line="500" w:lineRule="exact"/>
        <w:ind w:firstLine="480" w:firstLineChars="200"/>
        <w:jc w:val="left"/>
        <w:rPr>
          <w:rFonts w:hAnsi="宋体" w:cs="宋体"/>
          <w:bCs/>
          <w:sz w:val="24"/>
        </w:rPr>
      </w:pPr>
      <w:r>
        <w:rPr>
          <w:rFonts w:hint="eastAsia" w:hAnsi="宋体" w:cs="宋体"/>
          <w:bCs/>
          <w:sz w:val="24"/>
        </w:rPr>
        <w:t>（2）工程量清单中任一项目的单价乘其工程量的乘积与该项目的合价不吻合时，应以单价为准，改正合价。但经评标委员会核对后认为单价有明显的小数点错位时，则应以合价为准，改正单价。</w:t>
      </w:r>
    </w:p>
    <w:p>
      <w:pPr>
        <w:spacing w:line="500" w:lineRule="exact"/>
        <w:ind w:firstLine="480" w:firstLineChars="200"/>
        <w:jc w:val="left"/>
        <w:rPr>
          <w:rFonts w:hAnsi="宋体" w:cs="宋体"/>
          <w:bCs/>
          <w:sz w:val="24"/>
        </w:rPr>
      </w:pPr>
      <w:r>
        <w:rPr>
          <w:rFonts w:hint="eastAsia" w:hAnsi="宋体" w:cs="宋体"/>
          <w:bCs/>
          <w:sz w:val="24"/>
        </w:rPr>
        <w:t>3.2投标人在编制报价时，其定额及费用标准可参考有关规定，并发挥自身的优势，招标人在此不作统一规定。</w:t>
      </w:r>
    </w:p>
    <w:p>
      <w:pPr>
        <w:spacing w:line="500" w:lineRule="exact"/>
        <w:ind w:firstLine="480" w:firstLineChars="200"/>
        <w:jc w:val="left"/>
        <w:rPr>
          <w:rFonts w:hAnsi="宋体" w:cs="宋体"/>
          <w:bCs/>
          <w:sz w:val="24"/>
        </w:rPr>
      </w:pPr>
      <w:r>
        <w:rPr>
          <w:rFonts w:hint="eastAsia" w:hAnsi="宋体" w:cs="宋体"/>
          <w:bCs/>
          <w:sz w:val="24"/>
        </w:rPr>
        <w:t>3.3进入单价的材料均应以当地实际材料预算价计入单价，不再计取材料价差，投标人的报价在合同实施期间不进行单价调整。</w:t>
      </w:r>
    </w:p>
    <w:p>
      <w:pPr>
        <w:spacing w:line="500" w:lineRule="exact"/>
        <w:ind w:firstLine="480" w:firstLineChars="200"/>
        <w:jc w:val="left"/>
        <w:rPr>
          <w:rFonts w:hAnsi="宋体" w:cs="宋体"/>
          <w:bCs/>
          <w:sz w:val="24"/>
        </w:rPr>
      </w:pPr>
      <w:r>
        <w:rPr>
          <w:rFonts w:hint="eastAsia" w:hAnsi="宋体" w:cs="宋体"/>
          <w:bCs/>
          <w:sz w:val="24"/>
        </w:rPr>
        <w:t>3.4所列工程量的变化，丝毫不会使合同条件或条款无效或降低，也不免除承包人按要求的标准进行施工和缺陷修复的责任。</w:t>
      </w:r>
    </w:p>
    <w:p>
      <w:pPr>
        <w:spacing w:line="500" w:lineRule="exact"/>
        <w:ind w:firstLine="480" w:firstLineChars="200"/>
        <w:jc w:val="left"/>
        <w:rPr>
          <w:rFonts w:hAnsi="宋体" w:cs="宋体"/>
          <w:bCs/>
          <w:sz w:val="24"/>
        </w:rPr>
      </w:pPr>
      <w:r>
        <w:rPr>
          <w:rFonts w:hint="eastAsia" w:hAnsi="宋体" w:cs="宋体"/>
          <w:bCs/>
          <w:sz w:val="24"/>
        </w:rPr>
        <w:t>3.5图纸中所列工程量表及数量汇总仅为提供资料，不应视为工程量报价单的扩大或延伸。</w:t>
      </w:r>
    </w:p>
    <w:p>
      <w:pPr>
        <w:tabs>
          <w:tab w:val="left" w:leader="hyphen" w:pos="7919"/>
        </w:tabs>
        <w:snapToGrid w:val="0"/>
        <w:spacing w:line="480" w:lineRule="auto"/>
        <w:ind w:firstLine="562"/>
        <w:jc w:val="center"/>
        <w:rPr>
          <w:rFonts w:asciiTheme="minorEastAsia" w:hAnsiTheme="minorEastAsia" w:eastAsiaTheme="minorEastAsia" w:cstheme="minorEastAsia"/>
          <w:b/>
          <w:sz w:val="44"/>
          <w:szCs w:val="44"/>
        </w:rPr>
      </w:pPr>
    </w:p>
    <w:p>
      <w:pPr>
        <w:tabs>
          <w:tab w:val="left" w:leader="hyphen" w:pos="7919"/>
        </w:tabs>
        <w:snapToGrid w:val="0"/>
        <w:spacing w:line="480" w:lineRule="auto"/>
        <w:ind w:firstLine="562"/>
        <w:jc w:val="center"/>
        <w:rPr>
          <w:rFonts w:asciiTheme="minorEastAsia" w:hAnsiTheme="minorEastAsia" w:eastAsiaTheme="minorEastAsia" w:cstheme="minorEastAsia"/>
          <w:b/>
          <w:sz w:val="44"/>
          <w:szCs w:val="44"/>
        </w:rPr>
      </w:pPr>
    </w:p>
    <w:p>
      <w:pPr>
        <w:pStyle w:val="16"/>
        <w:ind w:firstLine="442"/>
        <w:rPr>
          <w:rFonts w:asciiTheme="minorEastAsia" w:hAnsiTheme="minorEastAsia" w:eastAsiaTheme="minorEastAsia" w:cstheme="minorEastAsia"/>
          <w:b/>
          <w:sz w:val="44"/>
          <w:szCs w:val="44"/>
        </w:rPr>
      </w:pPr>
    </w:p>
    <w:p>
      <w:pPr>
        <w:pStyle w:val="17"/>
        <w:ind w:left="680" w:firstLine="680"/>
        <w:rPr>
          <w:rFonts w:hint="default"/>
          <w:lang w:eastAsia="zh-CN"/>
        </w:rPr>
      </w:pPr>
    </w:p>
    <w:p>
      <w:pPr>
        <w:tabs>
          <w:tab w:val="left" w:leader="hyphen" w:pos="7919"/>
        </w:tabs>
        <w:snapToGrid w:val="0"/>
        <w:spacing w:line="480" w:lineRule="auto"/>
        <w:ind w:firstLine="562"/>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第六章  图纸（另附）</w:t>
      </w:r>
    </w:p>
    <w:p>
      <w:pPr>
        <w:spacing w:line="360" w:lineRule="auto"/>
        <w:jc w:val="center"/>
        <w:outlineLvl w:val="1"/>
        <w:rPr>
          <w:rFonts w:asciiTheme="minorEastAsia" w:hAnsiTheme="minorEastAsia" w:eastAsiaTheme="minorEastAsia" w:cstheme="minorEastAsia"/>
          <w:b/>
          <w:sz w:val="48"/>
          <w:szCs w:val="48"/>
        </w:rPr>
      </w:pPr>
      <w:r>
        <w:rPr>
          <w:rFonts w:hint="eastAsia" w:asciiTheme="minorEastAsia" w:hAnsiTheme="minorEastAsia" w:eastAsiaTheme="minorEastAsia" w:cstheme="minorEastAsia"/>
        </w:rPr>
        <w:br w:type="page"/>
      </w:r>
      <w:bookmarkStart w:id="96" w:name="_Toc296890982"/>
      <w:bookmarkEnd w:id="96"/>
      <w:bookmarkStart w:id="97" w:name="_Toc278443522"/>
      <w:r>
        <w:rPr>
          <w:rFonts w:hint="eastAsia" w:asciiTheme="minorEastAsia" w:hAnsiTheme="minorEastAsia" w:eastAsiaTheme="minorEastAsia" w:cstheme="minorEastAsia"/>
          <w:b/>
          <w:bCs/>
        </w:rPr>
        <w:t xml:space="preserve">第七章 </w:t>
      </w:r>
      <w:bookmarkEnd w:id="97"/>
      <w:bookmarkStart w:id="98" w:name="_Toc278443525"/>
      <w:r>
        <w:rPr>
          <w:rFonts w:hint="eastAsia" w:asciiTheme="minorEastAsia" w:hAnsiTheme="minorEastAsia" w:eastAsiaTheme="minorEastAsia" w:cstheme="minorEastAsia"/>
          <w:b/>
          <w:sz w:val="36"/>
          <w:szCs w:val="36"/>
        </w:rPr>
        <w:t>技术标准和要求</w:t>
      </w:r>
    </w:p>
    <w:p>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rPr>
        <w:t>1、本工程技术标准和要求以本工程施工图纸和适用的国家、行业以及地方规范、标准和规程为准。</w:t>
      </w:r>
    </w:p>
    <w:p>
      <w:pPr>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2、施工工地扬尘污染整治标准以《许昌市施工工地扬尘污染综合整治工作方案》许气联办【2016】21号文件为准。</w:t>
      </w:r>
    </w:p>
    <w:p>
      <w:pPr>
        <w:spacing w:line="360" w:lineRule="auto"/>
        <w:ind w:firstLine="420"/>
        <w:rPr>
          <w:rFonts w:asciiTheme="minorEastAsia" w:hAnsiTheme="minorEastAsia" w:eastAsiaTheme="minorEastAsia" w:cstheme="minorEastAsia"/>
          <w:kern w:val="2"/>
          <w:sz w:val="24"/>
          <w:szCs w:val="24"/>
        </w:rPr>
      </w:pPr>
    </w:p>
    <w:p>
      <w:pPr>
        <w:autoSpaceDE w:val="0"/>
        <w:autoSpaceDN w:val="0"/>
        <w:adjustRightInd w:val="0"/>
        <w:spacing w:before="312" w:beforeLines="100" w:after="312" w:afterLines="100"/>
        <w:jc w:val="center"/>
        <w:outlineLvl w:val="0"/>
        <w:rPr>
          <w:rFonts w:asciiTheme="minorEastAsia" w:hAnsiTheme="minorEastAsia" w:eastAsiaTheme="minorEastAsia" w:cstheme="minorEastAsia"/>
          <w:b/>
          <w:sz w:val="44"/>
          <w:szCs w:val="44"/>
        </w:rPr>
      </w:pPr>
    </w:p>
    <w:p>
      <w:pPr>
        <w:autoSpaceDE w:val="0"/>
        <w:autoSpaceDN w:val="0"/>
        <w:adjustRightInd w:val="0"/>
        <w:spacing w:before="312" w:beforeLines="100" w:after="312" w:afterLines="100"/>
        <w:jc w:val="center"/>
        <w:outlineLvl w:val="0"/>
        <w:rPr>
          <w:rFonts w:asciiTheme="minorEastAsia" w:hAnsiTheme="minorEastAsia" w:eastAsiaTheme="minorEastAsia" w:cstheme="minorEastAsia"/>
          <w:b/>
          <w:sz w:val="44"/>
          <w:szCs w:val="44"/>
        </w:rPr>
      </w:pPr>
    </w:p>
    <w:p>
      <w:pPr>
        <w:autoSpaceDE w:val="0"/>
        <w:autoSpaceDN w:val="0"/>
        <w:adjustRightInd w:val="0"/>
        <w:spacing w:before="312" w:beforeLines="100" w:after="312" w:afterLines="100"/>
        <w:jc w:val="center"/>
        <w:outlineLvl w:val="0"/>
        <w:rPr>
          <w:rFonts w:asciiTheme="minorEastAsia" w:hAnsiTheme="minorEastAsia" w:eastAsiaTheme="minorEastAsia" w:cstheme="minorEastAsia"/>
          <w:b/>
          <w:sz w:val="44"/>
          <w:szCs w:val="44"/>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autoSpaceDE w:val="0"/>
        <w:autoSpaceDN w:val="0"/>
        <w:adjustRightInd w:val="0"/>
        <w:spacing w:before="312" w:beforeLines="100" w:after="312" w:afterLines="100"/>
        <w:jc w:val="center"/>
        <w:outlineLvl w:val="0"/>
        <w:rPr>
          <w:rFonts w:asciiTheme="minorEastAsia" w:hAnsiTheme="minorEastAsia" w:eastAsiaTheme="minorEastAsia" w:cstheme="minorEastAsia"/>
          <w:b/>
          <w:sz w:val="44"/>
          <w:szCs w:val="44"/>
        </w:rPr>
      </w:pPr>
    </w:p>
    <w:p>
      <w:pPr>
        <w:autoSpaceDE w:val="0"/>
        <w:autoSpaceDN w:val="0"/>
        <w:adjustRightInd w:val="0"/>
        <w:spacing w:before="312" w:beforeLines="100" w:after="312" w:afterLines="100"/>
        <w:jc w:val="center"/>
        <w:outlineLvl w:val="0"/>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第八章 投标文件格式</w:t>
      </w:r>
      <w:bookmarkEnd w:id="98"/>
    </w:p>
    <w:p>
      <w:pPr>
        <w:autoSpaceDE w:val="0"/>
        <w:autoSpaceDN w:val="0"/>
        <w:adjustRightInd w:val="0"/>
        <w:jc w:val="center"/>
        <w:rPr>
          <w:rFonts w:asciiTheme="minorEastAsia" w:hAnsiTheme="minorEastAsia" w:eastAsiaTheme="minorEastAsia" w:cstheme="minorEastAsia"/>
          <w:b/>
          <w:spacing w:val="60"/>
          <w:sz w:val="52"/>
          <w:szCs w:val="52"/>
          <w:u w:val="single"/>
        </w:rPr>
      </w:pPr>
      <w:r>
        <w:rPr>
          <w:rFonts w:hint="eastAsia" w:asciiTheme="minorEastAsia" w:hAnsiTheme="minorEastAsia" w:eastAsiaTheme="minorEastAsia" w:cstheme="minorEastAsia"/>
          <w:b/>
          <w:spacing w:val="60"/>
          <w:sz w:val="52"/>
          <w:szCs w:val="52"/>
          <w:u w:val="single"/>
        </w:rPr>
        <w:t xml:space="preserve">           （工程名称）</w:t>
      </w:r>
    </w:p>
    <w:p>
      <w:pPr>
        <w:tabs>
          <w:tab w:val="center" w:pos="4739"/>
        </w:tabs>
        <w:ind w:left="180"/>
        <w:jc w:val="center"/>
        <w:rPr>
          <w:rFonts w:asciiTheme="minorEastAsia" w:hAnsiTheme="minorEastAsia" w:eastAsiaTheme="minorEastAsia" w:cstheme="minorEastAsia"/>
          <w:b/>
          <w:sz w:val="36"/>
          <w:szCs w:val="36"/>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b/>
          <w:sz w:val="32"/>
          <w:szCs w:val="32"/>
        </w:rPr>
        <w:t>项目编号：</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pStyle w:val="16"/>
        <w:ind w:firstLine="210"/>
        <w:rPr>
          <w:rFonts w:asciiTheme="minorEastAsia" w:hAnsiTheme="minorEastAsia" w:eastAsiaTheme="minorEastAsia" w:cstheme="minorEastAsia"/>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w:t>
      </w:r>
      <w:r>
        <w:rPr>
          <w:rFonts w:hint="eastAsia" w:asciiTheme="minorEastAsia" w:hAnsiTheme="minorEastAsia" w:eastAsiaTheme="minorEastAsia" w:cstheme="minorEastAsia"/>
          <w:b/>
          <w:sz w:val="32"/>
          <w:u w:val="single"/>
        </w:rPr>
        <w:t xml:space="preserve">                            </w:t>
      </w:r>
      <w:r>
        <w:rPr>
          <w:rFonts w:hint="eastAsia" w:asciiTheme="minorEastAsia" w:hAnsiTheme="minorEastAsia" w:eastAsiaTheme="minorEastAsia" w:cstheme="minorEastAsia"/>
          <w:b/>
          <w:sz w:val="32"/>
        </w:rPr>
        <w:t>(盖单位章)</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w:t>
      </w:r>
      <w:r>
        <w:rPr>
          <w:rFonts w:hint="eastAsia" w:asciiTheme="minorEastAsia" w:hAnsiTheme="minorEastAsia" w:eastAsiaTheme="minorEastAsia" w:cstheme="minorEastAsia"/>
          <w:b/>
          <w:sz w:val="32"/>
          <w:u w:val="single"/>
        </w:rPr>
        <w:t xml:space="preserve">             </w:t>
      </w:r>
      <w:r>
        <w:rPr>
          <w:rFonts w:hint="eastAsia" w:asciiTheme="minorEastAsia" w:hAnsiTheme="minorEastAsia" w:eastAsiaTheme="minorEastAsia" w:cstheme="minorEastAsia"/>
          <w:b/>
          <w:sz w:val="32"/>
        </w:rPr>
        <w:t>(签字)</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2"/>
          <w:u w:val="single"/>
        </w:rPr>
        <w:t xml:space="preserve">        </w:t>
      </w:r>
      <w:r>
        <w:rPr>
          <w:rFonts w:hint="eastAsia" w:asciiTheme="minorEastAsia" w:hAnsiTheme="minorEastAsia" w:eastAsiaTheme="minorEastAsia" w:cstheme="minorEastAsia"/>
          <w:b/>
          <w:sz w:val="32"/>
        </w:rPr>
        <w:t>年</w:t>
      </w:r>
      <w:r>
        <w:rPr>
          <w:rFonts w:hint="eastAsia" w:asciiTheme="minorEastAsia" w:hAnsiTheme="minorEastAsia" w:eastAsiaTheme="minorEastAsia" w:cstheme="minorEastAsia"/>
          <w:b/>
          <w:sz w:val="32"/>
          <w:u w:val="single"/>
        </w:rPr>
        <w:t xml:space="preserve">      </w:t>
      </w:r>
      <w:r>
        <w:rPr>
          <w:rFonts w:hint="eastAsia" w:asciiTheme="minorEastAsia" w:hAnsiTheme="minorEastAsia" w:eastAsiaTheme="minorEastAsia" w:cstheme="minorEastAsia"/>
          <w:b/>
          <w:sz w:val="32"/>
        </w:rPr>
        <w:t>月</w:t>
      </w:r>
      <w:r>
        <w:rPr>
          <w:rFonts w:hint="eastAsia" w:asciiTheme="minorEastAsia" w:hAnsiTheme="minorEastAsia" w:eastAsiaTheme="minorEastAsia" w:cstheme="minorEastAsia"/>
          <w:b/>
          <w:sz w:val="32"/>
          <w:u w:val="single"/>
        </w:rPr>
        <w:t xml:space="preserve">       </w:t>
      </w:r>
      <w:r>
        <w:rPr>
          <w:rFonts w:hint="eastAsia" w:asciiTheme="minorEastAsia" w:hAnsiTheme="minorEastAsia" w:eastAsiaTheme="minorEastAsia" w:cstheme="minorEastAsia"/>
          <w:b/>
          <w:sz w:val="32"/>
        </w:rPr>
        <w:t>日</w:t>
      </w: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rPr>
          <w:rFonts w:asciiTheme="minorEastAsia" w:hAnsiTheme="minorEastAsia" w:eastAsiaTheme="minorEastAsia" w:cstheme="minorEastAsia"/>
          <w:b/>
          <w:sz w:val="36"/>
          <w:szCs w:val="36"/>
        </w:rPr>
      </w:pPr>
    </w:p>
    <w:p>
      <w:pPr>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目    录</w:t>
      </w:r>
    </w:p>
    <w:p>
      <w:pPr>
        <w:adjustRightInd w:val="0"/>
        <w:snapToGrid w:val="0"/>
        <w:spacing w:line="360" w:lineRule="auto"/>
        <w:ind w:firstLine="1080" w:firstLineChars="450"/>
        <w:rPr>
          <w:rFonts w:asciiTheme="minorEastAsia" w:hAnsiTheme="minorEastAsia" w:eastAsiaTheme="minorEastAsia" w:cstheme="minorEastAsia"/>
          <w:sz w:val="24"/>
          <w:szCs w:val="24"/>
        </w:rPr>
      </w:pP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一、投标函及投标函附录</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二、法定代表人身份证明或附有法定代表人身份证明的授权委托书</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三、投标保证金</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四、施工组织设计</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五、项目管理机构配备情况</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六、投标单位基本信息表</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七、资格证明文件</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八、近年财务状况</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九、近年完成的类似项目情况</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十、正在施工的和新承接的项目情况</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十一、近年发生的诉讼及仲裁情况</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十二、承诺书</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十三、已标价的工程量清单</w:t>
      </w:r>
    </w:p>
    <w:p>
      <w:pPr>
        <w:adjustRightInd w:val="0"/>
        <w:snapToGrid w:val="0"/>
        <w:spacing w:line="360" w:lineRule="auto"/>
        <w:ind w:firstLine="1080" w:firstLine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十四、其他材料</w:t>
      </w:r>
    </w:p>
    <w:p>
      <w:pPr>
        <w:pStyle w:val="17"/>
        <w:ind w:left="680" w:firstLine="680"/>
        <w:rPr>
          <w:rFonts w:hint="default" w:asciiTheme="minorEastAsia" w:hAnsiTheme="minorEastAsia" w:eastAsiaTheme="minorEastAsia" w:cstheme="minorEastAsia"/>
          <w:lang w:eastAsia="zh-CN"/>
        </w:rPr>
      </w:pPr>
    </w:p>
    <w:p>
      <w:pPr>
        <w:spacing w:line="360" w:lineRule="auto"/>
        <w:rPr>
          <w:rFonts w:asciiTheme="minorEastAsia" w:hAnsiTheme="minorEastAsia" w:eastAsiaTheme="minorEastAsia" w:cstheme="minorEastAsia"/>
          <w:sz w:val="24"/>
          <w:szCs w:val="24"/>
        </w:rPr>
      </w:pPr>
    </w:p>
    <w:p>
      <w:pPr>
        <w:spacing w:line="600" w:lineRule="exact"/>
        <w:ind w:left="1377" w:leftChars="40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投标文件编制过程中应按本章提供的格式填报。</w:t>
      </w:r>
    </w:p>
    <w:p>
      <w:pPr>
        <w:autoSpaceDE w:val="0"/>
        <w:autoSpaceDN w:val="0"/>
        <w:adjustRightInd w:val="0"/>
        <w:spacing w:line="312"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 xml:space="preserve">           如有本章未提供的格式，投标人可自行编制。</w:t>
      </w:r>
    </w:p>
    <w:p>
      <w:pP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br w:type="page"/>
      </w:r>
    </w:p>
    <w:p>
      <w:pPr>
        <w:tabs>
          <w:tab w:val="center" w:pos="4739"/>
        </w:tabs>
        <w:spacing w:line="360" w:lineRule="auto"/>
        <w:ind w:left="180" w:firstLine="1800" w:firstLineChars="50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6"/>
          <w:szCs w:val="36"/>
        </w:rPr>
        <w:t>一、投标函及投标函附录</w:t>
      </w:r>
    </w:p>
    <w:p>
      <w:pPr>
        <w:spacing w:before="312" w:beforeLines="100" w:after="156" w:afterLines="50" w:line="510" w:lineRule="exact"/>
        <w:jc w:val="center"/>
        <w:rPr>
          <w:rFonts w:asciiTheme="minorEastAsia" w:hAnsiTheme="minorEastAsia" w:eastAsiaTheme="minorEastAsia" w:cstheme="minorEastAsia"/>
          <w:sz w:val="28"/>
          <w:szCs w:val="28"/>
        </w:rPr>
      </w:pPr>
      <w:bookmarkStart w:id="99" w:name="_Toc271787730"/>
      <w:r>
        <w:rPr>
          <w:rFonts w:hint="eastAsia" w:asciiTheme="minorEastAsia" w:hAnsiTheme="minorEastAsia" w:eastAsiaTheme="minorEastAsia" w:cstheme="minorEastAsia"/>
          <w:sz w:val="28"/>
          <w:szCs w:val="28"/>
        </w:rPr>
        <w:t>（一）投标函</w:t>
      </w:r>
    </w:p>
    <w:p>
      <w:pPr>
        <w:spacing w:line="460" w:lineRule="exact"/>
        <w:rPr>
          <w:rFonts w:hAnsi="宋体"/>
          <w:sz w:val="24"/>
          <w:szCs w:val="24"/>
        </w:rPr>
      </w:pPr>
      <w:r>
        <w:rPr>
          <w:rFonts w:hint="eastAsia" w:hAnsi="宋体"/>
          <w:sz w:val="24"/>
          <w:szCs w:val="24"/>
        </w:rPr>
        <w:t>（招标人） ：</w:t>
      </w:r>
      <w:r>
        <w:rPr>
          <w:rFonts w:hint="eastAsia" w:hAnsi="宋体"/>
          <w:sz w:val="24"/>
          <w:szCs w:val="24"/>
          <w:u w:val="single"/>
        </w:rPr>
        <w:t xml:space="preserve">                          </w:t>
      </w:r>
    </w:p>
    <w:p>
      <w:pPr>
        <w:spacing w:line="460" w:lineRule="exact"/>
        <w:ind w:firstLine="480" w:firstLineChars="200"/>
        <w:rPr>
          <w:rFonts w:hAnsi="宋体"/>
          <w:sz w:val="24"/>
          <w:szCs w:val="24"/>
        </w:rPr>
      </w:pPr>
      <w:r>
        <w:rPr>
          <w:rFonts w:hint="eastAsia" w:hAnsi="宋体"/>
          <w:sz w:val="24"/>
          <w:szCs w:val="24"/>
        </w:rPr>
        <w:t>1、我方仔细研究了</w:t>
      </w:r>
      <w:r>
        <w:rPr>
          <w:rFonts w:hint="eastAsia" w:hAnsi="宋体"/>
          <w:sz w:val="24"/>
          <w:szCs w:val="24"/>
          <w:u w:val="single"/>
        </w:rPr>
        <w:t xml:space="preserve">     （工程名称）    </w:t>
      </w:r>
      <w:r>
        <w:rPr>
          <w:rFonts w:hint="eastAsia" w:hAnsi="宋体"/>
          <w:sz w:val="24"/>
          <w:szCs w:val="24"/>
        </w:rPr>
        <w:t>招标文件（包括补充通知）的全部内容并勘察了现场，愿意以人民币（大写）</w:t>
      </w:r>
      <w:r>
        <w:rPr>
          <w:rFonts w:hint="eastAsia" w:hAnsi="宋体"/>
          <w:sz w:val="24"/>
          <w:szCs w:val="24"/>
          <w:u w:val="single"/>
        </w:rPr>
        <w:t xml:space="preserve">        </w:t>
      </w:r>
      <w:r>
        <w:rPr>
          <w:rFonts w:hint="eastAsia" w:hAnsi="宋体"/>
          <w:sz w:val="24"/>
          <w:szCs w:val="24"/>
        </w:rPr>
        <w:t>（￥</w:t>
      </w:r>
      <w:r>
        <w:rPr>
          <w:rFonts w:hint="eastAsia" w:hAnsi="宋体"/>
          <w:sz w:val="24"/>
          <w:szCs w:val="24"/>
          <w:u w:val="single"/>
        </w:rPr>
        <w:t xml:space="preserve">          </w:t>
      </w:r>
      <w:r>
        <w:rPr>
          <w:rFonts w:hint="eastAsia" w:hAnsi="宋体"/>
          <w:sz w:val="24"/>
          <w:szCs w:val="24"/>
        </w:rPr>
        <w:t>）的投标总报价，按招标文件规定的条件和要求承包合同规定的全部工作，并承担相关的责任。</w:t>
      </w:r>
    </w:p>
    <w:p>
      <w:pPr>
        <w:spacing w:line="460" w:lineRule="exact"/>
        <w:ind w:firstLine="480" w:firstLineChars="200"/>
        <w:rPr>
          <w:rFonts w:hAnsi="宋体"/>
          <w:sz w:val="24"/>
          <w:szCs w:val="24"/>
        </w:rPr>
      </w:pPr>
      <w:r>
        <w:rPr>
          <w:rFonts w:hint="eastAsia" w:hAnsi="宋体"/>
          <w:sz w:val="24"/>
          <w:szCs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pPr>
        <w:spacing w:line="460" w:lineRule="exact"/>
        <w:ind w:firstLine="480" w:firstLineChars="200"/>
        <w:rPr>
          <w:rFonts w:hAnsi="宋体"/>
          <w:sz w:val="24"/>
          <w:szCs w:val="24"/>
        </w:rPr>
      </w:pPr>
      <w:r>
        <w:rPr>
          <w:rFonts w:hint="eastAsia" w:hAnsi="宋体"/>
          <w:sz w:val="24"/>
          <w:szCs w:val="24"/>
        </w:rPr>
        <w:t>3、随同本投标文件附上</w:t>
      </w:r>
      <w:r>
        <w:rPr>
          <w:rFonts w:hint="eastAsia" w:hAnsi="宋体"/>
          <w:sz w:val="24"/>
          <w:szCs w:val="24"/>
          <w:u w:val="single"/>
        </w:rPr>
        <w:t xml:space="preserve">   </w:t>
      </w:r>
      <w:r>
        <w:rPr>
          <w:rFonts w:hint="eastAsia" w:hAnsi="宋体"/>
          <w:sz w:val="24"/>
          <w:szCs w:val="24"/>
        </w:rPr>
        <w:t>元投标保证金，作为我方投标的担保。</w:t>
      </w:r>
    </w:p>
    <w:p>
      <w:pPr>
        <w:spacing w:line="460" w:lineRule="exact"/>
        <w:ind w:firstLine="480" w:firstLineChars="200"/>
        <w:rPr>
          <w:rFonts w:hAnsi="宋体"/>
          <w:sz w:val="24"/>
          <w:szCs w:val="24"/>
        </w:rPr>
      </w:pPr>
      <w:r>
        <w:rPr>
          <w:rFonts w:hint="eastAsia" w:hAnsi="宋体"/>
          <w:sz w:val="24"/>
          <w:szCs w:val="24"/>
        </w:rPr>
        <w:t>4、本次投标，我方投标工期：</w:t>
      </w:r>
      <w:r>
        <w:rPr>
          <w:rFonts w:hint="eastAsia" w:hAnsi="宋体"/>
          <w:sz w:val="24"/>
          <w:szCs w:val="24"/>
          <w:u w:val="single"/>
        </w:rPr>
        <w:t xml:space="preserve">        </w:t>
      </w:r>
      <w:r>
        <w:rPr>
          <w:rFonts w:hint="eastAsia" w:hAnsi="宋体"/>
          <w:sz w:val="24"/>
          <w:szCs w:val="24"/>
        </w:rPr>
        <w:t>天，质量：</w:t>
      </w:r>
      <w:r>
        <w:rPr>
          <w:rFonts w:hint="eastAsia" w:hAnsi="宋体"/>
          <w:sz w:val="24"/>
          <w:szCs w:val="24"/>
          <w:u w:val="single"/>
        </w:rPr>
        <w:t xml:space="preserve">    </w:t>
      </w:r>
      <w:r>
        <w:rPr>
          <w:rFonts w:hint="eastAsia" w:hAnsi="宋体"/>
          <w:sz w:val="24"/>
          <w:szCs w:val="24"/>
        </w:rPr>
        <w:t>。</w:t>
      </w:r>
    </w:p>
    <w:p>
      <w:pPr>
        <w:spacing w:line="460" w:lineRule="exact"/>
        <w:ind w:firstLine="480" w:firstLineChars="200"/>
        <w:rPr>
          <w:rFonts w:hAnsi="宋体"/>
          <w:sz w:val="24"/>
          <w:szCs w:val="24"/>
        </w:rPr>
      </w:pPr>
      <w:r>
        <w:rPr>
          <w:rFonts w:hint="eastAsia" w:hAnsi="宋体"/>
          <w:sz w:val="24"/>
          <w:szCs w:val="24"/>
        </w:rPr>
        <w:t>5、若我方中标：</w:t>
      </w:r>
    </w:p>
    <w:p>
      <w:pPr>
        <w:spacing w:line="460" w:lineRule="exact"/>
        <w:ind w:firstLine="480" w:firstLineChars="200"/>
        <w:rPr>
          <w:rFonts w:hAnsi="宋体"/>
          <w:sz w:val="24"/>
          <w:szCs w:val="24"/>
        </w:rPr>
      </w:pPr>
      <w:r>
        <w:rPr>
          <w:rFonts w:hint="eastAsia" w:hAnsi="宋体"/>
          <w:sz w:val="24"/>
          <w:szCs w:val="24"/>
        </w:rPr>
        <w:t>（1）我方保证在收到你方的中标通知书后，按招标文件规定的期限，及时派代表前去签定合同。</w:t>
      </w:r>
    </w:p>
    <w:p>
      <w:pPr>
        <w:spacing w:line="460" w:lineRule="exact"/>
        <w:ind w:firstLine="480" w:firstLineChars="200"/>
        <w:rPr>
          <w:rFonts w:hAnsi="宋体"/>
          <w:sz w:val="24"/>
          <w:szCs w:val="24"/>
        </w:rPr>
      </w:pPr>
      <w:r>
        <w:rPr>
          <w:rFonts w:hint="eastAsia" w:hAnsi="宋体"/>
          <w:sz w:val="24"/>
          <w:szCs w:val="24"/>
        </w:rPr>
        <w:t>（2）随同本投标文件提交的投标辅助资料中的任何部分，经你方确认后作为合同文件的组成部分。</w:t>
      </w:r>
    </w:p>
    <w:p>
      <w:pPr>
        <w:spacing w:line="460" w:lineRule="exact"/>
        <w:ind w:firstLine="480" w:firstLineChars="200"/>
        <w:rPr>
          <w:rFonts w:hAnsi="宋体"/>
          <w:sz w:val="24"/>
          <w:szCs w:val="24"/>
        </w:rPr>
      </w:pPr>
      <w:r>
        <w:rPr>
          <w:rFonts w:hint="eastAsia" w:hAnsi="宋体"/>
          <w:sz w:val="24"/>
          <w:szCs w:val="24"/>
        </w:rPr>
        <w:t>（3）我方保证向你方按时提交招标文件规定的履约保证金，作为我方的履约担保。</w:t>
      </w:r>
    </w:p>
    <w:p>
      <w:pPr>
        <w:spacing w:line="460" w:lineRule="exact"/>
        <w:ind w:firstLine="480" w:firstLineChars="200"/>
        <w:rPr>
          <w:rFonts w:hAnsi="宋体"/>
          <w:sz w:val="24"/>
          <w:szCs w:val="24"/>
        </w:rPr>
      </w:pPr>
      <w:r>
        <w:rPr>
          <w:rFonts w:hint="eastAsia" w:hAnsi="宋体"/>
          <w:sz w:val="24"/>
          <w:szCs w:val="24"/>
        </w:rPr>
        <w:t>（4）我方保证接到开工通知后立即调遣人员和调配施工设备、材料进入工地进行施工准备，并保证在合同规定的期限内完成合同规定的全部工作。</w:t>
      </w:r>
    </w:p>
    <w:p>
      <w:pPr>
        <w:spacing w:line="460" w:lineRule="exact"/>
        <w:ind w:firstLine="480" w:firstLineChars="200"/>
        <w:rPr>
          <w:rFonts w:hAnsi="宋体"/>
          <w:sz w:val="24"/>
          <w:szCs w:val="24"/>
        </w:rPr>
      </w:pPr>
      <w:r>
        <w:rPr>
          <w:rFonts w:hint="eastAsia" w:hAnsi="宋体"/>
          <w:sz w:val="24"/>
          <w:szCs w:val="24"/>
        </w:rPr>
        <w:t>6、我方完全理解你方不保证投标报价最低的投标人中标。</w:t>
      </w:r>
    </w:p>
    <w:p>
      <w:pPr>
        <w:spacing w:line="460" w:lineRule="exact"/>
        <w:ind w:firstLine="480" w:firstLineChars="200"/>
        <w:rPr>
          <w:rFonts w:hAnsi="宋体"/>
          <w:b/>
          <w:bCs/>
          <w:sz w:val="24"/>
          <w:szCs w:val="24"/>
        </w:rPr>
      </w:pPr>
      <w:r>
        <w:rPr>
          <w:rFonts w:hint="eastAsia" w:hAnsi="宋体"/>
          <w:bCs/>
          <w:sz w:val="24"/>
          <w:szCs w:val="24"/>
        </w:rPr>
        <w:t>7、我方承诺，若我方中标，愿意按要求交纳代理费等相关费用</w:t>
      </w:r>
      <w:r>
        <w:rPr>
          <w:rFonts w:hint="eastAsia" w:hAnsi="宋体"/>
          <w:b/>
          <w:bCs/>
          <w:sz w:val="24"/>
          <w:szCs w:val="24"/>
        </w:rPr>
        <w:t>。</w:t>
      </w:r>
    </w:p>
    <w:p>
      <w:pPr>
        <w:spacing w:line="500" w:lineRule="exact"/>
        <w:ind w:firstLine="480" w:firstLineChars="200"/>
        <w:jc w:val="center"/>
        <w:rPr>
          <w:rFonts w:hAnsi="宋体"/>
          <w:sz w:val="24"/>
          <w:szCs w:val="24"/>
        </w:rPr>
      </w:pPr>
      <w:r>
        <w:rPr>
          <w:rFonts w:hint="eastAsia" w:hAnsi="宋体"/>
          <w:sz w:val="24"/>
          <w:szCs w:val="24"/>
        </w:rPr>
        <w:t xml:space="preserve"> 投标人：（盖章）</w:t>
      </w:r>
    </w:p>
    <w:p>
      <w:pPr>
        <w:spacing w:line="500" w:lineRule="exact"/>
        <w:ind w:firstLine="480" w:firstLineChars="200"/>
        <w:jc w:val="center"/>
        <w:rPr>
          <w:rFonts w:hAnsi="宋体"/>
          <w:sz w:val="24"/>
          <w:szCs w:val="24"/>
        </w:rPr>
      </w:pPr>
      <w:r>
        <w:rPr>
          <w:rFonts w:hint="eastAsia" w:hAnsi="宋体"/>
          <w:sz w:val="24"/>
          <w:szCs w:val="24"/>
        </w:rPr>
        <w:t xml:space="preserve">                    法定代表人（或委托代理人）：（签字）</w:t>
      </w:r>
    </w:p>
    <w:p>
      <w:pPr>
        <w:spacing w:line="500" w:lineRule="exact"/>
        <w:ind w:firstLine="5640" w:firstLineChars="2350"/>
        <w:rPr>
          <w:rFonts w:hAnsi="宋体"/>
          <w:sz w:val="24"/>
          <w:szCs w:val="24"/>
        </w:rPr>
      </w:pPr>
      <w:r>
        <w:rPr>
          <w:rFonts w:hint="eastAsia" w:hAnsi="宋体"/>
          <w:sz w:val="24"/>
          <w:szCs w:val="24"/>
        </w:rPr>
        <w:t>日  期：</w:t>
      </w:r>
    </w:p>
    <w:p>
      <w:pPr>
        <w:pStyle w:val="17"/>
        <w:ind w:left="680" w:firstLine="482"/>
        <w:rPr>
          <w:rFonts w:hint="default" w:asciiTheme="minorEastAsia" w:hAnsiTheme="minorEastAsia" w:eastAsiaTheme="minorEastAsia" w:cstheme="minorEastAsia"/>
          <w:b/>
          <w:sz w:val="24"/>
          <w:lang w:eastAsia="zh-CN"/>
        </w:rPr>
      </w:pPr>
    </w:p>
    <w:p>
      <w:pPr>
        <w:pStyle w:val="17"/>
        <w:ind w:left="680" w:firstLine="482"/>
        <w:rPr>
          <w:rFonts w:hint="default" w:asciiTheme="minorEastAsia" w:hAnsiTheme="minorEastAsia" w:eastAsiaTheme="minorEastAsia" w:cstheme="minorEastAsia"/>
          <w:b/>
          <w:sz w:val="24"/>
          <w:lang w:eastAsia="zh-CN"/>
        </w:rPr>
      </w:pPr>
    </w:p>
    <w:p>
      <w:pPr>
        <w:pStyle w:val="17"/>
        <w:ind w:left="680" w:firstLine="482"/>
        <w:rPr>
          <w:rFonts w:hint="default" w:asciiTheme="minorEastAsia" w:hAnsiTheme="minorEastAsia" w:eastAsiaTheme="minorEastAsia" w:cstheme="minorEastAsia"/>
          <w:b/>
          <w:sz w:val="24"/>
          <w:lang w:eastAsia="zh-CN"/>
        </w:rPr>
      </w:pPr>
    </w:p>
    <w:p>
      <w:pPr>
        <w:autoSpaceDE w:val="0"/>
        <w:autoSpaceDN w:val="0"/>
        <w:adjustRightInd w:val="0"/>
        <w:jc w:val="center"/>
        <w:outlineLvl w:val="0"/>
        <w:rPr>
          <w:rFonts w:asciiTheme="minorEastAsia" w:hAnsiTheme="minorEastAsia" w:eastAsiaTheme="minorEastAsia" w:cstheme="minorEastAsia"/>
          <w:sz w:val="28"/>
          <w:szCs w:val="28"/>
        </w:rPr>
      </w:pPr>
      <w:bookmarkStart w:id="100" w:name="_Toc250616672"/>
      <w:r>
        <w:rPr>
          <w:rFonts w:hint="eastAsia" w:asciiTheme="minorEastAsia" w:hAnsiTheme="minorEastAsia" w:eastAsiaTheme="minorEastAsia" w:cstheme="minorEastAsia"/>
          <w:sz w:val="28"/>
          <w:szCs w:val="28"/>
        </w:rPr>
        <w:t>（二）投标函附录</w:t>
      </w:r>
      <w:bookmarkEnd w:id="100"/>
    </w:p>
    <w:p>
      <w:pPr>
        <w:pStyle w:val="16"/>
        <w:ind w:firstLine="210"/>
      </w:pPr>
    </w:p>
    <w:tbl>
      <w:tblPr>
        <w:tblStyle w:val="18"/>
        <w:tblW w:w="919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0"/>
        <w:gridCol w:w="2280"/>
        <w:gridCol w:w="1490"/>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4" w:hRule="atLeast"/>
        </w:trPr>
        <w:tc>
          <w:tcPr>
            <w:tcW w:w="2520" w:type="dxa"/>
            <w:tcBorders>
              <w:top w:val="single" w:color="000000" w:sz="4" w:space="0"/>
              <w:left w:val="single" w:color="000000" w:sz="4" w:space="0"/>
              <w:bottom w:val="single" w:color="000000" w:sz="4" w:space="0"/>
              <w:right w:val="single" w:color="000000" w:sz="4" w:space="0"/>
            </w:tcBorders>
            <w:vAlign w:val="center"/>
          </w:tcPr>
          <w:p>
            <w:pPr>
              <w:pStyle w:val="35"/>
              <w:spacing w:line="312" w:lineRule="auto"/>
              <w:jc w:val="center"/>
              <w:textAlignment w:val="center"/>
              <w:rPr>
                <w:rFonts w:ascii="宋体" w:hAnsi="宋体"/>
                <w:sz w:val="24"/>
                <w:szCs w:val="24"/>
              </w:rPr>
            </w:pPr>
            <w:r>
              <w:rPr>
                <w:rFonts w:hint="eastAsia" w:ascii="宋体" w:hAnsi="宋体"/>
                <w:sz w:val="24"/>
                <w:szCs w:val="24"/>
              </w:rPr>
              <w:t>投标项目</w:t>
            </w:r>
          </w:p>
        </w:tc>
        <w:tc>
          <w:tcPr>
            <w:tcW w:w="6676" w:type="dxa"/>
            <w:gridSpan w:val="3"/>
            <w:tcBorders>
              <w:top w:val="single" w:color="000000" w:sz="4" w:space="0"/>
              <w:left w:val="nil"/>
              <w:bottom w:val="single" w:color="000000" w:sz="4" w:space="0"/>
              <w:right w:val="single" w:color="000000" w:sz="4" w:space="0"/>
            </w:tcBorders>
          </w:tcPr>
          <w:p>
            <w:pPr>
              <w:pStyle w:val="35"/>
              <w:spacing w:line="312" w:lineRule="auto"/>
              <w:textAlignment w:val="top"/>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2520" w:type="dxa"/>
            <w:tcBorders>
              <w:top w:val="single" w:color="000000" w:sz="4" w:space="0"/>
              <w:left w:val="single" w:color="000000" w:sz="4" w:space="0"/>
              <w:bottom w:val="single" w:color="000000" w:sz="4" w:space="0"/>
              <w:right w:val="single" w:color="000000" w:sz="4" w:space="0"/>
            </w:tcBorders>
            <w:vAlign w:val="center"/>
          </w:tcPr>
          <w:p>
            <w:pPr>
              <w:pStyle w:val="35"/>
              <w:spacing w:line="312" w:lineRule="auto"/>
              <w:jc w:val="center"/>
              <w:textAlignment w:val="center"/>
              <w:rPr>
                <w:rFonts w:ascii="宋体" w:hAnsi="宋体"/>
                <w:sz w:val="24"/>
                <w:szCs w:val="24"/>
              </w:rPr>
            </w:pPr>
            <w:r>
              <w:rPr>
                <w:rFonts w:hint="eastAsia" w:ascii="宋体" w:hAnsi="宋体"/>
                <w:sz w:val="24"/>
                <w:szCs w:val="24"/>
              </w:rPr>
              <w:t>投标单位</w:t>
            </w:r>
          </w:p>
        </w:tc>
        <w:tc>
          <w:tcPr>
            <w:tcW w:w="6676" w:type="dxa"/>
            <w:gridSpan w:val="3"/>
            <w:tcBorders>
              <w:top w:val="single" w:color="000000" w:sz="4" w:space="0"/>
              <w:left w:val="nil"/>
              <w:bottom w:val="single" w:color="000000" w:sz="4" w:space="0"/>
              <w:right w:val="single" w:color="000000" w:sz="4" w:space="0"/>
            </w:tcBorders>
          </w:tcPr>
          <w:p>
            <w:pPr>
              <w:pStyle w:val="35"/>
              <w:spacing w:line="312" w:lineRule="auto"/>
              <w:textAlignment w:val="top"/>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5" w:hRule="atLeast"/>
        </w:trPr>
        <w:tc>
          <w:tcPr>
            <w:tcW w:w="2520" w:type="dxa"/>
            <w:tcBorders>
              <w:top w:val="single" w:color="000000" w:sz="4" w:space="0"/>
              <w:left w:val="single" w:color="000000" w:sz="4" w:space="0"/>
              <w:bottom w:val="single" w:color="000000" w:sz="4" w:space="0"/>
              <w:right w:val="single" w:color="000000" w:sz="4" w:space="0"/>
            </w:tcBorders>
            <w:vAlign w:val="center"/>
          </w:tcPr>
          <w:p>
            <w:pPr>
              <w:pStyle w:val="35"/>
              <w:spacing w:line="312" w:lineRule="auto"/>
              <w:jc w:val="center"/>
              <w:textAlignment w:val="center"/>
              <w:rPr>
                <w:rFonts w:ascii="宋体" w:hAnsi="宋体"/>
                <w:sz w:val="24"/>
                <w:szCs w:val="24"/>
              </w:rPr>
            </w:pPr>
            <w:r>
              <w:rPr>
                <w:rFonts w:hint="eastAsia" w:ascii="宋体" w:hAnsi="宋体"/>
                <w:sz w:val="24"/>
                <w:szCs w:val="24"/>
              </w:rPr>
              <w:t>投标报价</w:t>
            </w:r>
          </w:p>
        </w:tc>
        <w:tc>
          <w:tcPr>
            <w:tcW w:w="6676" w:type="dxa"/>
            <w:gridSpan w:val="3"/>
            <w:tcBorders>
              <w:top w:val="single" w:color="000000" w:sz="4" w:space="0"/>
              <w:left w:val="nil"/>
              <w:bottom w:val="single" w:color="000000" w:sz="4" w:space="0"/>
              <w:right w:val="single" w:color="000000" w:sz="4" w:space="0"/>
            </w:tcBorders>
            <w:vAlign w:val="center"/>
          </w:tcPr>
          <w:p>
            <w:pPr>
              <w:pStyle w:val="35"/>
              <w:spacing w:line="312" w:lineRule="auto"/>
              <w:ind w:right="210"/>
              <w:jc w:val="both"/>
              <w:textAlignment w:val="top"/>
              <w:rPr>
                <w:rFonts w:ascii="宋体" w:hAnsi="宋体"/>
                <w:sz w:val="24"/>
                <w:szCs w:val="24"/>
              </w:rPr>
            </w:pPr>
            <w:r>
              <w:rPr>
                <w:rFonts w:hint="eastAsia" w:ascii="宋体" w:hAnsi="宋体"/>
                <w:sz w:val="24"/>
                <w:szCs w:val="24"/>
              </w:rPr>
              <w:t>大写：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atLeast"/>
        </w:trPr>
        <w:tc>
          <w:tcPr>
            <w:tcW w:w="2520" w:type="dxa"/>
            <w:tcBorders>
              <w:top w:val="single" w:color="000000" w:sz="4" w:space="0"/>
              <w:left w:val="single" w:color="000000" w:sz="4" w:space="0"/>
              <w:bottom w:val="single" w:color="000000" w:sz="4" w:space="0"/>
              <w:right w:val="single" w:color="000000" w:sz="4" w:space="0"/>
            </w:tcBorders>
            <w:vAlign w:val="center"/>
          </w:tcPr>
          <w:p>
            <w:pPr>
              <w:pStyle w:val="35"/>
              <w:spacing w:line="312" w:lineRule="auto"/>
              <w:jc w:val="center"/>
              <w:textAlignment w:val="top"/>
              <w:rPr>
                <w:rFonts w:ascii="宋体" w:hAnsi="宋体"/>
                <w:sz w:val="24"/>
                <w:szCs w:val="24"/>
              </w:rPr>
            </w:pPr>
            <w:r>
              <w:rPr>
                <w:rFonts w:hint="eastAsia" w:ascii="宋体" w:hAnsi="宋体"/>
                <w:sz w:val="24"/>
                <w:szCs w:val="24"/>
              </w:rPr>
              <w:t>投标工期</w:t>
            </w:r>
          </w:p>
        </w:tc>
        <w:tc>
          <w:tcPr>
            <w:tcW w:w="6676" w:type="dxa"/>
            <w:gridSpan w:val="3"/>
            <w:tcBorders>
              <w:top w:val="single" w:color="000000" w:sz="4" w:space="0"/>
              <w:left w:val="nil"/>
              <w:bottom w:val="single" w:color="000000" w:sz="4" w:space="0"/>
              <w:right w:val="single" w:color="000000" w:sz="4" w:space="0"/>
            </w:tcBorders>
            <w:vAlign w:val="center"/>
          </w:tcPr>
          <w:p>
            <w:pPr>
              <w:pStyle w:val="35"/>
              <w:spacing w:line="312" w:lineRule="auto"/>
              <w:jc w:val="center"/>
              <w:textAlignment w:val="top"/>
              <w:rPr>
                <w:rFonts w:ascii="宋体" w:hAnsi="宋体"/>
                <w:sz w:val="24"/>
                <w:szCs w:val="24"/>
              </w:rPr>
            </w:pPr>
            <w:r>
              <w:rPr>
                <w:rFonts w:hint="eastAsia" w:ascii="宋体" w:hAnsi="宋体"/>
                <w:sz w:val="24"/>
                <w:szCs w:val="24"/>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atLeast"/>
        </w:trPr>
        <w:tc>
          <w:tcPr>
            <w:tcW w:w="2520" w:type="dxa"/>
            <w:tcBorders>
              <w:top w:val="single" w:color="000000" w:sz="4" w:space="0"/>
              <w:left w:val="single" w:color="000000" w:sz="4" w:space="0"/>
              <w:bottom w:val="single" w:color="000000" w:sz="4" w:space="0"/>
              <w:right w:val="single" w:color="000000" w:sz="4" w:space="0"/>
            </w:tcBorders>
            <w:vAlign w:val="center"/>
          </w:tcPr>
          <w:p>
            <w:pPr>
              <w:pStyle w:val="35"/>
              <w:spacing w:line="312" w:lineRule="auto"/>
              <w:jc w:val="center"/>
              <w:textAlignment w:val="top"/>
              <w:rPr>
                <w:rFonts w:ascii="宋体" w:hAnsi="宋体"/>
                <w:sz w:val="24"/>
                <w:szCs w:val="24"/>
              </w:rPr>
            </w:pPr>
            <w:r>
              <w:rPr>
                <w:rFonts w:hint="eastAsia" w:ascii="宋体" w:hAnsi="宋体"/>
                <w:sz w:val="24"/>
                <w:szCs w:val="24"/>
              </w:rPr>
              <w:t>投标有效期</w:t>
            </w:r>
          </w:p>
        </w:tc>
        <w:tc>
          <w:tcPr>
            <w:tcW w:w="6676" w:type="dxa"/>
            <w:gridSpan w:val="3"/>
            <w:tcBorders>
              <w:top w:val="single" w:color="000000" w:sz="4" w:space="0"/>
              <w:left w:val="nil"/>
              <w:bottom w:val="single" w:color="000000" w:sz="4" w:space="0"/>
              <w:right w:val="single" w:color="000000" w:sz="4" w:space="0"/>
            </w:tcBorders>
            <w:vAlign w:val="center"/>
          </w:tcPr>
          <w:p>
            <w:pPr>
              <w:pStyle w:val="35"/>
              <w:spacing w:line="312" w:lineRule="auto"/>
              <w:textAlignment w:val="top"/>
              <w:rPr>
                <w:rFonts w:ascii="宋体" w:hAnsi="宋体"/>
                <w:sz w:val="24"/>
                <w:szCs w:val="24"/>
              </w:rPr>
            </w:pPr>
            <w:r>
              <w:rPr>
                <w:rFonts w:hint="eastAsia" w:ascii="宋体" w:hAnsi="宋体"/>
                <w:sz w:val="24"/>
                <w:szCs w:val="24"/>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atLeast"/>
        </w:trPr>
        <w:tc>
          <w:tcPr>
            <w:tcW w:w="2520" w:type="dxa"/>
            <w:tcBorders>
              <w:top w:val="single" w:color="000000" w:sz="4" w:space="0"/>
              <w:left w:val="single" w:color="000000" w:sz="4" w:space="0"/>
              <w:bottom w:val="single" w:color="000000" w:sz="4" w:space="0"/>
              <w:right w:val="single" w:color="000000" w:sz="4" w:space="0"/>
            </w:tcBorders>
            <w:vAlign w:val="center"/>
          </w:tcPr>
          <w:p>
            <w:pPr>
              <w:pStyle w:val="35"/>
              <w:spacing w:line="312" w:lineRule="auto"/>
              <w:jc w:val="center"/>
              <w:textAlignment w:val="center"/>
              <w:rPr>
                <w:rFonts w:ascii="宋体" w:hAnsi="宋体"/>
                <w:sz w:val="24"/>
                <w:szCs w:val="24"/>
              </w:rPr>
            </w:pPr>
            <w:r>
              <w:rPr>
                <w:rFonts w:hint="eastAsia" w:ascii="宋体" w:hAnsi="宋体"/>
                <w:sz w:val="24"/>
                <w:szCs w:val="24"/>
              </w:rPr>
              <w:t>投标质量等级</w:t>
            </w:r>
          </w:p>
        </w:tc>
        <w:tc>
          <w:tcPr>
            <w:tcW w:w="6676" w:type="dxa"/>
            <w:gridSpan w:val="3"/>
            <w:tcBorders>
              <w:top w:val="single" w:color="000000" w:sz="4" w:space="0"/>
              <w:left w:val="nil"/>
              <w:bottom w:val="single" w:color="000000" w:sz="4" w:space="0"/>
              <w:right w:val="single" w:color="000000" w:sz="4" w:space="0"/>
            </w:tcBorders>
            <w:vAlign w:val="center"/>
          </w:tcPr>
          <w:p>
            <w:pPr>
              <w:pStyle w:val="35"/>
              <w:spacing w:line="312" w:lineRule="auto"/>
              <w:jc w:val="center"/>
              <w:textAlignment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1" w:hRule="atLeast"/>
        </w:trPr>
        <w:tc>
          <w:tcPr>
            <w:tcW w:w="2520" w:type="dxa"/>
            <w:tcBorders>
              <w:top w:val="single" w:color="000000" w:sz="4" w:space="0"/>
              <w:left w:val="single" w:color="000000" w:sz="4" w:space="0"/>
              <w:bottom w:val="single" w:color="000000" w:sz="4" w:space="0"/>
              <w:right w:val="single" w:color="000000" w:sz="4" w:space="0"/>
            </w:tcBorders>
            <w:vAlign w:val="center"/>
          </w:tcPr>
          <w:p>
            <w:pPr>
              <w:pStyle w:val="35"/>
              <w:spacing w:line="312" w:lineRule="auto"/>
              <w:jc w:val="center"/>
              <w:textAlignment w:val="center"/>
              <w:rPr>
                <w:rFonts w:ascii="宋体" w:hAnsi="宋体"/>
                <w:sz w:val="24"/>
                <w:szCs w:val="24"/>
              </w:rPr>
            </w:pPr>
            <w:r>
              <w:rPr>
                <w:rFonts w:hint="eastAsia" w:ascii="宋体" w:hAnsi="宋体"/>
                <w:sz w:val="24"/>
                <w:szCs w:val="24"/>
              </w:rPr>
              <w:t>拟派项目负责人</w:t>
            </w:r>
          </w:p>
        </w:tc>
        <w:tc>
          <w:tcPr>
            <w:tcW w:w="2280" w:type="dxa"/>
            <w:tcBorders>
              <w:top w:val="single" w:color="000000" w:sz="4" w:space="0"/>
              <w:left w:val="nil"/>
              <w:bottom w:val="single" w:color="000000" w:sz="4" w:space="0"/>
              <w:right w:val="single" w:color="000000" w:sz="4" w:space="0"/>
            </w:tcBorders>
            <w:vAlign w:val="center"/>
          </w:tcPr>
          <w:p>
            <w:pPr>
              <w:pStyle w:val="35"/>
              <w:spacing w:line="312" w:lineRule="auto"/>
              <w:jc w:val="center"/>
              <w:textAlignment w:val="center"/>
              <w:rPr>
                <w:rFonts w:ascii="宋体" w:hAnsi="宋体"/>
                <w:sz w:val="24"/>
                <w:szCs w:val="24"/>
              </w:rPr>
            </w:pPr>
          </w:p>
        </w:tc>
        <w:tc>
          <w:tcPr>
            <w:tcW w:w="1490" w:type="dxa"/>
            <w:tcBorders>
              <w:top w:val="single" w:color="000000" w:sz="4" w:space="0"/>
              <w:left w:val="nil"/>
              <w:bottom w:val="single" w:color="000000" w:sz="4" w:space="0"/>
              <w:right w:val="single" w:color="000000" w:sz="4" w:space="0"/>
            </w:tcBorders>
            <w:vAlign w:val="center"/>
          </w:tcPr>
          <w:p>
            <w:pPr>
              <w:pStyle w:val="35"/>
              <w:spacing w:line="312" w:lineRule="auto"/>
              <w:jc w:val="center"/>
              <w:textAlignment w:val="center"/>
              <w:rPr>
                <w:rFonts w:ascii="宋体" w:hAnsi="宋体"/>
                <w:sz w:val="24"/>
                <w:szCs w:val="24"/>
              </w:rPr>
            </w:pPr>
            <w:r>
              <w:rPr>
                <w:rFonts w:hint="eastAsia" w:ascii="宋体" w:hAnsi="宋体"/>
                <w:sz w:val="24"/>
                <w:szCs w:val="24"/>
              </w:rPr>
              <w:t>资格等级</w:t>
            </w:r>
          </w:p>
          <w:p>
            <w:pPr>
              <w:pStyle w:val="35"/>
              <w:spacing w:line="312" w:lineRule="auto"/>
              <w:jc w:val="center"/>
              <w:textAlignment w:val="center"/>
              <w:rPr>
                <w:rFonts w:ascii="宋体" w:hAnsi="宋体"/>
                <w:sz w:val="24"/>
                <w:szCs w:val="24"/>
              </w:rPr>
            </w:pPr>
            <w:r>
              <w:rPr>
                <w:rFonts w:hint="eastAsia" w:ascii="宋体" w:hAnsi="宋体"/>
                <w:sz w:val="24"/>
                <w:szCs w:val="24"/>
              </w:rPr>
              <w:t>及编号</w:t>
            </w:r>
          </w:p>
        </w:tc>
        <w:tc>
          <w:tcPr>
            <w:tcW w:w="2906" w:type="dxa"/>
            <w:tcBorders>
              <w:top w:val="single" w:color="000000" w:sz="4" w:space="0"/>
              <w:left w:val="nil"/>
              <w:bottom w:val="single" w:color="000000" w:sz="4" w:space="0"/>
              <w:right w:val="single" w:color="000000" w:sz="4" w:space="0"/>
            </w:tcBorders>
            <w:vAlign w:val="center"/>
          </w:tcPr>
          <w:p>
            <w:pPr>
              <w:pStyle w:val="35"/>
              <w:spacing w:line="312" w:lineRule="auto"/>
              <w:jc w:val="center"/>
              <w:textAlignment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1" w:hRule="atLeast"/>
        </w:trPr>
        <w:tc>
          <w:tcPr>
            <w:tcW w:w="2520" w:type="dxa"/>
            <w:tcBorders>
              <w:top w:val="single" w:color="000000" w:sz="4" w:space="0"/>
              <w:left w:val="single" w:color="000000" w:sz="4" w:space="0"/>
              <w:bottom w:val="single" w:color="000000" w:sz="4" w:space="0"/>
              <w:right w:val="single" w:color="000000" w:sz="4" w:space="0"/>
            </w:tcBorders>
            <w:vAlign w:val="center"/>
          </w:tcPr>
          <w:p>
            <w:pPr>
              <w:pStyle w:val="35"/>
              <w:spacing w:line="312" w:lineRule="auto"/>
              <w:jc w:val="center"/>
              <w:textAlignment w:val="center"/>
              <w:rPr>
                <w:rFonts w:ascii="宋体" w:hAnsi="宋体"/>
                <w:sz w:val="24"/>
                <w:szCs w:val="24"/>
              </w:rPr>
            </w:pPr>
            <w:r>
              <w:rPr>
                <w:rFonts w:hint="eastAsia" w:ascii="宋体" w:hAnsi="宋体"/>
                <w:sz w:val="24"/>
                <w:szCs w:val="24"/>
              </w:rPr>
              <w:t>拟派技术负责人</w:t>
            </w:r>
          </w:p>
        </w:tc>
        <w:tc>
          <w:tcPr>
            <w:tcW w:w="2280" w:type="dxa"/>
            <w:tcBorders>
              <w:top w:val="single" w:color="000000" w:sz="4" w:space="0"/>
              <w:left w:val="nil"/>
              <w:bottom w:val="single" w:color="000000" w:sz="4" w:space="0"/>
              <w:right w:val="single" w:color="000000" w:sz="4" w:space="0"/>
            </w:tcBorders>
            <w:vAlign w:val="center"/>
          </w:tcPr>
          <w:p>
            <w:pPr>
              <w:pStyle w:val="35"/>
              <w:spacing w:line="312" w:lineRule="auto"/>
              <w:jc w:val="center"/>
              <w:textAlignment w:val="center"/>
              <w:rPr>
                <w:rFonts w:ascii="宋体" w:hAnsi="宋体"/>
                <w:sz w:val="24"/>
                <w:szCs w:val="24"/>
              </w:rPr>
            </w:pPr>
          </w:p>
        </w:tc>
        <w:tc>
          <w:tcPr>
            <w:tcW w:w="1490" w:type="dxa"/>
            <w:tcBorders>
              <w:top w:val="single" w:color="000000" w:sz="4" w:space="0"/>
              <w:left w:val="nil"/>
              <w:bottom w:val="single" w:color="000000" w:sz="4" w:space="0"/>
              <w:right w:val="single" w:color="000000" w:sz="4" w:space="0"/>
            </w:tcBorders>
            <w:vAlign w:val="center"/>
          </w:tcPr>
          <w:p>
            <w:pPr>
              <w:pStyle w:val="35"/>
              <w:spacing w:line="312" w:lineRule="auto"/>
              <w:jc w:val="center"/>
              <w:textAlignment w:val="center"/>
              <w:rPr>
                <w:rFonts w:ascii="宋体" w:hAnsi="宋体"/>
                <w:sz w:val="24"/>
                <w:szCs w:val="24"/>
              </w:rPr>
            </w:pPr>
            <w:r>
              <w:rPr>
                <w:rFonts w:hint="eastAsia" w:ascii="宋体" w:hAnsi="宋体"/>
                <w:sz w:val="24"/>
                <w:szCs w:val="24"/>
              </w:rPr>
              <w:t>资格等级</w:t>
            </w:r>
          </w:p>
          <w:p>
            <w:pPr>
              <w:pStyle w:val="35"/>
              <w:spacing w:line="312" w:lineRule="auto"/>
              <w:jc w:val="center"/>
              <w:textAlignment w:val="center"/>
              <w:rPr>
                <w:rFonts w:ascii="宋体" w:hAnsi="宋体"/>
                <w:sz w:val="24"/>
                <w:szCs w:val="24"/>
              </w:rPr>
            </w:pPr>
            <w:r>
              <w:rPr>
                <w:rFonts w:hint="eastAsia" w:ascii="宋体" w:hAnsi="宋体"/>
                <w:sz w:val="24"/>
                <w:szCs w:val="24"/>
              </w:rPr>
              <w:t>及编号</w:t>
            </w:r>
          </w:p>
        </w:tc>
        <w:tc>
          <w:tcPr>
            <w:tcW w:w="2906" w:type="dxa"/>
            <w:tcBorders>
              <w:top w:val="single" w:color="000000" w:sz="4" w:space="0"/>
              <w:left w:val="nil"/>
              <w:bottom w:val="single" w:color="000000" w:sz="4" w:space="0"/>
              <w:right w:val="single" w:color="000000" w:sz="4" w:space="0"/>
            </w:tcBorders>
            <w:vAlign w:val="center"/>
          </w:tcPr>
          <w:p>
            <w:pPr>
              <w:pStyle w:val="35"/>
              <w:spacing w:line="312" w:lineRule="auto"/>
              <w:jc w:val="center"/>
              <w:textAlignment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0" w:hRule="atLeast"/>
        </w:trPr>
        <w:tc>
          <w:tcPr>
            <w:tcW w:w="4800" w:type="dxa"/>
            <w:gridSpan w:val="2"/>
            <w:tcBorders>
              <w:top w:val="single" w:color="000000" w:sz="4" w:space="0"/>
              <w:left w:val="single" w:color="000000" w:sz="4" w:space="0"/>
              <w:bottom w:val="single" w:color="000000" w:sz="4" w:space="0"/>
              <w:right w:val="single" w:color="000000" w:sz="4" w:space="0"/>
            </w:tcBorders>
          </w:tcPr>
          <w:p>
            <w:pPr>
              <w:pStyle w:val="35"/>
              <w:spacing w:line="312" w:lineRule="auto"/>
              <w:textAlignment w:val="top"/>
              <w:rPr>
                <w:rFonts w:ascii="宋体" w:hAnsi="宋体"/>
                <w:sz w:val="24"/>
                <w:szCs w:val="24"/>
              </w:rPr>
            </w:pPr>
          </w:p>
          <w:p>
            <w:pPr>
              <w:pStyle w:val="35"/>
              <w:spacing w:line="312" w:lineRule="auto"/>
              <w:textAlignment w:val="top"/>
              <w:rPr>
                <w:rFonts w:ascii="宋体" w:hAnsi="宋体"/>
                <w:sz w:val="24"/>
                <w:szCs w:val="24"/>
              </w:rPr>
            </w:pPr>
          </w:p>
          <w:p>
            <w:pPr>
              <w:pStyle w:val="35"/>
              <w:spacing w:line="312" w:lineRule="auto"/>
              <w:textAlignment w:val="top"/>
              <w:rPr>
                <w:rFonts w:ascii="宋体" w:hAnsi="宋体"/>
                <w:sz w:val="24"/>
                <w:szCs w:val="24"/>
              </w:rPr>
            </w:pPr>
            <w:r>
              <w:rPr>
                <w:rFonts w:hint="eastAsia" w:ascii="宋体" w:hAnsi="宋体"/>
                <w:sz w:val="24"/>
                <w:szCs w:val="24"/>
              </w:rPr>
              <w:t xml:space="preserve">              投标人：</w:t>
            </w:r>
          </w:p>
          <w:p>
            <w:pPr>
              <w:pStyle w:val="35"/>
              <w:spacing w:line="312" w:lineRule="auto"/>
              <w:textAlignment w:val="top"/>
              <w:rPr>
                <w:rFonts w:ascii="宋体" w:hAnsi="宋体"/>
                <w:sz w:val="24"/>
                <w:szCs w:val="24"/>
              </w:rPr>
            </w:pPr>
          </w:p>
          <w:p>
            <w:pPr>
              <w:pStyle w:val="35"/>
              <w:spacing w:line="312" w:lineRule="auto"/>
              <w:textAlignment w:val="top"/>
              <w:rPr>
                <w:rFonts w:ascii="宋体" w:hAnsi="宋体"/>
                <w:sz w:val="24"/>
                <w:szCs w:val="24"/>
              </w:rPr>
            </w:pPr>
          </w:p>
          <w:p>
            <w:pPr>
              <w:pStyle w:val="35"/>
              <w:spacing w:line="312" w:lineRule="auto"/>
              <w:textAlignment w:val="top"/>
              <w:rPr>
                <w:rFonts w:ascii="宋体" w:hAnsi="宋体"/>
                <w:sz w:val="24"/>
                <w:szCs w:val="24"/>
              </w:rPr>
            </w:pPr>
          </w:p>
          <w:p>
            <w:pPr>
              <w:pStyle w:val="35"/>
              <w:spacing w:line="312" w:lineRule="auto"/>
              <w:textAlignment w:val="top"/>
              <w:rPr>
                <w:rFonts w:ascii="宋体" w:hAnsi="宋体"/>
                <w:sz w:val="24"/>
                <w:szCs w:val="24"/>
              </w:rPr>
            </w:pPr>
          </w:p>
          <w:p>
            <w:pPr>
              <w:pStyle w:val="35"/>
              <w:spacing w:line="312" w:lineRule="auto"/>
              <w:textAlignment w:val="top"/>
              <w:rPr>
                <w:rFonts w:ascii="宋体" w:hAnsi="宋体"/>
                <w:sz w:val="24"/>
                <w:szCs w:val="24"/>
              </w:rPr>
            </w:pPr>
            <w:r>
              <w:rPr>
                <w:rFonts w:hint="eastAsia" w:ascii="宋体" w:hAnsi="宋体"/>
                <w:sz w:val="24"/>
                <w:szCs w:val="24"/>
              </w:rPr>
              <w:t xml:space="preserve">              （盖章）</w:t>
            </w:r>
          </w:p>
        </w:tc>
        <w:tc>
          <w:tcPr>
            <w:tcW w:w="4396" w:type="dxa"/>
            <w:gridSpan w:val="2"/>
            <w:tcBorders>
              <w:top w:val="single" w:color="000000" w:sz="4" w:space="0"/>
              <w:left w:val="nil"/>
              <w:bottom w:val="single" w:color="000000" w:sz="4" w:space="0"/>
              <w:right w:val="single" w:color="000000" w:sz="4" w:space="0"/>
            </w:tcBorders>
          </w:tcPr>
          <w:p>
            <w:pPr>
              <w:pStyle w:val="35"/>
              <w:spacing w:line="312" w:lineRule="auto"/>
              <w:textAlignment w:val="top"/>
              <w:rPr>
                <w:rFonts w:ascii="宋体" w:hAnsi="宋体"/>
                <w:sz w:val="24"/>
                <w:szCs w:val="24"/>
              </w:rPr>
            </w:pPr>
          </w:p>
          <w:p>
            <w:pPr>
              <w:pStyle w:val="35"/>
              <w:spacing w:line="312" w:lineRule="auto"/>
              <w:textAlignment w:val="top"/>
              <w:rPr>
                <w:rFonts w:ascii="宋体" w:hAnsi="宋体"/>
                <w:sz w:val="24"/>
                <w:szCs w:val="24"/>
              </w:rPr>
            </w:pPr>
          </w:p>
          <w:p>
            <w:pPr>
              <w:pStyle w:val="35"/>
              <w:spacing w:line="312" w:lineRule="auto"/>
              <w:ind w:firstLine="720" w:firstLineChars="300"/>
              <w:textAlignment w:val="top"/>
              <w:rPr>
                <w:rFonts w:ascii="宋体" w:hAnsi="宋体"/>
                <w:sz w:val="24"/>
                <w:szCs w:val="24"/>
              </w:rPr>
            </w:pPr>
            <w:r>
              <w:rPr>
                <w:rFonts w:hint="eastAsia" w:ascii="宋体" w:hAnsi="宋体"/>
                <w:sz w:val="24"/>
                <w:szCs w:val="24"/>
              </w:rPr>
              <w:t>投标人法人代表或委托代理人：</w:t>
            </w:r>
          </w:p>
          <w:p>
            <w:pPr>
              <w:pStyle w:val="35"/>
              <w:spacing w:line="312" w:lineRule="auto"/>
              <w:textAlignment w:val="top"/>
              <w:rPr>
                <w:rFonts w:ascii="宋体" w:hAnsi="宋体"/>
                <w:sz w:val="24"/>
                <w:szCs w:val="24"/>
              </w:rPr>
            </w:pPr>
          </w:p>
          <w:p>
            <w:pPr>
              <w:pStyle w:val="35"/>
              <w:spacing w:line="312" w:lineRule="auto"/>
              <w:textAlignment w:val="top"/>
              <w:rPr>
                <w:rFonts w:ascii="宋体" w:hAnsi="宋体"/>
                <w:sz w:val="24"/>
                <w:szCs w:val="24"/>
              </w:rPr>
            </w:pPr>
          </w:p>
          <w:p>
            <w:pPr>
              <w:pStyle w:val="35"/>
              <w:spacing w:line="312" w:lineRule="auto"/>
              <w:textAlignment w:val="top"/>
              <w:rPr>
                <w:rFonts w:ascii="宋体" w:hAnsi="宋体"/>
                <w:sz w:val="24"/>
                <w:szCs w:val="24"/>
              </w:rPr>
            </w:pPr>
          </w:p>
          <w:p>
            <w:pPr>
              <w:pStyle w:val="35"/>
              <w:spacing w:line="312" w:lineRule="auto"/>
              <w:textAlignment w:val="top"/>
              <w:rPr>
                <w:rFonts w:ascii="宋体" w:hAnsi="宋体"/>
                <w:sz w:val="24"/>
                <w:szCs w:val="24"/>
              </w:rPr>
            </w:pPr>
          </w:p>
          <w:p>
            <w:pPr>
              <w:pStyle w:val="35"/>
              <w:spacing w:line="312" w:lineRule="auto"/>
              <w:textAlignment w:val="top"/>
              <w:rPr>
                <w:rFonts w:ascii="宋体" w:hAnsi="宋体"/>
                <w:sz w:val="24"/>
                <w:szCs w:val="24"/>
              </w:rPr>
            </w:pPr>
            <w:r>
              <w:rPr>
                <w:rFonts w:hint="eastAsia" w:ascii="宋体" w:hAnsi="宋体"/>
                <w:sz w:val="24"/>
                <w:szCs w:val="24"/>
              </w:rPr>
              <w:t xml:space="preserve">            （签字或盖章）</w:t>
            </w:r>
          </w:p>
        </w:tc>
      </w:tr>
    </w:tbl>
    <w:p>
      <w:pPr>
        <w:autoSpaceDE w:val="0"/>
        <w:autoSpaceDN w:val="0"/>
        <w:adjustRightInd w:val="0"/>
        <w:spacing w:before="312" w:beforeLines="100" w:after="312" w:afterLines="100" w:line="420" w:lineRule="exact"/>
        <w:jc w:val="center"/>
        <w:outlineLvl w:val="0"/>
        <w:rPr>
          <w:rFonts w:asciiTheme="minorEastAsia" w:hAnsiTheme="minorEastAsia" w:eastAsiaTheme="minorEastAsia" w:cstheme="minorEastAsia"/>
          <w:b/>
          <w:sz w:val="28"/>
          <w:szCs w:val="28"/>
        </w:rPr>
      </w:pPr>
    </w:p>
    <w:p>
      <w:pPr>
        <w:autoSpaceDE w:val="0"/>
        <w:autoSpaceDN w:val="0"/>
        <w:adjustRightInd w:val="0"/>
        <w:spacing w:before="312" w:beforeLines="100" w:after="312" w:afterLines="100" w:line="420" w:lineRule="exact"/>
        <w:jc w:val="center"/>
        <w:outlineLvl w:val="0"/>
        <w:rPr>
          <w:rFonts w:asciiTheme="minorEastAsia" w:hAnsiTheme="minorEastAsia" w:eastAsiaTheme="minorEastAsia" w:cstheme="minorEastAsia"/>
          <w:sz w:val="28"/>
          <w:szCs w:val="28"/>
        </w:rPr>
      </w:pPr>
    </w:p>
    <w:p>
      <w:pPr>
        <w:autoSpaceDE w:val="0"/>
        <w:autoSpaceDN w:val="0"/>
        <w:adjustRightInd w:val="0"/>
        <w:spacing w:before="312" w:beforeLines="100" w:after="312" w:afterLines="100" w:line="420" w:lineRule="exact"/>
        <w:jc w:val="center"/>
        <w:outlineLvl w:val="0"/>
        <w:rPr>
          <w:rFonts w:asciiTheme="minorEastAsia" w:hAnsiTheme="minorEastAsia" w:eastAsiaTheme="minorEastAsia" w:cstheme="minorEastAsia"/>
          <w:sz w:val="28"/>
          <w:szCs w:val="28"/>
        </w:rPr>
      </w:pPr>
    </w:p>
    <w:p>
      <w:pPr>
        <w:autoSpaceDE w:val="0"/>
        <w:autoSpaceDN w:val="0"/>
        <w:adjustRightInd w:val="0"/>
        <w:spacing w:before="312" w:beforeLines="100" w:after="312" w:afterLines="100" w:line="420" w:lineRule="exact"/>
        <w:jc w:val="center"/>
        <w:outlineLvl w:val="0"/>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二、</w:t>
      </w:r>
      <w:bookmarkEnd w:id="99"/>
      <w:r>
        <w:rPr>
          <w:rFonts w:hint="eastAsia" w:asciiTheme="minorEastAsia" w:hAnsiTheme="minorEastAsia" w:eastAsiaTheme="minorEastAsia" w:cstheme="minorEastAsia"/>
          <w:b/>
          <w:bCs/>
          <w:sz w:val="36"/>
          <w:szCs w:val="36"/>
        </w:rPr>
        <w:t>法定代表人身份证明或附有法定代表人身份证明的授权委托书</w:t>
      </w:r>
    </w:p>
    <w:p>
      <w:pPr>
        <w:autoSpaceDE w:val="0"/>
        <w:autoSpaceDN w:val="0"/>
        <w:adjustRightInd w:val="0"/>
        <w:spacing w:line="420" w:lineRule="exact"/>
        <w:jc w:val="center"/>
        <w:outlineLvl w:val="0"/>
        <w:rPr>
          <w:rFonts w:asciiTheme="minorEastAsia" w:hAnsiTheme="minorEastAsia" w:eastAsiaTheme="minorEastAsia" w:cstheme="minorEastAsia"/>
          <w:sz w:val="28"/>
          <w:szCs w:val="28"/>
        </w:rPr>
      </w:pPr>
    </w:p>
    <w:p>
      <w:pPr>
        <w:autoSpaceDE w:val="0"/>
        <w:autoSpaceDN w:val="0"/>
        <w:adjustRightInd w:val="0"/>
        <w:spacing w:line="420" w:lineRule="exact"/>
        <w:jc w:val="center"/>
        <w:outlineLvl w:val="0"/>
        <w:rPr>
          <w:rFonts w:asciiTheme="minorEastAsia" w:hAnsiTheme="minorEastAsia" w:eastAsiaTheme="minorEastAsia" w:cstheme="minorEastAsia"/>
          <w:sz w:val="28"/>
          <w:szCs w:val="28"/>
        </w:rPr>
      </w:pPr>
      <w:bookmarkStart w:id="101" w:name="_Toc271787731"/>
      <w:r>
        <w:rPr>
          <w:rFonts w:hint="eastAsia" w:asciiTheme="minorEastAsia" w:hAnsiTheme="minorEastAsia" w:eastAsiaTheme="minorEastAsia" w:cstheme="minorEastAsia"/>
          <w:sz w:val="28"/>
          <w:szCs w:val="28"/>
        </w:rPr>
        <w:t>（一）法定代表人身份证明</w:t>
      </w:r>
      <w:bookmarkEnd w:id="101"/>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投标人名称：</w:t>
      </w:r>
      <w:r>
        <w:rPr>
          <w:rFonts w:hint="eastAsia" w:asciiTheme="minorEastAsia" w:hAnsiTheme="minorEastAsia" w:eastAsiaTheme="minorEastAsia" w:cstheme="minorEastAsia"/>
          <w:sz w:val="24"/>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单位性质：</w:t>
      </w:r>
      <w:r>
        <w:rPr>
          <w:rFonts w:hint="eastAsia" w:asciiTheme="minorEastAsia" w:hAnsiTheme="minorEastAsia" w:eastAsiaTheme="minorEastAsia" w:cstheme="minorEastAsia"/>
          <w:sz w:val="24"/>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r>
        <w:rPr>
          <w:rFonts w:hint="eastAsia" w:asciiTheme="minorEastAsia" w:hAnsiTheme="minorEastAsia" w:eastAsiaTheme="minorEastAsia" w:cstheme="minorEastAsia"/>
          <w:sz w:val="24"/>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性别：</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职务：</w:t>
      </w:r>
      <w:r>
        <w:rPr>
          <w:rFonts w:hint="eastAsia" w:asciiTheme="minorEastAsia" w:hAnsiTheme="minorEastAsia" w:eastAsiaTheme="minorEastAsia" w:cstheme="minorEastAsia"/>
          <w:sz w:val="24"/>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（投标人名称）的法定代表人。</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rPr>
      </w:pP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autoSpaceDE w:val="0"/>
        <w:autoSpaceDN w:val="0"/>
        <w:adjustRightInd w:val="0"/>
        <w:spacing w:line="420" w:lineRule="exact"/>
        <w:ind w:firstLine="680" w:firstLineChars="200"/>
        <w:jc w:val="right"/>
        <w:rPr>
          <w:rFonts w:asciiTheme="minorEastAsia" w:hAnsiTheme="minorEastAsia" w:eastAsiaTheme="minorEastAsia" w:cstheme="minorEastAsia"/>
          <w:szCs w:val="21"/>
        </w:rPr>
      </w:pPr>
    </w:p>
    <w:p>
      <w:pPr>
        <w:widowControl/>
        <w:jc w:val="left"/>
        <w:rPr>
          <w:rFonts w:asciiTheme="minorEastAsia" w:hAnsiTheme="minorEastAsia" w:eastAsiaTheme="minorEastAsia" w:cstheme="minorEastAsia"/>
          <w:sz w:val="28"/>
          <w:szCs w:val="28"/>
        </w:rPr>
      </w:pPr>
      <w:bookmarkStart w:id="102" w:name="_Toc271787732"/>
      <w:r>
        <w:rPr>
          <w:rFonts w:asciiTheme="minorEastAsia" w:hAnsiTheme="minorEastAsia" w:eastAsiaTheme="minorEastAsia" w:cstheme="minorEastAsia"/>
          <w:sz w:val="28"/>
          <w:szCs w:val="28"/>
        </w:rPr>
        <w:br w:type="page"/>
      </w:r>
    </w:p>
    <w:p>
      <w:pPr>
        <w:autoSpaceDE w:val="0"/>
        <w:autoSpaceDN w:val="0"/>
        <w:adjustRightInd w:val="0"/>
        <w:spacing w:line="420" w:lineRule="exact"/>
        <w:jc w:val="center"/>
        <w:outlineLvl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（二）授权委托书</w:t>
      </w:r>
      <w:bookmarkEnd w:id="102"/>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本人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（姓名）系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（投标人名称）的法定代表人，现委托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（姓名）为我方代理人。代理人根据授权，以我方名义签署、澄清、说明、补正、递交、撤回、修改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委托期限：</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代理人无转委托权。</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附：法定代表人身份证明</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（签字）</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 xml:space="preserve">                                  </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（签字）</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 xml:space="preserve">                                   </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日</w:t>
      </w:r>
    </w:p>
    <w:p>
      <w:pPr>
        <w:pStyle w:val="25"/>
        <w:spacing w:before="0" w:line="360" w:lineRule="auto"/>
        <w:jc w:val="center"/>
        <w:outlineLvl w:val="3"/>
        <w:rPr>
          <w:rFonts w:asciiTheme="minorEastAsia" w:hAnsiTheme="minorEastAsia" w:eastAsiaTheme="minorEastAsia" w:cstheme="minorEastAsia"/>
          <w:b/>
          <w:sz w:val="30"/>
          <w:szCs w:val="30"/>
        </w:rPr>
      </w:pPr>
      <w:bookmarkStart w:id="103" w:name="_Toc392081413"/>
      <w:bookmarkStart w:id="104" w:name="_Toc426467413"/>
      <w:bookmarkStart w:id="105" w:name="_Toc387851729"/>
    </w:p>
    <w:p>
      <w:pPr>
        <w:pStyle w:val="25"/>
        <w:spacing w:before="0" w:line="360" w:lineRule="auto"/>
        <w:jc w:val="center"/>
        <w:outlineLvl w:val="3"/>
        <w:rPr>
          <w:rFonts w:asciiTheme="minorEastAsia" w:hAnsiTheme="minorEastAsia" w:eastAsiaTheme="minorEastAsia" w:cstheme="minorEastAsia"/>
          <w:b/>
          <w:sz w:val="30"/>
          <w:szCs w:val="30"/>
        </w:rPr>
      </w:pPr>
    </w:p>
    <w:p>
      <w:pPr>
        <w:pStyle w:val="25"/>
        <w:spacing w:before="0" w:line="360" w:lineRule="auto"/>
        <w:jc w:val="center"/>
        <w:outlineLvl w:val="3"/>
        <w:rPr>
          <w:rFonts w:asciiTheme="minorEastAsia" w:hAnsiTheme="minorEastAsia" w:eastAsiaTheme="minorEastAsia" w:cstheme="minorEastAsia"/>
          <w:b/>
          <w:sz w:val="30"/>
          <w:szCs w:val="30"/>
        </w:rPr>
      </w:pPr>
    </w:p>
    <w:p>
      <w:pPr>
        <w:pStyle w:val="25"/>
        <w:spacing w:before="0" w:line="360" w:lineRule="auto"/>
        <w:jc w:val="center"/>
        <w:outlineLvl w:val="3"/>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30"/>
          <w:szCs w:val="30"/>
        </w:rPr>
        <w:t>三、投标保证金</w:t>
      </w:r>
      <w:bookmarkEnd w:id="103"/>
      <w:bookmarkEnd w:id="104"/>
      <w:bookmarkEnd w:id="105"/>
    </w:p>
    <w:p>
      <w:pPr>
        <w:pStyle w:val="26"/>
        <w:spacing w:line="360" w:lineRule="auto"/>
        <w:ind w:firstLine="0"/>
        <w:jc w:val="center"/>
        <w:rPr>
          <w:rFonts w:asciiTheme="minorEastAsia" w:hAnsiTheme="minorEastAsia" w:eastAsiaTheme="minorEastAsia" w:cstheme="minorEastAsia"/>
          <w:sz w:val="24"/>
          <w:szCs w:val="24"/>
        </w:rPr>
      </w:pPr>
      <w:bookmarkStart w:id="106" w:name="_Toc281579384"/>
      <w:bookmarkStart w:id="107" w:name="_Toc230166249"/>
      <w:bookmarkStart w:id="108" w:name="_Toc257985759"/>
      <w:bookmarkStart w:id="109" w:name="_Toc152042584"/>
      <w:bookmarkStart w:id="110" w:name="_Toc281577569"/>
      <w:bookmarkStart w:id="111" w:name="_Toc281577312"/>
      <w:bookmarkStart w:id="112" w:name="_Toc152045795"/>
      <w:bookmarkStart w:id="113" w:name="_Toc144974863"/>
    </w:p>
    <w:p>
      <w:pPr>
        <w:pStyle w:val="26"/>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rPr>
        <w:t>（说明：投标人提交的投标保证金应采用招标文件规定的形式，并在此提供投标保证金有效证明或投标保函有效证明。）</w:t>
      </w:r>
    </w:p>
    <w:p>
      <w:pPr>
        <w:spacing w:line="312" w:lineRule="auto"/>
        <w:ind w:firstLine="480" w:firstLineChars="200"/>
        <w:rPr>
          <w:rFonts w:asciiTheme="minorEastAsia" w:hAnsiTheme="minorEastAsia" w:eastAsiaTheme="minorEastAsia" w:cstheme="minorEastAsia"/>
          <w:sz w:val="24"/>
        </w:rPr>
      </w:pPr>
    </w:p>
    <w:p>
      <w:pPr>
        <w:widowControl/>
        <w:jc w:val="left"/>
        <w:rPr>
          <w:rFonts w:asciiTheme="minorEastAsia" w:hAnsiTheme="minorEastAsia" w:eastAsiaTheme="minorEastAsia" w:cstheme="minorEastAsia"/>
          <w:sz w:val="24"/>
        </w:rPr>
      </w:pPr>
      <w:r>
        <w:rPr>
          <w:rFonts w:asciiTheme="minorEastAsia" w:hAnsiTheme="minorEastAsia" w:eastAsiaTheme="minorEastAsia" w:cstheme="minorEastAsia"/>
        </w:rPr>
        <w:br w:type="page"/>
      </w:r>
    </w:p>
    <w:p>
      <w:pPr>
        <w:pStyle w:val="15"/>
        <w:widowControl/>
        <w:numPr>
          <w:ilvl w:val="0"/>
          <w:numId w:val="2"/>
        </w:numPr>
        <w:spacing w:beforeAutospacing="0" w:afterAutospacing="0" w:line="360" w:lineRule="atLeast"/>
        <w:ind w:firstLine="420"/>
        <w:jc w:val="center"/>
        <w:rPr>
          <w:rFonts w:asciiTheme="minorEastAsia" w:hAnsiTheme="minorEastAsia" w:eastAsiaTheme="minorEastAsia" w:cstheme="minorEastAsia"/>
          <w:b/>
          <w:bCs/>
          <w:kern w:val="2"/>
          <w:sz w:val="30"/>
          <w:szCs w:val="30"/>
        </w:rPr>
      </w:pPr>
      <w:r>
        <w:rPr>
          <w:rFonts w:hint="eastAsia" w:asciiTheme="minorEastAsia" w:hAnsiTheme="minorEastAsia" w:eastAsiaTheme="minorEastAsia" w:cstheme="minorEastAsia"/>
          <w:b/>
          <w:bCs/>
          <w:kern w:val="2"/>
          <w:sz w:val="30"/>
          <w:szCs w:val="30"/>
        </w:rPr>
        <w:t>施工组织设计</w:t>
      </w:r>
    </w:p>
    <w:p>
      <w:pPr>
        <w:pStyle w:val="15"/>
        <w:widowControl/>
        <w:spacing w:beforeAutospacing="0" w:afterAutospacing="0" w:line="360" w:lineRule="atLeast"/>
        <w:ind w:left="420"/>
        <w:rPr>
          <w:rFonts w:asciiTheme="minorEastAsia" w:hAnsiTheme="minorEastAsia" w:eastAsiaTheme="minorEastAsia" w:cstheme="minorEastAsia"/>
          <w:b/>
          <w:bCs/>
          <w:kern w:val="2"/>
          <w:sz w:val="30"/>
          <w:szCs w:val="30"/>
        </w:rPr>
      </w:pPr>
    </w:p>
    <w:p>
      <w:pPr>
        <w:spacing w:line="360" w:lineRule="auto"/>
        <w:ind w:firstLine="480" w:firstLineChars="200"/>
        <w:jc w:val="left"/>
        <w:rPr>
          <w:rFonts w:hAnsi="宋体"/>
          <w:sz w:val="24"/>
          <w:szCs w:val="24"/>
        </w:rPr>
      </w:pPr>
      <w:r>
        <w:rPr>
          <w:rFonts w:hint="eastAsia" w:hAnsi="宋体"/>
          <w:sz w:val="24"/>
          <w:szCs w:val="24"/>
        </w:rPr>
        <w:t>1.投标人编制施工组织设计时应采用文字并结合图表形式说明工程的施工组织、施工方法、技术组织措施，同时应对关键工序、复杂环节重点提出相应技术措施，如冬雨季施工技术、减少噪音、降低环境污染、地下管线及其他地上地下设施的保护加固措施等。施工组织设计还应结合工程特点提出切实可行的工程质量、工程进度、安全生产、防汛度汛、文明施工、水土保持、环境保护管理方案。</w:t>
      </w:r>
    </w:p>
    <w:p>
      <w:pPr>
        <w:spacing w:line="360" w:lineRule="auto"/>
        <w:ind w:firstLine="480" w:firstLineChars="200"/>
        <w:jc w:val="left"/>
        <w:rPr>
          <w:rFonts w:hAnsi="宋体"/>
          <w:sz w:val="24"/>
          <w:szCs w:val="24"/>
        </w:rPr>
      </w:pPr>
      <w:r>
        <w:rPr>
          <w:rFonts w:hint="eastAsia" w:hAnsi="宋体"/>
          <w:sz w:val="24"/>
          <w:szCs w:val="24"/>
        </w:rPr>
        <w:t>2.施工组织设计除采用文字表述外应附下列图表,图表及格式要求附后。</w:t>
      </w:r>
    </w:p>
    <w:p>
      <w:pPr>
        <w:spacing w:line="360" w:lineRule="auto"/>
        <w:ind w:firstLine="480" w:firstLineChars="200"/>
        <w:jc w:val="left"/>
        <w:rPr>
          <w:rFonts w:hAnsi="宋体"/>
          <w:sz w:val="24"/>
          <w:szCs w:val="24"/>
        </w:rPr>
      </w:pPr>
      <w:r>
        <w:rPr>
          <w:rFonts w:hint="eastAsia" w:hAnsi="宋体"/>
          <w:sz w:val="24"/>
          <w:szCs w:val="24"/>
        </w:rPr>
        <w:t>附表一  拟投入本标段的主要施工设备表</w:t>
      </w:r>
    </w:p>
    <w:p>
      <w:pPr>
        <w:spacing w:line="360" w:lineRule="auto"/>
        <w:ind w:firstLine="480" w:firstLineChars="200"/>
        <w:jc w:val="left"/>
        <w:rPr>
          <w:rFonts w:hAnsi="宋体"/>
          <w:sz w:val="24"/>
          <w:szCs w:val="24"/>
        </w:rPr>
      </w:pPr>
      <w:r>
        <w:rPr>
          <w:rFonts w:hint="eastAsia" w:hAnsi="宋体"/>
          <w:sz w:val="24"/>
          <w:szCs w:val="24"/>
        </w:rPr>
        <w:t>附表二  拟投入本标段的实验和检测仪器设备表</w:t>
      </w:r>
    </w:p>
    <w:p>
      <w:pPr>
        <w:spacing w:line="360" w:lineRule="auto"/>
        <w:ind w:firstLine="480" w:firstLineChars="200"/>
        <w:jc w:val="left"/>
        <w:rPr>
          <w:rFonts w:hAnsi="宋体"/>
          <w:sz w:val="24"/>
          <w:szCs w:val="24"/>
        </w:rPr>
      </w:pPr>
      <w:r>
        <w:rPr>
          <w:rFonts w:hint="eastAsia" w:hAnsi="宋体"/>
          <w:sz w:val="24"/>
          <w:szCs w:val="24"/>
        </w:rPr>
        <w:t>附表三  拟投入本标段的劳动力计划表</w:t>
      </w:r>
    </w:p>
    <w:p>
      <w:pPr>
        <w:spacing w:line="360" w:lineRule="auto"/>
        <w:ind w:firstLine="480" w:firstLineChars="200"/>
        <w:jc w:val="left"/>
        <w:rPr>
          <w:rFonts w:hAnsi="宋体"/>
          <w:sz w:val="24"/>
          <w:szCs w:val="24"/>
        </w:rPr>
      </w:pPr>
      <w:r>
        <w:rPr>
          <w:rFonts w:hint="eastAsia" w:hAnsi="宋体"/>
          <w:sz w:val="24"/>
          <w:szCs w:val="24"/>
        </w:rPr>
        <w:t>附表四  计划开工日期、完工日期和施工进度网络图</w:t>
      </w:r>
    </w:p>
    <w:p>
      <w:pPr>
        <w:spacing w:line="360" w:lineRule="auto"/>
        <w:ind w:firstLine="480" w:firstLineChars="200"/>
        <w:jc w:val="left"/>
        <w:rPr>
          <w:rFonts w:hAnsi="宋体"/>
          <w:sz w:val="24"/>
          <w:szCs w:val="24"/>
        </w:rPr>
      </w:pPr>
      <w:r>
        <w:rPr>
          <w:rFonts w:hint="eastAsia" w:hAnsi="宋体"/>
          <w:sz w:val="24"/>
          <w:szCs w:val="24"/>
        </w:rPr>
        <w:t>附表五  施工总平面图</w:t>
      </w:r>
    </w:p>
    <w:p>
      <w:pPr>
        <w:spacing w:line="360" w:lineRule="auto"/>
        <w:ind w:firstLine="480" w:firstLineChars="200"/>
        <w:jc w:val="left"/>
        <w:rPr>
          <w:rFonts w:hAnsi="宋体"/>
          <w:sz w:val="24"/>
          <w:szCs w:val="24"/>
        </w:rPr>
      </w:pPr>
      <w:r>
        <w:rPr>
          <w:rFonts w:hint="eastAsia" w:hAnsi="宋体"/>
          <w:sz w:val="24"/>
          <w:szCs w:val="24"/>
        </w:rPr>
        <w:t>附表六  临时用地表</w:t>
      </w:r>
    </w:p>
    <w:p>
      <w:pPr>
        <w:spacing w:line="312" w:lineRule="auto"/>
        <w:rPr>
          <w:rFonts w:hAnsi="宋体"/>
          <w:sz w:val="24"/>
          <w:szCs w:val="24"/>
        </w:rPr>
      </w:pPr>
      <w:r>
        <w:rPr>
          <w:rFonts w:hint="eastAsia" w:hAnsi="宋体"/>
          <w:sz w:val="24"/>
          <w:szCs w:val="24"/>
        </w:rPr>
        <w:t xml:space="preserve"> </w:t>
      </w:r>
    </w:p>
    <w:p>
      <w:pPr>
        <w:spacing w:line="312" w:lineRule="auto"/>
        <w:rPr>
          <w:rFonts w:hAnsi="宋体"/>
          <w:sz w:val="24"/>
          <w:szCs w:val="24"/>
        </w:rPr>
      </w:pPr>
      <w:r>
        <w:rPr>
          <w:rFonts w:hint="eastAsia" w:hAnsi="宋体"/>
          <w:sz w:val="24"/>
          <w:szCs w:val="24"/>
        </w:rPr>
        <w:t xml:space="preserve"> </w:t>
      </w:r>
    </w:p>
    <w:p>
      <w:pPr>
        <w:pStyle w:val="4"/>
        <w:spacing w:line="312" w:lineRule="auto"/>
        <w:rPr>
          <w:rFonts w:hAnsi="宋体"/>
          <w:b w:val="0"/>
          <w:bCs w:val="0"/>
          <w:sz w:val="24"/>
          <w:szCs w:val="24"/>
        </w:rPr>
      </w:pPr>
      <w:r>
        <w:rPr>
          <w:rFonts w:hint="eastAsia" w:hAnsi="宋体"/>
          <w:b w:val="0"/>
          <w:bCs w:val="0"/>
          <w:sz w:val="24"/>
          <w:szCs w:val="24"/>
        </w:rPr>
        <w:t>附表一：拟投入本标段的主要施工设备表</w:t>
      </w:r>
    </w:p>
    <w:tbl>
      <w:tblPr>
        <w:tblStyle w:val="18"/>
        <w:tblW w:w="875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1"/>
        <w:gridCol w:w="991"/>
        <w:gridCol w:w="672"/>
        <w:gridCol w:w="739"/>
        <w:gridCol w:w="1213"/>
        <w:gridCol w:w="875"/>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op w:val="single" w:color="auto" w:sz="4" w:space="0"/>
              <w:left w:val="single" w:color="auto" w:sz="4" w:space="0"/>
              <w:bottom w:val="single" w:color="auto" w:sz="4" w:space="0"/>
              <w:right w:val="single" w:color="auto" w:sz="4" w:space="0"/>
            </w:tcBorders>
          </w:tcPr>
          <w:p>
            <w:pPr>
              <w:spacing w:line="312" w:lineRule="auto"/>
              <w:rPr>
                <w:rFonts w:hAnsi="宋体"/>
                <w:sz w:val="24"/>
                <w:szCs w:val="24"/>
              </w:rPr>
            </w:pPr>
            <w:r>
              <w:rPr>
                <w:rFonts w:hint="eastAsia" w:hAnsi="宋体"/>
                <w:sz w:val="24"/>
                <w:szCs w:val="24"/>
              </w:rPr>
              <w:t>序号</w:t>
            </w:r>
          </w:p>
        </w:tc>
        <w:tc>
          <w:tcPr>
            <w:tcW w:w="1087"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r>
              <w:rPr>
                <w:rFonts w:hint="eastAsia" w:hAnsi="宋体"/>
                <w:sz w:val="24"/>
                <w:szCs w:val="24"/>
              </w:rPr>
              <w:t>设备名称</w:t>
            </w:r>
          </w:p>
        </w:tc>
        <w:tc>
          <w:tcPr>
            <w:tcW w:w="761"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r>
              <w:rPr>
                <w:rFonts w:hint="eastAsia" w:hAnsi="宋体"/>
                <w:sz w:val="24"/>
                <w:szCs w:val="24"/>
              </w:rPr>
              <w:t>型号</w:t>
            </w:r>
          </w:p>
          <w:p>
            <w:pPr>
              <w:spacing w:line="312" w:lineRule="auto"/>
              <w:jc w:val="center"/>
              <w:rPr>
                <w:rFonts w:hAnsi="宋体"/>
                <w:sz w:val="24"/>
                <w:szCs w:val="24"/>
              </w:rPr>
            </w:pPr>
            <w:r>
              <w:rPr>
                <w:rFonts w:hint="eastAsia" w:hAnsi="宋体"/>
                <w:sz w:val="24"/>
                <w:szCs w:val="24"/>
              </w:rPr>
              <w:t>规格</w:t>
            </w:r>
          </w:p>
        </w:tc>
        <w:tc>
          <w:tcPr>
            <w:tcW w:w="991"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r>
              <w:rPr>
                <w:rFonts w:hint="eastAsia" w:hAnsi="宋体"/>
                <w:sz w:val="24"/>
                <w:szCs w:val="24"/>
              </w:rPr>
              <w:t>数量</w:t>
            </w:r>
          </w:p>
        </w:tc>
        <w:tc>
          <w:tcPr>
            <w:tcW w:w="67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r>
              <w:rPr>
                <w:rFonts w:hint="eastAsia" w:hAnsi="宋体"/>
                <w:sz w:val="24"/>
                <w:szCs w:val="24"/>
              </w:rPr>
              <w:t>国别</w:t>
            </w:r>
          </w:p>
          <w:p>
            <w:pPr>
              <w:spacing w:line="312" w:lineRule="auto"/>
              <w:jc w:val="center"/>
              <w:rPr>
                <w:rFonts w:hAnsi="宋体"/>
                <w:sz w:val="24"/>
                <w:szCs w:val="24"/>
              </w:rPr>
            </w:pPr>
            <w:r>
              <w:rPr>
                <w:rFonts w:hint="eastAsia" w:hAnsi="宋体"/>
                <w:sz w:val="24"/>
                <w:szCs w:val="24"/>
              </w:rPr>
              <w:t>产地</w:t>
            </w:r>
          </w:p>
        </w:tc>
        <w:tc>
          <w:tcPr>
            <w:tcW w:w="739"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r>
              <w:rPr>
                <w:rFonts w:hint="eastAsia" w:hAnsi="宋体"/>
                <w:sz w:val="24"/>
                <w:szCs w:val="24"/>
              </w:rPr>
              <w:t>制造</w:t>
            </w:r>
          </w:p>
          <w:p>
            <w:pPr>
              <w:spacing w:line="312" w:lineRule="auto"/>
              <w:jc w:val="center"/>
              <w:rPr>
                <w:rFonts w:hAnsi="宋体"/>
                <w:sz w:val="24"/>
                <w:szCs w:val="24"/>
              </w:rPr>
            </w:pPr>
            <w:r>
              <w:rPr>
                <w:rFonts w:hint="eastAsia" w:hAnsi="宋体"/>
                <w:sz w:val="24"/>
                <w:szCs w:val="24"/>
              </w:rPr>
              <w:t>年份</w:t>
            </w:r>
          </w:p>
        </w:tc>
        <w:tc>
          <w:tcPr>
            <w:tcW w:w="1213"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r>
              <w:rPr>
                <w:rFonts w:hint="eastAsia" w:hAnsi="宋体"/>
                <w:sz w:val="24"/>
                <w:szCs w:val="24"/>
              </w:rPr>
              <w:t>额定功率（KW）</w:t>
            </w:r>
          </w:p>
        </w:tc>
        <w:tc>
          <w:tcPr>
            <w:tcW w:w="875"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r>
              <w:rPr>
                <w:rFonts w:hint="eastAsia" w:hAnsi="宋体"/>
                <w:sz w:val="24"/>
                <w:szCs w:val="24"/>
              </w:rPr>
              <w:t>生产</w:t>
            </w:r>
          </w:p>
          <w:p>
            <w:pPr>
              <w:spacing w:line="312" w:lineRule="auto"/>
              <w:jc w:val="center"/>
              <w:rPr>
                <w:rFonts w:hAnsi="宋体"/>
                <w:sz w:val="24"/>
                <w:szCs w:val="24"/>
              </w:rPr>
            </w:pPr>
            <w:r>
              <w:rPr>
                <w:rFonts w:hint="eastAsia" w:hAnsi="宋体"/>
                <w:sz w:val="24"/>
                <w:szCs w:val="24"/>
              </w:rPr>
              <w:t>能力</w:t>
            </w:r>
          </w:p>
        </w:tc>
        <w:tc>
          <w:tcPr>
            <w:tcW w:w="1055"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r>
              <w:rPr>
                <w:rFonts w:hint="eastAsia" w:hAnsi="宋体"/>
                <w:sz w:val="24"/>
                <w:szCs w:val="24"/>
              </w:rPr>
              <w:t>用于施工部位</w:t>
            </w:r>
          </w:p>
        </w:tc>
        <w:tc>
          <w:tcPr>
            <w:tcW w:w="691"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r>
              <w:rPr>
                <w:rFonts w:hint="eastAsia"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p>
        </w:tc>
        <w:tc>
          <w:tcPr>
            <w:tcW w:w="1087"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761"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991"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67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739"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213"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875"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55"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691"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p>
        </w:tc>
        <w:tc>
          <w:tcPr>
            <w:tcW w:w="1087"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761"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991"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67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739"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213"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875"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55"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691"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p>
        </w:tc>
        <w:tc>
          <w:tcPr>
            <w:tcW w:w="1087"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761"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991"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67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739"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213"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875"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55"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691"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p>
        </w:tc>
        <w:tc>
          <w:tcPr>
            <w:tcW w:w="1087"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761"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991"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67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739"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213"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875"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55"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691"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p>
        </w:tc>
        <w:tc>
          <w:tcPr>
            <w:tcW w:w="1087"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761"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991"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67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739"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213"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875"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55"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691"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r>
    </w:tbl>
    <w:p>
      <w:pPr>
        <w:spacing w:line="312" w:lineRule="auto"/>
        <w:rPr>
          <w:rFonts w:hAnsi="宋体"/>
          <w:sz w:val="24"/>
          <w:szCs w:val="24"/>
        </w:rPr>
      </w:pPr>
      <w:r>
        <w:rPr>
          <w:rFonts w:hint="eastAsia" w:hAnsi="宋体"/>
          <w:sz w:val="24"/>
          <w:szCs w:val="24"/>
        </w:rPr>
        <w:t xml:space="preserve"> </w:t>
      </w:r>
    </w:p>
    <w:p>
      <w:pPr>
        <w:pStyle w:val="17"/>
        <w:ind w:left="680" w:firstLine="480"/>
        <w:rPr>
          <w:rFonts w:hint="default" w:ascii="宋体" w:hAnsi="宋体"/>
          <w:sz w:val="24"/>
          <w:szCs w:val="24"/>
        </w:rPr>
      </w:pPr>
      <w:r>
        <w:rPr>
          <w:rFonts w:ascii="宋体" w:hAnsi="宋体"/>
          <w:sz w:val="24"/>
          <w:szCs w:val="24"/>
        </w:rPr>
        <w:t xml:space="preserve"> </w:t>
      </w:r>
    </w:p>
    <w:p>
      <w:pPr>
        <w:pStyle w:val="4"/>
        <w:spacing w:line="312" w:lineRule="auto"/>
        <w:rPr>
          <w:rFonts w:hAnsi="宋体"/>
          <w:b w:val="0"/>
          <w:bCs w:val="0"/>
          <w:sz w:val="24"/>
          <w:szCs w:val="24"/>
        </w:rPr>
      </w:pPr>
      <w:r>
        <w:rPr>
          <w:rFonts w:hint="eastAsia" w:hAnsi="宋体"/>
          <w:b w:val="0"/>
          <w:bCs w:val="0"/>
          <w:sz w:val="24"/>
          <w:szCs w:val="24"/>
        </w:rPr>
        <w:t>附表二：拟投入本标段的试验和检测仪器设备表</w:t>
      </w:r>
    </w:p>
    <w:tbl>
      <w:tblPr>
        <w:tblStyle w:val="18"/>
        <w:tblW w:w="847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8"/>
        <w:gridCol w:w="876"/>
        <w:gridCol w:w="876"/>
        <w:gridCol w:w="673"/>
        <w:gridCol w:w="739"/>
        <w:gridCol w:w="1213"/>
        <w:gridCol w:w="165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r>
              <w:rPr>
                <w:rFonts w:hint="eastAsia" w:hAnsi="宋体"/>
                <w:sz w:val="24"/>
                <w:szCs w:val="24"/>
              </w:rPr>
              <w:t>序号</w:t>
            </w:r>
          </w:p>
        </w:tc>
        <w:tc>
          <w:tcPr>
            <w:tcW w:w="1088"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r>
              <w:rPr>
                <w:rFonts w:hint="eastAsia" w:hAnsi="宋体"/>
                <w:sz w:val="24"/>
                <w:szCs w:val="24"/>
              </w:rPr>
              <w:t>仪器设备名称</w:t>
            </w:r>
          </w:p>
        </w:tc>
        <w:tc>
          <w:tcPr>
            <w:tcW w:w="87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r>
              <w:rPr>
                <w:rFonts w:hint="eastAsia" w:hAnsi="宋体"/>
                <w:sz w:val="24"/>
                <w:szCs w:val="24"/>
              </w:rPr>
              <w:t>型号</w:t>
            </w:r>
          </w:p>
          <w:p>
            <w:pPr>
              <w:spacing w:line="312" w:lineRule="auto"/>
              <w:jc w:val="center"/>
              <w:rPr>
                <w:rFonts w:hAnsi="宋体"/>
                <w:sz w:val="24"/>
                <w:szCs w:val="24"/>
              </w:rPr>
            </w:pPr>
            <w:r>
              <w:rPr>
                <w:rFonts w:hint="eastAsia" w:hAnsi="宋体"/>
                <w:sz w:val="24"/>
                <w:szCs w:val="24"/>
              </w:rPr>
              <w:t>规格</w:t>
            </w:r>
          </w:p>
        </w:tc>
        <w:tc>
          <w:tcPr>
            <w:tcW w:w="87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r>
              <w:rPr>
                <w:rFonts w:hint="eastAsia" w:hAnsi="宋体"/>
                <w:sz w:val="24"/>
                <w:szCs w:val="24"/>
              </w:rPr>
              <w:t>数量</w:t>
            </w:r>
          </w:p>
        </w:tc>
        <w:tc>
          <w:tcPr>
            <w:tcW w:w="673"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r>
              <w:rPr>
                <w:rFonts w:hint="eastAsia" w:hAnsi="宋体"/>
                <w:sz w:val="24"/>
                <w:szCs w:val="24"/>
              </w:rPr>
              <w:t>国别</w:t>
            </w:r>
          </w:p>
          <w:p>
            <w:pPr>
              <w:spacing w:line="312" w:lineRule="auto"/>
              <w:jc w:val="center"/>
              <w:rPr>
                <w:rFonts w:hAnsi="宋体"/>
                <w:sz w:val="24"/>
                <w:szCs w:val="24"/>
              </w:rPr>
            </w:pPr>
            <w:r>
              <w:rPr>
                <w:rFonts w:hint="eastAsia" w:hAnsi="宋体"/>
                <w:sz w:val="24"/>
                <w:szCs w:val="24"/>
              </w:rPr>
              <w:t>产地</w:t>
            </w:r>
          </w:p>
        </w:tc>
        <w:tc>
          <w:tcPr>
            <w:tcW w:w="739"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r>
              <w:rPr>
                <w:rFonts w:hint="eastAsia" w:hAnsi="宋体"/>
                <w:sz w:val="24"/>
                <w:szCs w:val="24"/>
              </w:rPr>
              <w:t>制造</w:t>
            </w:r>
          </w:p>
          <w:p>
            <w:pPr>
              <w:spacing w:line="312" w:lineRule="auto"/>
              <w:jc w:val="center"/>
              <w:rPr>
                <w:rFonts w:hAnsi="宋体"/>
                <w:sz w:val="24"/>
                <w:szCs w:val="24"/>
              </w:rPr>
            </w:pPr>
            <w:r>
              <w:rPr>
                <w:rFonts w:hint="eastAsia" w:hAnsi="宋体"/>
                <w:sz w:val="24"/>
                <w:szCs w:val="24"/>
              </w:rPr>
              <w:t>年份</w:t>
            </w:r>
          </w:p>
        </w:tc>
        <w:tc>
          <w:tcPr>
            <w:tcW w:w="1213"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r>
              <w:rPr>
                <w:rFonts w:hint="eastAsia" w:hAnsi="宋体"/>
                <w:sz w:val="24"/>
                <w:szCs w:val="24"/>
              </w:rPr>
              <w:t>已使用台时数</w:t>
            </w:r>
          </w:p>
        </w:tc>
        <w:tc>
          <w:tcPr>
            <w:tcW w:w="1654"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r>
              <w:rPr>
                <w:rFonts w:hint="eastAsia" w:hAnsi="宋体"/>
                <w:sz w:val="24"/>
                <w:szCs w:val="24"/>
              </w:rPr>
              <w:t>用途</w:t>
            </w:r>
          </w:p>
        </w:tc>
        <w:tc>
          <w:tcPr>
            <w:tcW w:w="688"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r>
              <w:rPr>
                <w:rFonts w:hint="eastAsia"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p>
        </w:tc>
        <w:tc>
          <w:tcPr>
            <w:tcW w:w="1088"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87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87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673"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739"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213"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654"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688"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p>
        </w:tc>
        <w:tc>
          <w:tcPr>
            <w:tcW w:w="1088"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87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87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673"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739"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213"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654"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688"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p>
        </w:tc>
        <w:tc>
          <w:tcPr>
            <w:tcW w:w="1088"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87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87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673"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739"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213"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654"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688"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p>
        </w:tc>
        <w:tc>
          <w:tcPr>
            <w:tcW w:w="1088"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87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87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673"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739"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213"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654"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688"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p>
        </w:tc>
        <w:tc>
          <w:tcPr>
            <w:tcW w:w="1088"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87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87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673"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739"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213"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654"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688"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p>
        </w:tc>
        <w:tc>
          <w:tcPr>
            <w:tcW w:w="1088"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87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87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673"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739"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213"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654"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688"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r>
    </w:tbl>
    <w:p>
      <w:pPr>
        <w:spacing w:line="312" w:lineRule="auto"/>
        <w:rPr>
          <w:rFonts w:hAnsi="宋体"/>
          <w:sz w:val="24"/>
          <w:szCs w:val="24"/>
        </w:rPr>
      </w:pPr>
      <w:r>
        <w:rPr>
          <w:rFonts w:hint="eastAsia" w:hAnsi="宋体"/>
          <w:sz w:val="24"/>
          <w:szCs w:val="24"/>
        </w:rPr>
        <w:t xml:space="preserve"> </w:t>
      </w:r>
    </w:p>
    <w:p>
      <w:pPr>
        <w:pStyle w:val="4"/>
        <w:spacing w:line="312" w:lineRule="auto"/>
        <w:rPr>
          <w:rFonts w:hAnsi="宋体"/>
          <w:b w:val="0"/>
          <w:bCs w:val="0"/>
          <w:sz w:val="24"/>
          <w:szCs w:val="24"/>
        </w:rPr>
      </w:pPr>
      <w:r>
        <w:rPr>
          <w:rFonts w:hint="eastAsia" w:hAnsi="宋体"/>
          <w:b w:val="0"/>
          <w:bCs w:val="0"/>
          <w:sz w:val="24"/>
          <w:szCs w:val="24"/>
        </w:rPr>
        <w:t xml:space="preserve"> </w:t>
      </w:r>
    </w:p>
    <w:p>
      <w:pPr>
        <w:pStyle w:val="4"/>
        <w:spacing w:line="312" w:lineRule="auto"/>
        <w:rPr>
          <w:rFonts w:hAnsi="宋体"/>
          <w:b w:val="0"/>
          <w:bCs w:val="0"/>
          <w:sz w:val="24"/>
          <w:szCs w:val="24"/>
        </w:rPr>
      </w:pPr>
      <w:r>
        <w:rPr>
          <w:rFonts w:hint="eastAsia" w:hAnsi="宋体"/>
          <w:b w:val="0"/>
          <w:bCs w:val="0"/>
          <w:sz w:val="24"/>
          <w:szCs w:val="24"/>
        </w:rPr>
        <w:t xml:space="preserve"> </w:t>
      </w:r>
    </w:p>
    <w:p>
      <w:pPr>
        <w:pStyle w:val="4"/>
        <w:spacing w:line="312" w:lineRule="auto"/>
        <w:rPr>
          <w:rFonts w:hAnsi="宋体"/>
          <w:b w:val="0"/>
          <w:bCs w:val="0"/>
          <w:sz w:val="24"/>
          <w:szCs w:val="24"/>
        </w:rPr>
      </w:pPr>
      <w:r>
        <w:rPr>
          <w:rFonts w:hint="eastAsia" w:hAnsi="宋体"/>
          <w:b w:val="0"/>
          <w:bCs w:val="0"/>
          <w:sz w:val="24"/>
          <w:szCs w:val="24"/>
        </w:rPr>
        <w:t xml:space="preserve"> </w:t>
      </w:r>
    </w:p>
    <w:p>
      <w:pPr>
        <w:pStyle w:val="4"/>
        <w:spacing w:line="312" w:lineRule="auto"/>
        <w:rPr>
          <w:rFonts w:hAnsi="宋体"/>
          <w:b w:val="0"/>
          <w:bCs w:val="0"/>
          <w:sz w:val="24"/>
          <w:szCs w:val="24"/>
        </w:rPr>
      </w:pPr>
      <w:r>
        <w:rPr>
          <w:rFonts w:hint="eastAsia" w:hAnsi="宋体"/>
          <w:b w:val="0"/>
          <w:bCs w:val="0"/>
          <w:sz w:val="24"/>
          <w:szCs w:val="24"/>
        </w:rPr>
        <w:t>附表三：拟投入本标段的劳动力计划表</w:t>
      </w:r>
    </w:p>
    <w:p>
      <w:pPr>
        <w:spacing w:line="312" w:lineRule="auto"/>
        <w:ind w:right="200"/>
        <w:rPr>
          <w:rFonts w:hAnsi="宋体"/>
          <w:sz w:val="24"/>
          <w:szCs w:val="24"/>
        </w:rPr>
      </w:pPr>
      <w:r>
        <w:rPr>
          <w:rFonts w:hint="eastAsia" w:hAnsi="宋体"/>
          <w:sz w:val="24"/>
          <w:szCs w:val="24"/>
        </w:rPr>
        <w:t xml:space="preserve">                                                                     单位：人</w:t>
      </w:r>
    </w:p>
    <w:tbl>
      <w:tblPr>
        <w:tblStyle w:val="18"/>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5"/>
        <w:gridCol w:w="1066"/>
        <w:gridCol w:w="1066"/>
        <w:gridCol w:w="1066"/>
        <w:gridCol w:w="1066"/>
        <w:gridCol w:w="1066"/>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bookmarkStart w:id="114" w:name="_Toc221952103"/>
            <w:r>
              <w:rPr>
                <w:rFonts w:hint="eastAsia" w:hAnsi="宋体"/>
                <w:sz w:val="24"/>
                <w:szCs w:val="24"/>
              </w:rPr>
              <w:t>工种</w:t>
            </w:r>
            <w:bookmarkEnd w:id="114"/>
          </w:p>
        </w:tc>
        <w:tc>
          <w:tcPr>
            <w:tcW w:w="7699" w:type="dxa"/>
            <w:gridSpan w:val="7"/>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bookmarkStart w:id="115" w:name="_Toc221952104"/>
            <w:r>
              <w:rPr>
                <w:rFonts w:hint="eastAsia" w:hAnsi="宋体"/>
                <w:sz w:val="24"/>
                <w:szCs w:val="24"/>
              </w:rPr>
              <w:t>按工程施工阶段投入劳动力情况</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p>
        </w:tc>
        <w:tc>
          <w:tcPr>
            <w:tcW w:w="1305"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4"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p>
        </w:tc>
        <w:tc>
          <w:tcPr>
            <w:tcW w:w="1305"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4"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p>
        </w:tc>
        <w:tc>
          <w:tcPr>
            <w:tcW w:w="1305"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4"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p>
        </w:tc>
        <w:tc>
          <w:tcPr>
            <w:tcW w:w="1305"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4"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p>
        </w:tc>
        <w:tc>
          <w:tcPr>
            <w:tcW w:w="1305"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4"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p>
        </w:tc>
        <w:tc>
          <w:tcPr>
            <w:tcW w:w="1305"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4"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p>
        </w:tc>
        <w:tc>
          <w:tcPr>
            <w:tcW w:w="1305"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4"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p>
        </w:tc>
        <w:tc>
          <w:tcPr>
            <w:tcW w:w="1305"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4"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p>
        </w:tc>
        <w:tc>
          <w:tcPr>
            <w:tcW w:w="1305"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6"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1064"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r>
    </w:tbl>
    <w:p>
      <w:pPr>
        <w:pStyle w:val="4"/>
        <w:spacing w:line="312" w:lineRule="auto"/>
        <w:rPr>
          <w:rFonts w:hAnsi="宋体"/>
          <w:b w:val="0"/>
          <w:bCs w:val="0"/>
          <w:sz w:val="24"/>
          <w:szCs w:val="24"/>
        </w:rPr>
      </w:pPr>
      <w:r>
        <w:rPr>
          <w:rFonts w:hint="eastAsia" w:hAnsi="宋体"/>
          <w:b w:val="0"/>
          <w:bCs w:val="0"/>
          <w:sz w:val="24"/>
          <w:szCs w:val="24"/>
        </w:rPr>
        <w:t xml:space="preserve"> </w:t>
      </w:r>
    </w:p>
    <w:p>
      <w:pPr>
        <w:pStyle w:val="4"/>
        <w:spacing w:line="312" w:lineRule="auto"/>
        <w:rPr>
          <w:rFonts w:hAnsi="宋体"/>
          <w:b w:val="0"/>
          <w:bCs w:val="0"/>
          <w:sz w:val="24"/>
          <w:szCs w:val="24"/>
        </w:rPr>
      </w:pPr>
      <w:r>
        <w:rPr>
          <w:rFonts w:hint="eastAsia" w:hAnsi="宋体"/>
          <w:b w:val="0"/>
          <w:bCs w:val="0"/>
          <w:sz w:val="24"/>
          <w:szCs w:val="24"/>
        </w:rPr>
        <w:t>附表四：计划开工日期、完工日期和施工进度网络图</w:t>
      </w:r>
    </w:p>
    <w:p>
      <w:pPr>
        <w:spacing w:line="312" w:lineRule="auto"/>
        <w:ind w:firstLine="480" w:firstLineChars="200"/>
        <w:rPr>
          <w:rFonts w:hAnsi="宋体"/>
          <w:sz w:val="24"/>
          <w:szCs w:val="24"/>
        </w:rPr>
      </w:pPr>
      <w:r>
        <w:rPr>
          <w:rFonts w:hint="eastAsia" w:hAnsi="宋体"/>
          <w:sz w:val="24"/>
          <w:szCs w:val="24"/>
        </w:rPr>
        <w:t>1. 投标人应递交施工进度网络图或施工进度表，说明按招标文件要求的计划工期进行施工的各个关键日期。</w:t>
      </w:r>
    </w:p>
    <w:p>
      <w:pPr>
        <w:spacing w:line="312" w:lineRule="auto"/>
        <w:ind w:firstLine="480" w:firstLineChars="200"/>
        <w:rPr>
          <w:rFonts w:hAnsi="宋体"/>
          <w:sz w:val="24"/>
          <w:szCs w:val="24"/>
        </w:rPr>
      </w:pPr>
      <w:r>
        <w:rPr>
          <w:rFonts w:hint="eastAsia" w:hAnsi="宋体"/>
          <w:sz w:val="24"/>
          <w:szCs w:val="24"/>
        </w:rPr>
        <w:t>2. 施工进度表可采用网络图（或横道图）表示。</w:t>
      </w:r>
    </w:p>
    <w:p>
      <w:pPr>
        <w:spacing w:line="312" w:lineRule="auto"/>
        <w:rPr>
          <w:rFonts w:hAnsi="宋体"/>
          <w:sz w:val="24"/>
          <w:szCs w:val="24"/>
        </w:rPr>
      </w:pPr>
      <w:r>
        <w:rPr>
          <w:rFonts w:hint="eastAsia" w:hAnsi="宋体"/>
          <w:sz w:val="24"/>
          <w:szCs w:val="24"/>
        </w:rPr>
        <w:t xml:space="preserve"> </w:t>
      </w:r>
    </w:p>
    <w:p>
      <w:pPr>
        <w:spacing w:line="312" w:lineRule="auto"/>
        <w:rPr>
          <w:rFonts w:hAnsi="宋体"/>
          <w:sz w:val="24"/>
          <w:szCs w:val="24"/>
        </w:rPr>
      </w:pPr>
      <w:r>
        <w:rPr>
          <w:rFonts w:hint="eastAsia" w:hAnsi="宋体"/>
          <w:sz w:val="24"/>
          <w:szCs w:val="24"/>
        </w:rPr>
        <w:t>附表五：施工总平面图</w:t>
      </w:r>
    </w:p>
    <w:p>
      <w:pPr>
        <w:spacing w:line="312" w:lineRule="auto"/>
        <w:rPr>
          <w:rFonts w:hAnsi="宋体"/>
          <w:sz w:val="24"/>
          <w:szCs w:val="24"/>
        </w:rPr>
      </w:pPr>
      <w:r>
        <w:rPr>
          <w:rFonts w:hint="eastAsia" w:hAnsi="宋体"/>
          <w:sz w:val="24"/>
          <w:szCs w:val="24"/>
        </w:rPr>
        <w:tab/>
      </w:r>
      <w:r>
        <w:rPr>
          <w:rFonts w:hint="eastAsia" w:hAnsi="宋体"/>
          <w:sz w:val="24"/>
          <w:szCs w:val="24"/>
        </w:rPr>
        <w:t>投标人应递交一份施工总平面图，绘出现场临时设施布置图表并附文字说明，说明临时设施、加工车间、现场办公、设备及仓储、供电、供水、卫生、生活、道路、消防等设施的情况和布置。</w:t>
      </w:r>
    </w:p>
    <w:p>
      <w:pPr>
        <w:spacing w:line="312" w:lineRule="auto"/>
        <w:rPr>
          <w:rFonts w:hAnsi="宋体"/>
          <w:sz w:val="24"/>
          <w:szCs w:val="24"/>
        </w:rPr>
      </w:pPr>
      <w:r>
        <w:rPr>
          <w:rFonts w:hint="eastAsia" w:hAnsi="宋体"/>
          <w:sz w:val="24"/>
          <w:szCs w:val="24"/>
        </w:rPr>
        <w:t xml:space="preserve"> </w:t>
      </w:r>
    </w:p>
    <w:p>
      <w:pPr>
        <w:pStyle w:val="4"/>
        <w:spacing w:line="312" w:lineRule="auto"/>
        <w:rPr>
          <w:rFonts w:hAnsi="宋体"/>
          <w:b w:val="0"/>
          <w:bCs w:val="0"/>
          <w:sz w:val="24"/>
          <w:szCs w:val="24"/>
        </w:rPr>
      </w:pPr>
      <w:r>
        <w:rPr>
          <w:rFonts w:hint="eastAsia" w:hAnsi="宋体"/>
          <w:b w:val="0"/>
          <w:bCs w:val="0"/>
          <w:sz w:val="24"/>
          <w:szCs w:val="24"/>
        </w:rPr>
        <w:t>附表六：临时用地表</w:t>
      </w:r>
    </w:p>
    <w:p>
      <w:pPr>
        <w:spacing w:line="312" w:lineRule="auto"/>
        <w:jc w:val="center"/>
        <w:rPr>
          <w:rFonts w:hAnsi="宋体"/>
          <w:sz w:val="24"/>
          <w:szCs w:val="24"/>
        </w:rPr>
      </w:pPr>
      <w:r>
        <w:rPr>
          <w:rFonts w:hint="eastAsia" w:hAnsi="宋体"/>
          <w:sz w:val="24"/>
          <w:szCs w:val="24"/>
        </w:rPr>
        <w:t xml:space="preserve"> </w:t>
      </w:r>
    </w:p>
    <w:tbl>
      <w:tblPr>
        <w:tblStyle w:val="18"/>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bookmarkStart w:id="116" w:name="_Toc221952111"/>
            <w:r>
              <w:rPr>
                <w:rFonts w:hint="eastAsia" w:hAnsi="宋体"/>
                <w:sz w:val="24"/>
                <w:szCs w:val="24"/>
              </w:rPr>
              <w:t>用 途</w:t>
            </w:r>
            <w:bookmarkEnd w:id="116"/>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bookmarkStart w:id="117" w:name="_Toc221952112"/>
            <w:r>
              <w:rPr>
                <w:rFonts w:hint="eastAsia" w:hAnsi="宋体"/>
                <w:sz w:val="24"/>
                <w:szCs w:val="24"/>
              </w:rPr>
              <w:t>面 积（㎡）</w:t>
            </w:r>
            <w:bookmarkEnd w:id="117"/>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bookmarkStart w:id="118" w:name="_Toc221952113"/>
            <w:r>
              <w:rPr>
                <w:rFonts w:hint="eastAsia" w:hAnsi="宋体"/>
                <w:sz w:val="24"/>
                <w:szCs w:val="24"/>
              </w:rPr>
              <w:t>位 置</w:t>
            </w:r>
            <w:bookmarkEnd w:id="118"/>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bookmarkStart w:id="119" w:name="_Toc221952114"/>
            <w:r>
              <w:rPr>
                <w:rFonts w:hint="eastAsia" w:hAnsi="宋体"/>
                <w:sz w:val="24"/>
                <w:szCs w:val="24"/>
              </w:rPr>
              <w:t>需用时间</w:t>
            </w:r>
            <w:bookmarkEnd w:id="1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tcBorders>
              <w:top w:val="single" w:color="auto" w:sz="4" w:space="0"/>
              <w:left w:val="single" w:color="auto" w:sz="4" w:space="0"/>
              <w:bottom w:val="single" w:color="auto" w:sz="4" w:space="0"/>
              <w:right w:val="single" w:color="auto" w:sz="4" w:space="0"/>
            </w:tcBorders>
          </w:tcPr>
          <w:p>
            <w:pPr>
              <w:spacing w:line="312" w:lineRule="auto"/>
              <w:jc w:val="center"/>
              <w:rPr>
                <w:rFonts w:hAnsi="宋体"/>
                <w:sz w:val="24"/>
                <w:szCs w:val="24"/>
              </w:rPr>
            </w:pPr>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c>
          <w:tcPr>
            <w:tcW w:w="2132" w:type="dxa"/>
            <w:tcBorders>
              <w:top w:val="single" w:color="auto" w:sz="4" w:space="0"/>
              <w:left w:val="nil"/>
              <w:bottom w:val="single" w:color="auto" w:sz="4" w:space="0"/>
              <w:right w:val="single" w:color="auto" w:sz="4" w:space="0"/>
            </w:tcBorders>
          </w:tcPr>
          <w:p>
            <w:pPr>
              <w:spacing w:line="312" w:lineRule="auto"/>
              <w:jc w:val="center"/>
              <w:rPr>
                <w:rFonts w:hAnsi="宋体"/>
                <w:sz w:val="24"/>
                <w:szCs w:val="24"/>
              </w:rPr>
            </w:pPr>
          </w:p>
        </w:tc>
      </w:tr>
    </w:tbl>
    <w:p>
      <w:pPr>
        <w:spacing w:line="312" w:lineRule="auto"/>
        <w:rPr>
          <w:rFonts w:hAnsi="宋体"/>
          <w:sz w:val="24"/>
          <w:szCs w:val="24"/>
        </w:rPr>
      </w:pPr>
      <w:r>
        <w:rPr>
          <w:rFonts w:hint="eastAsia" w:hAnsi="宋体"/>
          <w:sz w:val="24"/>
          <w:szCs w:val="24"/>
        </w:rPr>
        <w:t xml:space="preserve"> </w:t>
      </w:r>
    </w:p>
    <w:p>
      <w:pPr>
        <w:spacing w:line="312" w:lineRule="auto"/>
        <w:rPr>
          <w:rFonts w:hAnsi="宋体"/>
          <w:sz w:val="24"/>
          <w:szCs w:val="24"/>
        </w:rPr>
      </w:pPr>
      <w:r>
        <w:rPr>
          <w:rFonts w:hint="eastAsia" w:hAnsi="宋体"/>
          <w:sz w:val="24"/>
          <w:szCs w:val="24"/>
        </w:rPr>
        <w:t xml:space="preserve"> </w:t>
      </w:r>
    </w:p>
    <w:p>
      <w:pPr>
        <w:pStyle w:val="15"/>
        <w:widowControl/>
        <w:spacing w:beforeAutospacing="0" w:afterAutospacing="0" w:line="360" w:lineRule="atLeast"/>
        <w:ind w:left="420"/>
        <w:rPr>
          <w:rFonts w:asciiTheme="minorEastAsia" w:hAnsiTheme="minorEastAsia" w:eastAsiaTheme="minorEastAsia" w:cstheme="minorEastAsia"/>
          <w:b/>
          <w:bCs/>
          <w:kern w:val="2"/>
          <w:sz w:val="30"/>
          <w:szCs w:val="30"/>
        </w:rPr>
      </w:pPr>
    </w:p>
    <w:p>
      <w:pPr>
        <w:widowControl/>
        <w:jc w:val="left"/>
        <w:rPr>
          <w:rFonts w:asciiTheme="minorEastAsia" w:hAnsiTheme="minorEastAsia" w:eastAsiaTheme="minorEastAsia" w:cstheme="minorEastAsia"/>
          <w:b/>
          <w:bCs/>
          <w:kern w:val="2"/>
          <w:sz w:val="30"/>
          <w:szCs w:val="30"/>
        </w:rPr>
      </w:pPr>
      <w:bookmarkStart w:id="120" w:name="_Toc426467414"/>
      <w:r>
        <w:rPr>
          <w:rFonts w:asciiTheme="minorEastAsia" w:hAnsiTheme="minorEastAsia" w:eastAsiaTheme="minorEastAsia" w:cstheme="minorEastAsia"/>
          <w:b/>
          <w:sz w:val="30"/>
          <w:szCs w:val="30"/>
        </w:rPr>
        <w:br w:type="page"/>
      </w:r>
    </w:p>
    <w:p>
      <w:pPr>
        <w:pStyle w:val="25"/>
        <w:spacing w:before="0" w:line="360" w:lineRule="auto"/>
        <w:jc w:val="center"/>
        <w:outlineLvl w:val="3"/>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五、项目管理机构配备情况</w:t>
      </w:r>
      <w:bookmarkEnd w:id="120"/>
    </w:p>
    <w:p>
      <w:pPr>
        <w:spacing w:line="312" w:lineRule="auto"/>
        <w:outlineLvl w:val="2"/>
        <w:rPr>
          <w:rFonts w:asciiTheme="minorEastAsia" w:hAnsiTheme="minorEastAsia" w:eastAsiaTheme="minorEastAsia" w:cstheme="minorEastAsia"/>
          <w:b/>
          <w:bCs/>
          <w:sz w:val="24"/>
        </w:rPr>
      </w:pPr>
      <w:bookmarkStart w:id="121" w:name="_Toc27720"/>
      <w:bookmarkStart w:id="122" w:name="_Toc25342"/>
      <w:bookmarkStart w:id="123" w:name="_Toc26208"/>
      <w:bookmarkStart w:id="124" w:name="_Toc8921"/>
      <w:bookmarkStart w:id="125" w:name="_Toc21137"/>
      <w:r>
        <w:rPr>
          <w:rFonts w:hint="eastAsia" w:asciiTheme="minorEastAsia" w:hAnsiTheme="minorEastAsia" w:eastAsiaTheme="minorEastAsia" w:cstheme="minorEastAsia"/>
          <w:b/>
          <w:bCs/>
          <w:sz w:val="24"/>
        </w:rPr>
        <w:t>（一）项目管理机构组成表</w:t>
      </w:r>
      <w:bookmarkEnd w:id="121"/>
      <w:bookmarkEnd w:id="122"/>
      <w:bookmarkEnd w:id="123"/>
      <w:bookmarkEnd w:id="124"/>
      <w:bookmarkEnd w:id="125"/>
    </w:p>
    <w:tbl>
      <w:tblPr>
        <w:tblStyle w:val="18"/>
        <w:tblW w:w="8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356"/>
        <w:gridCol w:w="1059"/>
        <w:gridCol w:w="900"/>
        <w:gridCol w:w="900"/>
        <w:gridCol w:w="167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Merge w:val="restart"/>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p>
        </w:tc>
        <w:tc>
          <w:tcPr>
            <w:tcW w:w="709" w:type="dxa"/>
            <w:vMerge w:val="restart"/>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709" w:type="dxa"/>
            <w:vMerge w:val="restart"/>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职称</w:t>
            </w:r>
          </w:p>
        </w:tc>
        <w:tc>
          <w:tcPr>
            <w:tcW w:w="5892" w:type="dxa"/>
            <w:gridSpan w:val="5"/>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执业或职业资格证明</w:t>
            </w:r>
          </w:p>
        </w:tc>
        <w:tc>
          <w:tcPr>
            <w:tcW w:w="708" w:type="dxa"/>
            <w:vMerge w:val="restart"/>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Merge w:val="continue"/>
            <w:vAlign w:val="center"/>
          </w:tcPr>
          <w:p>
            <w:pPr>
              <w:spacing w:line="312" w:lineRule="auto"/>
              <w:jc w:val="center"/>
              <w:rPr>
                <w:rFonts w:asciiTheme="minorEastAsia" w:hAnsiTheme="minorEastAsia" w:eastAsiaTheme="minorEastAsia" w:cstheme="minorEastAsia"/>
                <w:sz w:val="24"/>
              </w:rPr>
            </w:pPr>
          </w:p>
        </w:tc>
        <w:tc>
          <w:tcPr>
            <w:tcW w:w="709" w:type="dxa"/>
            <w:vMerge w:val="continue"/>
            <w:vAlign w:val="center"/>
          </w:tcPr>
          <w:p>
            <w:pPr>
              <w:spacing w:line="312" w:lineRule="auto"/>
              <w:jc w:val="center"/>
              <w:rPr>
                <w:rFonts w:asciiTheme="minorEastAsia" w:hAnsiTheme="minorEastAsia" w:eastAsiaTheme="minorEastAsia" w:cstheme="minorEastAsia"/>
                <w:sz w:val="24"/>
              </w:rPr>
            </w:pPr>
          </w:p>
        </w:tc>
        <w:tc>
          <w:tcPr>
            <w:tcW w:w="709" w:type="dxa"/>
            <w:vMerge w:val="continue"/>
            <w:vAlign w:val="center"/>
          </w:tcPr>
          <w:p>
            <w:pPr>
              <w:spacing w:line="312" w:lineRule="auto"/>
              <w:jc w:val="center"/>
              <w:rPr>
                <w:rFonts w:asciiTheme="minorEastAsia" w:hAnsiTheme="minorEastAsia" w:eastAsiaTheme="minorEastAsia" w:cstheme="minorEastAsia"/>
                <w:sz w:val="24"/>
              </w:rPr>
            </w:pPr>
          </w:p>
        </w:tc>
        <w:tc>
          <w:tcPr>
            <w:tcW w:w="1356"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证书名称</w:t>
            </w:r>
          </w:p>
        </w:tc>
        <w:tc>
          <w:tcPr>
            <w:tcW w:w="1059"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级别</w:t>
            </w:r>
          </w:p>
        </w:tc>
        <w:tc>
          <w:tcPr>
            <w:tcW w:w="900"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证号</w:t>
            </w:r>
          </w:p>
        </w:tc>
        <w:tc>
          <w:tcPr>
            <w:tcW w:w="900"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w:t>
            </w:r>
          </w:p>
        </w:tc>
        <w:tc>
          <w:tcPr>
            <w:tcW w:w="1677"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养老保险</w:t>
            </w:r>
          </w:p>
        </w:tc>
        <w:tc>
          <w:tcPr>
            <w:tcW w:w="708" w:type="dxa"/>
            <w:vMerge w:val="continue"/>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Theme="minorEastAsia" w:hAnsiTheme="minorEastAsia" w:eastAsiaTheme="minorEastAsia" w:cstheme="minorEastAsia"/>
                <w:sz w:val="24"/>
              </w:rPr>
            </w:pPr>
          </w:p>
        </w:tc>
        <w:tc>
          <w:tcPr>
            <w:tcW w:w="709" w:type="dxa"/>
            <w:vAlign w:val="center"/>
          </w:tcPr>
          <w:p>
            <w:pPr>
              <w:spacing w:line="312" w:lineRule="auto"/>
              <w:jc w:val="center"/>
              <w:rPr>
                <w:rFonts w:asciiTheme="minorEastAsia" w:hAnsiTheme="minorEastAsia" w:eastAsiaTheme="minorEastAsia" w:cstheme="minorEastAsia"/>
                <w:sz w:val="24"/>
              </w:rPr>
            </w:pPr>
          </w:p>
        </w:tc>
        <w:tc>
          <w:tcPr>
            <w:tcW w:w="709" w:type="dxa"/>
            <w:vAlign w:val="center"/>
          </w:tcPr>
          <w:p>
            <w:pPr>
              <w:spacing w:line="312" w:lineRule="auto"/>
              <w:jc w:val="center"/>
              <w:rPr>
                <w:rFonts w:asciiTheme="minorEastAsia" w:hAnsiTheme="minorEastAsia" w:eastAsiaTheme="minorEastAsia" w:cstheme="minorEastAsia"/>
                <w:sz w:val="24"/>
              </w:rPr>
            </w:pPr>
          </w:p>
        </w:tc>
        <w:tc>
          <w:tcPr>
            <w:tcW w:w="1356" w:type="dxa"/>
            <w:vAlign w:val="center"/>
          </w:tcPr>
          <w:p>
            <w:pPr>
              <w:spacing w:line="312" w:lineRule="auto"/>
              <w:jc w:val="center"/>
              <w:rPr>
                <w:rFonts w:asciiTheme="minorEastAsia" w:hAnsiTheme="minorEastAsia" w:eastAsiaTheme="minorEastAsia" w:cstheme="minorEastAsia"/>
                <w:sz w:val="24"/>
              </w:rPr>
            </w:pPr>
          </w:p>
        </w:tc>
        <w:tc>
          <w:tcPr>
            <w:tcW w:w="1059" w:type="dxa"/>
            <w:vAlign w:val="center"/>
          </w:tcPr>
          <w:p>
            <w:pPr>
              <w:spacing w:line="312" w:lineRule="auto"/>
              <w:jc w:val="center"/>
              <w:rPr>
                <w:rFonts w:asciiTheme="minorEastAsia" w:hAnsiTheme="minorEastAsia" w:eastAsiaTheme="minorEastAsia" w:cstheme="minorEastAsia"/>
                <w:sz w:val="24"/>
              </w:rPr>
            </w:pPr>
          </w:p>
        </w:tc>
        <w:tc>
          <w:tcPr>
            <w:tcW w:w="900" w:type="dxa"/>
            <w:vAlign w:val="center"/>
          </w:tcPr>
          <w:p>
            <w:pPr>
              <w:spacing w:line="312" w:lineRule="auto"/>
              <w:jc w:val="center"/>
              <w:rPr>
                <w:rFonts w:asciiTheme="minorEastAsia" w:hAnsiTheme="minorEastAsia" w:eastAsiaTheme="minorEastAsia" w:cstheme="minorEastAsia"/>
                <w:sz w:val="24"/>
              </w:rPr>
            </w:pPr>
          </w:p>
        </w:tc>
        <w:tc>
          <w:tcPr>
            <w:tcW w:w="900" w:type="dxa"/>
            <w:vAlign w:val="center"/>
          </w:tcPr>
          <w:p>
            <w:pPr>
              <w:spacing w:line="312" w:lineRule="auto"/>
              <w:jc w:val="center"/>
              <w:rPr>
                <w:rFonts w:asciiTheme="minorEastAsia" w:hAnsiTheme="minorEastAsia" w:eastAsiaTheme="minorEastAsia" w:cstheme="minorEastAsia"/>
                <w:sz w:val="24"/>
              </w:rPr>
            </w:pPr>
          </w:p>
        </w:tc>
        <w:tc>
          <w:tcPr>
            <w:tcW w:w="1677" w:type="dxa"/>
            <w:vAlign w:val="center"/>
          </w:tcPr>
          <w:p>
            <w:pPr>
              <w:spacing w:line="312" w:lineRule="auto"/>
              <w:jc w:val="center"/>
              <w:rPr>
                <w:rFonts w:asciiTheme="minorEastAsia" w:hAnsiTheme="minorEastAsia" w:eastAsiaTheme="minorEastAsia" w:cstheme="minorEastAsia"/>
                <w:sz w:val="24"/>
              </w:rPr>
            </w:pPr>
          </w:p>
        </w:tc>
        <w:tc>
          <w:tcPr>
            <w:tcW w:w="708" w:type="dxa"/>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Theme="minorEastAsia" w:hAnsiTheme="minorEastAsia" w:eastAsiaTheme="minorEastAsia" w:cstheme="minorEastAsia"/>
                <w:sz w:val="24"/>
              </w:rPr>
            </w:pPr>
          </w:p>
        </w:tc>
        <w:tc>
          <w:tcPr>
            <w:tcW w:w="709" w:type="dxa"/>
            <w:vAlign w:val="center"/>
          </w:tcPr>
          <w:p>
            <w:pPr>
              <w:spacing w:line="312" w:lineRule="auto"/>
              <w:jc w:val="center"/>
              <w:rPr>
                <w:rFonts w:asciiTheme="minorEastAsia" w:hAnsiTheme="minorEastAsia" w:eastAsiaTheme="minorEastAsia" w:cstheme="minorEastAsia"/>
                <w:sz w:val="24"/>
              </w:rPr>
            </w:pPr>
          </w:p>
        </w:tc>
        <w:tc>
          <w:tcPr>
            <w:tcW w:w="709" w:type="dxa"/>
            <w:vAlign w:val="center"/>
          </w:tcPr>
          <w:p>
            <w:pPr>
              <w:spacing w:line="312" w:lineRule="auto"/>
              <w:jc w:val="center"/>
              <w:rPr>
                <w:rFonts w:asciiTheme="minorEastAsia" w:hAnsiTheme="minorEastAsia" w:eastAsiaTheme="minorEastAsia" w:cstheme="minorEastAsia"/>
                <w:sz w:val="24"/>
              </w:rPr>
            </w:pPr>
          </w:p>
        </w:tc>
        <w:tc>
          <w:tcPr>
            <w:tcW w:w="1356" w:type="dxa"/>
            <w:vAlign w:val="center"/>
          </w:tcPr>
          <w:p>
            <w:pPr>
              <w:spacing w:line="312" w:lineRule="auto"/>
              <w:jc w:val="center"/>
              <w:rPr>
                <w:rFonts w:asciiTheme="minorEastAsia" w:hAnsiTheme="minorEastAsia" w:eastAsiaTheme="minorEastAsia" w:cstheme="minorEastAsia"/>
                <w:sz w:val="24"/>
              </w:rPr>
            </w:pPr>
          </w:p>
        </w:tc>
        <w:tc>
          <w:tcPr>
            <w:tcW w:w="1059" w:type="dxa"/>
            <w:vAlign w:val="center"/>
          </w:tcPr>
          <w:p>
            <w:pPr>
              <w:spacing w:line="312" w:lineRule="auto"/>
              <w:jc w:val="center"/>
              <w:rPr>
                <w:rFonts w:asciiTheme="minorEastAsia" w:hAnsiTheme="minorEastAsia" w:eastAsiaTheme="minorEastAsia" w:cstheme="minorEastAsia"/>
                <w:sz w:val="24"/>
              </w:rPr>
            </w:pPr>
          </w:p>
        </w:tc>
        <w:tc>
          <w:tcPr>
            <w:tcW w:w="900" w:type="dxa"/>
            <w:vAlign w:val="center"/>
          </w:tcPr>
          <w:p>
            <w:pPr>
              <w:spacing w:line="312" w:lineRule="auto"/>
              <w:jc w:val="center"/>
              <w:rPr>
                <w:rFonts w:asciiTheme="minorEastAsia" w:hAnsiTheme="minorEastAsia" w:eastAsiaTheme="minorEastAsia" w:cstheme="minorEastAsia"/>
                <w:sz w:val="24"/>
              </w:rPr>
            </w:pPr>
          </w:p>
        </w:tc>
        <w:tc>
          <w:tcPr>
            <w:tcW w:w="900" w:type="dxa"/>
            <w:vAlign w:val="center"/>
          </w:tcPr>
          <w:p>
            <w:pPr>
              <w:spacing w:line="312" w:lineRule="auto"/>
              <w:jc w:val="center"/>
              <w:rPr>
                <w:rFonts w:asciiTheme="minorEastAsia" w:hAnsiTheme="minorEastAsia" w:eastAsiaTheme="minorEastAsia" w:cstheme="minorEastAsia"/>
                <w:sz w:val="24"/>
              </w:rPr>
            </w:pPr>
          </w:p>
        </w:tc>
        <w:tc>
          <w:tcPr>
            <w:tcW w:w="1677" w:type="dxa"/>
            <w:vAlign w:val="center"/>
          </w:tcPr>
          <w:p>
            <w:pPr>
              <w:spacing w:line="312" w:lineRule="auto"/>
              <w:jc w:val="center"/>
              <w:rPr>
                <w:rFonts w:asciiTheme="minorEastAsia" w:hAnsiTheme="minorEastAsia" w:eastAsiaTheme="minorEastAsia" w:cstheme="minorEastAsia"/>
                <w:sz w:val="24"/>
              </w:rPr>
            </w:pPr>
          </w:p>
        </w:tc>
        <w:tc>
          <w:tcPr>
            <w:tcW w:w="708" w:type="dxa"/>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Theme="minorEastAsia" w:hAnsiTheme="minorEastAsia" w:eastAsiaTheme="minorEastAsia" w:cstheme="minorEastAsia"/>
                <w:sz w:val="24"/>
              </w:rPr>
            </w:pPr>
          </w:p>
        </w:tc>
        <w:tc>
          <w:tcPr>
            <w:tcW w:w="709" w:type="dxa"/>
            <w:vAlign w:val="center"/>
          </w:tcPr>
          <w:p>
            <w:pPr>
              <w:spacing w:line="312" w:lineRule="auto"/>
              <w:jc w:val="center"/>
              <w:rPr>
                <w:rFonts w:asciiTheme="minorEastAsia" w:hAnsiTheme="minorEastAsia" w:eastAsiaTheme="minorEastAsia" w:cstheme="minorEastAsia"/>
                <w:sz w:val="24"/>
              </w:rPr>
            </w:pPr>
          </w:p>
        </w:tc>
        <w:tc>
          <w:tcPr>
            <w:tcW w:w="709" w:type="dxa"/>
            <w:vAlign w:val="center"/>
          </w:tcPr>
          <w:p>
            <w:pPr>
              <w:spacing w:line="312" w:lineRule="auto"/>
              <w:jc w:val="center"/>
              <w:rPr>
                <w:rFonts w:asciiTheme="minorEastAsia" w:hAnsiTheme="minorEastAsia" w:eastAsiaTheme="minorEastAsia" w:cstheme="minorEastAsia"/>
                <w:sz w:val="24"/>
              </w:rPr>
            </w:pPr>
          </w:p>
        </w:tc>
        <w:tc>
          <w:tcPr>
            <w:tcW w:w="1356" w:type="dxa"/>
            <w:vAlign w:val="center"/>
          </w:tcPr>
          <w:p>
            <w:pPr>
              <w:spacing w:line="312" w:lineRule="auto"/>
              <w:jc w:val="center"/>
              <w:rPr>
                <w:rFonts w:asciiTheme="minorEastAsia" w:hAnsiTheme="minorEastAsia" w:eastAsiaTheme="minorEastAsia" w:cstheme="minorEastAsia"/>
                <w:sz w:val="24"/>
              </w:rPr>
            </w:pPr>
          </w:p>
        </w:tc>
        <w:tc>
          <w:tcPr>
            <w:tcW w:w="1059" w:type="dxa"/>
            <w:vAlign w:val="center"/>
          </w:tcPr>
          <w:p>
            <w:pPr>
              <w:spacing w:line="312" w:lineRule="auto"/>
              <w:jc w:val="center"/>
              <w:rPr>
                <w:rFonts w:asciiTheme="minorEastAsia" w:hAnsiTheme="minorEastAsia" w:eastAsiaTheme="minorEastAsia" w:cstheme="minorEastAsia"/>
                <w:sz w:val="24"/>
              </w:rPr>
            </w:pPr>
          </w:p>
        </w:tc>
        <w:tc>
          <w:tcPr>
            <w:tcW w:w="900" w:type="dxa"/>
            <w:vAlign w:val="center"/>
          </w:tcPr>
          <w:p>
            <w:pPr>
              <w:spacing w:line="312" w:lineRule="auto"/>
              <w:jc w:val="center"/>
              <w:rPr>
                <w:rFonts w:asciiTheme="minorEastAsia" w:hAnsiTheme="minorEastAsia" w:eastAsiaTheme="minorEastAsia" w:cstheme="minorEastAsia"/>
                <w:sz w:val="24"/>
              </w:rPr>
            </w:pPr>
          </w:p>
        </w:tc>
        <w:tc>
          <w:tcPr>
            <w:tcW w:w="900" w:type="dxa"/>
            <w:vAlign w:val="center"/>
          </w:tcPr>
          <w:p>
            <w:pPr>
              <w:spacing w:line="312" w:lineRule="auto"/>
              <w:jc w:val="center"/>
              <w:rPr>
                <w:rFonts w:asciiTheme="minorEastAsia" w:hAnsiTheme="minorEastAsia" w:eastAsiaTheme="minorEastAsia" w:cstheme="minorEastAsia"/>
                <w:sz w:val="24"/>
              </w:rPr>
            </w:pPr>
          </w:p>
        </w:tc>
        <w:tc>
          <w:tcPr>
            <w:tcW w:w="1677" w:type="dxa"/>
            <w:vAlign w:val="center"/>
          </w:tcPr>
          <w:p>
            <w:pPr>
              <w:spacing w:line="312" w:lineRule="auto"/>
              <w:jc w:val="center"/>
              <w:rPr>
                <w:rFonts w:asciiTheme="minorEastAsia" w:hAnsiTheme="minorEastAsia" w:eastAsiaTheme="minorEastAsia" w:cstheme="minorEastAsia"/>
                <w:sz w:val="24"/>
              </w:rPr>
            </w:pPr>
          </w:p>
        </w:tc>
        <w:tc>
          <w:tcPr>
            <w:tcW w:w="708" w:type="dxa"/>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Theme="minorEastAsia" w:hAnsiTheme="minorEastAsia" w:eastAsiaTheme="minorEastAsia" w:cstheme="minorEastAsia"/>
                <w:sz w:val="24"/>
              </w:rPr>
            </w:pPr>
          </w:p>
        </w:tc>
        <w:tc>
          <w:tcPr>
            <w:tcW w:w="709" w:type="dxa"/>
            <w:vAlign w:val="center"/>
          </w:tcPr>
          <w:p>
            <w:pPr>
              <w:spacing w:line="312" w:lineRule="auto"/>
              <w:jc w:val="center"/>
              <w:rPr>
                <w:rFonts w:asciiTheme="minorEastAsia" w:hAnsiTheme="minorEastAsia" w:eastAsiaTheme="minorEastAsia" w:cstheme="minorEastAsia"/>
                <w:sz w:val="24"/>
              </w:rPr>
            </w:pPr>
          </w:p>
        </w:tc>
        <w:tc>
          <w:tcPr>
            <w:tcW w:w="709" w:type="dxa"/>
            <w:vAlign w:val="center"/>
          </w:tcPr>
          <w:p>
            <w:pPr>
              <w:spacing w:line="312" w:lineRule="auto"/>
              <w:jc w:val="center"/>
              <w:rPr>
                <w:rFonts w:asciiTheme="minorEastAsia" w:hAnsiTheme="minorEastAsia" w:eastAsiaTheme="minorEastAsia" w:cstheme="minorEastAsia"/>
                <w:sz w:val="24"/>
              </w:rPr>
            </w:pPr>
          </w:p>
        </w:tc>
        <w:tc>
          <w:tcPr>
            <w:tcW w:w="1356" w:type="dxa"/>
            <w:vAlign w:val="center"/>
          </w:tcPr>
          <w:p>
            <w:pPr>
              <w:spacing w:line="312" w:lineRule="auto"/>
              <w:jc w:val="center"/>
              <w:rPr>
                <w:rFonts w:asciiTheme="minorEastAsia" w:hAnsiTheme="minorEastAsia" w:eastAsiaTheme="minorEastAsia" w:cstheme="minorEastAsia"/>
                <w:sz w:val="24"/>
              </w:rPr>
            </w:pPr>
          </w:p>
        </w:tc>
        <w:tc>
          <w:tcPr>
            <w:tcW w:w="1059" w:type="dxa"/>
            <w:vAlign w:val="center"/>
          </w:tcPr>
          <w:p>
            <w:pPr>
              <w:spacing w:line="312" w:lineRule="auto"/>
              <w:jc w:val="center"/>
              <w:rPr>
                <w:rFonts w:asciiTheme="minorEastAsia" w:hAnsiTheme="minorEastAsia" w:eastAsiaTheme="minorEastAsia" w:cstheme="minorEastAsia"/>
                <w:sz w:val="24"/>
              </w:rPr>
            </w:pPr>
          </w:p>
        </w:tc>
        <w:tc>
          <w:tcPr>
            <w:tcW w:w="900" w:type="dxa"/>
            <w:vAlign w:val="center"/>
          </w:tcPr>
          <w:p>
            <w:pPr>
              <w:spacing w:line="312" w:lineRule="auto"/>
              <w:jc w:val="center"/>
              <w:rPr>
                <w:rFonts w:asciiTheme="minorEastAsia" w:hAnsiTheme="minorEastAsia" w:eastAsiaTheme="minorEastAsia" w:cstheme="minorEastAsia"/>
                <w:sz w:val="24"/>
              </w:rPr>
            </w:pPr>
          </w:p>
        </w:tc>
        <w:tc>
          <w:tcPr>
            <w:tcW w:w="900" w:type="dxa"/>
            <w:vAlign w:val="center"/>
          </w:tcPr>
          <w:p>
            <w:pPr>
              <w:spacing w:line="312" w:lineRule="auto"/>
              <w:jc w:val="center"/>
              <w:rPr>
                <w:rFonts w:asciiTheme="minorEastAsia" w:hAnsiTheme="minorEastAsia" w:eastAsiaTheme="minorEastAsia" w:cstheme="minorEastAsia"/>
                <w:sz w:val="24"/>
              </w:rPr>
            </w:pPr>
          </w:p>
        </w:tc>
        <w:tc>
          <w:tcPr>
            <w:tcW w:w="1677" w:type="dxa"/>
            <w:vAlign w:val="center"/>
          </w:tcPr>
          <w:p>
            <w:pPr>
              <w:spacing w:line="312" w:lineRule="auto"/>
              <w:jc w:val="center"/>
              <w:rPr>
                <w:rFonts w:asciiTheme="minorEastAsia" w:hAnsiTheme="minorEastAsia" w:eastAsiaTheme="minorEastAsia" w:cstheme="minorEastAsia"/>
                <w:sz w:val="24"/>
              </w:rPr>
            </w:pPr>
          </w:p>
        </w:tc>
        <w:tc>
          <w:tcPr>
            <w:tcW w:w="708" w:type="dxa"/>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Theme="minorEastAsia" w:hAnsiTheme="minorEastAsia" w:eastAsiaTheme="minorEastAsia" w:cstheme="minorEastAsia"/>
                <w:sz w:val="24"/>
              </w:rPr>
            </w:pPr>
          </w:p>
        </w:tc>
        <w:tc>
          <w:tcPr>
            <w:tcW w:w="709" w:type="dxa"/>
            <w:vAlign w:val="center"/>
          </w:tcPr>
          <w:p>
            <w:pPr>
              <w:spacing w:line="312" w:lineRule="auto"/>
              <w:jc w:val="center"/>
              <w:rPr>
                <w:rFonts w:asciiTheme="minorEastAsia" w:hAnsiTheme="minorEastAsia" w:eastAsiaTheme="minorEastAsia" w:cstheme="minorEastAsia"/>
                <w:sz w:val="24"/>
              </w:rPr>
            </w:pPr>
          </w:p>
        </w:tc>
        <w:tc>
          <w:tcPr>
            <w:tcW w:w="709" w:type="dxa"/>
            <w:vAlign w:val="center"/>
          </w:tcPr>
          <w:p>
            <w:pPr>
              <w:spacing w:line="312" w:lineRule="auto"/>
              <w:jc w:val="center"/>
              <w:rPr>
                <w:rFonts w:asciiTheme="minorEastAsia" w:hAnsiTheme="minorEastAsia" w:eastAsiaTheme="minorEastAsia" w:cstheme="minorEastAsia"/>
                <w:sz w:val="24"/>
              </w:rPr>
            </w:pPr>
          </w:p>
        </w:tc>
        <w:tc>
          <w:tcPr>
            <w:tcW w:w="1356" w:type="dxa"/>
            <w:vAlign w:val="center"/>
          </w:tcPr>
          <w:p>
            <w:pPr>
              <w:spacing w:line="312" w:lineRule="auto"/>
              <w:jc w:val="center"/>
              <w:rPr>
                <w:rFonts w:asciiTheme="minorEastAsia" w:hAnsiTheme="minorEastAsia" w:eastAsiaTheme="minorEastAsia" w:cstheme="minorEastAsia"/>
                <w:sz w:val="24"/>
              </w:rPr>
            </w:pPr>
          </w:p>
        </w:tc>
        <w:tc>
          <w:tcPr>
            <w:tcW w:w="1059" w:type="dxa"/>
            <w:vAlign w:val="center"/>
          </w:tcPr>
          <w:p>
            <w:pPr>
              <w:spacing w:line="312" w:lineRule="auto"/>
              <w:jc w:val="center"/>
              <w:rPr>
                <w:rFonts w:asciiTheme="minorEastAsia" w:hAnsiTheme="minorEastAsia" w:eastAsiaTheme="minorEastAsia" w:cstheme="minorEastAsia"/>
                <w:sz w:val="24"/>
              </w:rPr>
            </w:pPr>
          </w:p>
        </w:tc>
        <w:tc>
          <w:tcPr>
            <w:tcW w:w="900" w:type="dxa"/>
            <w:vAlign w:val="center"/>
          </w:tcPr>
          <w:p>
            <w:pPr>
              <w:spacing w:line="312" w:lineRule="auto"/>
              <w:jc w:val="center"/>
              <w:rPr>
                <w:rFonts w:asciiTheme="minorEastAsia" w:hAnsiTheme="minorEastAsia" w:eastAsiaTheme="minorEastAsia" w:cstheme="minorEastAsia"/>
                <w:sz w:val="24"/>
              </w:rPr>
            </w:pPr>
          </w:p>
        </w:tc>
        <w:tc>
          <w:tcPr>
            <w:tcW w:w="900" w:type="dxa"/>
            <w:vAlign w:val="center"/>
          </w:tcPr>
          <w:p>
            <w:pPr>
              <w:spacing w:line="312" w:lineRule="auto"/>
              <w:jc w:val="center"/>
              <w:rPr>
                <w:rFonts w:asciiTheme="minorEastAsia" w:hAnsiTheme="minorEastAsia" w:eastAsiaTheme="minorEastAsia" w:cstheme="minorEastAsia"/>
                <w:sz w:val="24"/>
              </w:rPr>
            </w:pPr>
          </w:p>
        </w:tc>
        <w:tc>
          <w:tcPr>
            <w:tcW w:w="1677" w:type="dxa"/>
            <w:vAlign w:val="center"/>
          </w:tcPr>
          <w:p>
            <w:pPr>
              <w:spacing w:line="312" w:lineRule="auto"/>
              <w:jc w:val="center"/>
              <w:rPr>
                <w:rFonts w:asciiTheme="minorEastAsia" w:hAnsiTheme="minorEastAsia" w:eastAsiaTheme="minorEastAsia" w:cstheme="minorEastAsia"/>
                <w:sz w:val="24"/>
              </w:rPr>
            </w:pPr>
          </w:p>
        </w:tc>
        <w:tc>
          <w:tcPr>
            <w:tcW w:w="708" w:type="dxa"/>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Theme="minorEastAsia" w:hAnsiTheme="minorEastAsia" w:eastAsiaTheme="minorEastAsia" w:cstheme="minorEastAsia"/>
                <w:sz w:val="24"/>
              </w:rPr>
            </w:pPr>
          </w:p>
        </w:tc>
        <w:tc>
          <w:tcPr>
            <w:tcW w:w="709" w:type="dxa"/>
            <w:vAlign w:val="center"/>
          </w:tcPr>
          <w:p>
            <w:pPr>
              <w:spacing w:line="312" w:lineRule="auto"/>
              <w:jc w:val="center"/>
              <w:rPr>
                <w:rFonts w:asciiTheme="minorEastAsia" w:hAnsiTheme="minorEastAsia" w:eastAsiaTheme="minorEastAsia" w:cstheme="minorEastAsia"/>
                <w:sz w:val="24"/>
              </w:rPr>
            </w:pPr>
          </w:p>
        </w:tc>
        <w:tc>
          <w:tcPr>
            <w:tcW w:w="709" w:type="dxa"/>
            <w:vAlign w:val="center"/>
          </w:tcPr>
          <w:p>
            <w:pPr>
              <w:spacing w:line="312" w:lineRule="auto"/>
              <w:jc w:val="center"/>
              <w:rPr>
                <w:rFonts w:asciiTheme="minorEastAsia" w:hAnsiTheme="minorEastAsia" w:eastAsiaTheme="minorEastAsia" w:cstheme="minorEastAsia"/>
                <w:sz w:val="24"/>
              </w:rPr>
            </w:pPr>
          </w:p>
        </w:tc>
        <w:tc>
          <w:tcPr>
            <w:tcW w:w="1356" w:type="dxa"/>
            <w:vAlign w:val="center"/>
          </w:tcPr>
          <w:p>
            <w:pPr>
              <w:spacing w:line="312" w:lineRule="auto"/>
              <w:jc w:val="center"/>
              <w:rPr>
                <w:rFonts w:asciiTheme="minorEastAsia" w:hAnsiTheme="minorEastAsia" w:eastAsiaTheme="minorEastAsia" w:cstheme="minorEastAsia"/>
                <w:sz w:val="24"/>
              </w:rPr>
            </w:pPr>
          </w:p>
        </w:tc>
        <w:tc>
          <w:tcPr>
            <w:tcW w:w="1059" w:type="dxa"/>
            <w:vAlign w:val="center"/>
          </w:tcPr>
          <w:p>
            <w:pPr>
              <w:spacing w:line="312" w:lineRule="auto"/>
              <w:jc w:val="center"/>
              <w:rPr>
                <w:rFonts w:asciiTheme="minorEastAsia" w:hAnsiTheme="minorEastAsia" w:eastAsiaTheme="minorEastAsia" w:cstheme="minorEastAsia"/>
                <w:sz w:val="24"/>
              </w:rPr>
            </w:pPr>
          </w:p>
        </w:tc>
        <w:tc>
          <w:tcPr>
            <w:tcW w:w="900" w:type="dxa"/>
            <w:vAlign w:val="center"/>
          </w:tcPr>
          <w:p>
            <w:pPr>
              <w:spacing w:line="312" w:lineRule="auto"/>
              <w:jc w:val="center"/>
              <w:rPr>
                <w:rFonts w:asciiTheme="minorEastAsia" w:hAnsiTheme="minorEastAsia" w:eastAsiaTheme="minorEastAsia" w:cstheme="minorEastAsia"/>
                <w:sz w:val="24"/>
              </w:rPr>
            </w:pPr>
          </w:p>
        </w:tc>
        <w:tc>
          <w:tcPr>
            <w:tcW w:w="900" w:type="dxa"/>
            <w:vAlign w:val="center"/>
          </w:tcPr>
          <w:p>
            <w:pPr>
              <w:spacing w:line="312" w:lineRule="auto"/>
              <w:jc w:val="center"/>
              <w:rPr>
                <w:rFonts w:asciiTheme="minorEastAsia" w:hAnsiTheme="minorEastAsia" w:eastAsiaTheme="minorEastAsia" w:cstheme="minorEastAsia"/>
                <w:sz w:val="24"/>
              </w:rPr>
            </w:pPr>
          </w:p>
        </w:tc>
        <w:tc>
          <w:tcPr>
            <w:tcW w:w="1677" w:type="dxa"/>
            <w:vAlign w:val="center"/>
          </w:tcPr>
          <w:p>
            <w:pPr>
              <w:spacing w:line="312" w:lineRule="auto"/>
              <w:jc w:val="center"/>
              <w:rPr>
                <w:rFonts w:asciiTheme="minorEastAsia" w:hAnsiTheme="minorEastAsia" w:eastAsiaTheme="minorEastAsia" w:cstheme="minorEastAsia"/>
                <w:sz w:val="24"/>
              </w:rPr>
            </w:pPr>
          </w:p>
        </w:tc>
        <w:tc>
          <w:tcPr>
            <w:tcW w:w="708" w:type="dxa"/>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Theme="minorEastAsia" w:hAnsiTheme="minorEastAsia" w:eastAsiaTheme="minorEastAsia" w:cstheme="minorEastAsia"/>
                <w:sz w:val="24"/>
              </w:rPr>
            </w:pPr>
          </w:p>
        </w:tc>
        <w:tc>
          <w:tcPr>
            <w:tcW w:w="709" w:type="dxa"/>
            <w:vAlign w:val="center"/>
          </w:tcPr>
          <w:p>
            <w:pPr>
              <w:spacing w:line="312" w:lineRule="auto"/>
              <w:jc w:val="center"/>
              <w:rPr>
                <w:rFonts w:asciiTheme="minorEastAsia" w:hAnsiTheme="minorEastAsia" w:eastAsiaTheme="minorEastAsia" w:cstheme="minorEastAsia"/>
                <w:sz w:val="24"/>
              </w:rPr>
            </w:pPr>
          </w:p>
        </w:tc>
        <w:tc>
          <w:tcPr>
            <w:tcW w:w="709" w:type="dxa"/>
            <w:vAlign w:val="center"/>
          </w:tcPr>
          <w:p>
            <w:pPr>
              <w:spacing w:line="312" w:lineRule="auto"/>
              <w:jc w:val="center"/>
              <w:rPr>
                <w:rFonts w:asciiTheme="minorEastAsia" w:hAnsiTheme="minorEastAsia" w:eastAsiaTheme="minorEastAsia" w:cstheme="minorEastAsia"/>
                <w:sz w:val="24"/>
              </w:rPr>
            </w:pPr>
          </w:p>
        </w:tc>
        <w:tc>
          <w:tcPr>
            <w:tcW w:w="1356" w:type="dxa"/>
            <w:vAlign w:val="center"/>
          </w:tcPr>
          <w:p>
            <w:pPr>
              <w:spacing w:line="312" w:lineRule="auto"/>
              <w:jc w:val="center"/>
              <w:rPr>
                <w:rFonts w:asciiTheme="minorEastAsia" w:hAnsiTheme="minorEastAsia" w:eastAsiaTheme="minorEastAsia" w:cstheme="minorEastAsia"/>
                <w:sz w:val="24"/>
              </w:rPr>
            </w:pPr>
          </w:p>
        </w:tc>
        <w:tc>
          <w:tcPr>
            <w:tcW w:w="1059" w:type="dxa"/>
            <w:vAlign w:val="center"/>
          </w:tcPr>
          <w:p>
            <w:pPr>
              <w:spacing w:line="312" w:lineRule="auto"/>
              <w:jc w:val="center"/>
              <w:rPr>
                <w:rFonts w:asciiTheme="minorEastAsia" w:hAnsiTheme="minorEastAsia" w:eastAsiaTheme="minorEastAsia" w:cstheme="minorEastAsia"/>
                <w:sz w:val="24"/>
              </w:rPr>
            </w:pPr>
          </w:p>
        </w:tc>
        <w:tc>
          <w:tcPr>
            <w:tcW w:w="900" w:type="dxa"/>
            <w:vAlign w:val="center"/>
          </w:tcPr>
          <w:p>
            <w:pPr>
              <w:spacing w:line="312" w:lineRule="auto"/>
              <w:jc w:val="center"/>
              <w:rPr>
                <w:rFonts w:asciiTheme="minorEastAsia" w:hAnsiTheme="minorEastAsia" w:eastAsiaTheme="minorEastAsia" w:cstheme="minorEastAsia"/>
                <w:sz w:val="24"/>
              </w:rPr>
            </w:pPr>
          </w:p>
        </w:tc>
        <w:tc>
          <w:tcPr>
            <w:tcW w:w="900" w:type="dxa"/>
            <w:vAlign w:val="center"/>
          </w:tcPr>
          <w:p>
            <w:pPr>
              <w:spacing w:line="312" w:lineRule="auto"/>
              <w:jc w:val="center"/>
              <w:rPr>
                <w:rFonts w:asciiTheme="minorEastAsia" w:hAnsiTheme="minorEastAsia" w:eastAsiaTheme="minorEastAsia" w:cstheme="minorEastAsia"/>
                <w:sz w:val="24"/>
              </w:rPr>
            </w:pPr>
          </w:p>
        </w:tc>
        <w:tc>
          <w:tcPr>
            <w:tcW w:w="1677" w:type="dxa"/>
            <w:vAlign w:val="center"/>
          </w:tcPr>
          <w:p>
            <w:pPr>
              <w:spacing w:line="312" w:lineRule="auto"/>
              <w:jc w:val="center"/>
              <w:rPr>
                <w:rFonts w:asciiTheme="minorEastAsia" w:hAnsiTheme="minorEastAsia" w:eastAsiaTheme="minorEastAsia" w:cstheme="minorEastAsia"/>
                <w:sz w:val="24"/>
              </w:rPr>
            </w:pPr>
          </w:p>
        </w:tc>
        <w:tc>
          <w:tcPr>
            <w:tcW w:w="708" w:type="dxa"/>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Theme="minorEastAsia" w:hAnsiTheme="minorEastAsia" w:eastAsiaTheme="minorEastAsia" w:cstheme="minorEastAsia"/>
                <w:sz w:val="24"/>
              </w:rPr>
            </w:pPr>
          </w:p>
        </w:tc>
        <w:tc>
          <w:tcPr>
            <w:tcW w:w="709" w:type="dxa"/>
            <w:vAlign w:val="center"/>
          </w:tcPr>
          <w:p>
            <w:pPr>
              <w:spacing w:line="312" w:lineRule="auto"/>
              <w:jc w:val="center"/>
              <w:rPr>
                <w:rFonts w:asciiTheme="minorEastAsia" w:hAnsiTheme="minorEastAsia" w:eastAsiaTheme="minorEastAsia" w:cstheme="minorEastAsia"/>
                <w:sz w:val="24"/>
              </w:rPr>
            </w:pPr>
          </w:p>
        </w:tc>
        <w:tc>
          <w:tcPr>
            <w:tcW w:w="709" w:type="dxa"/>
            <w:vAlign w:val="center"/>
          </w:tcPr>
          <w:p>
            <w:pPr>
              <w:spacing w:line="312" w:lineRule="auto"/>
              <w:jc w:val="center"/>
              <w:rPr>
                <w:rFonts w:asciiTheme="minorEastAsia" w:hAnsiTheme="minorEastAsia" w:eastAsiaTheme="minorEastAsia" w:cstheme="minorEastAsia"/>
                <w:sz w:val="24"/>
              </w:rPr>
            </w:pPr>
          </w:p>
        </w:tc>
        <w:tc>
          <w:tcPr>
            <w:tcW w:w="1356" w:type="dxa"/>
            <w:vAlign w:val="center"/>
          </w:tcPr>
          <w:p>
            <w:pPr>
              <w:spacing w:line="312" w:lineRule="auto"/>
              <w:jc w:val="center"/>
              <w:rPr>
                <w:rFonts w:asciiTheme="minorEastAsia" w:hAnsiTheme="minorEastAsia" w:eastAsiaTheme="minorEastAsia" w:cstheme="minorEastAsia"/>
                <w:sz w:val="24"/>
              </w:rPr>
            </w:pPr>
          </w:p>
        </w:tc>
        <w:tc>
          <w:tcPr>
            <w:tcW w:w="1059" w:type="dxa"/>
            <w:vAlign w:val="center"/>
          </w:tcPr>
          <w:p>
            <w:pPr>
              <w:spacing w:line="312" w:lineRule="auto"/>
              <w:jc w:val="center"/>
              <w:rPr>
                <w:rFonts w:asciiTheme="minorEastAsia" w:hAnsiTheme="minorEastAsia" w:eastAsiaTheme="minorEastAsia" w:cstheme="minorEastAsia"/>
                <w:sz w:val="24"/>
              </w:rPr>
            </w:pPr>
          </w:p>
        </w:tc>
        <w:tc>
          <w:tcPr>
            <w:tcW w:w="900" w:type="dxa"/>
            <w:vAlign w:val="center"/>
          </w:tcPr>
          <w:p>
            <w:pPr>
              <w:spacing w:line="312" w:lineRule="auto"/>
              <w:jc w:val="center"/>
              <w:rPr>
                <w:rFonts w:asciiTheme="minorEastAsia" w:hAnsiTheme="minorEastAsia" w:eastAsiaTheme="minorEastAsia" w:cstheme="minorEastAsia"/>
                <w:sz w:val="24"/>
              </w:rPr>
            </w:pPr>
          </w:p>
        </w:tc>
        <w:tc>
          <w:tcPr>
            <w:tcW w:w="900" w:type="dxa"/>
            <w:vAlign w:val="center"/>
          </w:tcPr>
          <w:p>
            <w:pPr>
              <w:spacing w:line="312" w:lineRule="auto"/>
              <w:jc w:val="center"/>
              <w:rPr>
                <w:rFonts w:asciiTheme="minorEastAsia" w:hAnsiTheme="minorEastAsia" w:eastAsiaTheme="minorEastAsia" w:cstheme="minorEastAsia"/>
                <w:sz w:val="24"/>
              </w:rPr>
            </w:pPr>
          </w:p>
        </w:tc>
        <w:tc>
          <w:tcPr>
            <w:tcW w:w="1677" w:type="dxa"/>
            <w:vAlign w:val="center"/>
          </w:tcPr>
          <w:p>
            <w:pPr>
              <w:spacing w:line="312" w:lineRule="auto"/>
              <w:jc w:val="center"/>
              <w:rPr>
                <w:rFonts w:asciiTheme="minorEastAsia" w:hAnsiTheme="minorEastAsia" w:eastAsiaTheme="minorEastAsia" w:cstheme="minorEastAsia"/>
                <w:sz w:val="24"/>
              </w:rPr>
            </w:pPr>
          </w:p>
        </w:tc>
        <w:tc>
          <w:tcPr>
            <w:tcW w:w="708" w:type="dxa"/>
            <w:vAlign w:val="center"/>
          </w:tcPr>
          <w:p>
            <w:pPr>
              <w:spacing w:line="312" w:lineRule="auto"/>
              <w:jc w:val="center"/>
              <w:rPr>
                <w:rFonts w:asciiTheme="minorEastAsia" w:hAnsiTheme="minorEastAsia" w:eastAsiaTheme="minorEastAsia" w:cstheme="minorEastAsia"/>
                <w:sz w:val="24"/>
              </w:rPr>
            </w:pPr>
          </w:p>
        </w:tc>
      </w:tr>
    </w:tbl>
    <w:p>
      <w:pPr>
        <w:spacing w:line="312" w:lineRule="auto"/>
        <w:rPr>
          <w:rFonts w:asciiTheme="minorEastAsia" w:hAnsiTheme="minorEastAsia" w:eastAsiaTheme="minorEastAsia" w:cstheme="minorEastAsia"/>
          <w:sz w:val="24"/>
        </w:rPr>
      </w:pPr>
    </w:p>
    <w:p>
      <w:pPr>
        <w:spacing w:line="312" w:lineRule="auto"/>
        <w:outlineLvl w:val="2"/>
        <w:rPr>
          <w:rFonts w:asciiTheme="minorEastAsia" w:hAnsiTheme="minorEastAsia" w:eastAsiaTheme="minorEastAsia" w:cstheme="minorEastAsia"/>
          <w:sz w:val="24"/>
        </w:rPr>
      </w:pPr>
      <w:bookmarkStart w:id="126" w:name="_Toc590"/>
      <w:bookmarkStart w:id="127" w:name="_Toc22776"/>
      <w:bookmarkStart w:id="128" w:name="_Toc26047"/>
      <w:bookmarkStart w:id="129" w:name="_Toc27110"/>
      <w:bookmarkStart w:id="130" w:name="_Toc3522"/>
      <w:r>
        <w:rPr>
          <w:rFonts w:hint="eastAsia" w:asciiTheme="minorEastAsia" w:hAnsiTheme="minorEastAsia" w:eastAsiaTheme="minorEastAsia" w:cstheme="minorEastAsia"/>
          <w:b/>
          <w:bCs/>
          <w:sz w:val="24"/>
        </w:rPr>
        <w:t>（二）主要人员简历表</w:t>
      </w:r>
      <w:bookmarkEnd w:id="126"/>
      <w:bookmarkEnd w:id="127"/>
      <w:bookmarkEnd w:id="128"/>
      <w:bookmarkEnd w:id="129"/>
      <w:bookmarkEnd w:id="130"/>
    </w:p>
    <w:p>
      <w:pPr>
        <w:spacing w:line="312" w:lineRule="auto"/>
        <w:rPr>
          <w:rFonts w:asciiTheme="minorEastAsia" w:hAnsiTheme="minorEastAsia" w:eastAsiaTheme="minorEastAsia" w:cstheme="minorEastAsia"/>
          <w:b/>
          <w:sz w:val="24"/>
        </w:rPr>
      </w:pPr>
      <w:bookmarkStart w:id="131" w:name="_Toc13679"/>
      <w:bookmarkStart w:id="132" w:name="_Toc20036"/>
      <w:bookmarkStart w:id="133" w:name="_Toc23995"/>
      <w:bookmarkStart w:id="134" w:name="_Toc20732"/>
      <w:bookmarkStart w:id="135" w:name="_Toc9814"/>
      <w:r>
        <w:rPr>
          <w:rFonts w:hint="eastAsia" w:asciiTheme="minorEastAsia" w:hAnsiTheme="minorEastAsia" w:eastAsiaTheme="minorEastAsia" w:cstheme="minorEastAsia"/>
          <w:b/>
          <w:sz w:val="24"/>
        </w:rPr>
        <w:t>附1：技术负责人简历表</w:t>
      </w:r>
      <w:bookmarkEnd w:id="131"/>
      <w:bookmarkEnd w:id="132"/>
      <w:bookmarkEnd w:id="133"/>
      <w:bookmarkEnd w:id="134"/>
      <w:bookmarkEnd w:id="135"/>
    </w:p>
    <w:p>
      <w:pPr>
        <w:spacing w:line="312" w:lineRule="auto"/>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技术负责人应附技术负责人身份证、职称证、学历证、劳动合同、养老保险复印件。</w:t>
      </w:r>
    </w:p>
    <w:tbl>
      <w:tblPr>
        <w:tblStyle w:val="18"/>
        <w:tblW w:w="93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132"/>
        <w:gridCol w:w="1240"/>
        <w:gridCol w:w="1394"/>
        <w:gridCol w:w="201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94"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p>
        </w:tc>
        <w:tc>
          <w:tcPr>
            <w:tcW w:w="1132" w:type="dxa"/>
            <w:vAlign w:val="center"/>
          </w:tcPr>
          <w:p>
            <w:pPr>
              <w:spacing w:line="312" w:lineRule="auto"/>
              <w:jc w:val="center"/>
              <w:rPr>
                <w:rFonts w:asciiTheme="minorEastAsia" w:hAnsiTheme="minorEastAsia" w:eastAsiaTheme="minorEastAsia" w:cstheme="minorEastAsia"/>
                <w:sz w:val="24"/>
              </w:rPr>
            </w:pPr>
          </w:p>
        </w:tc>
        <w:tc>
          <w:tcPr>
            <w:tcW w:w="1240"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龄</w:t>
            </w:r>
          </w:p>
        </w:tc>
        <w:tc>
          <w:tcPr>
            <w:tcW w:w="1394" w:type="dxa"/>
            <w:vAlign w:val="center"/>
          </w:tcPr>
          <w:p>
            <w:pPr>
              <w:spacing w:line="312" w:lineRule="auto"/>
              <w:jc w:val="center"/>
              <w:rPr>
                <w:rFonts w:asciiTheme="minorEastAsia" w:hAnsiTheme="minorEastAsia" w:eastAsiaTheme="minorEastAsia" w:cstheme="minorEastAsia"/>
                <w:sz w:val="24"/>
              </w:rPr>
            </w:pPr>
          </w:p>
        </w:tc>
        <w:tc>
          <w:tcPr>
            <w:tcW w:w="2015"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学历</w:t>
            </w:r>
          </w:p>
        </w:tc>
        <w:tc>
          <w:tcPr>
            <w:tcW w:w="2325" w:type="dxa"/>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  称</w:t>
            </w:r>
          </w:p>
        </w:tc>
        <w:tc>
          <w:tcPr>
            <w:tcW w:w="1132" w:type="dxa"/>
            <w:vAlign w:val="center"/>
          </w:tcPr>
          <w:p>
            <w:pPr>
              <w:spacing w:line="312" w:lineRule="auto"/>
              <w:jc w:val="center"/>
              <w:rPr>
                <w:rFonts w:asciiTheme="minorEastAsia" w:hAnsiTheme="minorEastAsia" w:eastAsiaTheme="minorEastAsia" w:cstheme="minorEastAsia"/>
                <w:sz w:val="24"/>
              </w:rPr>
            </w:pPr>
          </w:p>
        </w:tc>
        <w:tc>
          <w:tcPr>
            <w:tcW w:w="1240"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  务</w:t>
            </w:r>
          </w:p>
        </w:tc>
        <w:tc>
          <w:tcPr>
            <w:tcW w:w="1394" w:type="dxa"/>
            <w:vAlign w:val="center"/>
          </w:tcPr>
          <w:p>
            <w:pPr>
              <w:spacing w:line="312" w:lineRule="auto"/>
              <w:jc w:val="center"/>
              <w:rPr>
                <w:rFonts w:asciiTheme="minorEastAsia" w:hAnsiTheme="minorEastAsia" w:eastAsiaTheme="minorEastAsia" w:cstheme="minorEastAsia"/>
                <w:sz w:val="24"/>
              </w:rPr>
            </w:pPr>
          </w:p>
        </w:tc>
        <w:tc>
          <w:tcPr>
            <w:tcW w:w="2015"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拟在本工程任职</w:t>
            </w:r>
          </w:p>
        </w:tc>
        <w:tc>
          <w:tcPr>
            <w:tcW w:w="2325" w:type="dxa"/>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566" w:type="dxa"/>
            <w:gridSpan w:val="3"/>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资格等级</w:t>
            </w:r>
          </w:p>
        </w:tc>
        <w:tc>
          <w:tcPr>
            <w:tcW w:w="1394"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级</w:t>
            </w:r>
          </w:p>
        </w:tc>
        <w:tc>
          <w:tcPr>
            <w:tcW w:w="2015"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w:t>
            </w:r>
          </w:p>
        </w:tc>
        <w:tc>
          <w:tcPr>
            <w:tcW w:w="2325" w:type="dxa"/>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毕业学校</w:t>
            </w:r>
          </w:p>
        </w:tc>
        <w:tc>
          <w:tcPr>
            <w:tcW w:w="8106" w:type="dxa"/>
            <w:gridSpan w:val="5"/>
            <w:vAlign w:val="center"/>
          </w:tcPr>
          <w:p>
            <w:pPr>
              <w:spacing w:line="312"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300" w:type="dxa"/>
            <w:gridSpan w:val="6"/>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  间</w:t>
            </w:r>
          </w:p>
        </w:tc>
        <w:tc>
          <w:tcPr>
            <w:tcW w:w="3766" w:type="dxa"/>
            <w:gridSpan w:val="3"/>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参加过的类似项目名称</w:t>
            </w:r>
          </w:p>
        </w:tc>
        <w:tc>
          <w:tcPr>
            <w:tcW w:w="2015"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工程概况说明</w:t>
            </w:r>
          </w:p>
        </w:tc>
        <w:tc>
          <w:tcPr>
            <w:tcW w:w="2325"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194" w:type="dxa"/>
            <w:vAlign w:val="center"/>
          </w:tcPr>
          <w:p>
            <w:pPr>
              <w:spacing w:line="312" w:lineRule="auto"/>
              <w:jc w:val="center"/>
              <w:rPr>
                <w:rFonts w:asciiTheme="minorEastAsia" w:hAnsiTheme="minorEastAsia" w:eastAsiaTheme="minorEastAsia" w:cstheme="minorEastAsia"/>
                <w:sz w:val="24"/>
              </w:rPr>
            </w:pPr>
          </w:p>
        </w:tc>
        <w:tc>
          <w:tcPr>
            <w:tcW w:w="1132" w:type="dxa"/>
            <w:vAlign w:val="center"/>
          </w:tcPr>
          <w:p>
            <w:pPr>
              <w:spacing w:line="312" w:lineRule="auto"/>
              <w:jc w:val="center"/>
              <w:rPr>
                <w:rFonts w:asciiTheme="minorEastAsia" w:hAnsiTheme="minorEastAsia" w:eastAsiaTheme="minorEastAsia" w:cstheme="minorEastAsia"/>
                <w:sz w:val="24"/>
              </w:rPr>
            </w:pPr>
          </w:p>
        </w:tc>
        <w:tc>
          <w:tcPr>
            <w:tcW w:w="1240" w:type="dxa"/>
            <w:vAlign w:val="center"/>
          </w:tcPr>
          <w:p>
            <w:pPr>
              <w:spacing w:line="312" w:lineRule="auto"/>
              <w:jc w:val="center"/>
              <w:rPr>
                <w:rFonts w:asciiTheme="minorEastAsia" w:hAnsiTheme="minorEastAsia" w:eastAsiaTheme="minorEastAsia" w:cstheme="minorEastAsia"/>
                <w:sz w:val="24"/>
              </w:rPr>
            </w:pPr>
          </w:p>
        </w:tc>
        <w:tc>
          <w:tcPr>
            <w:tcW w:w="1394" w:type="dxa"/>
            <w:vAlign w:val="center"/>
          </w:tcPr>
          <w:p>
            <w:pPr>
              <w:spacing w:line="312" w:lineRule="auto"/>
              <w:jc w:val="center"/>
              <w:rPr>
                <w:rFonts w:asciiTheme="minorEastAsia" w:hAnsiTheme="minorEastAsia" w:eastAsiaTheme="minorEastAsia" w:cstheme="minorEastAsia"/>
                <w:sz w:val="24"/>
              </w:rPr>
            </w:pPr>
          </w:p>
        </w:tc>
        <w:tc>
          <w:tcPr>
            <w:tcW w:w="2015" w:type="dxa"/>
            <w:vAlign w:val="center"/>
          </w:tcPr>
          <w:p>
            <w:pPr>
              <w:spacing w:line="312" w:lineRule="auto"/>
              <w:jc w:val="center"/>
              <w:rPr>
                <w:rFonts w:asciiTheme="minorEastAsia" w:hAnsiTheme="minorEastAsia" w:eastAsiaTheme="minorEastAsia" w:cstheme="minorEastAsia"/>
                <w:sz w:val="24"/>
              </w:rPr>
            </w:pPr>
          </w:p>
        </w:tc>
        <w:tc>
          <w:tcPr>
            <w:tcW w:w="2325" w:type="dxa"/>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194" w:type="dxa"/>
            <w:vAlign w:val="center"/>
          </w:tcPr>
          <w:p>
            <w:pPr>
              <w:spacing w:line="312" w:lineRule="auto"/>
              <w:jc w:val="center"/>
              <w:rPr>
                <w:rFonts w:asciiTheme="minorEastAsia" w:hAnsiTheme="minorEastAsia" w:eastAsiaTheme="minorEastAsia" w:cstheme="minorEastAsia"/>
                <w:sz w:val="24"/>
              </w:rPr>
            </w:pPr>
          </w:p>
        </w:tc>
        <w:tc>
          <w:tcPr>
            <w:tcW w:w="1132" w:type="dxa"/>
            <w:vAlign w:val="center"/>
          </w:tcPr>
          <w:p>
            <w:pPr>
              <w:spacing w:line="312" w:lineRule="auto"/>
              <w:jc w:val="center"/>
              <w:rPr>
                <w:rFonts w:asciiTheme="minorEastAsia" w:hAnsiTheme="minorEastAsia" w:eastAsiaTheme="minorEastAsia" w:cstheme="minorEastAsia"/>
                <w:sz w:val="24"/>
              </w:rPr>
            </w:pPr>
          </w:p>
        </w:tc>
        <w:tc>
          <w:tcPr>
            <w:tcW w:w="1240" w:type="dxa"/>
            <w:vAlign w:val="center"/>
          </w:tcPr>
          <w:p>
            <w:pPr>
              <w:spacing w:line="312" w:lineRule="auto"/>
              <w:jc w:val="center"/>
              <w:rPr>
                <w:rFonts w:asciiTheme="minorEastAsia" w:hAnsiTheme="minorEastAsia" w:eastAsiaTheme="minorEastAsia" w:cstheme="minorEastAsia"/>
                <w:sz w:val="24"/>
              </w:rPr>
            </w:pPr>
          </w:p>
        </w:tc>
        <w:tc>
          <w:tcPr>
            <w:tcW w:w="1394" w:type="dxa"/>
            <w:vAlign w:val="center"/>
          </w:tcPr>
          <w:p>
            <w:pPr>
              <w:spacing w:line="312" w:lineRule="auto"/>
              <w:jc w:val="center"/>
              <w:rPr>
                <w:rFonts w:asciiTheme="minorEastAsia" w:hAnsiTheme="minorEastAsia" w:eastAsiaTheme="minorEastAsia" w:cstheme="minorEastAsia"/>
                <w:sz w:val="24"/>
              </w:rPr>
            </w:pPr>
          </w:p>
        </w:tc>
        <w:tc>
          <w:tcPr>
            <w:tcW w:w="2015" w:type="dxa"/>
            <w:vAlign w:val="center"/>
          </w:tcPr>
          <w:p>
            <w:pPr>
              <w:spacing w:line="312" w:lineRule="auto"/>
              <w:jc w:val="center"/>
              <w:rPr>
                <w:rFonts w:asciiTheme="minorEastAsia" w:hAnsiTheme="minorEastAsia" w:eastAsiaTheme="minorEastAsia" w:cstheme="minorEastAsia"/>
                <w:sz w:val="24"/>
              </w:rPr>
            </w:pPr>
          </w:p>
        </w:tc>
        <w:tc>
          <w:tcPr>
            <w:tcW w:w="2325" w:type="dxa"/>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4" w:type="dxa"/>
            <w:vAlign w:val="center"/>
          </w:tcPr>
          <w:p>
            <w:pPr>
              <w:spacing w:line="312" w:lineRule="auto"/>
              <w:jc w:val="center"/>
              <w:rPr>
                <w:rFonts w:asciiTheme="minorEastAsia" w:hAnsiTheme="minorEastAsia" w:eastAsiaTheme="minorEastAsia" w:cstheme="minorEastAsia"/>
                <w:sz w:val="24"/>
              </w:rPr>
            </w:pPr>
          </w:p>
        </w:tc>
        <w:tc>
          <w:tcPr>
            <w:tcW w:w="1132" w:type="dxa"/>
            <w:vAlign w:val="center"/>
          </w:tcPr>
          <w:p>
            <w:pPr>
              <w:spacing w:line="312" w:lineRule="auto"/>
              <w:jc w:val="center"/>
              <w:rPr>
                <w:rFonts w:asciiTheme="minorEastAsia" w:hAnsiTheme="minorEastAsia" w:eastAsiaTheme="minorEastAsia" w:cstheme="minorEastAsia"/>
                <w:sz w:val="24"/>
              </w:rPr>
            </w:pPr>
          </w:p>
        </w:tc>
        <w:tc>
          <w:tcPr>
            <w:tcW w:w="1240" w:type="dxa"/>
            <w:vAlign w:val="center"/>
          </w:tcPr>
          <w:p>
            <w:pPr>
              <w:spacing w:line="312" w:lineRule="auto"/>
              <w:jc w:val="center"/>
              <w:rPr>
                <w:rFonts w:asciiTheme="minorEastAsia" w:hAnsiTheme="minorEastAsia" w:eastAsiaTheme="minorEastAsia" w:cstheme="minorEastAsia"/>
                <w:sz w:val="24"/>
              </w:rPr>
            </w:pPr>
          </w:p>
        </w:tc>
        <w:tc>
          <w:tcPr>
            <w:tcW w:w="1394" w:type="dxa"/>
            <w:vAlign w:val="center"/>
          </w:tcPr>
          <w:p>
            <w:pPr>
              <w:spacing w:line="312" w:lineRule="auto"/>
              <w:jc w:val="center"/>
              <w:rPr>
                <w:rFonts w:asciiTheme="minorEastAsia" w:hAnsiTheme="minorEastAsia" w:eastAsiaTheme="minorEastAsia" w:cstheme="minorEastAsia"/>
                <w:sz w:val="24"/>
              </w:rPr>
            </w:pPr>
          </w:p>
        </w:tc>
        <w:tc>
          <w:tcPr>
            <w:tcW w:w="2015" w:type="dxa"/>
            <w:vAlign w:val="center"/>
          </w:tcPr>
          <w:p>
            <w:pPr>
              <w:spacing w:line="312" w:lineRule="auto"/>
              <w:jc w:val="center"/>
              <w:rPr>
                <w:rFonts w:asciiTheme="minorEastAsia" w:hAnsiTheme="minorEastAsia" w:eastAsiaTheme="minorEastAsia" w:cstheme="minorEastAsia"/>
                <w:sz w:val="24"/>
              </w:rPr>
            </w:pPr>
          </w:p>
        </w:tc>
        <w:tc>
          <w:tcPr>
            <w:tcW w:w="2325" w:type="dxa"/>
            <w:vAlign w:val="center"/>
          </w:tcPr>
          <w:p>
            <w:pPr>
              <w:spacing w:line="312" w:lineRule="auto"/>
              <w:jc w:val="center"/>
              <w:rPr>
                <w:rFonts w:asciiTheme="minorEastAsia" w:hAnsiTheme="minorEastAsia" w:eastAsiaTheme="minorEastAsia" w:cstheme="minorEastAsia"/>
                <w:sz w:val="24"/>
              </w:rPr>
            </w:pPr>
          </w:p>
        </w:tc>
      </w:tr>
    </w:tbl>
    <w:p>
      <w:pPr>
        <w:spacing w:line="312" w:lineRule="auto"/>
        <w:rPr>
          <w:rFonts w:asciiTheme="minorEastAsia" w:hAnsiTheme="minorEastAsia" w:eastAsiaTheme="minorEastAsia" w:cstheme="minorEastAsia"/>
          <w:sz w:val="24"/>
        </w:rPr>
      </w:pPr>
    </w:p>
    <w:p>
      <w:pPr>
        <w:spacing w:line="312" w:lineRule="auto"/>
        <w:jc w:val="center"/>
        <w:outlineLvl w:val="1"/>
        <w:rPr>
          <w:rFonts w:asciiTheme="minorEastAsia" w:hAnsiTheme="minorEastAsia" w:eastAsiaTheme="minorEastAsia" w:cstheme="minorEastAsia"/>
          <w:sz w:val="28"/>
          <w:szCs w:val="28"/>
        </w:rPr>
      </w:pPr>
    </w:p>
    <w:p>
      <w:pPr>
        <w:spacing w:line="312" w:lineRule="auto"/>
        <w:rPr>
          <w:rFonts w:asciiTheme="minorEastAsia" w:hAnsiTheme="minorEastAsia" w:eastAsiaTheme="minorEastAsia" w:cstheme="minorEastAsia"/>
          <w:b/>
          <w:sz w:val="24"/>
        </w:rPr>
      </w:pPr>
    </w:p>
    <w:p>
      <w:pPr>
        <w:spacing w:line="312"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附2：项目负责人简历表</w:t>
      </w:r>
    </w:p>
    <w:p>
      <w:pPr>
        <w:spacing w:line="312" w:lineRule="auto"/>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项目负责人应附项目负责人身份证、学历证、劳动合同、养老保险复印件及未担任其他在施建设工程项目负责人的承诺书。</w:t>
      </w:r>
    </w:p>
    <w:tbl>
      <w:tblPr>
        <w:tblStyle w:val="18"/>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144"/>
        <w:gridCol w:w="1253"/>
        <w:gridCol w:w="1409"/>
        <w:gridCol w:w="2037"/>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207"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p>
        </w:tc>
        <w:tc>
          <w:tcPr>
            <w:tcW w:w="1144" w:type="dxa"/>
            <w:vAlign w:val="center"/>
          </w:tcPr>
          <w:p>
            <w:pPr>
              <w:spacing w:line="312" w:lineRule="auto"/>
              <w:jc w:val="center"/>
              <w:rPr>
                <w:rFonts w:asciiTheme="minorEastAsia" w:hAnsiTheme="minorEastAsia" w:eastAsiaTheme="minorEastAsia" w:cstheme="minorEastAsia"/>
                <w:sz w:val="24"/>
              </w:rPr>
            </w:pPr>
          </w:p>
        </w:tc>
        <w:tc>
          <w:tcPr>
            <w:tcW w:w="1253"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龄</w:t>
            </w:r>
          </w:p>
        </w:tc>
        <w:tc>
          <w:tcPr>
            <w:tcW w:w="1409" w:type="dxa"/>
            <w:vAlign w:val="center"/>
          </w:tcPr>
          <w:p>
            <w:pPr>
              <w:spacing w:line="312" w:lineRule="auto"/>
              <w:jc w:val="center"/>
              <w:rPr>
                <w:rFonts w:asciiTheme="minorEastAsia" w:hAnsiTheme="minorEastAsia" w:eastAsiaTheme="minorEastAsia" w:cstheme="minorEastAsia"/>
                <w:sz w:val="24"/>
              </w:rPr>
            </w:pPr>
          </w:p>
        </w:tc>
        <w:tc>
          <w:tcPr>
            <w:tcW w:w="2037"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学历</w:t>
            </w:r>
          </w:p>
        </w:tc>
        <w:tc>
          <w:tcPr>
            <w:tcW w:w="2350" w:type="dxa"/>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  称</w:t>
            </w:r>
          </w:p>
        </w:tc>
        <w:tc>
          <w:tcPr>
            <w:tcW w:w="1144" w:type="dxa"/>
            <w:vAlign w:val="center"/>
          </w:tcPr>
          <w:p>
            <w:pPr>
              <w:spacing w:line="312" w:lineRule="auto"/>
              <w:jc w:val="center"/>
              <w:rPr>
                <w:rFonts w:asciiTheme="minorEastAsia" w:hAnsiTheme="minorEastAsia" w:eastAsiaTheme="minorEastAsia" w:cstheme="minorEastAsia"/>
                <w:sz w:val="24"/>
              </w:rPr>
            </w:pPr>
          </w:p>
        </w:tc>
        <w:tc>
          <w:tcPr>
            <w:tcW w:w="1253"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  务</w:t>
            </w:r>
          </w:p>
        </w:tc>
        <w:tc>
          <w:tcPr>
            <w:tcW w:w="1409" w:type="dxa"/>
            <w:vAlign w:val="center"/>
          </w:tcPr>
          <w:p>
            <w:pPr>
              <w:spacing w:line="312" w:lineRule="auto"/>
              <w:jc w:val="center"/>
              <w:rPr>
                <w:rFonts w:asciiTheme="minorEastAsia" w:hAnsiTheme="minorEastAsia" w:eastAsiaTheme="minorEastAsia" w:cstheme="minorEastAsia"/>
                <w:sz w:val="24"/>
              </w:rPr>
            </w:pPr>
          </w:p>
        </w:tc>
        <w:tc>
          <w:tcPr>
            <w:tcW w:w="2037"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拟在本工程任职</w:t>
            </w:r>
          </w:p>
        </w:tc>
        <w:tc>
          <w:tcPr>
            <w:tcW w:w="2350"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3604" w:type="dxa"/>
            <w:gridSpan w:val="3"/>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资格等级</w:t>
            </w:r>
          </w:p>
        </w:tc>
        <w:tc>
          <w:tcPr>
            <w:tcW w:w="1409"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级</w:t>
            </w:r>
          </w:p>
        </w:tc>
        <w:tc>
          <w:tcPr>
            <w:tcW w:w="2037"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w:t>
            </w:r>
          </w:p>
        </w:tc>
        <w:tc>
          <w:tcPr>
            <w:tcW w:w="2350" w:type="dxa"/>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毕业学校</w:t>
            </w:r>
          </w:p>
        </w:tc>
        <w:tc>
          <w:tcPr>
            <w:tcW w:w="8193" w:type="dxa"/>
            <w:gridSpan w:val="5"/>
            <w:vAlign w:val="center"/>
          </w:tcPr>
          <w:p>
            <w:pPr>
              <w:spacing w:line="312"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9400" w:type="dxa"/>
            <w:gridSpan w:val="6"/>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  间</w:t>
            </w:r>
          </w:p>
        </w:tc>
        <w:tc>
          <w:tcPr>
            <w:tcW w:w="3806" w:type="dxa"/>
            <w:gridSpan w:val="3"/>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参加过的类似项目名称</w:t>
            </w:r>
          </w:p>
        </w:tc>
        <w:tc>
          <w:tcPr>
            <w:tcW w:w="2037"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工程概况说明</w:t>
            </w:r>
          </w:p>
        </w:tc>
        <w:tc>
          <w:tcPr>
            <w:tcW w:w="2350" w:type="dxa"/>
            <w:vAlign w:val="center"/>
          </w:tcPr>
          <w:p>
            <w:pPr>
              <w:spacing w:line="312"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207" w:type="dxa"/>
            <w:vAlign w:val="center"/>
          </w:tcPr>
          <w:p>
            <w:pPr>
              <w:spacing w:line="312" w:lineRule="auto"/>
              <w:jc w:val="center"/>
              <w:rPr>
                <w:rFonts w:asciiTheme="minorEastAsia" w:hAnsiTheme="minorEastAsia" w:eastAsiaTheme="minorEastAsia" w:cstheme="minorEastAsia"/>
                <w:sz w:val="24"/>
              </w:rPr>
            </w:pPr>
          </w:p>
        </w:tc>
        <w:tc>
          <w:tcPr>
            <w:tcW w:w="1144" w:type="dxa"/>
            <w:vAlign w:val="center"/>
          </w:tcPr>
          <w:p>
            <w:pPr>
              <w:spacing w:line="312" w:lineRule="auto"/>
              <w:jc w:val="center"/>
              <w:rPr>
                <w:rFonts w:asciiTheme="minorEastAsia" w:hAnsiTheme="minorEastAsia" w:eastAsiaTheme="minorEastAsia" w:cstheme="minorEastAsia"/>
                <w:sz w:val="24"/>
              </w:rPr>
            </w:pPr>
          </w:p>
        </w:tc>
        <w:tc>
          <w:tcPr>
            <w:tcW w:w="1253" w:type="dxa"/>
            <w:vAlign w:val="center"/>
          </w:tcPr>
          <w:p>
            <w:pPr>
              <w:spacing w:line="312" w:lineRule="auto"/>
              <w:jc w:val="center"/>
              <w:rPr>
                <w:rFonts w:asciiTheme="minorEastAsia" w:hAnsiTheme="minorEastAsia" w:eastAsiaTheme="minorEastAsia" w:cstheme="minorEastAsia"/>
                <w:sz w:val="24"/>
              </w:rPr>
            </w:pPr>
          </w:p>
        </w:tc>
        <w:tc>
          <w:tcPr>
            <w:tcW w:w="1409" w:type="dxa"/>
            <w:vAlign w:val="center"/>
          </w:tcPr>
          <w:p>
            <w:pPr>
              <w:spacing w:line="312" w:lineRule="auto"/>
              <w:jc w:val="center"/>
              <w:rPr>
                <w:rFonts w:asciiTheme="minorEastAsia" w:hAnsiTheme="minorEastAsia" w:eastAsiaTheme="minorEastAsia" w:cstheme="minorEastAsia"/>
                <w:sz w:val="24"/>
              </w:rPr>
            </w:pPr>
          </w:p>
        </w:tc>
        <w:tc>
          <w:tcPr>
            <w:tcW w:w="2037" w:type="dxa"/>
            <w:vAlign w:val="center"/>
          </w:tcPr>
          <w:p>
            <w:pPr>
              <w:spacing w:line="312" w:lineRule="auto"/>
              <w:jc w:val="center"/>
              <w:rPr>
                <w:rFonts w:asciiTheme="minorEastAsia" w:hAnsiTheme="minorEastAsia" w:eastAsiaTheme="minorEastAsia" w:cstheme="minorEastAsia"/>
                <w:sz w:val="24"/>
              </w:rPr>
            </w:pPr>
          </w:p>
        </w:tc>
        <w:tc>
          <w:tcPr>
            <w:tcW w:w="2350" w:type="dxa"/>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207" w:type="dxa"/>
            <w:vAlign w:val="center"/>
          </w:tcPr>
          <w:p>
            <w:pPr>
              <w:spacing w:line="312" w:lineRule="auto"/>
              <w:jc w:val="center"/>
              <w:rPr>
                <w:rFonts w:asciiTheme="minorEastAsia" w:hAnsiTheme="minorEastAsia" w:eastAsiaTheme="minorEastAsia" w:cstheme="minorEastAsia"/>
                <w:sz w:val="24"/>
              </w:rPr>
            </w:pPr>
          </w:p>
        </w:tc>
        <w:tc>
          <w:tcPr>
            <w:tcW w:w="1144" w:type="dxa"/>
            <w:vAlign w:val="center"/>
          </w:tcPr>
          <w:p>
            <w:pPr>
              <w:spacing w:line="312" w:lineRule="auto"/>
              <w:jc w:val="center"/>
              <w:rPr>
                <w:rFonts w:asciiTheme="minorEastAsia" w:hAnsiTheme="minorEastAsia" w:eastAsiaTheme="minorEastAsia" w:cstheme="minorEastAsia"/>
                <w:sz w:val="24"/>
              </w:rPr>
            </w:pPr>
          </w:p>
        </w:tc>
        <w:tc>
          <w:tcPr>
            <w:tcW w:w="1253" w:type="dxa"/>
            <w:vAlign w:val="center"/>
          </w:tcPr>
          <w:p>
            <w:pPr>
              <w:spacing w:line="312" w:lineRule="auto"/>
              <w:jc w:val="center"/>
              <w:rPr>
                <w:rFonts w:asciiTheme="minorEastAsia" w:hAnsiTheme="minorEastAsia" w:eastAsiaTheme="minorEastAsia" w:cstheme="minorEastAsia"/>
                <w:sz w:val="24"/>
              </w:rPr>
            </w:pPr>
          </w:p>
        </w:tc>
        <w:tc>
          <w:tcPr>
            <w:tcW w:w="1409" w:type="dxa"/>
            <w:vAlign w:val="center"/>
          </w:tcPr>
          <w:p>
            <w:pPr>
              <w:spacing w:line="312" w:lineRule="auto"/>
              <w:jc w:val="center"/>
              <w:rPr>
                <w:rFonts w:asciiTheme="minorEastAsia" w:hAnsiTheme="minorEastAsia" w:eastAsiaTheme="minorEastAsia" w:cstheme="minorEastAsia"/>
                <w:sz w:val="24"/>
              </w:rPr>
            </w:pPr>
          </w:p>
        </w:tc>
        <w:tc>
          <w:tcPr>
            <w:tcW w:w="2037" w:type="dxa"/>
            <w:vAlign w:val="center"/>
          </w:tcPr>
          <w:p>
            <w:pPr>
              <w:spacing w:line="312" w:lineRule="auto"/>
              <w:jc w:val="center"/>
              <w:rPr>
                <w:rFonts w:asciiTheme="minorEastAsia" w:hAnsiTheme="minorEastAsia" w:eastAsiaTheme="minorEastAsia" w:cstheme="minorEastAsia"/>
                <w:sz w:val="24"/>
              </w:rPr>
            </w:pPr>
          </w:p>
        </w:tc>
        <w:tc>
          <w:tcPr>
            <w:tcW w:w="2350" w:type="dxa"/>
            <w:vAlign w:val="center"/>
          </w:tcPr>
          <w:p>
            <w:pPr>
              <w:spacing w:line="312"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07" w:type="dxa"/>
            <w:vAlign w:val="center"/>
          </w:tcPr>
          <w:p>
            <w:pPr>
              <w:spacing w:line="312" w:lineRule="auto"/>
              <w:jc w:val="center"/>
              <w:rPr>
                <w:rFonts w:asciiTheme="minorEastAsia" w:hAnsiTheme="minorEastAsia" w:eastAsiaTheme="minorEastAsia" w:cstheme="minorEastAsia"/>
                <w:sz w:val="24"/>
              </w:rPr>
            </w:pPr>
          </w:p>
        </w:tc>
        <w:tc>
          <w:tcPr>
            <w:tcW w:w="1144" w:type="dxa"/>
            <w:vAlign w:val="center"/>
          </w:tcPr>
          <w:p>
            <w:pPr>
              <w:spacing w:line="312" w:lineRule="auto"/>
              <w:jc w:val="center"/>
              <w:rPr>
                <w:rFonts w:asciiTheme="minorEastAsia" w:hAnsiTheme="minorEastAsia" w:eastAsiaTheme="minorEastAsia" w:cstheme="minorEastAsia"/>
                <w:sz w:val="24"/>
              </w:rPr>
            </w:pPr>
          </w:p>
        </w:tc>
        <w:tc>
          <w:tcPr>
            <w:tcW w:w="1253" w:type="dxa"/>
            <w:vAlign w:val="center"/>
          </w:tcPr>
          <w:p>
            <w:pPr>
              <w:spacing w:line="312" w:lineRule="auto"/>
              <w:jc w:val="center"/>
              <w:rPr>
                <w:rFonts w:asciiTheme="minorEastAsia" w:hAnsiTheme="minorEastAsia" w:eastAsiaTheme="minorEastAsia" w:cstheme="minorEastAsia"/>
                <w:sz w:val="24"/>
              </w:rPr>
            </w:pPr>
          </w:p>
        </w:tc>
        <w:tc>
          <w:tcPr>
            <w:tcW w:w="1409" w:type="dxa"/>
            <w:vAlign w:val="center"/>
          </w:tcPr>
          <w:p>
            <w:pPr>
              <w:spacing w:line="312" w:lineRule="auto"/>
              <w:jc w:val="center"/>
              <w:rPr>
                <w:rFonts w:asciiTheme="minorEastAsia" w:hAnsiTheme="minorEastAsia" w:eastAsiaTheme="minorEastAsia" w:cstheme="minorEastAsia"/>
                <w:sz w:val="24"/>
              </w:rPr>
            </w:pPr>
          </w:p>
        </w:tc>
        <w:tc>
          <w:tcPr>
            <w:tcW w:w="2037" w:type="dxa"/>
            <w:vAlign w:val="center"/>
          </w:tcPr>
          <w:p>
            <w:pPr>
              <w:spacing w:line="312" w:lineRule="auto"/>
              <w:jc w:val="center"/>
              <w:rPr>
                <w:rFonts w:asciiTheme="minorEastAsia" w:hAnsiTheme="minorEastAsia" w:eastAsiaTheme="minorEastAsia" w:cstheme="minorEastAsia"/>
                <w:sz w:val="24"/>
              </w:rPr>
            </w:pPr>
          </w:p>
        </w:tc>
        <w:tc>
          <w:tcPr>
            <w:tcW w:w="2350" w:type="dxa"/>
            <w:vAlign w:val="center"/>
          </w:tcPr>
          <w:p>
            <w:pPr>
              <w:spacing w:line="312" w:lineRule="auto"/>
              <w:jc w:val="center"/>
              <w:rPr>
                <w:rFonts w:asciiTheme="minorEastAsia" w:hAnsiTheme="minorEastAsia" w:eastAsiaTheme="minorEastAsia" w:cstheme="minorEastAsia"/>
                <w:sz w:val="24"/>
              </w:rPr>
            </w:pPr>
          </w:p>
        </w:tc>
      </w:tr>
    </w:tbl>
    <w:p>
      <w:pPr>
        <w:pStyle w:val="16"/>
        <w:ind w:firstLine="280"/>
        <w:rPr>
          <w:rFonts w:asciiTheme="minorEastAsia" w:hAnsiTheme="minorEastAsia" w:eastAsiaTheme="minorEastAsia" w:cstheme="minorEastAsia"/>
          <w:sz w:val="28"/>
          <w:szCs w:val="28"/>
        </w:rPr>
      </w:pPr>
    </w:p>
    <w:p>
      <w:pPr>
        <w:rPr>
          <w:rFonts w:asciiTheme="minorEastAsia" w:hAnsiTheme="minorEastAsia" w:eastAsiaTheme="minorEastAsia" w:cstheme="minorEastAsia"/>
          <w:b/>
          <w:sz w:val="24"/>
          <w:szCs w:val="24"/>
        </w:rPr>
      </w:pPr>
      <w:bookmarkStart w:id="136" w:name="_Toc230166253"/>
      <w:bookmarkStart w:id="137" w:name="_Toc144974875"/>
      <w:bookmarkStart w:id="138" w:name="_Toc281577573"/>
      <w:bookmarkStart w:id="139" w:name="_Toc152042596"/>
      <w:bookmarkStart w:id="140" w:name="_Toc281577316"/>
      <w:bookmarkStart w:id="141" w:name="_Toc152045807"/>
      <w:bookmarkStart w:id="142" w:name="_Toc281579388"/>
      <w:bookmarkStart w:id="143" w:name="_Toc257985763"/>
      <w:bookmarkStart w:id="144" w:name="_Toc358276060"/>
      <w:bookmarkStart w:id="145" w:name="_Toc358274765"/>
      <w:bookmarkStart w:id="146" w:name="_Toc358275293"/>
      <w:r>
        <w:rPr>
          <w:rFonts w:hint="eastAsia" w:asciiTheme="minorEastAsia" w:hAnsiTheme="minorEastAsia" w:eastAsiaTheme="minorEastAsia" w:cstheme="minorEastAsia"/>
          <w:b/>
          <w:sz w:val="24"/>
          <w:szCs w:val="24"/>
        </w:rPr>
        <w:br w:type="page"/>
      </w:r>
    </w:p>
    <w:p>
      <w:pPr>
        <w:widowControl/>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sz w:val="24"/>
          <w:szCs w:val="24"/>
        </w:rPr>
        <w:t>附3：项目负责人无在建承诺书</w:t>
      </w:r>
    </w:p>
    <w:p>
      <w:pPr>
        <w:spacing w:line="360" w:lineRule="auto"/>
        <w:jc w:val="center"/>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（招标人名称）：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我方在此声明，我方拟派往</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（项目名称）（以下简称“本工程”）的</w:t>
      </w:r>
      <w:r>
        <w:rPr>
          <w:rFonts w:hint="eastAsia" w:asciiTheme="minorEastAsia" w:hAnsiTheme="minorEastAsia" w:eastAsiaTheme="minorEastAsia" w:cstheme="minorEastAsia"/>
          <w:sz w:val="24"/>
          <w:szCs w:val="22"/>
        </w:rPr>
        <w:t>项目负责人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（项目负责人姓名）现阶段未在其他项目中任职。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保证上述信息的真实和准确，若招标人发现上述信息存在虚假内容，招标人有权取消我单位中标资格、拒签或提前中止合同，并向有关建设主管部门上报作进一步处罚，同时我单位自愿接受招标人要求赔偿的相应损失并愿意承担因我方就此弄虚作假所引起的一切法律后果。</w:t>
      </w:r>
    </w:p>
    <w:p>
      <w:pPr>
        <w:spacing w:line="360" w:lineRule="auto"/>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特此承诺</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wordWrap w:val="0"/>
        <w:spacing w:line="36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投标人：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pPr>
        <w:wordWrap w:val="0"/>
        <w:spacing w:line="360" w:lineRule="auto"/>
        <w:ind w:right="420" w:firstLine="3988" w:firstLineChars="166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w:t>
      </w:r>
    </w:p>
    <w:p>
      <w:pPr>
        <w:spacing w:line="360" w:lineRule="auto"/>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pStyle w:val="25"/>
        <w:spacing w:before="0" w:line="360" w:lineRule="auto"/>
        <w:jc w:val="center"/>
        <w:outlineLvl w:val="3"/>
        <w:rPr>
          <w:rFonts w:asciiTheme="minorEastAsia" w:hAnsiTheme="minorEastAsia" w:eastAsiaTheme="minorEastAsia" w:cstheme="minorEastAsia"/>
          <w:szCs w:val="24"/>
        </w:rPr>
      </w:pPr>
      <w:r>
        <w:rPr>
          <w:rFonts w:hint="eastAsia" w:asciiTheme="minorEastAsia" w:hAnsiTheme="minorEastAsia" w:eastAsiaTheme="minorEastAsia" w:cstheme="minorEastAsia"/>
          <w:b/>
          <w:sz w:val="24"/>
          <w:szCs w:val="24"/>
        </w:rPr>
        <w:br w:type="page"/>
      </w:r>
      <w:bookmarkStart w:id="147" w:name="_Toc426467417"/>
      <w:bookmarkStart w:id="148" w:name="_Toc392081417"/>
      <w:bookmarkStart w:id="149" w:name="_Toc387851733"/>
      <w:r>
        <w:rPr>
          <w:rFonts w:hint="eastAsia" w:asciiTheme="minorEastAsia" w:hAnsiTheme="minorEastAsia" w:eastAsiaTheme="minorEastAsia" w:cstheme="minorEastAsia"/>
          <w:b/>
          <w:sz w:val="30"/>
          <w:szCs w:val="30"/>
        </w:rPr>
        <w:t>六、</w:t>
      </w:r>
      <w:bookmarkEnd w:id="136"/>
      <w:bookmarkEnd w:id="137"/>
      <w:bookmarkEnd w:id="138"/>
      <w:bookmarkEnd w:id="139"/>
      <w:bookmarkEnd w:id="140"/>
      <w:bookmarkEnd w:id="141"/>
      <w:bookmarkEnd w:id="142"/>
      <w:bookmarkEnd w:id="143"/>
      <w:r>
        <w:rPr>
          <w:rFonts w:hint="eastAsia" w:asciiTheme="minorEastAsia" w:hAnsiTheme="minorEastAsia" w:eastAsiaTheme="minorEastAsia" w:cstheme="minorEastAsia"/>
          <w:b/>
          <w:sz w:val="30"/>
          <w:szCs w:val="30"/>
        </w:rPr>
        <w:t>投标单位基本信息表</w:t>
      </w:r>
      <w:bookmarkEnd w:id="144"/>
      <w:bookmarkEnd w:id="145"/>
      <w:bookmarkEnd w:id="146"/>
      <w:bookmarkEnd w:id="147"/>
      <w:bookmarkEnd w:id="148"/>
      <w:bookmarkEnd w:id="149"/>
    </w:p>
    <w:tbl>
      <w:tblPr>
        <w:tblStyle w:val="18"/>
        <w:tblW w:w="91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956"/>
        <w:gridCol w:w="1012"/>
        <w:gridCol w:w="894"/>
        <w:gridCol w:w="447"/>
        <w:gridCol w:w="155"/>
        <w:gridCol w:w="1323"/>
        <w:gridCol w:w="521"/>
        <w:gridCol w:w="91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839"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w:t>
            </w:r>
          </w:p>
        </w:tc>
        <w:tc>
          <w:tcPr>
            <w:tcW w:w="7279" w:type="dxa"/>
            <w:gridSpan w:val="9"/>
            <w:vAlign w:val="center"/>
          </w:tcPr>
          <w:p>
            <w:pPr>
              <w:topLinePunct/>
              <w:spacing w:line="360" w:lineRule="auto"/>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39"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注册地址</w:t>
            </w:r>
          </w:p>
        </w:tc>
        <w:tc>
          <w:tcPr>
            <w:tcW w:w="3464" w:type="dxa"/>
            <w:gridSpan w:val="5"/>
            <w:vAlign w:val="center"/>
          </w:tcPr>
          <w:p>
            <w:pPr>
              <w:topLinePunct/>
              <w:spacing w:line="360" w:lineRule="auto"/>
              <w:jc w:val="center"/>
              <w:rPr>
                <w:rFonts w:asciiTheme="minorEastAsia" w:hAnsiTheme="minorEastAsia" w:eastAsiaTheme="minorEastAsia" w:cstheme="minorEastAsia"/>
                <w:sz w:val="24"/>
                <w:szCs w:val="24"/>
              </w:rPr>
            </w:pPr>
          </w:p>
        </w:tc>
        <w:tc>
          <w:tcPr>
            <w:tcW w:w="1323"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2492" w:type="dxa"/>
            <w:gridSpan w:val="3"/>
            <w:vAlign w:val="center"/>
          </w:tcPr>
          <w:p>
            <w:pPr>
              <w:topLinePunct/>
              <w:spacing w:line="360" w:lineRule="auto"/>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839" w:type="dxa"/>
            <w:vMerge w:val="restart"/>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p>
        </w:tc>
        <w:tc>
          <w:tcPr>
            <w:tcW w:w="956"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tc>
        <w:tc>
          <w:tcPr>
            <w:tcW w:w="2508" w:type="dxa"/>
            <w:gridSpan w:val="4"/>
            <w:vAlign w:val="center"/>
          </w:tcPr>
          <w:p>
            <w:pPr>
              <w:topLinePunct/>
              <w:spacing w:line="360" w:lineRule="auto"/>
              <w:jc w:val="center"/>
              <w:rPr>
                <w:rFonts w:asciiTheme="minorEastAsia" w:hAnsiTheme="minorEastAsia" w:eastAsiaTheme="minorEastAsia" w:cstheme="minorEastAsia"/>
                <w:sz w:val="24"/>
                <w:szCs w:val="24"/>
              </w:rPr>
            </w:pPr>
          </w:p>
        </w:tc>
        <w:tc>
          <w:tcPr>
            <w:tcW w:w="1323"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w:t>
            </w:r>
          </w:p>
        </w:tc>
        <w:tc>
          <w:tcPr>
            <w:tcW w:w="2492" w:type="dxa"/>
            <w:gridSpan w:val="3"/>
            <w:vAlign w:val="center"/>
          </w:tcPr>
          <w:p>
            <w:pPr>
              <w:topLinePunct/>
              <w:spacing w:line="360" w:lineRule="auto"/>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839" w:type="dxa"/>
            <w:vMerge w:val="continue"/>
            <w:vAlign w:val="center"/>
          </w:tcPr>
          <w:p>
            <w:pPr>
              <w:topLinePunct/>
              <w:spacing w:line="360" w:lineRule="auto"/>
              <w:jc w:val="center"/>
              <w:rPr>
                <w:rFonts w:asciiTheme="minorEastAsia" w:hAnsiTheme="minorEastAsia" w:eastAsiaTheme="minorEastAsia" w:cstheme="minorEastAsia"/>
                <w:sz w:val="24"/>
                <w:szCs w:val="24"/>
              </w:rPr>
            </w:pPr>
          </w:p>
        </w:tc>
        <w:tc>
          <w:tcPr>
            <w:tcW w:w="956"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  真</w:t>
            </w:r>
          </w:p>
        </w:tc>
        <w:tc>
          <w:tcPr>
            <w:tcW w:w="2508" w:type="dxa"/>
            <w:gridSpan w:val="4"/>
            <w:vAlign w:val="center"/>
          </w:tcPr>
          <w:p>
            <w:pPr>
              <w:topLinePunct/>
              <w:spacing w:line="360" w:lineRule="auto"/>
              <w:jc w:val="center"/>
              <w:rPr>
                <w:rFonts w:asciiTheme="minorEastAsia" w:hAnsiTheme="minorEastAsia" w:eastAsiaTheme="minorEastAsia" w:cstheme="minorEastAsia"/>
                <w:sz w:val="24"/>
                <w:szCs w:val="24"/>
              </w:rPr>
            </w:pPr>
          </w:p>
        </w:tc>
        <w:tc>
          <w:tcPr>
            <w:tcW w:w="1323"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 址</w:t>
            </w:r>
          </w:p>
        </w:tc>
        <w:tc>
          <w:tcPr>
            <w:tcW w:w="2492" w:type="dxa"/>
            <w:gridSpan w:val="3"/>
            <w:vAlign w:val="center"/>
          </w:tcPr>
          <w:p>
            <w:pPr>
              <w:topLinePunct/>
              <w:spacing w:line="360" w:lineRule="auto"/>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839"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组织结构</w:t>
            </w:r>
          </w:p>
        </w:tc>
        <w:tc>
          <w:tcPr>
            <w:tcW w:w="7279" w:type="dxa"/>
            <w:gridSpan w:val="9"/>
            <w:vAlign w:val="center"/>
          </w:tcPr>
          <w:p>
            <w:pPr>
              <w:topLinePunct/>
              <w:spacing w:line="360" w:lineRule="auto"/>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839"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p>
        </w:tc>
        <w:tc>
          <w:tcPr>
            <w:tcW w:w="956"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1012" w:type="dxa"/>
            <w:vAlign w:val="center"/>
          </w:tcPr>
          <w:p>
            <w:pPr>
              <w:topLinePunct/>
              <w:spacing w:line="360" w:lineRule="auto"/>
              <w:jc w:val="center"/>
              <w:rPr>
                <w:rFonts w:asciiTheme="minorEastAsia" w:hAnsiTheme="minorEastAsia" w:eastAsiaTheme="minorEastAsia" w:cstheme="minorEastAsia"/>
                <w:sz w:val="24"/>
                <w:szCs w:val="24"/>
              </w:rPr>
            </w:pPr>
          </w:p>
        </w:tc>
        <w:tc>
          <w:tcPr>
            <w:tcW w:w="1341" w:type="dxa"/>
            <w:gridSpan w:val="2"/>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技术职称</w:t>
            </w:r>
          </w:p>
        </w:tc>
        <w:tc>
          <w:tcPr>
            <w:tcW w:w="1999" w:type="dxa"/>
            <w:gridSpan w:val="3"/>
            <w:vAlign w:val="center"/>
          </w:tcPr>
          <w:p>
            <w:pPr>
              <w:topLinePunct/>
              <w:spacing w:line="360" w:lineRule="auto"/>
              <w:jc w:val="center"/>
              <w:rPr>
                <w:rFonts w:asciiTheme="minorEastAsia" w:hAnsiTheme="minorEastAsia" w:eastAsiaTheme="minorEastAsia" w:cstheme="minorEastAsia"/>
                <w:sz w:val="24"/>
                <w:szCs w:val="24"/>
              </w:rPr>
            </w:pPr>
          </w:p>
        </w:tc>
        <w:tc>
          <w:tcPr>
            <w:tcW w:w="915"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tc>
        <w:tc>
          <w:tcPr>
            <w:tcW w:w="1056" w:type="dxa"/>
            <w:vAlign w:val="center"/>
          </w:tcPr>
          <w:p>
            <w:pPr>
              <w:topLinePunct/>
              <w:spacing w:line="360" w:lineRule="auto"/>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839"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技术负责人</w:t>
            </w:r>
          </w:p>
        </w:tc>
        <w:tc>
          <w:tcPr>
            <w:tcW w:w="956"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1012" w:type="dxa"/>
            <w:vAlign w:val="center"/>
          </w:tcPr>
          <w:p>
            <w:pPr>
              <w:topLinePunct/>
              <w:spacing w:line="360" w:lineRule="auto"/>
              <w:jc w:val="center"/>
              <w:rPr>
                <w:rFonts w:asciiTheme="minorEastAsia" w:hAnsiTheme="minorEastAsia" w:eastAsiaTheme="minorEastAsia" w:cstheme="minorEastAsia"/>
                <w:sz w:val="24"/>
                <w:szCs w:val="24"/>
              </w:rPr>
            </w:pPr>
          </w:p>
        </w:tc>
        <w:tc>
          <w:tcPr>
            <w:tcW w:w="1341" w:type="dxa"/>
            <w:gridSpan w:val="2"/>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技术职称</w:t>
            </w:r>
          </w:p>
        </w:tc>
        <w:tc>
          <w:tcPr>
            <w:tcW w:w="1999" w:type="dxa"/>
            <w:gridSpan w:val="3"/>
            <w:vAlign w:val="center"/>
          </w:tcPr>
          <w:p>
            <w:pPr>
              <w:topLinePunct/>
              <w:spacing w:line="360" w:lineRule="auto"/>
              <w:jc w:val="center"/>
              <w:rPr>
                <w:rFonts w:asciiTheme="minorEastAsia" w:hAnsiTheme="minorEastAsia" w:eastAsiaTheme="minorEastAsia" w:cstheme="minorEastAsia"/>
                <w:sz w:val="24"/>
                <w:szCs w:val="24"/>
              </w:rPr>
            </w:pPr>
          </w:p>
        </w:tc>
        <w:tc>
          <w:tcPr>
            <w:tcW w:w="915"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tc>
        <w:tc>
          <w:tcPr>
            <w:tcW w:w="1056" w:type="dxa"/>
            <w:vAlign w:val="center"/>
          </w:tcPr>
          <w:p>
            <w:pPr>
              <w:topLinePunct/>
              <w:spacing w:line="360" w:lineRule="auto"/>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839"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成立时间</w:t>
            </w:r>
          </w:p>
        </w:tc>
        <w:tc>
          <w:tcPr>
            <w:tcW w:w="1968" w:type="dxa"/>
            <w:gridSpan w:val="2"/>
            <w:vAlign w:val="center"/>
          </w:tcPr>
          <w:p>
            <w:pPr>
              <w:topLinePunct/>
              <w:spacing w:line="360" w:lineRule="auto"/>
              <w:jc w:val="center"/>
              <w:rPr>
                <w:rFonts w:asciiTheme="minorEastAsia" w:hAnsiTheme="minorEastAsia" w:eastAsiaTheme="minorEastAsia" w:cstheme="minorEastAsia"/>
                <w:sz w:val="24"/>
                <w:szCs w:val="24"/>
              </w:rPr>
            </w:pPr>
          </w:p>
        </w:tc>
        <w:tc>
          <w:tcPr>
            <w:tcW w:w="5311" w:type="dxa"/>
            <w:gridSpan w:val="7"/>
            <w:vAlign w:val="center"/>
          </w:tcPr>
          <w:p>
            <w:pPr>
              <w:topLinePunct/>
              <w:spacing w:line="360" w:lineRule="auto"/>
              <w:ind w:firstLine="120" w:firstLineChars="5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839"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企业资质等级</w:t>
            </w:r>
          </w:p>
        </w:tc>
        <w:tc>
          <w:tcPr>
            <w:tcW w:w="1968" w:type="dxa"/>
            <w:gridSpan w:val="2"/>
            <w:vAlign w:val="center"/>
          </w:tcPr>
          <w:p>
            <w:pPr>
              <w:topLinePunct/>
              <w:spacing w:line="360" w:lineRule="auto"/>
              <w:jc w:val="center"/>
              <w:rPr>
                <w:rFonts w:asciiTheme="minorEastAsia" w:hAnsiTheme="minorEastAsia" w:eastAsiaTheme="minorEastAsia" w:cstheme="minorEastAsia"/>
                <w:sz w:val="24"/>
                <w:szCs w:val="24"/>
              </w:rPr>
            </w:pPr>
          </w:p>
        </w:tc>
        <w:tc>
          <w:tcPr>
            <w:tcW w:w="894" w:type="dxa"/>
            <w:vMerge w:val="restart"/>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w:t>
            </w:r>
          </w:p>
        </w:tc>
        <w:tc>
          <w:tcPr>
            <w:tcW w:w="2446" w:type="dxa"/>
            <w:gridSpan w:val="4"/>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w:t>
            </w:r>
          </w:p>
        </w:tc>
        <w:tc>
          <w:tcPr>
            <w:tcW w:w="1971" w:type="dxa"/>
            <w:gridSpan w:val="2"/>
            <w:vAlign w:val="center"/>
          </w:tcPr>
          <w:p>
            <w:pPr>
              <w:topLinePunct/>
              <w:spacing w:line="360" w:lineRule="auto"/>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839"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w:t>
            </w:r>
          </w:p>
        </w:tc>
        <w:tc>
          <w:tcPr>
            <w:tcW w:w="1968" w:type="dxa"/>
            <w:gridSpan w:val="2"/>
            <w:vAlign w:val="center"/>
          </w:tcPr>
          <w:p>
            <w:pPr>
              <w:topLinePunct/>
              <w:spacing w:line="360" w:lineRule="auto"/>
              <w:jc w:val="center"/>
              <w:rPr>
                <w:rFonts w:asciiTheme="minorEastAsia" w:hAnsiTheme="minorEastAsia" w:eastAsiaTheme="minorEastAsia" w:cstheme="minorEastAsia"/>
                <w:sz w:val="24"/>
                <w:szCs w:val="24"/>
              </w:rPr>
            </w:pPr>
          </w:p>
        </w:tc>
        <w:tc>
          <w:tcPr>
            <w:tcW w:w="894" w:type="dxa"/>
            <w:vMerge w:val="continue"/>
            <w:vAlign w:val="center"/>
          </w:tcPr>
          <w:p>
            <w:pPr>
              <w:topLinePunct/>
              <w:spacing w:line="360" w:lineRule="auto"/>
              <w:jc w:val="center"/>
              <w:rPr>
                <w:rFonts w:asciiTheme="minorEastAsia" w:hAnsiTheme="minorEastAsia" w:eastAsiaTheme="minorEastAsia" w:cstheme="minorEastAsia"/>
                <w:sz w:val="24"/>
                <w:szCs w:val="24"/>
              </w:rPr>
            </w:pPr>
          </w:p>
        </w:tc>
        <w:tc>
          <w:tcPr>
            <w:tcW w:w="2446" w:type="dxa"/>
            <w:gridSpan w:val="4"/>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高级职称人员</w:t>
            </w:r>
          </w:p>
        </w:tc>
        <w:tc>
          <w:tcPr>
            <w:tcW w:w="1971" w:type="dxa"/>
            <w:gridSpan w:val="2"/>
            <w:vAlign w:val="center"/>
          </w:tcPr>
          <w:p>
            <w:pPr>
              <w:topLinePunct/>
              <w:spacing w:line="360" w:lineRule="auto"/>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839"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968" w:type="dxa"/>
            <w:gridSpan w:val="2"/>
            <w:vAlign w:val="center"/>
          </w:tcPr>
          <w:p>
            <w:pPr>
              <w:topLinePunct/>
              <w:spacing w:line="360" w:lineRule="auto"/>
              <w:jc w:val="center"/>
              <w:rPr>
                <w:rFonts w:asciiTheme="minorEastAsia" w:hAnsiTheme="minorEastAsia" w:eastAsiaTheme="minorEastAsia" w:cstheme="minorEastAsia"/>
                <w:sz w:val="24"/>
                <w:szCs w:val="24"/>
              </w:rPr>
            </w:pPr>
          </w:p>
        </w:tc>
        <w:tc>
          <w:tcPr>
            <w:tcW w:w="894" w:type="dxa"/>
            <w:vMerge w:val="continue"/>
            <w:vAlign w:val="center"/>
          </w:tcPr>
          <w:p>
            <w:pPr>
              <w:topLinePunct/>
              <w:spacing w:line="360" w:lineRule="auto"/>
              <w:jc w:val="center"/>
              <w:rPr>
                <w:rFonts w:asciiTheme="minorEastAsia" w:hAnsiTheme="minorEastAsia" w:eastAsiaTheme="minorEastAsia" w:cstheme="minorEastAsia"/>
                <w:sz w:val="24"/>
                <w:szCs w:val="24"/>
              </w:rPr>
            </w:pPr>
          </w:p>
        </w:tc>
        <w:tc>
          <w:tcPr>
            <w:tcW w:w="2446" w:type="dxa"/>
            <w:gridSpan w:val="4"/>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中级职称人员</w:t>
            </w:r>
          </w:p>
        </w:tc>
        <w:tc>
          <w:tcPr>
            <w:tcW w:w="1971" w:type="dxa"/>
            <w:gridSpan w:val="2"/>
            <w:vAlign w:val="center"/>
          </w:tcPr>
          <w:p>
            <w:pPr>
              <w:topLinePunct/>
              <w:spacing w:line="360" w:lineRule="auto"/>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839"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p>
        </w:tc>
        <w:tc>
          <w:tcPr>
            <w:tcW w:w="1968" w:type="dxa"/>
            <w:gridSpan w:val="2"/>
            <w:vAlign w:val="center"/>
          </w:tcPr>
          <w:p>
            <w:pPr>
              <w:topLinePunct/>
              <w:spacing w:line="360" w:lineRule="auto"/>
              <w:jc w:val="center"/>
              <w:rPr>
                <w:rFonts w:asciiTheme="minorEastAsia" w:hAnsiTheme="minorEastAsia" w:eastAsiaTheme="minorEastAsia" w:cstheme="minorEastAsia"/>
                <w:sz w:val="24"/>
                <w:szCs w:val="24"/>
              </w:rPr>
            </w:pPr>
          </w:p>
        </w:tc>
        <w:tc>
          <w:tcPr>
            <w:tcW w:w="894" w:type="dxa"/>
            <w:vMerge w:val="continue"/>
            <w:vAlign w:val="center"/>
          </w:tcPr>
          <w:p>
            <w:pPr>
              <w:topLinePunct/>
              <w:spacing w:line="360" w:lineRule="auto"/>
              <w:jc w:val="center"/>
              <w:rPr>
                <w:rFonts w:asciiTheme="minorEastAsia" w:hAnsiTheme="minorEastAsia" w:eastAsiaTheme="minorEastAsia" w:cstheme="minorEastAsia"/>
                <w:sz w:val="24"/>
                <w:szCs w:val="24"/>
              </w:rPr>
            </w:pPr>
          </w:p>
        </w:tc>
        <w:tc>
          <w:tcPr>
            <w:tcW w:w="2446" w:type="dxa"/>
            <w:gridSpan w:val="4"/>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初级职称人员</w:t>
            </w:r>
          </w:p>
        </w:tc>
        <w:tc>
          <w:tcPr>
            <w:tcW w:w="1971" w:type="dxa"/>
            <w:gridSpan w:val="2"/>
            <w:vAlign w:val="center"/>
          </w:tcPr>
          <w:p>
            <w:pPr>
              <w:topLinePunct/>
              <w:spacing w:line="360" w:lineRule="auto"/>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839"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tc>
        <w:tc>
          <w:tcPr>
            <w:tcW w:w="1968" w:type="dxa"/>
            <w:gridSpan w:val="2"/>
            <w:vAlign w:val="center"/>
          </w:tcPr>
          <w:p>
            <w:pPr>
              <w:topLinePunct/>
              <w:spacing w:line="360" w:lineRule="auto"/>
              <w:jc w:val="center"/>
              <w:rPr>
                <w:rFonts w:asciiTheme="minorEastAsia" w:hAnsiTheme="minorEastAsia" w:eastAsiaTheme="minorEastAsia" w:cstheme="minorEastAsia"/>
                <w:sz w:val="24"/>
                <w:szCs w:val="24"/>
              </w:rPr>
            </w:pPr>
          </w:p>
        </w:tc>
        <w:tc>
          <w:tcPr>
            <w:tcW w:w="894" w:type="dxa"/>
            <w:vMerge w:val="continue"/>
            <w:vAlign w:val="center"/>
          </w:tcPr>
          <w:p>
            <w:pPr>
              <w:topLinePunct/>
              <w:spacing w:line="360" w:lineRule="auto"/>
              <w:jc w:val="center"/>
              <w:rPr>
                <w:rFonts w:asciiTheme="minorEastAsia" w:hAnsiTheme="minorEastAsia" w:eastAsiaTheme="minorEastAsia" w:cstheme="minorEastAsia"/>
                <w:sz w:val="24"/>
                <w:szCs w:val="24"/>
              </w:rPr>
            </w:pPr>
          </w:p>
        </w:tc>
        <w:tc>
          <w:tcPr>
            <w:tcW w:w="2446" w:type="dxa"/>
            <w:gridSpan w:val="4"/>
            <w:vAlign w:val="center"/>
          </w:tcPr>
          <w:p>
            <w:pPr>
              <w:pStyle w:val="13"/>
              <w:spacing w:before="0" w:after="0" w:line="360" w:lineRule="auto"/>
              <w:jc w:val="center"/>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技  工</w:t>
            </w:r>
          </w:p>
        </w:tc>
        <w:tc>
          <w:tcPr>
            <w:tcW w:w="1971" w:type="dxa"/>
            <w:gridSpan w:val="2"/>
            <w:vAlign w:val="center"/>
          </w:tcPr>
          <w:p>
            <w:pPr>
              <w:topLinePunct/>
              <w:spacing w:line="360" w:lineRule="auto"/>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jc w:val="center"/>
        </w:trPr>
        <w:tc>
          <w:tcPr>
            <w:tcW w:w="1839" w:type="dxa"/>
            <w:vAlign w:val="center"/>
          </w:tcPr>
          <w:p>
            <w:pPr>
              <w:topLinePunct/>
              <w:spacing w:line="360" w:lineRule="auto"/>
              <w:ind w:firstLine="240" w:firstLineChars="1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w:t>
            </w:r>
          </w:p>
        </w:tc>
        <w:tc>
          <w:tcPr>
            <w:tcW w:w="7279" w:type="dxa"/>
            <w:gridSpan w:val="9"/>
            <w:vAlign w:val="center"/>
          </w:tcPr>
          <w:p>
            <w:pPr>
              <w:topLinePunct/>
              <w:spacing w:line="360" w:lineRule="auto"/>
              <w:jc w:val="center"/>
              <w:rPr>
                <w:rFonts w:asciiTheme="minorEastAsia" w:hAnsiTheme="minorEastAsia" w:eastAsiaTheme="minorEastAsia" w:cstheme="minorEastAsia"/>
                <w:sz w:val="24"/>
                <w:szCs w:val="24"/>
              </w:rPr>
            </w:pPr>
          </w:p>
          <w:p>
            <w:pPr>
              <w:topLinePunct/>
              <w:spacing w:line="360" w:lineRule="auto"/>
              <w:jc w:val="center"/>
              <w:rPr>
                <w:rFonts w:asciiTheme="minorEastAsia" w:hAnsiTheme="minorEastAsia" w:eastAsiaTheme="minorEastAsia" w:cstheme="minorEastAsia"/>
                <w:sz w:val="24"/>
                <w:szCs w:val="24"/>
              </w:rPr>
            </w:pPr>
          </w:p>
          <w:p>
            <w:pPr>
              <w:topLinePunct/>
              <w:spacing w:line="360" w:lineRule="auto"/>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839" w:type="dxa"/>
            <w:vAlign w:val="center"/>
          </w:tcPr>
          <w:p>
            <w:pPr>
              <w:topLinePunct/>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c>
          <w:tcPr>
            <w:tcW w:w="7279" w:type="dxa"/>
            <w:gridSpan w:val="9"/>
            <w:vAlign w:val="center"/>
          </w:tcPr>
          <w:p>
            <w:pPr>
              <w:topLinePunct/>
              <w:spacing w:line="360" w:lineRule="auto"/>
              <w:jc w:val="center"/>
              <w:rPr>
                <w:rFonts w:asciiTheme="minorEastAsia" w:hAnsiTheme="minorEastAsia" w:eastAsiaTheme="minorEastAsia" w:cstheme="minorEastAsia"/>
                <w:sz w:val="24"/>
                <w:szCs w:val="24"/>
              </w:rPr>
            </w:pPr>
          </w:p>
        </w:tc>
      </w:tr>
    </w:tbl>
    <w:p>
      <w:pPr>
        <w:pStyle w:val="25"/>
        <w:spacing w:before="0" w:line="360" w:lineRule="auto"/>
        <w:jc w:val="center"/>
        <w:outlineLvl w:val="3"/>
        <w:rPr>
          <w:rFonts w:asciiTheme="minorEastAsia" w:hAnsiTheme="minorEastAsia" w:eastAsiaTheme="minorEastAsia" w:cstheme="minorEastAsia"/>
          <w:b/>
          <w:szCs w:val="24"/>
        </w:rPr>
      </w:pPr>
      <w:bookmarkStart w:id="150" w:name="_Toc358275294"/>
      <w:bookmarkStart w:id="151" w:name="_Toc358276061"/>
      <w:bookmarkStart w:id="152" w:name="_Toc358274766"/>
      <w:r>
        <w:rPr>
          <w:rFonts w:hint="eastAsia" w:asciiTheme="minorEastAsia" w:hAnsiTheme="minorEastAsia" w:eastAsiaTheme="minorEastAsia" w:cstheme="minorEastAsia"/>
          <w:b/>
          <w:szCs w:val="24"/>
        </w:rPr>
        <w:br w:type="page"/>
      </w:r>
      <w:bookmarkStart w:id="153" w:name="_Toc392081418"/>
      <w:bookmarkStart w:id="154" w:name="_Toc426467418"/>
      <w:bookmarkStart w:id="155" w:name="_Toc387851734"/>
    </w:p>
    <w:p>
      <w:pPr>
        <w:pStyle w:val="25"/>
        <w:spacing w:before="0" w:line="360" w:lineRule="auto"/>
        <w:jc w:val="center"/>
        <w:outlineLvl w:val="3"/>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七、资格证明文件</w:t>
      </w:r>
      <w:bookmarkEnd w:id="150"/>
      <w:bookmarkEnd w:id="151"/>
      <w:bookmarkEnd w:id="152"/>
      <w:bookmarkEnd w:id="153"/>
      <w:bookmarkEnd w:id="154"/>
      <w:bookmarkEnd w:id="155"/>
    </w:p>
    <w:p>
      <w:pPr>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rPr>
        <w:t xml:space="preserve">    </w:t>
      </w:r>
    </w:p>
    <w:bookmarkEnd w:id="106"/>
    <w:bookmarkEnd w:id="107"/>
    <w:bookmarkEnd w:id="108"/>
    <w:bookmarkEnd w:id="109"/>
    <w:bookmarkEnd w:id="110"/>
    <w:bookmarkEnd w:id="111"/>
    <w:bookmarkEnd w:id="112"/>
    <w:bookmarkEnd w:id="113"/>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pStyle w:val="25"/>
        <w:spacing w:before="0" w:line="360" w:lineRule="auto"/>
        <w:jc w:val="center"/>
        <w:outlineLvl w:val="3"/>
        <w:rPr>
          <w:rFonts w:asciiTheme="minorEastAsia" w:hAnsiTheme="minorEastAsia" w:eastAsiaTheme="minorEastAsia" w:cstheme="minorEastAsia"/>
          <w:b/>
          <w:szCs w:val="24"/>
        </w:rPr>
      </w:pPr>
      <w:bookmarkStart w:id="156" w:name="_Toc426467419"/>
      <w:bookmarkStart w:id="157" w:name="_Toc392081419"/>
      <w:bookmarkStart w:id="158" w:name="_Toc387851735"/>
      <w:r>
        <w:rPr>
          <w:rFonts w:hint="eastAsia" w:asciiTheme="minorEastAsia" w:hAnsiTheme="minorEastAsia" w:eastAsiaTheme="minorEastAsia" w:cstheme="minorEastAsia"/>
          <w:b/>
          <w:sz w:val="30"/>
          <w:szCs w:val="30"/>
        </w:rPr>
        <w:t>八、近年财务状况</w:t>
      </w:r>
      <w:bookmarkEnd w:id="156"/>
      <w:bookmarkEnd w:id="157"/>
      <w:bookmarkEnd w:id="158"/>
    </w:p>
    <w:p>
      <w:pPr>
        <w:topLinePunct/>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在此附会计师事所或审计机构审计的财务会计报表，具体年份要求见第二章“投标人须知”的规定。</w:t>
      </w:r>
    </w:p>
    <w:p>
      <w:pPr>
        <w:pStyle w:val="25"/>
        <w:spacing w:before="0" w:line="360" w:lineRule="auto"/>
        <w:jc w:val="center"/>
        <w:outlineLvl w:val="3"/>
        <w:rPr>
          <w:rFonts w:asciiTheme="minorEastAsia" w:hAnsiTheme="minorEastAsia" w:eastAsiaTheme="minorEastAsia" w:cstheme="minorEastAsia"/>
          <w:b/>
          <w:szCs w:val="24"/>
        </w:rPr>
      </w:pPr>
      <w:r>
        <w:rPr>
          <w:rFonts w:hint="eastAsia" w:asciiTheme="minorEastAsia" w:hAnsiTheme="minorEastAsia" w:eastAsiaTheme="minorEastAsia" w:cstheme="minorEastAsia"/>
          <w:b/>
          <w:sz w:val="24"/>
          <w:szCs w:val="24"/>
        </w:rPr>
        <w:br w:type="page"/>
      </w:r>
      <w:bookmarkStart w:id="159" w:name="_Toc426467420"/>
      <w:bookmarkStart w:id="160" w:name="_Toc392081420"/>
      <w:r>
        <w:rPr>
          <w:rFonts w:hint="eastAsia" w:asciiTheme="minorEastAsia" w:hAnsiTheme="minorEastAsia" w:eastAsiaTheme="minorEastAsia" w:cstheme="minorEastAsia"/>
          <w:b/>
          <w:sz w:val="30"/>
          <w:szCs w:val="30"/>
        </w:rPr>
        <w:t>九、近年完成的类似项目情况</w:t>
      </w:r>
      <w:bookmarkEnd w:id="159"/>
      <w:bookmarkEnd w:id="160"/>
    </w:p>
    <w:tbl>
      <w:tblPr>
        <w:tblStyle w:val="1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项目所在地</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发包人名称</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发包人地址</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发包人电话</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合同价格</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开工日期</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竣工日期</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承担的工作</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工程质量</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技术负责人</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总监理工程师及电话</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9"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项目描述</w:t>
            </w:r>
          </w:p>
        </w:tc>
        <w:tc>
          <w:tcPr>
            <w:tcW w:w="6675" w:type="dxa"/>
            <w:vAlign w:val="center"/>
          </w:tcPr>
          <w:p>
            <w:pPr>
              <w:autoSpaceDE w:val="0"/>
              <w:autoSpaceDN w:val="0"/>
              <w:adjustRightInd w:val="0"/>
              <w:spacing w:line="360" w:lineRule="auto"/>
              <w:ind w:right="215"/>
              <w:rPr>
                <w:rFonts w:asciiTheme="minorEastAsia" w:hAnsiTheme="minorEastAsia" w:eastAsiaTheme="minorEastAsia" w:cstheme="minorEastAsia"/>
                <w:sz w:val="24"/>
                <w:szCs w:val="24"/>
              </w:rPr>
            </w:pPr>
          </w:p>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p>
            <w:pPr>
              <w:autoSpaceDE w:val="0"/>
              <w:autoSpaceDN w:val="0"/>
              <w:adjustRightInd w:val="0"/>
              <w:spacing w:line="360" w:lineRule="auto"/>
              <w:ind w:right="215"/>
              <w:rPr>
                <w:rFonts w:asciiTheme="minorEastAsia" w:hAnsiTheme="minorEastAsia" w:eastAsiaTheme="minorEastAsia" w:cstheme="minorEastAsia"/>
                <w:sz w:val="24"/>
                <w:szCs w:val="24"/>
              </w:rPr>
            </w:pPr>
          </w:p>
        </w:tc>
      </w:tr>
    </w:tbl>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注：本表后须附相应的</w:t>
      </w:r>
      <w:r>
        <w:rPr>
          <w:rFonts w:hint="eastAsia" w:asciiTheme="minorEastAsia" w:hAnsiTheme="minorEastAsia" w:eastAsiaTheme="minorEastAsia" w:cstheme="minorEastAsia"/>
          <w:kern w:val="2"/>
          <w:sz w:val="24"/>
          <w:szCs w:val="24"/>
        </w:rPr>
        <w:t>合同、中标通知书或竣工备案表、合同扫描件或复印件</w:t>
      </w:r>
      <w:r>
        <w:rPr>
          <w:rFonts w:hint="eastAsia" w:asciiTheme="minorEastAsia" w:hAnsiTheme="minorEastAsia" w:eastAsiaTheme="minorEastAsia" w:cstheme="minorEastAsia"/>
          <w:sz w:val="24"/>
        </w:rPr>
        <w:t>。</w:t>
      </w:r>
    </w:p>
    <w:p>
      <w:pPr>
        <w:spacing w:line="360" w:lineRule="auto"/>
        <w:rPr>
          <w:rFonts w:asciiTheme="minorEastAsia" w:hAnsiTheme="minorEastAsia" w:eastAsiaTheme="minorEastAsia" w:cstheme="minorEastAsia"/>
          <w:sz w:val="24"/>
        </w:rPr>
      </w:pPr>
    </w:p>
    <w:p>
      <w:pPr>
        <w:pStyle w:val="25"/>
        <w:spacing w:before="0" w:line="360" w:lineRule="auto"/>
        <w:jc w:val="center"/>
        <w:outlineLvl w:val="3"/>
        <w:rPr>
          <w:rFonts w:asciiTheme="minorEastAsia" w:hAnsiTheme="minorEastAsia" w:eastAsiaTheme="minorEastAsia" w:cstheme="minorEastAsia"/>
          <w:b/>
          <w:szCs w:val="24"/>
        </w:rPr>
      </w:pPr>
      <w:bookmarkStart w:id="161" w:name="_Toc358276064"/>
      <w:bookmarkStart w:id="162" w:name="_Toc358275297"/>
      <w:bookmarkStart w:id="163" w:name="_Toc358274769"/>
      <w:r>
        <w:rPr>
          <w:rFonts w:hint="eastAsia" w:asciiTheme="minorEastAsia" w:hAnsiTheme="minorEastAsia" w:eastAsiaTheme="minorEastAsia" w:cstheme="minorEastAsia"/>
          <w:kern w:val="0"/>
          <w:sz w:val="24"/>
        </w:rPr>
        <w:br w:type="page"/>
      </w:r>
      <w:bookmarkStart w:id="164" w:name="_Toc426467421"/>
      <w:bookmarkStart w:id="165" w:name="_Toc392081421"/>
      <w:bookmarkStart w:id="166" w:name="_Toc387851737"/>
      <w:r>
        <w:rPr>
          <w:rFonts w:hint="eastAsia" w:asciiTheme="minorEastAsia" w:hAnsiTheme="minorEastAsia" w:eastAsiaTheme="minorEastAsia" w:cstheme="minorEastAsia"/>
          <w:b/>
          <w:sz w:val="30"/>
          <w:szCs w:val="30"/>
        </w:rPr>
        <w:t>十、正在施工的和新承接的项目情况</w:t>
      </w:r>
      <w:bookmarkEnd w:id="161"/>
      <w:bookmarkEnd w:id="162"/>
      <w:bookmarkEnd w:id="163"/>
      <w:bookmarkEnd w:id="164"/>
      <w:bookmarkEnd w:id="165"/>
      <w:bookmarkEnd w:id="166"/>
    </w:p>
    <w:tbl>
      <w:tblPr>
        <w:tblStyle w:val="1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项目所在地</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发包人名称</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发包人地址</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发包人电话</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签约合同价</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开工日期</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计划竣工日期</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承担的工作</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工程质量</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技术负责人</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总监理工程师及电话</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7"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项目描述</w:t>
            </w:r>
          </w:p>
        </w:tc>
        <w:tc>
          <w:tcPr>
            <w:tcW w:w="6675" w:type="dxa"/>
            <w:vAlign w:val="center"/>
          </w:tcPr>
          <w:p>
            <w:pPr>
              <w:autoSpaceDE w:val="0"/>
              <w:autoSpaceDN w:val="0"/>
              <w:adjustRightInd w:val="0"/>
              <w:spacing w:line="360" w:lineRule="auto"/>
              <w:ind w:right="215"/>
              <w:rPr>
                <w:rFonts w:asciiTheme="minorEastAsia" w:hAnsiTheme="minorEastAsia" w:eastAsiaTheme="minorEastAsia" w:cstheme="minorEastAsia"/>
                <w:sz w:val="24"/>
                <w:szCs w:val="24"/>
              </w:rPr>
            </w:pPr>
          </w:p>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c>
          <w:tcPr>
            <w:tcW w:w="667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szCs w:val="24"/>
              </w:rPr>
            </w:pPr>
          </w:p>
          <w:p>
            <w:pPr>
              <w:autoSpaceDE w:val="0"/>
              <w:autoSpaceDN w:val="0"/>
              <w:adjustRightInd w:val="0"/>
              <w:spacing w:line="360" w:lineRule="auto"/>
              <w:ind w:right="215"/>
              <w:rPr>
                <w:rFonts w:asciiTheme="minorEastAsia" w:hAnsiTheme="minorEastAsia" w:eastAsiaTheme="minorEastAsia" w:cstheme="minorEastAsia"/>
                <w:sz w:val="24"/>
                <w:szCs w:val="24"/>
              </w:rPr>
            </w:pPr>
          </w:p>
        </w:tc>
      </w:tr>
    </w:tbl>
    <w:p>
      <w:pPr>
        <w:topLinePunct/>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注：本表后须附相应的合同协议书、中标合同的扫描件或复印件。</w:t>
      </w:r>
    </w:p>
    <w:p>
      <w:pPr>
        <w:topLinePunct/>
        <w:spacing w:line="360" w:lineRule="auto"/>
        <w:jc w:val="center"/>
        <w:rPr>
          <w:rFonts w:asciiTheme="minorEastAsia" w:hAnsiTheme="minorEastAsia" w:eastAsiaTheme="minorEastAsia" w:cstheme="minorEastAsia"/>
          <w:sz w:val="24"/>
          <w:szCs w:val="24"/>
        </w:rPr>
      </w:pPr>
    </w:p>
    <w:p>
      <w:pPr>
        <w:pStyle w:val="25"/>
        <w:spacing w:before="0" w:line="360" w:lineRule="auto"/>
        <w:jc w:val="center"/>
        <w:outlineLvl w:val="3"/>
        <w:rPr>
          <w:rFonts w:asciiTheme="minorEastAsia" w:hAnsiTheme="minorEastAsia" w:eastAsiaTheme="minorEastAsia" w:cstheme="minorEastAsia"/>
          <w:b/>
          <w:sz w:val="30"/>
          <w:szCs w:val="30"/>
        </w:rPr>
      </w:pPr>
      <w:bookmarkStart w:id="167" w:name="_Toc358274770"/>
      <w:bookmarkStart w:id="168" w:name="_Toc358276065"/>
      <w:bookmarkStart w:id="169" w:name="_Toc358275298"/>
      <w:r>
        <w:rPr>
          <w:rFonts w:hint="eastAsia" w:asciiTheme="minorEastAsia" w:hAnsiTheme="minorEastAsia" w:eastAsiaTheme="minorEastAsia" w:cstheme="minorEastAsia"/>
          <w:b/>
          <w:sz w:val="30"/>
          <w:szCs w:val="30"/>
        </w:rPr>
        <w:br w:type="page"/>
      </w:r>
      <w:bookmarkStart w:id="170" w:name="_Toc426467422"/>
      <w:bookmarkStart w:id="171" w:name="_Toc387851738"/>
      <w:bookmarkStart w:id="172" w:name="_Toc392081422"/>
      <w:r>
        <w:rPr>
          <w:rFonts w:hint="eastAsia" w:asciiTheme="minorEastAsia" w:hAnsiTheme="minorEastAsia" w:eastAsiaTheme="minorEastAsia" w:cstheme="minorEastAsia"/>
          <w:b/>
          <w:sz w:val="30"/>
          <w:szCs w:val="30"/>
        </w:rPr>
        <w:t>十一、近年发生的诉讼及仲裁情况</w:t>
      </w:r>
      <w:bookmarkEnd w:id="167"/>
      <w:bookmarkEnd w:id="168"/>
      <w:bookmarkEnd w:id="169"/>
      <w:bookmarkEnd w:id="170"/>
      <w:bookmarkEnd w:id="171"/>
      <w:bookmarkEnd w:id="172"/>
    </w:p>
    <w:p>
      <w:pPr>
        <w:topLinePunct/>
        <w:spacing w:line="360" w:lineRule="auto"/>
        <w:ind w:left="991" w:hanging="991" w:hangingChars="413"/>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说明：1.具体年份要求见投标人须知前附表。</w:t>
      </w:r>
    </w:p>
    <w:p>
      <w:pPr>
        <w:numPr>
          <w:ilvl w:val="0"/>
          <w:numId w:val="3"/>
        </w:numPr>
        <w:topLinePunct/>
        <w:spacing w:line="360" w:lineRule="auto"/>
        <w:ind w:firstLine="720" w:firstLineChars="3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若投标人近年无诉讼及仲裁情况，此部分内容写“无”即可。</w:t>
      </w: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topLinePunct/>
        <w:spacing w:line="360" w:lineRule="auto"/>
        <w:jc w:val="left"/>
        <w:rPr>
          <w:rFonts w:asciiTheme="minorEastAsia" w:hAnsiTheme="minorEastAsia" w:eastAsiaTheme="minorEastAsia" w:cstheme="minorEastAsia"/>
          <w:sz w:val="24"/>
        </w:rPr>
      </w:pPr>
    </w:p>
    <w:p>
      <w:pPr>
        <w:pStyle w:val="25"/>
        <w:spacing w:before="0" w:line="360" w:lineRule="auto"/>
        <w:jc w:val="center"/>
        <w:outlineLvl w:val="3"/>
        <w:rPr>
          <w:rFonts w:asciiTheme="minorEastAsia" w:hAnsiTheme="minorEastAsia" w:eastAsiaTheme="minorEastAsia" w:cstheme="minorEastAsia"/>
          <w:b/>
          <w:sz w:val="30"/>
          <w:szCs w:val="30"/>
        </w:rPr>
      </w:pPr>
      <w:bookmarkStart w:id="173" w:name="_Toc387851739"/>
      <w:bookmarkStart w:id="174" w:name="_Toc392081423"/>
      <w:bookmarkStart w:id="175" w:name="_Toc426467423"/>
      <w:r>
        <w:rPr>
          <w:rFonts w:hint="eastAsia" w:asciiTheme="minorEastAsia" w:hAnsiTheme="minorEastAsia" w:eastAsiaTheme="minorEastAsia" w:cstheme="minorEastAsia"/>
          <w:b/>
          <w:sz w:val="30"/>
          <w:szCs w:val="30"/>
        </w:rPr>
        <w:t>十二、承诺书</w:t>
      </w:r>
      <w:bookmarkEnd w:id="173"/>
      <w:bookmarkEnd w:id="174"/>
      <w:bookmarkEnd w:id="175"/>
    </w:p>
    <w:p>
      <w:pPr>
        <w:rPr>
          <w:rFonts w:hAnsi="宋体" w:cs="宋体"/>
          <w:sz w:val="24"/>
          <w:szCs w:val="15"/>
        </w:rPr>
      </w:pPr>
      <w:r>
        <w:rPr>
          <w:rFonts w:hint="eastAsia" w:hAnsi="宋体" w:cs="宋体"/>
          <w:sz w:val="24"/>
          <w:szCs w:val="15"/>
        </w:rPr>
        <w:t>附件：</w:t>
      </w:r>
    </w:p>
    <w:p>
      <w:pPr>
        <w:jc w:val="center"/>
        <w:rPr>
          <w:rFonts w:hAnsi="宋体" w:cs="宋体"/>
          <w:b/>
          <w:sz w:val="21"/>
          <w:szCs w:val="21"/>
        </w:rPr>
      </w:pPr>
      <w:r>
        <w:rPr>
          <w:rFonts w:hint="eastAsia" w:hAnsi="宋体" w:cs="宋体"/>
          <w:b/>
          <w:sz w:val="21"/>
          <w:szCs w:val="21"/>
        </w:rPr>
        <w:t>承诺书</w:t>
      </w:r>
    </w:p>
    <w:p>
      <w:pPr>
        <w:spacing w:line="440" w:lineRule="exact"/>
        <w:rPr>
          <w:rFonts w:hAnsi="宋体" w:cs="宋体"/>
          <w:b/>
          <w:sz w:val="24"/>
          <w:szCs w:val="16"/>
        </w:rPr>
      </w:pPr>
    </w:p>
    <w:p>
      <w:pPr>
        <w:spacing w:line="440" w:lineRule="exact"/>
        <w:jc w:val="left"/>
        <w:rPr>
          <w:rFonts w:hAnsi="宋体" w:cs="宋体"/>
          <w:sz w:val="24"/>
          <w:szCs w:val="16"/>
        </w:rPr>
      </w:pPr>
      <w:r>
        <w:rPr>
          <w:rFonts w:hint="eastAsia" w:hAnsi="宋体" w:cs="宋体"/>
          <w:sz w:val="24"/>
          <w:szCs w:val="16"/>
        </w:rPr>
        <w:t>（招标人名称）：</w:t>
      </w:r>
    </w:p>
    <w:p>
      <w:pPr>
        <w:spacing w:line="440" w:lineRule="exact"/>
        <w:ind w:firstLine="480" w:firstLineChars="200"/>
        <w:rPr>
          <w:rFonts w:hAnsi="宋体" w:cs="宋体"/>
          <w:sz w:val="24"/>
          <w:szCs w:val="16"/>
        </w:rPr>
      </w:pPr>
      <w:r>
        <w:rPr>
          <w:rFonts w:hint="eastAsia" w:hAnsi="宋体" w:cs="宋体"/>
          <w:sz w:val="24"/>
          <w:szCs w:val="16"/>
        </w:rPr>
        <w:t>（1）鉴于我方参与（项目名称）施工的投标，特承诺：如果我单位中标，保证交纳农民工工资保障金，同时在工程实施中不拖欠农民工工资，保证按时发放。</w:t>
      </w:r>
    </w:p>
    <w:p>
      <w:pPr>
        <w:spacing w:line="440" w:lineRule="exact"/>
        <w:ind w:firstLine="480" w:firstLineChars="200"/>
        <w:rPr>
          <w:rFonts w:hAnsi="宋体" w:cs="宋体"/>
          <w:sz w:val="24"/>
          <w:szCs w:val="16"/>
        </w:rPr>
      </w:pPr>
      <w:r>
        <w:rPr>
          <w:rFonts w:hint="eastAsia" w:hAnsi="宋体" w:cs="宋体"/>
          <w:sz w:val="24"/>
          <w:szCs w:val="16"/>
        </w:rPr>
        <w:t>（2）我方承诺：如果我单位中标，在施工过程中，如有违反合同中关于工期、质量、安全的相关约定，招标人有权将我单位承担的相关工作交由其他有资质的合格承包人予以完成，我单位保证服从招</w:t>
      </w:r>
      <w:r>
        <w:rPr>
          <w:rFonts w:hint="eastAsia"/>
          <w:sz w:val="24"/>
          <w:szCs w:val="16"/>
        </w:rPr>
        <w:t>标人安排，并配合履行相关手续、承担相应的法律责任</w:t>
      </w:r>
      <w:r>
        <w:rPr>
          <w:rFonts w:hint="eastAsia" w:hAnsi="宋体" w:cs="宋体"/>
          <w:sz w:val="24"/>
          <w:szCs w:val="16"/>
        </w:rPr>
        <w:t>和损失。</w:t>
      </w:r>
    </w:p>
    <w:p>
      <w:pPr>
        <w:spacing w:line="440" w:lineRule="exact"/>
        <w:ind w:firstLine="480" w:firstLineChars="200"/>
        <w:rPr>
          <w:rFonts w:hAnsi="宋体" w:cs="宋体"/>
          <w:sz w:val="24"/>
          <w:szCs w:val="16"/>
          <w:lang w:val="zh-TW"/>
        </w:rPr>
      </w:pPr>
      <w:r>
        <w:rPr>
          <w:rFonts w:hint="eastAsia" w:hAnsi="宋体" w:cs="宋体"/>
          <w:sz w:val="24"/>
          <w:szCs w:val="16"/>
        </w:rPr>
        <w:t>（3）我方承诺：</w:t>
      </w:r>
      <w:r>
        <w:rPr>
          <w:rFonts w:hint="eastAsia" w:hAnsi="宋体" w:cs="宋体"/>
          <w:sz w:val="24"/>
          <w:szCs w:val="16"/>
          <w:lang w:val="zh-TW"/>
        </w:rPr>
        <w:t>没有处于被责令停业，投标资格被取消，财产被接管、冻结、破产状态；在最近三年内没有骗取中标和严重违约及重大工程质量问题。</w:t>
      </w:r>
    </w:p>
    <w:p>
      <w:pPr>
        <w:spacing w:line="440" w:lineRule="exact"/>
        <w:ind w:firstLine="480" w:firstLineChars="200"/>
        <w:rPr>
          <w:rFonts w:hAnsi="宋体" w:cs="宋体"/>
          <w:sz w:val="24"/>
          <w:szCs w:val="16"/>
          <w:lang w:val="zh-TW"/>
        </w:rPr>
      </w:pPr>
      <w:r>
        <w:rPr>
          <w:rFonts w:hint="eastAsia" w:hAnsi="宋体" w:cs="宋体"/>
          <w:sz w:val="24"/>
          <w:szCs w:val="16"/>
          <w:lang w:val="zh-TW"/>
        </w:rPr>
        <w:t>（</w:t>
      </w:r>
      <w:r>
        <w:rPr>
          <w:rFonts w:hint="eastAsia" w:hAnsi="宋体" w:cs="宋体"/>
          <w:sz w:val="24"/>
          <w:szCs w:val="16"/>
        </w:rPr>
        <w:t>4）我方承诺：</w:t>
      </w:r>
      <w:r>
        <w:rPr>
          <w:rFonts w:hint="eastAsia" w:hAnsi="宋体" w:cs="宋体"/>
          <w:sz w:val="24"/>
          <w:szCs w:val="16"/>
          <w:lang w:val="zh-TW"/>
        </w:rPr>
        <w:t>我方与本项目的其他投标人无控股或管理关系，我方单位负责人与其他投标人的单位负责人不为同一人。</w:t>
      </w:r>
    </w:p>
    <w:p>
      <w:pPr>
        <w:spacing w:line="440" w:lineRule="exact"/>
        <w:ind w:firstLine="480" w:firstLineChars="200"/>
        <w:rPr>
          <w:rFonts w:hAnsi="宋体" w:cs="宋体"/>
          <w:sz w:val="24"/>
          <w:szCs w:val="16"/>
          <w:highlight w:val="yellow"/>
          <w:lang w:val="zh-TW"/>
        </w:rPr>
      </w:pPr>
      <w:r>
        <w:rPr>
          <w:rFonts w:hint="eastAsia" w:hAnsi="宋体" w:cs="宋体"/>
          <w:sz w:val="24"/>
          <w:szCs w:val="16"/>
          <w:lang w:val="zh-TW"/>
        </w:rPr>
        <w:t>（</w:t>
      </w:r>
      <w:r>
        <w:rPr>
          <w:rFonts w:hint="eastAsia" w:hAnsi="宋体" w:cs="宋体"/>
          <w:sz w:val="24"/>
          <w:szCs w:val="16"/>
        </w:rPr>
        <w:t>5）我方承诺：我方在经营活动中无工程建设生产安全事故、质量事故、合同争议纠纷引起的诉讼、仲裁（或虽有但无败诉的相关证明材料）违法行为记录及有关行政处罚，且未发生拖欠农民工工资的情形等。</w:t>
      </w:r>
    </w:p>
    <w:p>
      <w:pPr>
        <w:spacing w:line="440" w:lineRule="exact"/>
        <w:rPr>
          <w:sz w:val="24"/>
          <w:szCs w:val="16"/>
        </w:rPr>
      </w:pPr>
    </w:p>
    <w:p>
      <w:pPr>
        <w:pStyle w:val="6"/>
        <w:spacing w:after="0" w:line="440" w:lineRule="exact"/>
        <w:ind w:left="63" w:right="63"/>
        <w:rPr>
          <w:sz w:val="24"/>
          <w:szCs w:val="16"/>
        </w:rPr>
      </w:pPr>
    </w:p>
    <w:p>
      <w:pPr>
        <w:spacing w:line="440" w:lineRule="exact"/>
        <w:ind w:firstLine="480" w:firstLineChars="200"/>
        <w:rPr>
          <w:rFonts w:hAnsi="宋体" w:cs="宋体"/>
          <w:sz w:val="24"/>
          <w:szCs w:val="16"/>
        </w:rPr>
      </w:pPr>
      <w:r>
        <w:rPr>
          <w:rFonts w:hint="eastAsia" w:hAnsi="宋体" w:cs="宋体"/>
          <w:sz w:val="24"/>
          <w:szCs w:val="16"/>
        </w:rPr>
        <w:t>特此承诺</w:t>
      </w:r>
    </w:p>
    <w:p>
      <w:pPr>
        <w:spacing w:line="440" w:lineRule="exact"/>
        <w:rPr>
          <w:rFonts w:hAnsi="宋体" w:cs="宋体"/>
          <w:sz w:val="24"/>
          <w:szCs w:val="16"/>
        </w:rPr>
      </w:pPr>
    </w:p>
    <w:p>
      <w:pPr>
        <w:spacing w:line="440" w:lineRule="exact"/>
        <w:rPr>
          <w:rFonts w:hAnsi="宋体" w:cs="宋体"/>
          <w:sz w:val="24"/>
          <w:szCs w:val="16"/>
        </w:rPr>
      </w:pPr>
    </w:p>
    <w:p>
      <w:pPr>
        <w:spacing w:line="440" w:lineRule="exact"/>
        <w:rPr>
          <w:rFonts w:hAnsi="宋体" w:cs="宋体"/>
          <w:sz w:val="24"/>
          <w:szCs w:val="16"/>
        </w:rPr>
      </w:pPr>
    </w:p>
    <w:p>
      <w:pPr>
        <w:spacing w:line="440" w:lineRule="exact"/>
        <w:rPr>
          <w:rFonts w:hAnsi="宋体" w:cs="宋体"/>
          <w:sz w:val="24"/>
          <w:szCs w:val="16"/>
        </w:rPr>
      </w:pPr>
    </w:p>
    <w:p>
      <w:pPr>
        <w:spacing w:line="440" w:lineRule="exact"/>
        <w:rPr>
          <w:rFonts w:hAnsi="宋体" w:cs="宋体"/>
          <w:sz w:val="24"/>
          <w:szCs w:val="16"/>
        </w:rPr>
      </w:pPr>
    </w:p>
    <w:p>
      <w:pPr>
        <w:autoSpaceDE w:val="0"/>
        <w:autoSpaceDN w:val="0"/>
        <w:adjustRightInd w:val="0"/>
        <w:spacing w:line="440" w:lineRule="exact"/>
        <w:ind w:firstLine="2400" w:firstLineChars="1000"/>
        <w:jc w:val="right"/>
        <w:rPr>
          <w:rFonts w:hAnsi="宋体" w:cs="宋体"/>
          <w:sz w:val="24"/>
          <w:szCs w:val="16"/>
        </w:rPr>
      </w:pPr>
      <w:r>
        <w:rPr>
          <w:rFonts w:hint="eastAsia" w:hAnsi="宋体" w:cs="宋体"/>
          <w:sz w:val="24"/>
          <w:szCs w:val="16"/>
        </w:rPr>
        <w:t>投 标 人：（盖单位公章）</w:t>
      </w:r>
    </w:p>
    <w:p>
      <w:pPr>
        <w:autoSpaceDE w:val="0"/>
        <w:autoSpaceDN w:val="0"/>
        <w:adjustRightInd w:val="0"/>
        <w:spacing w:line="440" w:lineRule="exact"/>
        <w:ind w:firstLine="2400" w:firstLineChars="1000"/>
        <w:jc w:val="right"/>
        <w:rPr>
          <w:rFonts w:hAnsi="宋体" w:cs="宋体"/>
          <w:sz w:val="24"/>
          <w:szCs w:val="16"/>
        </w:rPr>
      </w:pPr>
      <w:r>
        <w:rPr>
          <w:rFonts w:hint="eastAsia" w:hAnsi="宋体" w:cs="宋体"/>
          <w:sz w:val="24"/>
          <w:szCs w:val="16"/>
        </w:rPr>
        <w:t>法定代表人或其委托代理人：（签字）</w:t>
      </w:r>
    </w:p>
    <w:p>
      <w:pPr>
        <w:autoSpaceDE w:val="0"/>
        <w:autoSpaceDN w:val="0"/>
        <w:adjustRightInd w:val="0"/>
        <w:spacing w:line="440" w:lineRule="exact"/>
        <w:ind w:firstLine="4320" w:firstLineChars="1800"/>
        <w:jc w:val="right"/>
        <w:rPr>
          <w:rFonts w:hAnsi="宋体" w:cs="宋体"/>
          <w:sz w:val="24"/>
          <w:szCs w:val="16"/>
        </w:rPr>
      </w:pPr>
    </w:p>
    <w:p>
      <w:pPr>
        <w:autoSpaceDE w:val="0"/>
        <w:autoSpaceDN w:val="0"/>
        <w:adjustRightInd w:val="0"/>
        <w:spacing w:line="440" w:lineRule="exact"/>
        <w:ind w:firstLine="4680" w:firstLineChars="1950"/>
        <w:jc w:val="right"/>
        <w:rPr>
          <w:rFonts w:hAnsi="宋体" w:cs="宋体"/>
          <w:sz w:val="24"/>
          <w:szCs w:val="16"/>
        </w:rPr>
      </w:pPr>
      <w:r>
        <w:rPr>
          <w:rFonts w:hint="eastAsia" w:hAnsi="宋体" w:cs="宋体"/>
          <w:sz w:val="24"/>
          <w:szCs w:val="16"/>
        </w:rPr>
        <w:t>年    月    日</w:t>
      </w:r>
    </w:p>
    <w:p>
      <w:pPr>
        <w:spacing w:line="360" w:lineRule="auto"/>
        <w:rPr>
          <w:rFonts w:asciiTheme="minorEastAsia" w:hAnsiTheme="minorEastAsia" w:eastAsiaTheme="minorEastAsia" w:cstheme="minorEastAsia"/>
          <w:sz w:val="20"/>
        </w:rPr>
      </w:pPr>
    </w:p>
    <w:p>
      <w:pPr>
        <w:spacing w:line="360" w:lineRule="auto"/>
        <w:rPr>
          <w:rFonts w:asciiTheme="minorEastAsia" w:hAnsiTheme="minorEastAsia" w:eastAsiaTheme="minorEastAsia" w:cstheme="minorEastAsia"/>
          <w:sz w:val="20"/>
        </w:rPr>
      </w:pPr>
    </w:p>
    <w:p>
      <w:pPr>
        <w:widowControl/>
        <w:jc w:val="center"/>
        <w:rPr>
          <w:rFonts w:asciiTheme="minorEastAsia" w:hAnsiTheme="minorEastAsia" w:eastAsiaTheme="minorEastAsia" w:cstheme="minorEastAsia"/>
          <w:b/>
          <w:sz w:val="30"/>
          <w:szCs w:val="30"/>
        </w:rPr>
      </w:pPr>
      <w:bookmarkStart w:id="176" w:name="_Toc387851740"/>
      <w:bookmarkStart w:id="177" w:name="_Toc392081424"/>
      <w:bookmarkStart w:id="178" w:name="_Toc426467424"/>
      <w:r>
        <w:rPr>
          <w:rFonts w:hint="eastAsia" w:asciiTheme="minorEastAsia" w:hAnsiTheme="minorEastAsia" w:eastAsiaTheme="minorEastAsia" w:cstheme="minorEastAsia"/>
          <w:b/>
          <w:sz w:val="30"/>
          <w:szCs w:val="30"/>
        </w:rPr>
        <w:t>十三、已标价的工程量清单</w:t>
      </w:r>
    </w:p>
    <w:p>
      <w:pPr>
        <w:pStyle w:val="16"/>
        <w:ind w:firstLine="210"/>
      </w:pPr>
    </w:p>
    <w:p>
      <w:pPr>
        <w:pStyle w:val="17"/>
        <w:ind w:left="680" w:firstLine="680"/>
        <w:rPr>
          <w:rFonts w:hint="default"/>
          <w:lang w:eastAsia="zh-CN"/>
        </w:rPr>
      </w:pPr>
    </w:p>
    <w:p/>
    <w:p>
      <w:pPr>
        <w:pStyle w:val="16"/>
        <w:ind w:firstLine="210"/>
      </w:pPr>
    </w:p>
    <w:p>
      <w:pPr>
        <w:widowControl/>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十四、其他材料</w:t>
      </w:r>
      <w:bookmarkEnd w:id="176"/>
      <w:bookmarkEnd w:id="177"/>
      <w:bookmarkEnd w:id="178"/>
    </w:p>
    <w:p>
      <w:pPr>
        <w:topLinePunct/>
        <w:spacing w:line="360" w:lineRule="auto"/>
        <w:jc w:val="left"/>
        <w:rPr>
          <w:rFonts w:asciiTheme="minorEastAsia" w:hAnsiTheme="minorEastAsia" w:eastAsiaTheme="minorEastAsia" w:cstheme="minorEastAsia"/>
          <w:b/>
          <w:sz w:val="24"/>
          <w:szCs w:val="24"/>
        </w:rPr>
      </w:pPr>
    </w:p>
    <w:p>
      <w:pPr>
        <w:topLinePunct/>
        <w:spacing w:line="360" w:lineRule="auto"/>
        <w:jc w:val="left"/>
        <w:rPr>
          <w:rFonts w:asciiTheme="minorEastAsia" w:hAnsiTheme="minorEastAsia" w:eastAsiaTheme="minorEastAsia" w:cstheme="minorEastAsia"/>
          <w:b/>
          <w:sz w:val="24"/>
          <w:szCs w:val="24"/>
        </w:rPr>
      </w:pPr>
    </w:p>
    <w:p>
      <w:pPr>
        <w:topLinePunct/>
        <w:spacing w:line="360" w:lineRule="auto"/>
        <w:jc w:val="left"/>
        <w:rPr>
          <w:rFonts w:asciiTheme="minorEastAsia" w:hAnsiTheme="minorEastAsia" w:eastAsiaTheme="minorEastAsia" w:cstheme="minorEastAsia"/>
          <w:b/>
          <w:sz w:val="24"/>
          <w:szCs w:val="24"/>
        </w:rPr>
      </w:pPr>
    </w:p>
    <w:p>
      <w:pPr>
        <w:topLinePunct/>
        <w:spacing w:line="360" w:lineRule="auto"/>
        <w:jc w:val="left"/>
        <w:rPr>
          <w:rFonts w:asciiTheme="minorEastAsia" w:hAnsiTheme="minorEastAsia" w:eastAsiaTheme="minorEastAsia" w:cstheme="minorEastAsia"/>
          <w:b/>
          <w:sz w:val="24"/>
          <w:szCs w:val="24"/>
        </w:rPr>
      </w:pPr>
    </w:p>
    <w:p>
      <w:pPr>
        <w:topLinePunct/>
        <w:spacing w:line="360" w:lineRule="auto"/>
        <w:jc w:val="left"/>
        <w:rPr>
          <w:rFonts w:asciiTheme="minorEastAsia" w:hAnsiTheme="minorEastAsia" w:eastAsiaTheme="minorEastAsia" w:cstheme="minorEastAsia"/>
          <w:b/>
          <w:sz w:val="24"/>
          <w:szCs w:val="24"/>
        </w:rPr>
      </w:pPr>
    </w:p>
    <w:p>
      <w:pPr>
        <w:jc w:val="left"/>
        <w:rPr>
          <w:rFonts w:asciiTheme="minorEastAsia" w:hAnsiTheme="minorEastAsia" w:eastAsiaTheme="minorEastAsia" w:cstheme="minorEastAsia"/>
          <w:sz w:val="28"/>
          <w:szCs w:val="16"/>
        </w:rPr>
      </w:pPr>
    </w:p>
    <w:sectPr>
      <w:pgSz w:w="11906" w:h="16838"/>
      <w:pgMar w:top="1440" w:right="1083" w:bottom="1440" w:left="1083"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eastAsia="仿宋_GB2312"/>
        <w:sz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both"/>
      <w:rPr>
        <w:rFonts w:asciiTheme="minorEastAsia" w:hAnsiTheme="minorEastAsia" w:eastAsiaTheme="minorEastAsia" w:cstheme="minorEastAsia"/>
        <w:b/>
        <w:bCs/>
        <w:i/>
        <w:iCs/>
      </w:rPr>
    </w:pPr>
    <w:r>
      <w:rPr>
        <w:rFonts w:hint="eastAsia" w:ascii="仿宋" w:hAnsi="仿宋" w:eastAsia="仿宋" w:cs="仿宋"/>
        <w:b/>
        <w:bCs/>
        <w:i/>
        <w:iCs/>
      </w:rPr>
      <w:t xml:space="preserve">                                                                                              </w:t>
    </w:r>
    <w:r>
      <w:rPr>
        <w:rFonts w:hint="eastAsia" w:asciiTheme="minorEastAsia" w:hAnsiTheme="minorEastAsia" w:eastAsiaTheme="minorEastAsia" w:cstheme="minorEastAsia"/>
        <w:b/>
        <w:bCs/>
        <w:i/>
        <w:iCs/>
      </w:rPr>
      <w:t>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r>
      <w:rPr>
        <w:rFonts w:hint="eastAsia" w:ascii="仿宋" w:hAnsi="仿宋" w:eastAsia="仿宋" w:cs="仿宋"/>
        <w:b/>
        <w:bCs/>
        <w:i/>
        <w:iCs/>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66B191"/>
    <w:multiLevelType w:val="singleLevel"/>
    <w:tmpl w:val="8966B191"/>
    <w:lvl w:ilvl="0" w:tentative="0">
      <w:start w:val="4"/>
      <w:numFmt w:val="chineseCounting"/>
      <w:suff w:val="nothing"/>
      <w:lvlText w:val="%1、"/>
      <w:lvlJc w:val="left"/>
      <w:rPr>
        <w:rFonts w:hint="eastAsia"/>
      </w:rPr>
    </w:lvl>
  </w:abstractNum>
  <w:abstractNum w:abstractNumId="1">
    <w:nsid w:val="BA9897AD"/>
    <w:multiLevelType w:val="multilevel"/>
    <w:tmpl w:val="BA9897AD"/>
    <w:lvl w:ilvl="0" w:tentative="0">
      <w:start w:val="1"/>
      <w:numFmt w:val="japaneseCounting"/>
      <w:lvlText w:val="第%1章"/>
      <w:lvlJc w:val="left"/>
      <w:pPr>
        <w:ind w:left="1515" w:hanging="1515"/>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0933F4"/>
    <w:multiLevelType w:val="singleLevel"/>
    <w:tmpl w:val="560933F4"/>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F0469"/>
    <w:rsid w:val="00041E5D"/>
    <w:rsid w:val="00051EBA"/>
    <w:rsid w:val="00062D2B"/>
    <w:rsid w:val="00080B6B"/>
    <w:rsid w:val="000D281D"/>
    <w:rsid w:val="000F0DCA"/>
    <w:rsid w:val="00104A8D"/>
    <w:rsid w:val="00106174"/>
    <w:rsid w:val="001214BE"/>
    <w:rsid w:val="00167939"/>
    <w:rsid w:val="001840AC"/>
    <w:rsid w:val="00190C29"/>
    <w:rsid w:val="001B2EC6"/>
    <w:rsid w:val="001D0727"/>
    <w:rsid w:val="001D0D7E"/>
    <w:rsid w:val="001E1149"/>
    <w:rsid w:val="00200849"/>
    <w:rsid w:val="002066C0"/>
    <w:rsid w:val="00234E09"/>
    <w:rsid w:val="002550FE"/>
    <w:rsid w:val="00282FC6"/>
    <w:rsid w:val="002D63D7"/>
    <w:rsid w:val="00306DA4"/>
    <w:rsid w:val="003078E2"/>
    <w:rsid w:val="0031323C"/>
    <w:rsid w:val="003526B9"/>
    <w:rsid w:val="003809E0"/>
    <w:rsid w:val="00393AED"/>
    <w:rsid w:val="003B6B25"/>
    <w:rsid w:val="003E4499"/>
    <w:rsid w:val="003F5FF4"/>
    <w:rsid w:val="004527D9"/>
    <w:rsid w:val="00453E6D"/>
    <w:rsid w:val="004843BB"/>
    <w:rsid w:val="00496712"/>
    <w:rsid w:val="004B2C32"/>
    <w:rsid w:val="004D75AC"/>
    <w:rsid w:val="004F1BE0"/>
    <w:rsid w:val="00506EE8"/>
    <w:rsid w:val="0056107E"/>
    <w:rsid w:val="005B699C"/>
    <w:rsid w:val="005C5CF3"/>
    <w:rsid w:val="005D3DC7"/>
    <w:rsid w:val="005E1059"/>
    <w:rsid w:val="005E1E9C"/>
    <w:rsid w:val="005F08F9"/>
    <w:rsid w:val="005F0DCC"/>
    <w:rsid w:val="006070C7"/>
    <w:rsid w:val="00615A80"/>
    <w:rsid w:val="00676740"/>
    <w:rsid w:val="006833D7"/>
    <w:rsid w:val="006870C1"/>
    <w:rsid w:val="006C40C7"/>
    <w:rsid w:val="006C46B0"/>
    <w:rsid w:val="006D782B"/>
    <w:rsid w:val="006F0DC2"/>
    <w:rsid w:val="00712ACD"/>
    <w:rsid w:val="0072292E"/>
    <w:rsid w:val="00735965"/>
    <w:rsid w:val="00767963"/>
    <w:rsid w:val="007A21A8"/>
    <w:rsid w:val="007A58D9"/>
    <w:rsid w:val="007B29AD"/>
    <w:rsid w:val="007F14FD"/>
    <w:rsid w:val="00821E7C"/>
    <w:rsid w:val="00833C29"/>
    <w:rsid w:val="00852356"/>
    <w:rsid w:val="008B212A"/>
    <w:rsid w:val="008C0DFC"/>
    <w:rsid w:val="008D7C8F"/>
    <w:rsid w:val="0091498A"/>
    <w:rsid w:val="00925413"/>
    <w:rsid w:val="009304F7"/>
    <w:rsid w:val="0094650C"/>
    <w:rsid w:val="00950476"/>
    <w:rsid w:val="009802C0"/>
    <w:rsid w:val="00985408"/>
    <w:rsid w:val="009A2758"/>
    <w:rsid w:val="009B5B44"/>
    <w:rsid w:val="009C3A0B"/>
    <w:rsid w:val="009D4EB7"/>
    <w:rsid w:val="009D6EBD"/>
    <w:rsid w:val="009E171D"/>
    <w:rsid w:val="009E69FD"/>
    <w:rsid w:val="00A11897"/>
    <w:rsid w:val="00A35DB9"/>
    <w:rsid w:val="00A40F10"/>
    <w:rsid w:val="00A4167C"/>
    <w:rsid w:val="00A4778C"/>
    <w:rsid w:val="00A51206"/>
    <w:rsid w:val="00A85D2F"/>
    <w:rsid w:val="00AA0601"/>
    <w:rsid w:val="00AA7594"/>
    <w:rsid w:val="00AC17A6"/>
    <w:rsid w:val="00AD40C4"/>
    <w:rsid w:val="00B65031"/>
    <w:rsid w:val="00B6515E"/>
    <w:rsid w:val="00B66C37"/>
    <w:rsid w:val="00BA5160"/>
    <w:rsid w:val="00C17F7F"/>
    <w:rsid w:val="00C236A7"/>
    <w:rsid w:val="00C26C98"/>
    <w:rsid w:val="00C474AD"/>
    <w:rsid w:val="00C55EE7"/>
    <w:rsid w:val="00C7143E"/>
    <w:rsid w:val="00C900BF"/>
    <w:rsid w:val="00C91AED"/>
    <w:rsid w:val="00CC3239"/>
    <w:rsid w:val="00CE2871"/>
    <w:rsid w:val="00D0260D"/>
    <w:rsid w:val="00D03381"/>
    <w:rsid w:val="00D14BFE"/>
    <w:rsid w:val="00D80B97"/>
    <w:rsid w:val="00D8643B"/>
    <w:rsid w:val="00D90C17"/>
    <w:rsid w:val="00DA3514"/>
    <w:rsid w:val="00DA5240"/>
    <w:rsid w:val="00DB72D9"/>
    <w:rsid w:val="00DC166D"/>
    <w:rsid w:val="00DE4FFD"/>
    <w:rsid w:val="00E07926"/>
    <w:rsid w:val="00E2370C"/>
    <w:rsid w:val="00E41653"/>
    <w:rsid w:val="00E8513E"/>
    <w:rsid w:val="00E9129E"/>
    <w:rsid w:val="00EB498B"/>
    <w:rsid w:val="00EC14E2"/>
    <w:rsid w:val="00EE25D7"/>
    <w:rsid w:val="00F25B87"/>
    <w:rsid w:val="00F30EF7"/>
    <w:rsid w:val="00F41342"/>
    <w:rsid w:val="00F80339"/>
    <w:rsid w:val="00FB06D0"/>
    <w:rsid w:val="00FB6F54"/>
    <w:rsid w:val="00FF213B"/>
    <w:rsid w:val="00FF2BE1"/>
    <w:rsid w:val="01AB26EB"/>
    <w:rsid w:val="0385019E"/>
    <w:rsid w:val="044E4428"/>
    <w:rsid w:val="05642834"/>
    <w:rsid w:val="067345D3"/>
    <w:rsid w:val="06E00FC4"/>
    <w:rsid w:val="06FE630C"/>
    <w:rsid w:val="071E6B6C"/>
    <w:rsid w:val="0A006FCA"/>
    <w:rsid w:val="0B0F3792"/>
    <w:rsid w:val="0BAB2D12"/>
    <w:rsid w:val="0D676DCF"/>
    <w:rsid w:val="0D6E5BAA"/>
    <w:rsid w:val="0D797201"/>
    <w:rsid w:val="0E0853FD"/>
    <w:rsid w:val="0E681A8A"/>
    <w:rsid w:val="0E87243E"/>
    <w:rsid w:val="10B31F0D"/>
    <w:rsid w:val="10E35DAF"/>
    <w:rsid w:val="11FB1188"/>
    <w:rsid w:val="124A109A"/>
    <w:rsid w:val="137E5D82"/>
    <w:rsid w:val="13C930E2"/>
    <w:rsid w:val="14CB3004"/>
    <w:rsid w:val="14F96E70"/>
    <w:rsid w:val="17A82B5D"/>
    <w:rsid w:val="189026E3"/>
    <w:rsid w:val="19120C6E"/>
    <w:rsid w:val="19477EF3"/>
    <w:rsid w:val="19D235FD"/>
    <w:rsid w:val="1A047C3C"/>
    <w:rsid w:val="1AC73196"/>
    <w:rsid w:val="1B016245"/>
    <w:rsid w:val="1B3D2C25"/>
    <w:rsid w:val="1CF63EEE"/>
    <w:rsid w:val="1DE44519"/>
    <w:rsid w:val="1F374B6A"/>
    <w:rsid w:val="20371E92"/>
    <w:rsid w:val="21A826C7"/>
    <w:rsid w:val="21A87352"/>
    <w:rsid w:val="233950C0"/>
    <w:rsid w:val="237E0335"/>
    <w:rsid w:val="24372F0C"/>
    <w:rsid w:val="24E34032"/>
    <w:rsid w:val="25206063"/>
    <w:rsid w:val="25AE2DAF"/>
    <w:rsid w:val="266A4C3E"/>
    <w:rsid w:val="26EE181B"/>
    <w:rsid w:val="27205C5F"/>
    <w:rsid w:val="27D01167"/>
    <w:rsid w:val="2839111A"/>
    <w:rsid w:val="28414645"/>
    <w:rsid w:val="2936329E"/>
    <w:rsid w:val="2A4D7A40"/>
    <w:rsid w:val="2A6A5E14"/>
    <w:rsid w:val="2B14737A"/>
    <w:rsid w:val="2BE058FB"/>
    <w:rsid w:val="2C3C194E"/>
    <w:rsid w:val="2CC21940"/>
    <w:rsid w:val="2F8F0469"/>
    <w:rsid w:val="30950051"/>
    <w:rsid w:val="30B429DB"/>
    <w:rsid w:val="312915BD"/>
    <w:rsid w:val="3162737C"/>
    <w:rsid w:val="31FE19D0"/>
    <w:rsid w:val="32291439"/>
    <w:rsid w:val="327B3FE6"/>
    <w:rsid w:val="327E7491"/>
    <w:rsid w:val="32B67A9F"/>
    <w:rsid w:val="331C25E2"/>
    <w:rsid w:val="33E53A58"/>
    <w:rsid w:val="34735C15"/>
    <w:rsid w:val="34912CF5"/>
    <w:rsid w:val="3572112F"/>
    <w:rsid w:val="36003795"/>
    <w:rsid w:val="364545AE"/>
    <w:rsid w:val="38484FC9"/>
    <w:rsid w:val="38FD64BB"/>
    <w:rsid w:val="3A016128"/>
    <w:rsid w:val="3A4A5D65"/>
    <w:rsid w:val="3A536B2B"/>
    <w:rsid w:val="3A94662B"/>
    <w:rsid w:val="3ACA12A1"/>
    <w:rsid w:val="3B58332C"/>
    <w:rsid w:val="3D882191"/>
    <w:rsid w:val="3D9F50A4"/>
    <w:rsid w:val="3DE13BBE"/>
    <w:rsid w:val="3E9C4868"/>
    <w:rsid w:val="3F1C1E61"/>
    <w:rsid w:val="3F947F1C"/>
    <w:rsid w:val="3FFA6DE0"/>
    <w:rsid w:val="40936485"/>
    <w:rsid w:val="40AF1832"/>
    <w:rsid w:val="42825515"/>
    <w:rsid w:val="43E62AAA"/>
    <w:rsid w:val="44134851"/>
    <w:rsid w:val="453C2F97"/>
    <w:rsid w:val="461B32DB"/>
    <w:rsid w:val="47D75370"/>
    <w:rsid w:val="48324EA8"/>
    <w:rsid w:val="496A01C8"/>
    <w:rsid w:val="49BA7EBC"/>
    <w:rsid w:val="4A026EC2"/>
    <w:rsid w:val="4A0D1747"/>
    <w:rsid w:val="4ADF4024"/>
    <w:rsid w:val="4BEE1C0F"/>
    <w:rsid w:val="4C6E47E0"/>
    <w:rsid w:val="4D24210B"/>
    <w:rsid w:val="4D7B5D11"/>
    <w:rsid w:val="4E406F38"/>
    <w:rsid w:val="4E5079CD"/>
    <w:rsid w:val="4E827D64"/>
    <w:rsid w:val="4EE03262"/>
    <w:rsid w:val="4F0B50D8"/>
    <w:rsid w:val="4F7032E3"/>
    <w:rsid w:val="4FBD6772"/>
    <w:rsid w:val="514752C5"/>
    <w:rsid w:val="516E0EA1"/>
    <w:rsid w:val="51740445"/>
    <w:rsid w:val="51B252E3"/>
    <w:rsid w:val="5265320B"/>
    <w:rsid w:val="53091B4D"/>
    <w:rsid w:val="54763EC3"/>
    <w:rsid w:val="561B3152"/>
    <w:rsid w:val="56431769"/>
    <w:rsid w:val="56F7389B"/>
    <w:rsid w:val="586179E9"/>
    <w:rsid w:val="58C811AB"/>
    <w:rsid w:val="5A2606D1"/>
    <w:rsid w:val="5A501726"/>
    <w:rsid w:val="5B9C5D7D"/>
    <w:rsid w:val="5BDF65B5"/>
    <w:rsid w:val="5CB243F3"/>
    <w:rsid w:val="5E9D0C89"/>
    <w:rsid w:val="5EFD4FAE"/>
    <w:rsid w:val="5F415841"/>
    <w:rsid w:val="5F93184A"/>
    <w:rsid w:val="60D57C96"/>
    <w:rsid w:val="61AA1FE4"/>
    <w:rsid w:val="624556FD"/>
    <w:rsid w:val="6347357A"/>
    <w:rsid w:val="650B2F8A"/>
    <w:rsid w:val="656B4567"/>
    <w:rsid w:val="656C5981"/>
    <w:rsid w:val="65CC2219"/>
    <w:rsid w:val="662710F1"/>
    <w:rsid w:val="66353D05"/>
    <w:rsid w:val="67180189"/>
    <w:rsid w:val="67A320A4"/>
    <w:rsid w:val="687067D7"/>
    <w:rsid w:val="68AD38D9"/>
    <w:rsid w:val="6AC0702A"/>
    <w:rsid w:val="6B2633FE"/>
    <w:rsid w:val="6EF462AF"/>
    <w:rsid w:val="701F484D"/>
    <w:rsid w:val="70766595"/>
    <w:rsid w:val="707716E4"/>
    <w:rsid w:val="70B2295B"/>
    <w:rsid w:val="713F7D80"/>
    <w:rsid w:val="719D5422"/>
    <w:rsid w:val="71B04245"/>
    <w:rsid w:val="72644C45"/>
    <w:rsid w:val="74584D13"/>
    <w:rsid w:val="781D1C29"/>
    <w:rsid w:val="78561A58"/>
    <w:rsid w:val="798D2938"/>
    <w:rsid w:val="799E4683"/>
    <w:rsid w:val="7ABD7E46"/>
    <w:rsid w:val="7ED05A9D"/>
    <w:rsid w:val="7EF95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2"/>
      <w:sz w:val="32"/>
      <w:szCs w:val="32"/>
    </w:rPr>
  </w:style>
  <w:style w:type="paragraph" w:styleId="4">
    <w:name w:val="heading 3"/>
    <w:basedOn w:val="1"/>
    <w:next w:val="1"/>
    <w:qFormat/>
    <w:uiPriority w:val="0"/>
    <w:pPr>
      <w:keepNext/>
      <w:keepLines/>
      <w:spacing w:before="260" w:after="260" w:line="412" w:lineRule="auto"/>
      <w:outlineLvl w:val="2"/>
    </w:pPr>
    <w:rPr>
      <w:b/>
      <w:bCs/>
      <w:sz w:val="32"/>
      <w:szCs w:val="32"/>
    </w:rPr>
  </w:style>
  <w:style w:type="paragraph" w:styleId="5">
    <w:name w:val="heading 4"/>
    <w:basedOn w:val="1"/>
    <w:next w:val="1"/>
    <w:semiHidden/>
    <w:unhideWhenUsed/>
    <w:qFormat/>
    <w:uiPriority w:val="0"/>
    <w:pPr>
      <w:spacing w:beforeAutospacing="1" w:afterAutospacing="1"/>
      <w:jc w:val="left"/>
      <w:outlineLvl w:val="3"/>
    </w:pPr>
    <w:rPr>
      <w:rFonts w:hint="eastAsia" w:hAnsi="宋体"/>
      <w:b/>
      <w:sz w:val="24"/>
      <w:szCs w:val="24"/>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rPr>
  </w:style>
  <w:style w:type="paragraph" w:styleId="6">
    <w:name w:val="Body Text"/>
    <w:basedOn w:val="1"/>
    <w:next w:val="7"/>
    <w:link w:val="30"/>
    <w:unhideWhenUsed/>
    <w:qFormat/>
    <w:uiPriority w:val="0"/>
    <w:pPr>
      <w:spacing w:after="120"/>
    </w:pPr>
  </w:style>
  <w:style w:type="paragraph" w:customStyle="1" w:styleId="7">
    <w:name w:val="style4"/>
    <w:basedOn w:val="1"/>
    <w:next w:val="8"/>
    <w:qFormat/>
    <w:uiPriority w:val="0"/>
    <w:pPr>
      <w:widowControl/>
      <w:spacing w:before="280" w:after="280"/>
    </w:pPr>
    <w:rPr>
      <w:sz w:val="18"/>
    </w:rPr>
  </w:style>
  <w:style w:type="paragraph" w:customStyle="1" w:styleId="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9">
    <w:name w:val="Body Text Indent"/>
    <w:basedOn w:val="1"/>
    <w:link w:val="32"/>
    <w:qFormat/>
    <w:uiPriority w:val="0"/>
    <w:pPr>
      <w:spacing w:after="120"/>
      <w:ind w:left="420" w:leftChars="200"/>
    </w:pPr>
  </w:style>
  <w:style w:type="paragraph" w:styleId="10">
    <w:name w:val="Plain Text"/>
    <w:basedOn w:val="1"/>
    <w:qFormat/>
    <w:uiPriority w:val="0"/>
    <w:rPr>
      <w:rFonts w:hAnsi="Courier New"/>
      <w:sz w:val="20"/>
      <w:szCs w:val="21"/>
    </w:rPr>
  </w:style>
  <w:style w:type="paragraph" w:styleId="11">
    <w:name w:val="footer"/>
    <w:basedOn w:val="1"/>
    <w:link w:val="33"/>
    <w:qFormat/>
    <w:uiPriority w:val="99"/>
    <w:pPr>
      <w:tabs>
        <w:tab w:val="center" w:pos="4153"/>
        <w:tab w:val="right" w:pos="8306"/>
      </w:tabs>
      <w:snapToGrid w:val="0"/>
      <w:jc w:val="left"/>
    </w:pPr>
    <w:rPr>
      <w:rFonts w:ascii="Calibri"/>
      <w:sz w:val="18"/>
      <w:szCs w:val="18"/>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spacing w:before="120" w:after="120"/>
      <w:jc w:val="left"/>
    </w:pPr>
    <w:rPr>
      <w:b/>
      <w:bCs/>
      <w:caps/>
      <w:sz w:val="20"/>
    </w:rPr>
  </w:style>
  <w:style w:type="paragraph" w:styleId="14">
    <w:name w:val="Body Text Indent 3"/>
    <w:basedOn w:val="1"/>
    <w:qFormat/>
    <w:uiPriority w:val="0"/>
    <w:pPr>
      <w:ind w:firstLine="420" w:firstLineChars="200"/>
    </w:pPr>
    <w:rPr>
      <w:rFonts w:hAnsi="宋体"/>
    </w:rPr>
  </w:style>
  <w:style w:type="paragraph" w:styleId="15">
    <w:name w:val="Normal (Web)"/>
    <w:basedOn w:val="1"/>
    <w:qFormat/>
    <w:uiPriority w:val="99"/>
    <w:pPr>
      <w:spacing w:beforeAutospacing="1" w:afterAutospacing="1"/>
      <w:jc w:val="left"/>
    </w:pPr>
    <w:rPr>
      <w:sz w:val="24"/>
    </w:rPr>
  </w:style>
  <w:style w:type="paragraph" w:styleId="16">
    <w:name w:val="Body Text First Indent"/>
    <w:basedOn w:val="6"/>
    <w:next w:val="17"/>
    <w:link w:val="29"/>
    <w:unhideWhenUsed/>
    <w:qFormat/>
    <w:uiPriority w:val="0"/>
    <w:pPr>
      <w:ind w:firstLine="420" w:firstLineChars="100"/>
    </w:pPr>
    <w:rPr>
      <w:rFonts w:ascii="Times New Roman"/>
      <w:kern w:val="2"/>
      <w:sz w:val="21"/>
      <w:szCs w:val="24"/>
    </w:rPr>
  </w:style>
  <w:style w:type="paragraph" w:styleId="17">
    <w:name w:val="Body Text First Indent 2"/>
    <w:basedOn w:val="9"/>
    <w:next w:val="1"/>
    <w:link w:val="31"/>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character" w:styleId="20">
    <w:name w:val="page number"/>
    <w:qFormat/>
    <w:uiPriority w:val="0"/>
  </w:style>
  <w:style w:type="character" w:styleId="21">
    <w:name w:val="FollowedHyperlink"/>
    <w:basedOn w:val="19"/>
    <w:qFormat/>
    <w:uiPriority w:val="0"/>
    <w:rPr>
      <w:color w:val="954F72"/>
      <w:u w:val="single"/>
    </w:rPr>
  </w:style>
  <w:style w:type="character" w:styleId="22">
    <w:name w:val="Hyperlink"/>
    <w:qFormat/>
    <w:uiPriority w:val="0"/>
    <w:rPr>
      <w:color w:val="000000"/>
      <w:u w:val="none"/>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NormalCharacter"/>
    <w:qFormat/>
    <w:uiPriority w:val="0"/>
    <w:rPr>
      <w:rFonts w:ascii="Times New Roman" w:hAnsi="Times New Roman" w:eastAsia="宋体" w:cs="Times New Roman"/>
      <w:kern w:val="2"/>
      <w:sz w:val="21"/>
      <w:szCs w:val="24"/>
      <w:lang w:val="en-US" w:eastAsia="zh-CN" w:bidi="ar-SA"/>
    </w:rPr>
  </w:style>
  <w:style w:type="paragraph" w:customStyle="1" w:styleId="25">
    <w:name w:val="样式 标题 2 + Times New Roman 四号 非加粗 段前: 5 磅 段后: 0 磅 行距: 固定值 20..."/>
    <w:basedOn w:val="3"/>
    <w:qFormat/>
    <w:uiPriority w:val="0"/>
    <w:pPr>
      <w:spacing w:before="100" w:after="0" w:line="400" w:lineRule="exact"/>
    </w:pPr>
    <w:rPr>
      <w:rFonts w:ascii="Times New Roman" w:hAnsi="Times New Roman"/>
      <w:b w:val="0"/>
      <w:sz w:val="28"/>
    </w:rPr>
  </w:style>
  <w:style w:type="paragraph" w:customStyle="1" w:styleId="26">
    <w:name w:val="文档正文"/>
    <w:basedOn w:val="1"/>
    <w:qFormat/>
    <w:uiPriority w:val="0"/>
    <w:pPr>
      <w:adjustRightInd w:val="0"/>
      <w:spacing w:line="480" w:lineRule="atLeast"/>
      <w:ind w:firstLine="567"/>
      <w:textAlignment w:val="baseline"/>
    </w:pPr>
    <w:rPr>
      <w:rFonts w:ascii="仿宋_GB2312" w:eastAsia="仿宋_GB2312"/>
      <w:sz w:val="28"/>
    </w:rPr>
  </w:style>
  <w:style w:type="paragraph" w:customStyle="1" w:styleId="27">
    <w:name w:val="zhang"/>
    <w:basedOn w:val="1"/>
    <w:qFormat/>
    <w:uiPriority w:val="0"/>
    <w:pPr>
      <w:widowControl/>
      <w:spacing w:before="100" w:beforeAutospacing="1" w:after="100" w:afterAutospacing="1"/>
      <w:jc w:val="left"/>
    </w:pPr>
    <w:rPr>
      <w:rFonts w:ascii="̥_GB2312" w:hAnsi="̥_GB2312" w:cs="宋体"/>
      <w:b/>
      <w:bCs/>
      <w:smallCaps/>
      <w:color w:val="000000"/>
      <w:sz w:val="20"/>
    </w:rPr>
  </w:style>
  <w:style w:type="character" w:customStyle="1" w:styleId="28">
    <w:name w:val="页眉 Char"/>
    <w:basedOn w:val="19"/>
    <w:link w:val="12"/>
    <w:qFormat/>
    <w:uiPriority w:val="0"/>
    <w:rPr>
      <w:rFonts w:hint="default" w:ascii="Times New Roman" w:hAnsi="Times New Roman" w:cs="Times New Roman"/>
      <w:kern w:val="2"/>
      <w:sz w:val="18"/>
      <w:szCs w:val="18"/>
    </w:rPr>
  </w:style>
  <w:style w:type="character" w:customStyle="1" w:styleId="29">
    <w:name w:val="正文首行缩进 Char"/>
    <w:basedOn w:val="30"/>
    <w:link w:val="16"/>
    <w:qFormat/>
    <w:uiPriority w:val="0"/>
    <w:rPr>
      <w:rFonts w:hint="default" w:ascii="Times New Roman" w:hAnsi="Times New Roman" w:cs="Times New Roman"/>
      <w:kern w:val="2"/>
      <w:sz w:val="21"/>
      <w:szCs w:val="24"/>
    </w:rPr>
  </w:style>
  <w:style w:type="character" w:customStyle="1" w:styleId="30">
    <w:name w:val="正文文本 Char"/>
    <w:basedOn w:val="19"/>
    <w:link w:val="6"/>
    <w:qFormat/>
    <w:uiPriority w:val="0"/>
    <w:rPr>
      <w:rFonts w:hint="default" w:ascii="Times New Roman" w:hAnsi="Times New Roman" w:cs="Times New Roman"/>
      <w:kern w:val="2"/>
      <w:sz w:val="21"/>
      <w:szCs w:val="24"/>
    </w:rPr>
  </w:style>
  <w:style w:type="character" w:customStyle="1" w:styleId="31">
    <w:name w:val="正文首行缩进 2 Char"/>
    <w:basedOn w:val="32"/>
    <w:link w:val="17"/>
    <w:qFormat/>
    <w:uiPriority w:val="0"/>
    <w:rPr>
      <w:rFonts w:hint="default" w:ascii="Times New Roman" w:hAnsi="Times New Roman" w:cs="Times New Roman"/>
      <w:kern w:val="2"/>
      <w:sz w:val="21"/>
      <w:szCs w:val="24"/>
    </w:rPr>
  </w:style>
  <w:style w:type="character" w:customStyle="1" w:styleId="32">
    <w:name w:val="正文文本缩进 Char"/>
    <w:basedOn w:val="19"/>
    <w:link w:val="9"/>
    <w:qFormat/>
    <w:uiPriority w:val="0"/>
    <w:rPr>
      <w:rFonts w:hint="default" w:ascii="Times New Roman" w:hAnsi="Times New Roman" w:cs="Times New Roman"/>
      <w:kern w:val="2"/>
      <w:sz w:val="21"/>
      <w:szCs w:val="24"/>
    </w:rPr>
  </w:style>
  <w:style w:type="character" w:customStyle="1" w:styleId="33">
    <w:name w:val="页脚 Char"/>
    <w:basedOn w:val="19"/>
    <w:link w:val="11"/>
    <w:qFormat/>
    <w:uiPriority w:val="0"/>
    <w:rPr>
      <w:rFonts w:hint="default" w:ascii="Times New Roman" w:hAnsi="Times New Roman" w:cs="Times New Roman"/>
      <w:kern w:val="2"/>
      <w:sz w:val="18"/>
      <w:szCs w:val="18"/>
    </w:rPr>
  </w:style>
  <w:style w:type="paragraph" w:customStyle="1" w:styleId="34">
    <w:name w:val="样式 标题 3 + (中文) 黑体 小四 非加粗 段前: 7.8 磅 段后: 0 磅 行距: 固定值 20 磅"/>
    <w:basedOn w:val="4"/>
    <w:qFormat/>
    <w:uiPriority w:val="0"/>
    <w:pPr>
      <w:spacing w:before="0" w:after="0" w:line="400" w:lineRule="exact"/>
    </w:pPr>
    <w:rPr>
      <w:rFonts w:ascii="Times New Roman" w:eastAsia="黑体" w:cs="宋体"/>
      <w:b w:val="0"/>
      <w:bCs w:val="0"/>
      <w:kern w:val="2"/>
      <w:sz w:val="24"/>
      <w:szCs w:val="24"/>
    </w:rPr>
  </w:style>
  <w:style w:type="paragraph" w:customStyle="1" w:styleId="35">
    <w:name w:val="WPS Plain"/>
    <w:basedOn w:val="1"/>
    <w:qFormat/>
    <w:uiPriority w:val="0"/>
    <w:pPr>
      <w:widowControl/>
      <w:jc w:val="left"/>
    </w:pPr>
    <w:rPr>
      <w:rFonts w:ascii="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B18AF4-27CE-4647-8F18-800578B5465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4682</Words>
  <Characters>26693</Characters>
  <Lines>222</Lines>
  <Paragraphs>62</Paragraphs>
  <TotalTime>0</TotalTime>
  <ScaleCrop>false</ScaleCrop>
  <LinksUpToDate>false</LinksUpToDate>
  <CharactersWithSpaces>31313</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2020-03-26T09:00:00Z</dcterms:created>
  <dc:creator>莫。。</dc:creator>
  <cp:lastModifiedBy>中建山河建设管理集团有限公司:王启超</cp:lastModifiedBy>
  <cp:lastPrinted>2020-04-10T07:32:00Z</cp:lastPrinted>
  <dcterms:modified xsi:type="dcterms:W3CDTF">2020-06-01T07:06:10Z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ies>
</file>