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许昌市魏都区城乡统筹发展局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浩瑞新型建材项目规划核实</w:t>
      </w:r>
      <w:r>
        <w:rPr>
          <w:rFonts w:hint="eastAsia" w:asciiTheme="majorEastAsia" w:hAnsiTheme="majorEastAsia" w:eastAsiaTheme="majorEastAsia" w:cstheme="majorEastAsia"/>
          <w:b/>
          <w:bCs/>
          <w:color w:val="000000"/>
          <w:sz w:val="44"/>
          <w:szCs w:val="44"/>
        </w:rPr>
        <w:t>（不见面开标）”项目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bookmarkStart w:id="2" w:name="_GoBack"/>
      <w:bookmarkEnd w:id="2"/>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JZFCG-T2020</w:t>
      </w:r>
      <w:r>
        <w:rPr>
          <w:rFonts w:hint="eastAsia" w:asciiTheme="majorEastAsia" w:hAnsiTheme="majorEastAsia" w:eastAsiaTheme="majorEastAsia" w:cstheme="majorEastAsia"/>
          <w:b/>
          <w:bCs/>
          <w:sz w:val="36"/>
          <w:szCs w:val="36"/>
          <w:lang w:val="en-US" w:eastAsia="zh-CN"/>
        </w:rPr>
        <w:t>003</w:t>
      </w:r>
      <w:r>
        <w:rPr>
          <w:rFonts w:hint="eastAsia" w:asciiTheme="majorEastAsia" w:hAnsiTheme="majorEastAsia" w:eastAsiaTheme="majorEastAsia" w:cstheme="majorEastAsia"/>
          <w:b/>
          <w:bCs/>
          <w:sz w:val="36"/>
          <w:szCs w:val="36"/>
          <w:lang w:eastAsia="zh-CN"/>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许昌市魏都区城乡统筹发展局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河南省地标工程管理有限公司</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五月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br w:type="page"/>
      </w:r>
    </w:p>
    <w:p>
      <w:pP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jc w:val="cente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lang w:eastAsia="zh-CN"/>
        </w:rPr>
        <w:t>河南省地标工程管理有限公司</w:t>
      </w:r>
      <w:r>
        <w:rPr>
          <w:rFonts w:hint="eastAsia" w:ascii="宋体" w:hAnsi="宋体" w:cs="仿宋_GB2312"/>
          <w:color w:val="000000"/>
          <w:sz w:val="21"/>
          <w:szCs w:val="21"/>
          <w:shd w:val="clear" w:color="auto" w:fill="FFFFFF"/>
        </w:rPr>
        <w:t>(以下简称</w:t>
      </w:r>
      <w:r>
        <w:rPr>
          <w:rFonts w:hint="eastAsia" w:ascii="宋体" w:hAnsi="宋体" w:cs="仿宋_GB2312"/>
          <w:color w:val="000000"/>
          <w:sz w:val="21"/>
          <w:szCs w:val="21"/>
          <w:shd w:val="clear" w:color="auto" w:fill="FFFFFF"/>
          <w:lang w:eastAsia="zh-CN"/>
        </w:rPr>
        <w:t>代理机构</w:t>
      </w:r>
      <w:r>
        <w:rPr>
          <w:rFonts w:hint="eastAsia" w:ascii="宋体" w:hAnsi="宋体" w:cs="仿宋_GB2312"/>
          <w:color w:val="000000"/>
          <w:sz w:val="21"/>
          <w:szCs w:val="21"/>
          <w:shd w:val="clear" w:color="auto" w:fill="FFFFFF"/>
        </w:rPr>
        <w:t>) 受</w:t>
      </w:r>
      <w:r>
        <w:rPr>
          <w:rFonts w:hint="eastAsia" w:ascii="宋体" w:hAnsi="宋体" w:cs="仿宋_GB2312"/>
          <w:color w:val="000000"/>
          <w:sz w:val="21"/>
          <w:szCs w:val="21"/>
          <w:u w:val="single"/>
          <w:shd w:val="clear" w:color="auto" w:fill="FFFFFF"/>
          <w:lang w:eastAsia="zh-CN"/>
        </w:rPr>
        <w:t>许昌市魏都区城乡统筹发展局</w:t>
      </w:r>
      <w:r>
        <w:rPr>
          <w:rFonts w:hint="eastAsia" w:ascii="宋体" w:hAnsi="宋体" w:cs="仿宋_GB2312"/>
          <w:color w:val="000000"/>
          <w:sz w:val="21"/>
          <w:szCs w:val="21"/>
          <w:shd w:val="clear" w:color="auto" w:fill="FFFFFF"/>
        </w:rPr>
        <w:t>的委托，对</w:t>
      </w:r>
      <w:r>
        <w:rPr>
          <w:rFonts w:hint="eastAsia" w:ascii="宋体" w:hAnsi="宋体" w:cs="仿宋_GB2312"/>
          <w:color w:val="000000"/>
          <w:sz w:val="21"/>
          <w:szCs w:val="21"/>
          <w:u w:val="single"/>
          <w:shd w:val="clear" w:color="auto" w:fill="FFFFFF"/>
          <w:lang w:eastAsia="zh-CN"/>
        </w:rPr>
        <w:t>浩瑞新型建材项目规划核实</w:t>
      </w:r>
      <w:r>
        <w:rPr>
          <w:rFonts w:hint="eastAsia" w:ascii="宋体" w:hAnsi="宋体" w:cs="仿宋_GB2312"/>
          <w:color w:val="000000"/>
          <w:sz w:val="21"/>
          <w:szCs w:val="21"/>
          <w:u w:val="single"/>
          <w:shd w:val="clear" w:color="auto" w:fill="FFFFFF"/>
        </w:rPr>
        <w:t>（不见面开标）项目</w:t>
      </w:r>
      <w:r>
        <w:rPr>
          <w:rFonts w:hint="eastAsia" w:ascii="宋体" w:hAnsi="宋体" w:cs="仿宋_GB2312"/>
          <w:color w:val="000000"/>
          <w:sz w:val="21"/>
          <w:szCs w:val="21"/>
          <w:shd w:val="clear" w:color="auto" w:fill="FFFFFF"/>
        </w:rPr>
        <w:t>进行竞争性谈判采购。现邀请符合本谈判文件规定条件的供应商前来谈判。</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eastAsia="宋体"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仿宋_GB2312" w:eastAsiaTheme="minorEastAsia"/>
          <w:color w:val="000000"/>
          <w:sz w:val="21"/>
          <w:szCs w:val="21"/>
          <w:u w:val="single"/>
          <w:shd w:val="clear" w:color="auto" w:fill="FFFFFF"/>
          <w:lang w:eastAsia="zh-CN"/>
        </w:rPr>
        <w:t>浩瑞新型建材项目规划核实</w:t>
      </w:r>
      <w:r>
        <w:rPr>
          <w:rFonts w:hint="eastAsia" w:ascii="宋体" w:hAnsi="宋体" w:cs="仿宋_GB2312"/>
          <w:color w:val="000000"/>
          <w:sz w:val="21"/>
          <w:szCs w:val="21"/>
          <w:u w:val="single"/>
          <w:shd w:val="clear" w:color="auto" w:fill="FFFFFF"/>
        </w:rPr>
        <w:t>（不见面开标）</w:t>
      </w:r>
      <w:r>
        <w:rPr>
          <w:rFonts w:hint="eastAsia" w:ascii="宋体" w:hAnsi="宋体" w:cs="仿宋_GB2312"/>
          <w:color w:val="000000"/>
          <w:sz w:val="21"/>
          <w:szCs w:val="21"/>
          <w:u w:val="single"/>
          <w:shd w:val="clear" w:color="auto" w:fill="FFFFFF"/>
          <w:lang w:eastAsia="zh-CN"/>
        </w:rPr>
        <w:t>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JZFCG-T2020003号</w:t>
      </w:r>
      <w:r>
        <w:rPr>
          <w:rFonts w:hint="eastAsia" w:cs="仿宋_GB2312" w:asciiTheme="minorEastAsia" w:hAnsiTheme="minorEastAsia" w:eastAsiaTheme="minorEastAsia"/>
          <w:color w:val="000000"/>
          <w:sz w:val="21"/>
          <w:szCs w:val="21"/>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w:t>
      </w:r>
      <w:r>
        <w:rPr>
          <w:rFonts w:hint="eastAsia" w:cs="仿宋_GB2312" w:asciiTheme="minorEastAsia" w:hAnsiTheme="minorEastAsia" w:eastAsiaTheme="minorEastAsia"/>
          <w:color w:val="000000"/>
          <w:sz w:val="21"/>
          <w:szCs w:val="21"/>
          <w:shd w:val="clear" w:color="auto" w:fill="FFFFFF"/>
          <w:lang w:eastAsia="zh-CN"/>
        </w:rPr>
        <w:t>对浩瑞新型建材项目的修建性详细规划方案进行规划核实工作</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eastAsia="zh-CN"/>
        </w:rPr>
        <w:t>328000.00</w:t>
      </w:r>
      <w:r>
        <w:rPr>
          <w:rFonts w:hint="eastAsia" w:cs="仿宋_GB2312" w:asciiTheme="minorEastAsia" w:hAnsiTheme="minorEastAsia" w:eastAsiaTheme="minorEastAsia"/>
          <w:color w:val="000000"/>
          <w:sz w:val="21"/>
          <w:szCs w:val="21"/>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（六）交付（服务、完工）时间 ：自合同生效之日起</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日历天。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（七）交付（服务、完工）地点：</w:t>
      </w:r>
      <w:r>
        <w:rPr>
          <w:rFonts w:hint="eastAsia" w:cs="仿宋_GB2312" w:asciiTheme="minorEastAsia" w:hAnsiTheme="minorEastAsia" w:eastAsiaTheme="minorEastAsia"/>
          <w:color w:val="000000"/>
          <w:sz w:val="21"/>
          <w:szCs w:val="21"/>
          <w:lang w:eastAsia="zh-CN"/>
        </w:rPr>
        <w:t>许昌市魏都区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eastAsia="zh-CN"/>
        </w:rPr>
        <w:t>具备测绘地理信息行政主管部门颁发的测绘乙级或以上资质</w:t>
      </w:r>
      <w:r>
        <w:rPr>
          <w:rFonts w:hint="eastAsia" w:cs="仿宋_GB2312" w:asciiTheme="minorEastAsia" w:hAnsiTheme="minorEastAsia" w:eastAsiaTheme="minorEastAsia"/>
          <w:color w:val="000000"/>
          <w:sz w:val="21"/>
          <w:szCs w:val="21"/>
          <w:shd w:val="clear" w:color="auto" w:fill="FFFFFF"/>
        </w:rPr>
        <w:t>。拟派项目负责人具有</w:t>
      </w:r>
      <w:r>
        <w:rPr>
          <w:rFonts w:hint="eastAsia" w:cs="仿宋_GB2312" w:asciiTheme="minorEastAsia" w:hAnsiTheme="minorEastAsia" w:eastAsiaTheme="minorEastAsia"/>
          <w:color w:val="000000"/>
          <w:sz w:val="21"/>
          <w:szCs w:val="21"/>
          <w:shd w:val="clear" w:color="auto" w:fill="FFFFFF"/>
          <w:lang w:eastAsia="zh-CN"/>
        </w:rPr>
        <w:t>中</w:t>
      </w:r>
      <w:r>
        <w:rPr>
          <w:rFonts w:hint="eastAsia" w:cs="仿宋_GB2312" w:asciiTheme="minorEastAsia" w:hAnsiTheme="minorEastAsia" w:eastAsiaTheme="minorEastAsia"/>
          <w:color w:val="000000"/>
          <w:sz w:val="21"/>
          <w:szCs w:val="21"/>
          <w:shd w:val="clear" w:color="auto" w:fill="FFFFFF"/>
        </w:rPr>
        <w:t>级工程师及以上技术职称。</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w:t>
      </w:r>
      <w:r>
        <w:rPr>
          <w:rFonts w:hint="eastAsia" w:cs="仿宋_GB2312" w:asciiTheme="minorEastAsia" w:hAnsiTheme="minorEastAsia" w:eastAsiaTheme="minorEastAsia"/>
          <w:color w:val="000000"/>
          <w:sz w:val="21"/>
          <w:szCs w:val="21"/>
          <w:lang w:eastAsia="zh-CN"/>
        </w:rPr>
        <w:t>2020年6月3日08时30分</w:t>
      </w:r>
      <w:r>
        <w:rPr>
          <w:rFonts w:hint="eastAsia" w:cs="仿宋_GB2312" w:asciiTheme="minorEastAsia" w:hAnsiTheme="minorEastAsia" w:eastAsiaTheme="minorEastAsia"/>
          <w:color w:val="000000"/>
          <w:sz w:val="21"/>
          <w:szCs w:val="21"/>
        </w:rPr>
        <w:t>（北京时间），逾期送达或不符合规定的响应文件</w:t>
      </w:r>
      <w:r>
        <w:rPr>
          <w:rFonts w:hint="eastAsia" w:ascii="宋体" w:hAnsi="宋体" w:cs="微软雅黑"/>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（一）谈判响应文件开启地点：许昌市公共资源交易中心</w:t>
      </w:r>
      <w:r>
        <w:rPr>
          <w:rFonts w:hint="eastAsia" w:cs="仿宋_GB2312" w:asciiTheme="minorEastAsia" w:hAnsiTheme="minorEastAsia" w:eastAsiaTheme="minorEastAsia"/>
          <w:color w:val="000000"/>
          <w:sz w:val="21"/>
          <w:szCs w:val="21"/>
          <w:lang w:eastAsia="zh-CN"/>
        </w:rPr>
        <w:t>三楼开标五室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本项目采用远程不见面谈判，供应商无须到达现场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在响应文件提交截止时间（谈判响应截止时间）前通过《全国公共资源交易平台(河南省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2、谈判响应截止时间前，供应商</w:t>
      </w:r>
      <w:r>
        <w:rPr>
          <w:rFonts w:hint="eastAsia" w:cs="仿宋_GB2312" w:asciiTheme="minorEastAsia" w:hAnsiTheme="minorEastAsia" w:eastAsiaTheme="minorEastAsia"/>
          <w:color w:val="000000"/>
          <w:sz w:val="21"/>
          <w:szCs w:val="21"/>
          <w:shd w:val="clear" w:color="auto" w:fill="FFFFFF"/>
        </w:rPr>
        <w:t>应登录不见面开标大厅，</w:t>
      </w:r>
      <w:r>
        <w:rPr>
          <w:rFonts w:hint="eastAsia" w:cs="仿宋_GB2312" w:asciiTheme="minorEastAsia" w:hAnsiTheme="minorEastAsia" w:eastAsiaTheme="min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许昌市魏都区城乡统筹发展局</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地址：</w:t>
      </w:r>
      <w:r>
        <w:rPr>
          <w:rFonts w:hint="eastAsia" w:ascii="宋体" w:hAnsi="宋体"/>
          <w:szCs w:val="21"/>
          <w:lang w:eastAsia="zh-CN"/>
        </w:rPr>
        <w:t>许昌市魏都区区政府院内</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联系人：</w:t>
      </w:r>
      <w:r>
        <w:rPr>
          <w:rFonts w:hint="eastAsia" w:ascii="宋体" w:hAnsi="宋体"/>
          <w:szCs w:val="21"/>
          <w:lang w:eastAsia="zh-CN"/>
        </w:rPr>
        <w:t>马女士</w:t>
      </w:r>
      <w:r>
        <w:rPr>
          <w:rFonts w:hint="eastAsia" w:ascii="宋体" w:hAnsi="宋体"/>
          <w:szCs w:val="21"/>
        </w:rPr>
        <w:t xml:space="preserve">                   联系电话：</w:t>
      </w:r>
      <w:r>
        <w:rPr>
          <w:rFonts w:hint="eastAsia" w:ascii="宋体" w:hAnsi="宋体"/>
          <w:szCs w:val="21"/>
          <w:lang w:eastAsia="zh-CN"/>
        </w:rPr>
        <w:t>15993605826</w:t>
      </w:r>
    </w:p>
    <w:p>
      <w:pPr>
        <w:adjustRightInd w:val="0"/>
        <w:spacing w:line="360" w:lineRule="auto"/>
        <w:ind w:firstLine="843" w:firstLineChars="400"/>
        <w:contextualSpacing/>
        <w:jc w:val="left"/>
        <w:rPr>
          <w:rFonts w:ascii="宋体" w:hAnsi="宋体"/>
          <w:szCs w:val="21"/>
        </w:rPr>
      </w:pPr>
      <w:r>
        <w:rPr>
          <w:rFonts w:hint="eastAsia" w:ascii="宋体" w:hAnsi="宋体"/>
          <w:b/>
          <w:szCs w:val="21"/>
          <w:lang w:eastAsia="zh-CN"/>
        </w:rPr>
        <w:t>采购代理机构</w:t>
      </w:r>
      <w:r>
        <w:rPr>
          <w:rFonts w:hint="eastAsia" w:ascii="宋体" w:hAnsi="宋体"/>
          <w:szCs w:val="21"/>
        </w:rPr>
        <w:t>：</w:t>
      </w:r>
      <w:r>
        <w:rPr>
          <w:rFonts w:hint="eastAsia" w:ascii="宋体" w:hAnsi="宋体"/>
          <w:szCs w:val="21"/>
          <w:lang w:eastAsia="zh-CN"/>
        </w:rPr>
        <w:t>河南省地标工程管理有限公司</w:t>
      </w:r>
      <w:r>
        <w:rPr>
          <w:rFonts w:hint="eastAsia" w:ascii="宋体" w:hAnsi="宋体"/>
          <w:szCs w:val="21"/>
        </w:rPr>
        <w:t xml:space="preserve"> </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地址：</w:t>
      </w:r>
      <w:r>
        <w:rPr>
          <w:rFonts w:hint="eastAsia" w:ascii="宋体" w:hAnsi="宋体"/>
          <w:szCs w:val="21"/>
          <w:lang w:eastAsia="zh-CN"/>
        </w:rPr>
        <w:t>许昌市莲城大道（电业局对面老档案局）</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联系人：</w:t>
      </w:r>
      <w:r>
        <w:rPr>
          <w:rFonts w:hint="eastAsia" w:ascii="宋体" w:hAnsi="宋体"/>
          <w:szCs w:val="21"/>
          <w:lang w:eastAsia="zh-CN"/>
        </w:rPr>
        <w:t>法先生</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宋体" w:hAnsi="宋体"/>
          <w:szCs w:val="21"/>
          <w:lang w:eastAsia="zh-CN"/>
        </w:rPr>
        <w:t>18937449900</w:t>
      </w:r>
    </w:p>
    <w:p>
      <w:pPr>
        <w:adjustRightInd w:val="0"/>
        <w:snapToGrid w:val="0"/>
        <w:spacing w:line="360" w:lineRule="auto"/>
        <w:ind w:firstLine="840" w:firstLineChars="400"/>
        <w:jc w:val="left"/>
        <w:rPr>
          <w:rFonts w:hint="eastAsia" w:ascii="宋体" w:hAnsi="宋体"/>
          <w:szCs w:val="21"/>
          <w:lang w:eastAsia="zh-CN"/>
        </w:rPr>
      </w:pPr>
    </w:p>
    <w:p>
      <w:pPr>
        <w:adjustRightInd w:val="0"/>
        <w:snapToGrid w:val="0"/>
        <w:spacing w:line="360" w:lineRule="auto"/>
        <w:ind w:firstLine="840" w:firstLineChars="400"/>
        <w:jc w:val="right"/>
        <w:rPr>
          <w:rFonts w:ascii="宋体" w:hAnsi="宋体"/>
          <w:szCs w:val="21"/>
        </w:rPr>
      </w:pPr>
      <w:r>
        <w:rPr>
          <w:rFonts w:hint="eastAsia" w:ascii="宋体" w:hAnsi="宋体"/>
          <w:szCs w:val="21"/>
          <w:lang w:eastAsia="zh-CN"/>
        </w:rPr>
        <w:t>许昌市魏都区城乡统筹发展局</w:t>
      </w:r>
    </w:p>
    <w:p>
      <w:pPr>
        <w:adjustRightInd w:val="0"/>
        <w:snapToGrid w:val="0"/>
        <w:spacing w:line="360" w:lineRule="auto"/>
        <w:ind w:firstLine="840" w:firstLineChars="400"/>
        <w:jc w:val="right"/>
        <w:rPr>
          <w:rFonts w:hint="default" w:ascii="宋体" w:hAnsi="宋体"/>
          <w:szCs w:val="21"/>
          <w:lang w:val="en-US" w:eastAsia="zh-CN"/>
        </w:rPr>
      </w:pPr>
      <w:r>
        <w:rPr>
          <w:rFonts w:hint="eastAsia" w:ascii="宋体" w:hAnsi="宋体"/>
          <w:szCs w:val="21"/>
          <w:lang w:val="en-US" w:eastAsia="zh-CN"/>
        </w:rPr>
        <w:t>2020年5月26日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contextualSpacing/>
        <w:rPr>
          <w:rFonts w:hint="eastAsia"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contextualSpacing/>
        <w:rPr>
          <w:rFonts w:hint="eastAsia" w:asciiTheme="minorEastAsia" w:hAnsiTheme="minorEastAsia" w:eastAsiaTheme="minorEastAsia"/>
          <w:color w:val="000000"/>
          <w:szCs w:val="21"/>
          <w:lang w:val="en-US" w:eastAsia="zh-CN"/>
        </w:rPr>
      </w:pPr>
      <w:r>
        <w:rPr>
          <w:rFonts w:hint="eastAsia" w:asciiTheme="minorEastAsia" w:hAnsiTheme="minorEastAsia"/>
          <w:color w:val="000000"/>
          <w:szCs w:val="21"/>
          <w:lang w:val="en-US"/>
        </w:rPr>
        <w:t>6.3</w:t>
      </w:r>
      <w:r>
        <w:rPr>
          <w:rFonts w:hint="eastAsia" w:asciiTheme="minorEastAsia" w:hAnsiTheme="minorEastAsia"/>
          <w:color w:val="000000"/>
          <w:szCs w:val="21"/>
        </w:rPr>
        <w:t>有多轮报价的，各投标人应提前准备好分项报价，为多轮报价做好准备，在谈判小组发起报价通知后，在规定时间内提交有效报价</w:t>
      </w:r>
      <w:r>
        <w:rPr>
          <w:rFonts w:hint="eastAsia" w:asciiTheme="minorEastAsia" w:hAnsiTheme="minorEastAsia"/>
          <w:color w:val="000000"/>
          <w:szCs w:val="21"/>
          <w:lang w:eastAsia="zh-CN"/>
        </w:rPr>
        <w:t>。</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50"/>
        <w:widowControl/>
        <w:numPr>
          <w:ilvl w:val="0"/>
          <w:numId w:val="4"/>
        </w:numPr>
        <w:shd w:val="clear" w:color="auto" w:fill="FFFFFF"/>
        <w:spacing w:line="360" w:lineRule="auto"/>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许昌市魏都区2019年第二次规委会，审议通过了浩瑞新型建材项目的修建性详细规划方案。为保证建设工程符合国家有关规范、标准并满足质量和使用要求，对建筑工程的放线情况和建设情况，是否符合《 建设工程规划许可证》及其附件、附图所确定的内容进行验核和确认，</w:t>
      </w:r>
      <w:r>
        <w:rPr>
          <w:rFonts w:hint="eastAsia" w:cs="仿宋_GB2312" w:asciiTheme="minorEastAsia" w:hAnsiTheme="minorEastAsia"/>
          <w:sz w:val="24"/>
          <w:szCs w:val="24"/>
          <w:lang w:val="zh-CN" w:eastAsia="zh-CN"/>
        </w:rPr>
        <w:t>需委托第三方测绘公司对其进行规划核实工作。</w:t>
      </w:r>
    </w:p>
    <w:p>
      <w:pPr>
        <w:widowControl/>
        <w:shd w:val="clear" w:color="auto" w:fill="FFFFFF"/>
        <w:spacing w:line="560" w:lineRule="atLeast"/>
        <w:ind w:firstLine="600"/>
        <w:jc w:val="left"/>
        <w:rPr>
          <w:rFonts w:ascii="仿宋" w:hAnsi="仿宋" w:eastAsia="仿宋" w:cs="宋体"/>
          <w:color w:val="000000"/>
          <w:kern w:val="0"/>
          <w:sz w:val="32"/>
          <w:szCs w:val="32"/>
        </w:rPr>
      </w:pPr>
      <w:r>
        <w:rPr>
          <w:rFonts w:hint="eastAsia" w:cs="黑体" w:asciiTheme="minorEastAsia" w:hAnsiTheme="minorEastAsia"/>
          <w:b/>
          <w:bCs/>
          <w:color w:val="000000"/>
          <w:sz w:val="24"/>
          <w:szCs w:val="24"/>
          <w:shd w:val="clear" w:color="auto" w:fill="FFFFFF"/>
        </w:rPr>
        <w:t>二、采购清单</w:t>
      </w:r>
    </w:p>
    <w:tbl>
      <w:tblPr>
        <w:tblStyle w:val="24"/>
        <w:tblW w:w="84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05"/>
        <w:gridCol w:w="2104"/>
        <w:gridCol w:w="2119"/>
        <w:gridCol w:w="16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6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1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位置</w:t>
            </w:r>
          </w:p>
        </w:tc>
        <w:tc>
          <w:tcPr>
            <w:tcW w:w="2119" w:type="dxa"/>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用地</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面积</w:t>
            </w:r>
          </w:p>
        </w:tc>
        <w:tc>
          <w:tcPr>
            <w:tcW w:w="165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6" w:hRule="atLeast"/>
          <w:jc w:val="center"/>
        </w:trPr>
        <w:tc>
          <w:tcPr>
            <w:tcW w:w="2605"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许昌浩瑞新型建材地块规划核实</w:t>
            </w:r>
          </w:p>
          <w:p>
            <w:pPr>
              <w:jc w:val="left"/>
              <w:rPr>
                <w:rFonts w:hint="eastAsia" w:asciiTheme="minorEastAsia" w:hAnsiTheme="minorEastAsia" w:eastAsiaTheme="minorEastAsia" w:cstheme="minorEastAsia"/>
                <w:sz w:val="24"/>
                <w:szCs w:val="24"/>
              </w:rPr>
            </w:pPr>
          </w:p>
        </w:tc>
        <w:tc>
          <w:tcPr>
            <w:tcW w:w="2104"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新绿街以南、</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规划道路二以西、</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规划道路三以北、规划道路一以东</w:t>
            </w:r>
          </w:p>
          <w:p>
            <w:pPr>
              <w:jc w:val="left"/>
              <w:rPr>
                <w:rFonts w:hint="eastAsia" w:asciiTheme="minorEastAsia" w:hAnsiTheme="minorEastAsia" w:eastAsiaTheme="minorEastAsia" w:cstheme="minorEastAsia"/>
                <w:sz w:val="24"/>
                <w:szCs w:val="24"/>
              </w:rPr>
            </w:pPr>
          </w:p>
        </w:tc>
        <w:tc>
          <w:tcPr>
            <w:tcW w:w="2119"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规划红线内用地面积 148332 </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平方米，</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规划绿线内用地面积 </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136552 平方米。</w:t>
            </w:r>
          </w:p>
          <w:p>
            <w:pPr>
              <w:jc w:val="center"/>
              <w:rPr>
                <w:rFonts w:hint="eastAsia" w:asciiTheme="minorEastAsia" w:hAnsiTheme="minorEastAsia" w:eastAsiaTheme="minorEastAsia" w:cstheme="minorEastAsia"/>
                <w:sz w:val="24"/>
                <w:szCs w:val="24"/>
              </w:rPr>
            </w:pPr>
          </w:p>
        </w:tc>
        <w:tc>
          <w:tcPr>
            <w:tcW w:w="1650"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地上建筑面积为 179761.02 平方米。</w:t>
            </w:r>
          </w:p>
          <w:p>
            <w:pPr>
              <w:jc w:val="center"/>
              <w:rPr>
                <w:rFonts w:hint="eastAsia" w:asciiTheme="minorEastAsia" w:hAnsiTheme="minorEastAsia" w:eastAsiaTheme="minorEastAsia" w:cstheme="minorEastAsia"/>
                <w:sz w:val="24"/>
                <w:szCs w:val="24"/>
              </w:rPr>
            </w:pPr>
          </w:p>
        </w:tc>
      </w:tr>
    </w:tbl>
    <w:p>
      <w:pPr>
        <w:spacing w:line="360" w:lineRule="auto"/>
        <w:rPr>
          <w:rFonts w:cs="仿宋_GB2312" w:asciiTheme="minorEastAsia" w:hAnsiTheme="minorEastAsia"/>
          <w:sz w:val="24"/>
          <w:szCs w:val="24"/>
          <w:lang w:val="zh-CN"/>
        </w:rPr>
      </w:pP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w:t>
      </w:r>
      <w:r>
        <w:rPr>
          <w:rFonts w:hint="eastAsia" w:ascii="宋体" w:cs="宋体"/>
          <w:color w:val="auto"/>
          <w:sz w:val="24"/>
          <w:lang w:val="zh-CN"/>
        </w:rPr>
        <w:t>本谈判文件所列需求为最低要求，投标产品不得低于最低要求，</w:t>
      </w:r>
      <w:r>
        <w:rPr>
          <w:rFonts w:hint="eastAsia" w:ascii="宋体" w:cs="宋体"/>
          <w:b/>
          <w:color w:val="auto"/>
          <w:sz w:val="24"/>
          <w:lang w:val="zh-CN"/>
        </w:rPr>
        <w:t>否则为无效投标。</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w:t>
      </w:r>
      <w:r>
        <w:rPr>
          <w:rFonts w:hint="eastAsia" w:ascii="宋体" w:hAnsi="宋体" w:eastAsia="宋体" w:cs="宋体"/>
          <w:color w:val="auto"/>
          <w:sz w:val="24"/>
          <w:lang w:val="en-US" w:eastAsia="zh-CN"/>
        </w:rPr>
        <w:t>质量要求：</w:t>
      </w:r>
      <w:r>
        <w:rPr>
          <w:rFonts w:hint="eastAsia" w:ascii="宋体" w:hAnsi="宋体" w:cs="微软雅黑"/>
          <w:sz w:val="24"/>
          <w:szCs w:val="24"/>
        </w:rPr>
        <w:t>符合国家和履约地相关安全质量标准、行业技术规范标准。</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4、</w:t>
      </w:r>
      <w:r>
        <w:rPr>
          <w:rFonts w:hint="eastAsia" w:ascii="宋体" w:hAnsi="宋体" w:eastAsia="宋体" w:cs="宋体"/>
          <w:color w:val="auto"/>
          <w:sz w:val="24"/>
          <w:szCs w:val="24"/>
          <w:lang w:val="en-US" w:eastAsia="zh-CN"/>
        </w:rPr>
        <w:t>交付时间：自合同签订之日起30个日历天</w:t>
      </w:r>
      <w:r>
        <w:rPr>
          <w:rFonts w:hint="eastAsia" w:ascii="宋体" w:hAnsi="宋体" w:eastAsia="宋体" w:cs="宋体"/>
          <w:b w:val="0"/>
          <w:bCs w:val="0"/>
          <w:color w:val="auto"/>
          <w:sz w:val="24"/>
          <w:szCs w:val="24"/>
          <w:lang w:val="en-US" w:eastAsia="zh-CN"/>
        </w:rPr>
        <w:t>，</w:t>
      </w:r>
      <w:r>
        <w:rPr>
          <w:rFonts w:hint="eastAsia" w:ascii="宋体" w:hAnsi="宋体" w:eastAsia="宋体" w:cs="宋体"/>
          <w:b/>
          <w:bCs/>
          <w:color w:val="auto"/>
          <w:sz w:val="24"/>
          <w:szCs w:val="24"/>
          <w:lang w:val="en-US" w:eastAsia="zh-CN"/>
        </w:rPr>
        <w:t>超出者为无效投标。</w:t>
      </w:r>
    </w:p>
    <w:p>
      <w:pPr>
        <w:topLinePunct/>
        <w:spacing w:line="360" w:lineRule="auto"/>
        <w:ind w:firstLine="480" w:firstLineChars="200"/>
        <w:contextualSpacing/>
        <w:rPr>
          <w:rFonts w:hint="eastAsia" w:ascii="宋体" w:cs="宋体" w:eastAsiaTheme="minorEastAsia"/>
          <w:sz w:val="24"/>
          <w:lang w:val="en-US" w:eastAsia="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1"/>
        <w:widowControl/>
        <w:shd w:val="clear" w:color="auto" w:fill="FFFFFF"/>
        <w:spacing w:line="360" w:lineRule="auto"/>
        <w:ind w:firstLine="420"/>
        <w:contextualSpacing/>
        <w:jc w:val="left"/>
        <w:rPr>
          <w:rFonts w:cs="宋体" w:asciiTheme="minorEastAsia" w:hAnsiTheme="minorEastAsia" w:eastAsiaTheme="minorEastAsia"/>
          <w:b/>
          <w:color w:val="000000"/>
          <w:kern w:val="0"/>
          <w:lang w:val="zh-CN"/>
        </w:rPr>
      </w:pPr>
      <w:r>
        <w:rPr>
          <w:rFonts w:hint="eastAsia" w:cs="黑体" w:asciiTheme="minorEastAsia" w:hAnsiTheme="minorEastAsia" w:eastAsiaTheme="minorEastAsia"/>
          <w:b/>
          <w:bCs/>
          <w:color w:val="000000"/>
          <w:shd w:val="clear" w:color="auto" w:fill="FFFFFF"/>
        </w:rPr>
        <w:t>六、本项目预算金额</w:t>
      </w:r>
      <w:r>
        <w:rPr>
          <w:rFonts w:hint="eastAsia" w:cs="黑体" w:asciiTheme="minorEastAsia" w:hAnsiTheme="minorEastAsia" w:eastAsiaTheme="minorEastAsia"/>
          <w:b/>
          <w:bCs/>
          <w:color w:val="000000"/>
          <w:shd w:val="clear" w:color="auto" w:fill="FFFFFF"/>
          <w:lang w:eastAsia="zh-CN"/>
        </w:rPr>
        <w:t>328000.00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宋体" w:asciiTheme="minorEastAsia" w:hAnsiTheme="minorEastAsia"/>
          <w:b/>
          <w:color w:val="000000"/>
          <w:kern w:val="0"/>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cs="微软雅黑"/>
          <w:sz w:val="24"/>
          <w:szCs w:val="24"/>
        </w:rPr>
        <w:t>签订合同之日起15日历天内完成</w:t>
      </w:r>
      <w:r>
        <w:rPr>
          <w:rFonts w:hint="eastAsia" w:ascii="宋体" w:hAnsi="宋体" w:cs="微软雅黑"/>
          <w:sz w:val="24"/>
          <w:szCs w:val="24"/>
          <w:lang w:eastAsia="zh-CN"/>
        </w:rPr>
        <w:t>验收工作并将成果</w:t>
      </w:r>
      <w:r>
        <w:rPr>
          <w:rFonts w:hint="eastAsia" w:ascii="宋体" w:hAnsi="宋体" w:cs="微软雅黑"/>
          <w:sz w:val="24"/>
          <w:szCs w:val="24"/>
        </w:rPr>
        <w:t>报送采购人，</w:t>
      </w:r>
      <w:r>
        <w:rPr>
          <w:rFonts w:hint="eastAsia" w:ascii="宋体" w:hAnsi="宋体" w:cs="微软雅黑"/>
          <w:sz w:val="24"/>
          <w:szCs w:val="24"/>
          <w:lang w:eastAsia="zh-CN"/>
        </w:rPr>
        <w:t>经甲方验收合格后</w:t>
      </w:r>
      <w:r>
        <w:rPr>
          <w:rFonts w:hint="eastAsia" w:ascii="宋体" w:hAnsi="宋体" w:cs="微软雅黑"/>
          <w:sz w:val="24"/>
          <w:szCs w:val="24"/>
          <w:lang w:val="en-US" w:eastAsia="zh-CN"/>
        </w:rPr>
        <w:t>1个月内支付全部费用</w:t>
      </w:r>
      <w:r>
        <w:rPr>
          <w:rFonts w:hint="eastAsia" w:ascii="宋体" w:hAnsi="宋体" w:cs="微软雅黑"/>
          <w:sz w:val="24"/>
          <w:szCs w:val="24"/>
        </w:rPr>
        <w:t>。</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eastAsia="宋体" w:cs="仿宋_GB2312" w:asciiTheme="minorEastAsia" w:hAnsiTheme="minorEastAsia"/>
                <w:szCs w:val="21"/>
                <w:lang w:eastAsia="zh-CN"/>
              </w:rPr>
            </w:pPr>
            <w:r>
              <w:rPr>
                <w:rFonts w:hint="eastAsia" w:cs="仿宋_GB2312" w:asciiTheme="minorEastAsia" w:hAnsiTheme="minorEastAsia"/>
                <w:szCs w:val="21"/>
              </w:rPr>
              <w:t>项目名称：</w:t>
            </w:r>
            <w:r>
              <w:rPr>
                <w:rFonts w:hint="eastAsia" w:ascii="宋体" w:hAnsi="宋体" w:eastAsia="宋体" w:cs="仿宋_GB2312"/>
                <w:color w:val="000000"/>
                <w:szCs w:val="21"/>
                <w:u w:val="single"/>
                <w:shd w:val="clear" w:color="auto" w:fill="FFFFFF"/>
                <w:lang w:eastAsia="zh-CN"/>
              </w:rPr>
              <w:t>浩瑞新型建材项目规划核实</w:t>
            </w:r>
            <w:r>
              <w:rPr>
                <w:rFonts w:hint="eastAsia" w:ascii="宋体" w:hAnsi="宋体" w:eastAsia="宋体" w:cs="仿宋_GB2312"/>
                <w:color w:val="000000"/>
                <w:szCs w:val="21"/>
                <w:u w:val="single"/>
                <w:shd w:val="clear" w:color="auto" w:fill="FFFFFF"/>
              </w:rPr>
              <w:t>（不见面开标）</w:t>
            </w:r>
            <w:r>
              <w:rPr>
                <w:rFonts w:hint="eastAsia" w:ascii="宋体" w:hAnsi="宋体" w:eastAsia="宋体" w:cs="仿宋_GB2312"/>
                <w:color w:val="000000"/>
                <w:szCs w:val="21"/>
                <w:u w:val="single"/>
                <w:shd w:val="clear" w:color="auto" w:fill="FFFFFF"/>
                <w:lang w:eastAsia="zh-CN"/>
              </w:rPr>
              <w:t>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JZFCG-T2020003号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color w:val="000000"/>
                <w:szCs w:val="21"/>
                <w:shd w:val="clear" w:color="auto" w:fill="FFFFFF"/>
                <w:lang w:eastAsia="zh-CN"/>
              </w:rPr>
              <w:t>对浩瑞新型建材项目的修建性详细规划方案进行规划核实工作</w:t>
            </w:r>
            <w:r>
              <w:rPr>
                <w:rFonts w:hint="eastAsia" w:cs="仿宋_GB2312" w:asciiTheme="minorEastAsia" w:hAnsiTheme="minorEastAsia"/>
                <w:color w:val="000000"/>
                <w:szCs w:val="21"/>
                <w:shd w:val="clear" w:color="auto" w:fill="FFFFFF"/>
              </w:rPr>
              <w:t>。</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color w:val="000000"/>
                <w:szCs w:val="21"/>
                <w:lang w:eastAsia="zh-CN"/>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szCs w:val="21"/>
              </w:rPr>
              <w:t>名称：</w:t>
            </w:r>
            <w:r>
              <w:rPr>
                <w:rFonts w:hint="eastAsia" w:cs="仿宋_GB2312" w:asciiTheme="minorEastAsia" w:hAnsiTheme="minorEastAsia"/>
                <w:color w:val="000000"/>
                <w:szCs w:val="21"/>
                <w:shd w:val="clear" w:color="auto" w:fill="FFFFFF"/>
                <w:lang w:eastAsia="zh-CN"/>
              </w:rPr>
              <w:t>许昌市魏都区城乡统筹发展局</w:t>
            </w:r>
          </w:p>
          <w:p>
            <w:pPr>
              <w:autoSpaceDE w:val="0"/>
              <w:autoSpaceDN w:val="0"/>
              <w:adjustRightInd w:val="0"/>
              <w:spacing w:line="360" w:lineRule="auto"/>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w:t>
            </w:r>
            <w:r>
              <w:rPr>
                <w:rFonts w:hint="eastAsia" w:cs="仿宋_GB2312" w:asciiTheme="minorEastAsia" w:hAnsiTheme="minorEastAsia"/>
                <w:color w:val="000000"/>
                <w:szCs w:val="21"/>
                <w:shd w:val="clear" w:color="auto" w:fill="FFFFFF"/>
                <w:lang w:eastAsia="zh-CN"/>
              </w:rPr>
              <w:t>许昌市魏都区区政府院内</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马女士</w:t>
            </w:r>
            <w:r>
              <w:rPr>
                <w:rFonts w:hint="eastAsia" w:cs="仿宋_GB2312" w:asciiTheme="minorEastAsia" w:hAnsiTheme="minorEastAsia"/>
                <w:color w:val="000000"/>
                <w:szCs w:val="21"/>
                <w:shd w:val="clear" w:color="auto" w:fill="FFFFFF"/>
              </w:rPr>
              <w:t xml:space="preserve">                    电话：</w:t>
            </w:r>
            <w:r>
              <w:rPr>
                <w:rFonts w:hint="eastAsia" w:cs="仿宋_GB2312" w:asciiTheme="minorEastAsia" w:hAnsiTheme="minorEastAsia"/>
                <w:color w:val="000000"/>
                <w:szCs w:val="21"/>
                <w:shd w:val="clear" w:color="auto" w:fill="FFFFFF"/>
                <w:lang w:eastAsia="zh-CN"/>
              </w:rPr>
              <w:t>15993605826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采购代理机构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河南省地标工程管理有限公司</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许昌市莲城大道（电业局对面老档案局）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法利辉</w:t>
            </w:r>
            <w:r>
              <w:rPr>
                <w:rFonts w:hint="eastAsia" w:cs="仿宋_GB2312" w:asciiTheme="minorEastAsia" w:hAnsiTheme="minorEastAsia"/>
                <w:szCs w:val="21"/>
              </w:rPr>
              <w:t xml:space="preserve">                    电话：</w:t>
            </w:r>
            <w:r>
              <w:rPr>
                <w:rFonts w:hint="eastAsia" w:cs="仿宋_GB2312" w:asciiTheme="minorEastAsia" w:hAnsiTheme="minorEastAsia"/>
                <w:szCs w:val="21"/>
                <w:lang w:eastAsia="zh-CN"/>
              </w:rPr>
              <w:t>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328000.00元，超出预算金额的响应无效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eastAsia="zh-CN"/>
              </w:rPr>
              <w:t>2020年6月3日08</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eastAsia="zh-CN"/>
              </w:rPr>
              <w:t>时30分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谈判响应文件开启地点：许昌市公共资源交易中心</w:t>
            </w:r>
            <w:r>
              <w:rPr>
                <w:rFonts w:hint="eastAsia" w:cs="仿宋_GB2312" w:asciiTheme="minorEastAsia" w:hAnsiTheme="minorEastAsia"/>
                <w:color w:val="000000"/>
                <w:szCs w:val="21"/>
                <w:lang w:eastAsia="zh-CN"/>
              </w:rPr>
              <w:t>三楼开标五室</w:t>
            </w:r>
            <w:r>
              <w:rPr>
                <w:rFonts w:hint="eastAsia" w:cs="仿宋_GB2312" w:asciiTheme="minorEastAsia" w:hAnsiTheme="minorEastAsia"/>
                <w:color w:val="000000"/>
                <w:szCs w:val="21"/>
              </w:rPr>
              <w:t>。（</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许昌市公共资源交易中心五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p>
            <w:pPr>
              <w:autoSpaceDE w:val="0"/>
              <w:autoSpaceDN w:val="0"/>
              <w:spacing w:line="360" w:lineRule="auto"/>
              <w:contextualSpacing/>
              <w:rPr>
                <w:rFonts w:hint="eastAsia" w:cs="宋体" w:asciiTheme="minorEastAsia" w:hAnsiTheme="minorEastAsia"/>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szCs w:val="21"/>
              </w:rPr>
              <w:t>收取标准</w:t>
            </w:r>
            <w:r>
              <w:rPr>
                <w:rFonts w:ascii="宋体" w:hAnsi="宋体" w:cs="宋体"/>
                <w:szCs w:val="21"/>
              </w:rPr>
              <w:t>:</w:t>
            </w:r>
            <w:r>
              <w:rPr>
                <w:rFonts w:hint="eastAsia" w:ascii="宋体" w:hAnsi="宋体" w:cs="宋体"/>
                <w:szCs w:val="21"/>
              </w:rPr>
              <w:t>中标合同金额的</w:t>
            </w:r>
            <w:r>
              <w:rPr>
                <w:rFonts w:ascii="宋体" w:hAnsi="宋体" w:cs="宋体"/>
                <w:szCs w:val="21"/>
                <w:u w:val="single"/>
              </w:rPr>
              <w:t>1.5</w:t>
            </w:r>
            <w:r>
              <w:rPr>
                <w:rFonts w:ascii="宋体" w:hAnsi="宋体" w:cs="宋体"/>
                <w:szCs w:val="21"/>
              </w:rPr>
              <w:t>%</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采购代理机构</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ascii="新宋体" w:hAnsi="新宋体" w:eastAsia="新宋体"/>
                <w:szCs w:val="21"/>
                <w:lang w:eastAsia="zh-CN"/>
              </w:rPr>
              <w:t>采购代理机构</w:t>
            </w:r>
            <w:r>
              <w:rPr>
                <w:rFonts w:hint="eastAsia" w:cs="宋体" w:asciiTheme="minorEastAsia" w:hAnsiTheme="minorEastAsia"/>
                <w:bCs/>
                <w:szCs w:val="21"/>
                <w:lang w:val="zh-CN"/>
              </w:rPr>
              <w:t>。联系电话：</w:t>
            </w:r>
            <w:r>
              <w:rPr>
                <w:rFonts w:hint="eastAsia" w:ascii="宋体" w:hAnsi="宋体"/>
                <w:szCs w:val="21"/>
                <w:lang w:eastAsia="zh-CN"/>
              </w:rPr>
              <w:t>18937449900</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采购代理机构</w:t>
      </w:r>
      <w:r>
        <w:rPr>
          <w:rFonts w:hint="eastAsia" w:ascii="宋体" w:hAnsi="宋体"/>
          <w:szCs w:val="21"/>
        </w:rPr>
        <w:t>和采购人。</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采购代理机构</w:t>
      </w:r>
      <w:r>
        <w:rPr>
          <w:rFonts w:hint="eastAsia" w:ascii="宋体" w:hAnsi="宋体"/>
          <w:szCs w:val="21"/>
        </w:rPr>
        <w:t>处按规定获取谈判文件，并按照谈判文件向采购人、</w:t>
      </w:r>
      <w:r>
        <w:rPr>
          <w:rFonts w:hint="eastAsia" w:ascii="宋体" w:hAnsi="宋体"/>
          <w:szCs w:val="21"/>
          <w:lang w:eastAsia="zh-CN"/>
        </w:rPr>
        <w:t>采购代理机构</w:t>
      </w:r>
      <w:r>
        <w:rPr>
          <w:rFonts w:hint="eastAsia" w:ascii="宋体" w:hAnsi="宋体"/>
          <w:szCs w:val="21"/>
        </w:rPr>
        <w:t>提交响应文件的供应商。</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9"/>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50"/>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964" w:firstLine="0" w:firstLineChars="0"/>
        <w:contextualSpacing/>
        <w:rPr>
          <w:rFonts w:hint="eastAsia" w:cs="微软雅黑"/>
          <w:color w:val="000000"/>
          <w:lang w:eastAsia="zh-CN"/>
        </w:rPr>
      </w:pPr>
      <w:r>
        <w:rPr>
          <w:rFonts w:hint="eastAsia" w:cs="微软雅黑"/>
          <w:color w:val="000000"/>
          <w:lang w:eastAsia="zh-CN"/>
        </w:rPr>
        <w:t>7.1 收取标准:按照中标合同金额的比例收取。详见投标人须知前附表。</w:t>
      </w:r>
    </w:p>
    <w:p>
      <w:pPr>
        <w:pStyle w:val="50"/>
        <w:autoSpaceDE w:val="0"/>
        <w:autoSpaceDN w:val="0"/>
        <w:spacing w:line="360" w:lineRule="auto"/>
        <w:ind w:left="964" w:firstLine="0" w:firstLineChars="0"/>
        <w:contextualSpacing/>
        <w:rPr>
          <w:rFonts w:hint="eastAsia" w:cs="微软雅黑"/>
          <w:color w:val="000000"/>
          <w:lang w:eastAsia="zh-CN"/>
        </w:rPr>
      </w:pPr>
      <w:r>
        <w:rPr>
          <w:rFonts w:hint="eastAsia" w:cs="微软雅黑"/>
          <w:color w:val="000000"/>
          <w:lang w:eastAsia="zh-CN"/>
        </w:rPr>
        <w:t>7.2 收取方式：一次性以银行划账、电汇、汇票或支票的形式支付。</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23"/>
        </w:numPr>
        <w:autoSpaceDE w:val="0"/>
        <w:autoSpaceDN w:val="0"/>
        <w:spacing w:line="360" w:lineRule="auto"/>
        <w:ind w:left="993" w:hanging="993" w:firstLineChars="0"/>
        <w:contextualSpacing/>
        <w:rPr>
          <w:rFonts w:cs="宋体" w:asciiTheme="minorEastAsia" w:hAnsiTheme="minorEastAsia"/>
          <w:b/>
          <w:bCs/>
          <w:kern w:val="0"/>
          <w:szCs w:val="21"/>
        </w:rPr>
      </w:pPr>
      <w:r>
        <w:rPr>
          <w:rFonts w:hint="eastAsia" w:cs="宋体" w:asciiTheme="minorEastAsia" w:hAnsiTheme="minorEastAsia"/>
          <w:b/>
          <w:bCs/>
          <w:kern w:val="0"/>
          <w:szCs w:val="21"/>
        </w:rPr>
        <w:t>本项目不收取谈判保证金。</w:t>
      </w:r>
    </w:p>
    <w:p>
      <w:pPr>
        <w:pStyle w:val="50"/>
        <w:numPr>
          <w:ilvl w:val="0"/>
          <w:numId w:val="23"/>
        </w:numPr>
        <w:autoSpaceDE w:val="0"/>
        <w:autoSpaceDN w:val="0"/>
        <w:spacing w:line="360" w:lineRule="auto"/>
        <w:ind w:left="993" w:hanging="993" w:firstLineChars="0"/>
        <w:contextualSpacing/>
        <w:rPr>
          <w:rFonts w:cs="宋体" w:asciiTheme="minorEastAsia" w:hAnsiTheme="minorEastAsia"/>
          <w:b/>
          <w:bCs/>
          <w:kern w:val="0"/>
          <w:szCs w:val="21"/>
        </w:rPr>
      </w:pPr>
      <w:r>
        <w:rPr>
          <w:rFonts w:hint="eastAsia" w:cs="宋体" w:asciiTheme="minorEastAsia" w:hAnsiTheme="minorEastAsia"/>
          <w:b/>
          <w:bCs/>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微软雅黑"/>
          <w:color w:val="000000"/>
        </w:rPr>
        <w:t>将予以拒绝。</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0"/>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解密：</w:t>
      </w:r>
      <w:r>
        <w:rPr>
          <w:rFonts w:hint="eastAsia" w:cs="宋体" w:asciiTheme="minorEastAsia" w:hAnsiTheme="minorEastAsia"/>
          <w:kern w:val="0"/>
          <w:szCs w:val="21"/>
          <w:lang w:eastAsia="zh-CN"/>
        </w:rPr>
        <w:t>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负责记录。</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相关工作人员有需要回避的情形的，应当场提出询问或者回避申请。采购人、采购代理机构对供应商提出的询问或者回避申请应当及时处理。</w:t>
      </w:r>
    </w:p>
    <w:p>
      <w:pPr>
        <w:pStyle w:val="5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30"/>
        </w:numPr>
        <w:autoSpaceDE w:val="0"/>
        <w:autoSpaceDN w:val="0"/>
        <w:spacing w:line="360" w:lineRule="auto"/>
        <w:ind w:firstLineChars="0"/>
        <w:contextualSpacing/>
        <w:rPr>
          <w:rFonts w:ascii="ˎ̥" w:hAnsi="ˎ̥"/>
          <w:vanish/>
        </w:rPr>
      </w:pP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33"/>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3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发现评审专家与参加采购活动的供应商有利害关系的,应当要求其回避。</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0"/>
        <w:numPr>
          <w:ilvl w:val="0"/>
          <w:numId w:val="42"/>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42"/>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42"/>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4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采购代理机构</w:t>
      </w:r>
      <w:r>
        <w:rPr>
          <w:rFonts w:hint="eastAsia" w:cs="宋体" w:asciiTheme="minorEastAsia" w:hAnsiTheme="minorEastAsia"/>
          <w:kern w:val="0"/>
          <w:szCs w:val="21"/>
        </w:rPr>
        <w:t>联系人。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0"/>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0"/>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0"/>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0"/>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第六章 </w:t>
      </w:r>
      <w:r>
        <w:rPr>
          <w:rFonts w:hint="eastAsia" w:cs="宋体" w:asciiTheme="majorEastAsia" w:hAnsiTheme="majorEastAsia" w:eastAsiaTheme="majorEastAsia"/>
          <w:b/>
          <w:kern w:val="0"/>
          <w:sz w:val="32"/>
          <w:szCs w:val="32"/>
          <w:lang w:val="zh-CN"/>
        </w:rPr>
        <w:t>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宋体" w:hAnsi="宋体"/>
                <w:b/>
                <w:bCs/>
                <w:szCs w:val="21"/>
                <w:lang w:eastAsia="zh-CN"/>
              </w:rPr>
              <w:t>企业资质及项目负责人要求</w:t>
            </w:r>
          </w:p>
        </w:tc>
        <w:tc>
          <w:tcPr>
            <w:tcW w:w="5954" w:type="dxa"/>
            <w:vAlign w:val="center"/>
          </w:tcPr>
          <w:p>
            <w:pPr>
              <w:spacing w:line="360" w:lineRule="auto"/>
              <w:jc w:val="left"/>
              <w:rPr>
                <w:rFonts w:asciiTheme="minorEastAsia" w:hAnsiTheme="minorEastAsia"/>
                <w:b/>
                <w:bCs/>
                <w:szCs w:val="21"/>
              </w:rPr>
            </w:pPr>
            <w:r>
              <w:rPr>
                <w:rFonts w:hint="eastAsia" w:cs="仿宋_GB2312" w:asciiTheme="minorEastAsia" w:hAnsiTheme="minorEastAsia"/>
                <w:szCs w:val="21"/>
                <w:lang w:val="zh-CN"/>
              </w:rPr>
              <w:t>具备测绘地理信息行政主管部门颁发的测绘乙级或以上资质。拟派项目负责人具有</w:t>
            </w:r>
            <w:r>
              <w:rPr>
                <w:rFonts w:hint="eastAsia" w:cs="仿宋_GB2312" w:asciiTheme="minorEastAsia" w:hAnsiTheme="minorEastAsia"/>
                <w:szCs w:val="21"/>
                <w:lang w:val="zh-CN" w:eastAsia="zh-CN"/>
              </w:rPr>
              <w:t>中</w:t>
            </w:r>
            <w:r>
              <w:rPr>
                <w:rFonts w:hint="eastAsia" w:cs="仿宋_GB2312" w:asciiTheme="minorEastAsia" w:hAnsiTheme="minorEastAsia"/>
                <w:szCs w:val="21"/>
                <w:lang w:val="zh-CN"/>
              </w:rPr>
              <w:t>级工程师及以上技术职称。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both"/>
        <w:rPr>
          <w:rFonts w:asciiTheme="majorEastAsia" w:hAnsiTheme="majorEastAsia" w:eastAsiaTheme="majorEastAsia"/>
          <w:b/>
          <w:snapToGrid w:val="0"/>
          <w:kern w:val="0"/>
          <w:sz w:val="28"/>
          <w:szCs w:val="28"/>
        </w:rPr>
      </w:pPr>
    </w:p>
    <w:p>
      <w:pPr>
        <w:rPr>
          <w:rFonts w:hint="eastAsia"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河南省地标工程管理有限公司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hint="eastAsia" w:ascii="宋体" w:hAnsi="宋体"/>
          <w:b/>
          <w:bCs/>
          <w:color w:val="000000"/>
          <w:sz w:val="24"/>
          <w:szCs w:val="24"/>
        </w:rPr>
      </w:pPr>
    </w:p>
    <w:p>
      <w:pPr>
        <w:rPr>
          <w:rFonts w:hint="eastAsia" w:ascii="宋体" w:hAnsi="宋体"/>
          <w:b/>
          <w:bCs/>
          <w:color w:val="000000"/>
          <w:sz w:val="24"/>
          <w:szCs w:val="24"/>
        </w:rPr>
      </w:pPr>
      <w:r>
        <w:rPr>
          <w:rFonts w:hint="eastAsia"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河南省地标工程管理有限公司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 (工程类项目)</w:t>
      </w:r>
    </w:p>
    <w:p>
      <w:pPr>
        <w:autoSpaceDE w:val="0"/>
        <w:autoSpaceDN w:val="0"/>
        <w:adjustRightInd w:val="0"/>
        <w:spacing w:line="480" w:lineRule="auto"/>
        <w:jc w:val="center"/>
        <w:rPr>
          <w:rFonts w:cs="宋体" w:asciiTheme="minorEastAsia" w:hAnsiTheme="minorEastAsia"/>
          <w:sz w:val="24"/>
          <w:szCs w:val="24"/>
          <w:lang w:val="zh-CN"/>
        </w:rPr>
      </w:pP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7C244F2"/>
    <w:multiLevelType w:val="multilevel"/>
    <w:tmpl w:val="37C244F2"/>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0"/>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8">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6"/>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2"/>
  </w:num>
  <w:num w:numId="17">
    <w:abstractNumId w:val="11"/>
  </w:num>
  <w:num w:numId="18">
    <w:abstractNumId w:val="35"/>
  </w:num>
  <w:num w:numId="19">
    <w:abstractNumId w:val="4"/>
  </w:num>
  <w:num w:numId="20">
    <w:abstractNumId w:val="19"/>
  </w:num>
  <w:num w:numId="21">
    <w:abstractNumId w:val="33"/>
  </w:num>
  <w:num w:numId="22">
    <w:abstractNumId w:val="3"/>
  </w:num>
  <w:num w:numId="23">
    <w:abstractNumId w:val="45"/>
  </w:num>
  <w:num w:numId="24">
    <w:abstractNumId w:val="10"/>
  </w:num>
  <w:num w:numId="25">
    <w:abstractNumId w:val="23"/>
  </w:num>
  <w:num w:numId="26">
    <w:abstractNumId w:val="28"/>
  </w:num>
  <w:num w:numId="27">
    <w:abstractNumId w:val="17"/>
  </w:num>
  <w:num w:numId="28">
    <w:abstractNumId w:val="37"/>
  </w:num>
  <w:num w:numId="29">
    <w:abstractNumId w:val="21"/>
  </w:num>
  <w:num w:numId="30">
    <w:abstractNumId w:val="44"/>
  </w:num>
  <w:num w:numId="31">
    <w:abstractNumId w:val="29"/>
  </w:num>
  <w:num w:numId="32">
    <w:abstractNumId w:val="47"/>
  </w:num>
  <w:num w:numId="33">
    <w:abstractNumId w:val="12"/>
  </w:num>
  <w:num w:numId="34">
    <w:abstractNumId w:val="2"/>
  </w:num>
  <w:num w:numId="35">
    <w:abstractNumId w:val="8"/>
  </w:num>
  <w:num w:numId="36">
    <w:abstractNumId w:val="5"/>
  </w:num>
  <w:num w:numId="37">
    <w:abstractNumId w:val="25"/>
  </w:num>
  <w:num w:numId="38">
    <w:abstractNumId w:val="13"/>
  </w:num>
  <w:num w:numId="39">
    <w:abstractNumId w:val="42"/>
  </w:num>
  <w:num w:numId="40">
    <w:abstractNumId w:val="27"/>
  </w:num>
  <w:num w:numId="41">
    <w:abstractNumId w:val="51"/>
  </w:num>
  <w:num w:numId="42">
    <w:abstractNumId w:val="24"/>
  </w:num>
  <w:num w:numId="43">
    <w:abstractNumId w:val="46"/>
  </w:num>
  <w:num w:numId="44">
    <w:abstractNumId w:val="34"/>
  </w:num>
  <w:num w:numId="45">
    <w:abstractNumId w:val="18"/>
  </w:num>
  <w:num w:numId="46">
    <w:abstractNumId w:val="22"/>
  </w:num>
  <w:num w:numId="47">
    <w:abstractNumId w:val="30"/>
  </w:num>
  <w:num w:numId="48">
    <w:abstractNumId w:val="39"/>
  </w:num>
  <w:num w:numId="49">
    <w:abstractNumId w:val="52"/>
  </w:num>
  <w:num w:numId="50">
    <w:abstractNumId w:val="9"/>
  </w:num>
  <w:num w:numId="51">
    <w:abstractNumId w:val="31"/>
  </w:num>
  <w:num w:numId="52">
    <w:abstractNumId w:val="6"/>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875"/>
    <w:rsid w:val="00031CF4"/>
    <w:rsid w:val="000418F9"/>
    <w:rsid w:val="00046E42"/>
    <w:rsid w:val="0007027E"/>
    <w:rsid w:val="00072339"/>
    <w:rsid w:val="000800D2"/>
    <w:rsid w:val="00080389"/>
    <w:rsid w:val="00083387"/>
    <w:rsid w:val="0008374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538D"/>
    <w:rsid w:val="00113FA1"/>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753D6"/>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5606"/>
    <w:rsid w:val="00307D84"/>
    <w:rsid w:val="0031002E"/>
    <w:rsid w:val="003158D3"/>
    <w:rsid w:val="003169BF"/>
    <w:rsid w:val="0032784A"/>
    <w:rsid w:val="00330D3D"/>
    <w:rsid w:val="0033421C"/>
    <w:rsid w:val="003347F9"/>
    <w:rsid w:val="00336F5A"/>
    <w:rsid w:val="003518EF"/>
    <w:rsid w:val="00361BF6"/>
    <w:rsid w:val="0037221E"/>
    <w:rsid w:val="003812AE"/>
    <w:rsid w:val="00382E5B"/>
    <w:rsid w:val="00386F17"/>
    <w:rsid w:val="003929E8"/>
    <w:rsid w:val="0039547C"/>
    <w:rsid w:val="003A05BE"/>
    <w:rsid w:val="003A1280"/>
    <w:rsid w:val="003B103B"/>
    <w:rsid w:val="003B1D5B"/>
    <w:rsid w:val="003B34F7"/>
    <w:rsid w:val="003C0C24"/>
    <w:rsid w:val="003C4556"/>
    <w:rsid w:val="003C481F"/>
    <w:rsid w:val="003C6D19"/>
    <w:rsid w:val="003D2645"/>
    <w:rsid w:val="003D2DF6"/>
    <w:rsid w:val="003D4E8A"/>
    <w:rsid w:val="003E2950"/>
    <w:rsid w:val="003E5ADF"/>
    <w:rsid w:val="003E7C66"/>
    <w:rsid w:val="00410B19"/>
    <w:rsid w:val="00416591"/>
    <w:rsid w:val="00425645"/>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3DD"/>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0C2"/>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5B"/>
    <w:rsid w:val="005D6674"/>
    <w:rsid w:val="005F0893"/>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0354"/>
    <w:rsid w:val="0067327E"/>
    <w:rsid w:val="00675A3C"/>
    <w:rsid w:val="006778F4"/>
    <w:rsid w:val="006859EE"/>
    <w:rsid w:val="0069574E"/>
    <w:rsid w:val="00695B12"/>
    <w:rsid w:val="006A1483"/>
    <w:rsid w:val="006A4956"/>
    <w:rsid w:val="006A6187"/>
    <w:rsid w:val="006A6E3E"/>
    <w:rsid w:val="006B25F5"/>
    <w:rsid w:val="006B34C4"/>
    <w:rsid w:val="006D0369"/>
    <w:rsid w:val="006D0A0B"/>
    <w:rsid w:val="006D2D95"/>
    <w:rsid w:val="006D4E1F"/>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C7DC0"/>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B74ED"/>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5E25"/>
    <w:rsid w:val="009B71F3"/>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2579D"/>
    <w:rsid w:val="00A306ED"/>
    <w:rsid w:val="00A31F71"/>
    <w:rsid w:val="00A37751"/>
    <w:rsid w:val="00A46EDA"/>
    <w:rsid w:val="00A52E66"/>
    <w:rsid w:val="00A541CC"/>
    <w:rsid w:val="00A54462"/>
    <w:rsid w:val="00A60670"/>
    <w:rsid w:val="00A62928"/>
    <w:rsid w:val="00A641CD"/>
    <w:rsid w:val="00A706A0"/>
    <w:rsid w:val="00A74B92"/>
    <w:rsid w:val="00A74F81"/>
    <w:rsid w:val="00A91377"/>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3DB9"/>
    <w:rsid w:val="00B05B6E"/>
    <w:rsid w:val="00B060ED"/>
    <w:rsid w:val="00B11817"/>
    <w:rsid w:val="00B12972"/>
    <w:rsid w:val="00B17A0C"/>
    <w:rsid w:val="00B22360"/>
    <w:rsid w:val="00B22DAC"/>
    <w:rsid w:val="00B26927"/>
    <w:rsid w:val="00B3585D"/>
    <w:rsid w:val="00B35F15"/>
    <w:rsid w:val="00B3774D"/>
    <w:rsid w:val="00B42136"/>
    <w:rsid w:val="00B427EF"/>
    <w:rsid w:val="00B44C64"/>
    <w:rsid w:val="00B51CBD"/>
    <w:rsid w:val="00B52793"/>
    <w:rsid w:val="00B5412E"/>
    <w:rsid w:val="00B6230B"/>
    <w:rsid w:val="00B62649"/>
    <w:rsid w:val="00B62715"/>
    <w:rsid w:val="00B72ABF"/>
    <w:rsid w:val="00B7472A"/>
    <w:rsid w:val="00B80BDE"/>
    <w:rsid w:val="00B81DDB"/>
    <w:rsid w:val="00B87403"/>
    <w:rsid w:val="00B92D14"/>
    <w:rsid w:val="00B94DFB"/>
    <w:rsid w:val="00BA6F2D"/>
    <w:rsid w:val="00BA703E"/>
    <w:rsid w:val="00BB0837"/>
    <w:rsid w:val="00BB0BAC"/>
    <w:rsid w:val="00BB1626"/>
    <w:rsid w:val="00BB60EF"/>
    <w:rsid w:val="00BB6478"/>
    <w:rsid w:val="00BB6D0A"/>
    <w:rsid w:val="00BC1136"/>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0B99"/>
    <w:rsid w:val="00D02114"/>
    <w:rsid w:val="00D03A94"/>
    <w:rsid w:val="00D118CA"/>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0643"/>
    <w:rsid w:val="00E01CFC"/>
    <w:rsid w:val="00E07755"/>
    <w:rsid w:val="00E13097"/>
    <w:rsid w:val="00E218F5"/>
    <w:rsid w:val="00E225D8"/>
    <w:rsid w:val="00E33652"/>
    <w:rsid w:val="00E410FF"/>
    <w:rsid w:val="00E52555"/>
    <w:rsid w:val="00E52CC2"/>
    <w:rsid w:val="00E5529D"/>
    <w:rsid w:val="00E6063E"/>
    <w:rsid w:val="00E635CF"/>
    <w:rsid w:val="00E7064E"/>
    <w:rsid w:val="00E73C1D"/>
    <w:rsid w:val="00E77ABE"/>
    <w:rsid w:val="00E909DB"/>
    <w:rsid w:val="00E923D8"/>
    <w:rsid w:val="00E971A0"/>
    <w:rsid w:val="00EA0AC6"/>
    <w:rsid w:val="00EA2482"/>
    <w:rsid w:val="00EA2C50"/>
    <w:rsid w:val="00EA39BE"/>
    <w:rsid w:val="00EB129D"/>
    <w:rsid w:val="00EB28B0"/>
    <w:rsid w:val="00EB62C7"/>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B79C7"/>
    <w:rsid w:val="00FC04EC"/>
    <w:rsid w:val="00FC302B"/>
    <w:rsid w:val="00FC5DCD"/>
    <w:rsid w:val="00FE5AD6"/>
    <w:rsid w:val="00FF04A6"/>
    <w:rsid w:val="0DA2743A"/>
    <w:rsid w:val="1C847F8D"/>
    <w:rsid w:val="362302A5"/>
    <w:rsid w:val="397F6CEE"/>
    <w:rsid w:val="43165DEB"/>
    <w:rsid w:val="4FDA21DE"/>
    <w:rsid w:val="51414B52"/>
    <w:rsid w:val="602B48F2"/>
    <w:rsid w:val="64F75BBF"/>
    <w:rsid w:val="69893C3E"/>
    <w:rsid w:val="724C7E5A"/>
    <w:rsid w:val="7642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39"/>
    <w:unhideWhenUsed/>
    <w:qFormat/>
    <w:uiPriority w:val="99"/>
    <w:pPr>
      <w:ind w:left="100" w:leftChars="2500"/>
    </w:pPr>
  </w:style>
  <w:style w:type="paragraph" w:styleId="16">
    <w:name w:val="Balloon Text"/>
    <w:basedOn w:val="1"/>
    <w:link w:val="41"/>
    <w:semiHidden/>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6"/>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uiPriority w:val="99"/>
    <w:rPr>
      <w:color w:val="000000"/>
      <w:u w:val="none"/>
    </w:rPr>
  </w:style>
  <w:style w:type="character" w:styleId="28">
    <w:name w:val="Emphasis"/>
    <w:basedOn w:val="25"/>
    <w:qFormat/>
    <w:uiPriority w:val="20"/>
    <w:rPr>
      <w:i/>
      <w:iCs/>
    </w:rPr>
  </w:style>
  <w:style w:type="character" w:styleId="29">
    <w:name w:val="Hyperlink"/>
    <w:basedOn w:val="25"/>
    <w:unhideWhenUsed/>
    <w:qFormat/>
    <w:uiPriority w:val="99"/>
    <w:rPr>
      <w:color w:val="000000"/>
      <w:u w:val="non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kern w:val="0"/>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kern w:val="0"/>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正文文本缩进 Char"/>
    <w:basedOn w:val="25"/>
    <w:link w:val="11"/>
    <w:qFormat/>
    <w:uiPriority w:val="0"/>
  </w:style>
  <w:style w:type="character" w:customStyle="1" w:styleId="37">
    <w:name w:val="正文文本缩进 Char1"/>
    <w:basedOn w:val="25"/>
    <w:link w:val="11"/>
    <w:qFormat/>
    <w:uiPriority w:val="0"/>
    <w:rPr>
      <w:kern w:val="0"/>
      <w:sz w:val="24"/>
      <w:szCs w:val="20"/>
    </w:rPr>
  </w:style>
  <w:style w:type="character" w:customStyle="1" w:styleId="38">
    <w:name w:val="纯文本 Char"/>
    <w:basedOn w:val="25"/>
    <w:link w:val="14"/>
    <w:qFormat/>
    <w:uiPriority w:val="0"/>
    <w:rPr>
      <w:rFonts w:eastAsia="宋体"/>
      <w:sz w:val="24"/>
    </w:rPr>
  </w:style>
  <w:style w:type="character" w:customStyle="1" w:styleId="39">
    <w:name w:val="日期 Char"/>
    <w:basedOn w:val="25"/>
    <w:link w:val="15"/>
    <w:qFormat/>
    <w:uiPriority w:val="99"/>
  </w:style>
  <w:style w:type="character" w:customStyle="1" w:styleId="40">
    <w:name w:val="批注框文本 Char"/>
    <w:basedOn w:val="25"/>
    <w:link w:val="16"/>
    <w:semiHidden/>
    <w:qFormat/>
    <w:uiPriority w:val="99"/>
    <w:rPr>
      <w:sz w:val="18"/>
      <w:szCs w:val="18"/>
    </w:rPr>
  </w:style>
  <w:style w:type="character" w:customStyle="1" w:styleId="41">
    <w:name w:val="批注框文本 Char1"/>
    <w:basedOn w:val="25"/>
    <w:link w:val="16"/>
    <w:semiHidden/>
    <w:qFormat/>
    <w:uiPriority w:val="99"/>
    <w:rPr>
      <w:sz w:val="18"/>
      <w:szCs w:val="18"/>
    </w:rPr>
  </w:style>
  <w:style w:type="character" w:customStyle="1" w:styleId="42">
    <w:name w:val="页脚 Char"/>
    <w:basedOn w:val="25"/>
    <w:link w:val="17"/>
    <w:qFormat/>
    <w:uiPriority w:val="99"/>
    <w:rPr>
      <w:sz w:val="18"/>
      <w:szCs w:val="18"/>
    </w:rPr>
  </w:style>
  <w:style w:type="character" w:customStyle="1" w:styleId="43">
    <w:name w:val="页眉 Char"/>
    <w:basedOn w:val="25"/>
    <w:link w:val="18"/>
    <w:qFormat/>
    <w:uiPriority w:val="99"/>
    <w:rPr>
      <w:sz w:val="18"/>
      <w:szCs w:val="18"/>
    </w:rPr>
  </w:style>
  <w:style w:type="character" w:customStyle="1" w:styleId="44">
    <w:name w:val="HTML 预设格式 Char"/>
    <w:basedOn w:val="25"/>
    <w:link w:val="20"/>
    <w:semiHidden/>
    <w:qFormat/>
    <w:uiPriority w:val="99"/>
    <w:rPr>
      <w:rFonts w:ascii="宋体" w:hAnsi="宋体" w:eastAsia="宋体" w:cs="宋体"/>
      <w:kern w:val="0"/>
      <w:sz w:val="24"/>
      <w:szCs w:val="24"/>
    </w:rPr>
  </w:style>
  <w:style w:type="character" w:customStyle="1" w:styleId="45">
    <w:name w:val="HTML 预设格式 Char1"/>
    <w:basedOn w:val="25"/>
    <w:link w:val="20"/>
    <w:semiHidden/>
    <w:qFormat/>
    <w:uiPriority w:val="99"/>
    <w:rPr>
      <w:rFonts w:ascii="Courier New" w:hAnsi="Courier New" w:cs="Courier New"/>
      <w:sz w:val="20"/>
      <w:szCs w:val="20"/>
    </w:rPr>
  </w:style>
  <w:style w:type="character" w:customStyle="1" w:styleId="46">
    <w:name w:val="正文首行缩进 Char"/>
    <w:basedOn w:val="35"/>
    <w:link w:val="22"/>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5"/>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font41"/>
    <w:basedOn w:val="25"/>
    <w:qFormat/>
    <w:uiPriority w:val="0"/>
    <w:rPr>
      <w:rFonts w:hint="default" w:ascii="Times New Roman" w:hAnsi="Times New Roman" w:cs="Times New Roman"/>
      <w:color w:val="000000"/>
      <w:sz w:val="24"/>
      <w:szCs w:val="24"/>
      <w:u w:val="none"/>
    </w:rPr>
  </w:style>
  <w:style w:type="character" w:customStyle="1" w:styleId="62">
    <w:name w:val="green"/>
    <w:basedOn w:val="25"/>
    <w:uiPriority w:val="0"/>
    <w:rPr>
      <w:color w:val="66AE00"/>
      <w:sz w:val="18"/>
      <w:szCs w:val="18"/>
    </w:rPr>
  </w:style>
  <w:style w:type="character" w:customStyle="1" w:styleId="63">
    <w:name w:val="green1"/>
    <w:basedOn w:val="25"/>
    <w:uiPriority w:val="0"/>
    <w:rPr>
      <w:color w:val="66AE00"/>
      <w:sz w:val="18"/>
      <w:szCs w:val="18"/>
    </w:rPr>
  </w:style>
  <w:style w:type="character" w:customStyle="1" w:styleId="64">
    <w:name w:val="red"/>
    <w:basedOn w:val="25"/>
    <w:uiPriority w:val="0"/>
    <w:rPr>
      <w:color w:val="FF0000"/>
      <w:sz w:val="18"/>
      <w:szCs w:val="18"/>
    </w:rPr>
  </w:style>
  <w:style w:type="character" w:customStyle="1" w:styleId="65">
    <w:name w:val="red1"/>
    <w:basedOn w:val="25"/>
    <w:uiPriority w:val="0"/>
    <w:rPr>
      <w:color w:val="FF0000"/>
      <w:sz w:val="18"/>
      <w:szCs w:val="18"/>
    </w:rPr>
  </w:style>
  <w:style w:type="character" w:customStyle="1" w:styleId="66">
    <w:name w:val="red2"/>
    <w:basedOn w:val="25"/>
    <w:uiPriority w:val="0"/>
    <w:rPr>
      <w:color w:val="CC0000"/>
    </w:rPr>
  </w:style>
  <w:style w:type="character" w:customStyle="1" w:styleId="67">
    <w:name w:val="red3"/>
    <w:basedOn w:val="25"/>
    <w:uiPriority w:val="0"/>
    <w:rPr>
      <w:color w:val="FF0000"/>
    </w:rPr>
  </w:style>
  <w:style w:type="character" w:customStyle="1" w:styleId="68">
    <w:name w:val="hover25"/>
    <w:basedOn w:val="25"/>
    <w:uiPriority w:val="0"/>
  </w:style>
  <w:style w:type="character" w:customStyle="1" w:styleId="69">
    <w:name w:val="gb-jt"/>
    <w:basedOn w:val="25"/>
    <w:uiPriority w:val="0"/>
  </w:style>
  <w:style w:type="character" w:customStyle="1" w:styleId="70">
    <w:name w:val="blue"/>
    <w:basedOn w:val="25"/>
    <w:uiPriority w:val="0"/>
    <w:rPr>
      <w:color w:val="0371C6"/>
      <w:sz w:val="21"/>
      <w:szCs w:val="21"/>
    </w:rPr>
  </w:style>
  <w:style w:type="character" w:customStyle="1" w:styleId="71">
    <w:name w:val="right"/>
    <w:basedOn w:val="25"/>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B0082-0B05-4C82-B1B5-067F5D4D9B64}">
  <ds:schemaRefs/>
</ds:datastoreItem>
</file>

<file path=docProps/app.xml><?xml version="1.0" encoding="utf-8"?>
<Properties xmlns="http://schemas.openxmlformats.org/officeDocument/2006/extended-properties" xmlns:vt="http://schemas.openxmlformats.org/officeDocument/2006/docPropsVTypes">
  <Template>Normal.dotm</Template>
  <Pages>73</Pages>
  <Words>5416</Words>
  <Characters>30875</Characters>
  <Lines>257</Lines>
  <Paragraphs>72</Paragraphs>
  <TotalTime>7</TotalTime>
  <ScaleCrop>false</ScaleCrop>
  <LinksUpToDate>false</LinksUpToDate>
  <CharactersWithSpaces>36219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迷人儿的秃顶大叔</cp:lastModifiedBy>
  <cp:lastPrinted>2020-05-25T10:24:30Z</cp:lastPrinted>
  <dcterms:modified xsi:type="dcterms:W3CDTF">2020-05-25T10:25:58Z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