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spacing w:line="240" w:lineRule="auto"/>
        <w:jc w:val="center"/>
        <w:rPr>
          <w:rFonts w:ascii="黑体" w:hAnsi="黑体" w:eastAsia="黑体" w:cs="黑体"/>
          <w:b/>
          <w:bCs/>
          <w:sz w:val="48"/>
          <w:szCs w:val="48"/>
        </w:rPr>
      </w:pPr>
      <w:r>
        <w:rPr>
          <w:rFonts w:hint="eastAsia" w:ascii="黑体" w:hAnsi="黑体" w:eastAsia="黑体" w:cs="黑体"/>
          <w:b/>
          <w:bCs/>
          <w:sz w:val="48"/>
          <w:szCs w:val="48"/>
        </w:rPr>
        <w:t>禹州市人民医院所需麻醉深度监测仪等医疗设备采购项目</w:t>
      </w:r>
    </w:p>
    <w:p>
      <w:pPr>
        <w:pStyle w:val="60"/>
        <w:spacing w:line="240" w:lineRule="auto"/>
        <w:jc w:val="center"/>
        <w:rPr>
          <w:rFonts w:ascii="黑体" w:hAnsi="黑体" w:eastAsia="黑体" w:cs="黑体"/>
          <w:b/>
          <w:bCs/>
          <w:sz w:val="48"/>
          <w:szCs w:val="48"/>
        </w:rPr>
      </w:pPr>
    </w:p>
    <w:p>
      <w:pPr>
        <w:pStyle w:val="60"/>
        <w:spacing w:line="240" w:lineRule="auto"/>
        <w:jc w:val="center"/>
        <w:rPr>
          <w:rFonts w:ascii="黑体" w:hAnsi="黑体" w:eastAsia="黑体" w:cs="黑体"/>
          <w:b/>
          <w:bCs/>
          <w:sz w:val="48"/>
          <w:szCs w:val="48"/>
        </w:rPr>
      </w:pPr>
    </w:p>
    <w:p>
      <w:pPr>
        <w:jc w:val="center"/>
        <w:rPr>
          <w:rFonts w:ascii="宋体" w:cs="宋体"/>
          <w:bCs/>
          <w:color w:val="000000"/>
          <w:w w:val="90"/>
          <w:sz w:val="72"/>
          <w:szCs w:val="72"/>
        </w:rPr>
      </w:pPr>
      <w:r>
        <w:rPr>
          <w:rFonts w:hint="eastAsia" w:ascii="宋体" w:hAnsi="宋体" w:cs="宋体"/>
          <w:bCs/>
          <w:color w:val="000000"/>
          <w:w w:val="90"/>
          <w:sz w:val="72"/>
          <w:szCs w:val="72"/>
        </w:rPr>
        <w:t>竞争性谈判文件</w:t>
      </w:r>
    </w:p>
    <w:p>
      <w:pPr>
        <w:rPr>
          <w:rFonts w:ascii="宋体" w:cs="宋体"/>
          <w:color w:val="000000"/>
        </w:rPr>
      </w:pPr>
    </w:p>
    <w:p>
      <w:pPr>
        <w:pStyle w:val="7"/>
        <w:jc w:val="center"/>
      </w:pPr>
      <w:r>
        <w:rPr>
          <w:sz w:val="44"/>
          <w:szCs w:val="44"/>
        </w:rPr>
        <w:drawing>
          <wp:inline distT="0" distB="0" distL="0" distR="0">
            <wp:extent cx="2228850" cy="1066800"/>
            <wp:effectExtent l="19050" t="0" r="0" b="0"/>
            <wp:docPr id="1" name="图片 1" descr="说明: 中科经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中科经纬"/>
                    <pic:cNvPicPr>
                      <a:picLocks noChangeAspect="1" noChangeArrowheads="1"/>
                    </pic:cNvPicPr>
                  </pic:nvPicPr>
                  <pic:blipFill>
                    <a:blip r:embed="rId5"/>
                    <a:srcRect/>
                    <a:stretch>
                      <a:fillRect/>
                    </a:stretch>
                  </pic:blipFill>
                  <pic:spPr>
                    <a:xfrm>
                      <a:off x="0" y="0"/>
                      <a:ext cx="2228850" cy="1066800"/>
                    </a:xfrm>
                    <a:prstGeom prst="rect">
                      <a:avLst/>
                    </a:prstGeom>
                    <a:noFill/>
                    <a:ln w="9525">
                      <a:noFill/>
                      <a:miter lim="800000"/>
                      <a:headEnd/>
                      <a:tailEnd/>
                    </a:ln>
                  </pic:spPr>
                </pic:pic>
              </a:graphicData>
            </a:graphic>
          </wp:inline>
        </w:drawing>
      </w:r>
    </w:p>
    <w:p>
      <w:pPr>
        <w:rPr>
          <w:rFonts w:ascii="宋体" w:cs="宋体"/>
          <w:color w:val="000000"/>
        </w:rPr>
      </w:pPr>
    </w:p>
    <w:p>
      <w:pPr>
        <w:rPr>
          <w:rFonts w:ascii="宋体" w:cs="宋体"/>
          <w:color w:val="000000"/>
        </w:rPr>
      </w:pPr>
    </w:p>
    <w:p>
      <w:pPr>
        <w:pStyle w:val="7"/>
      </w:pPr>
    </w:p>
    <w:p>
      <w:pPr>
        <w:pStyle w:val="7"/>
      </w:pPr>
    </w:p>
    <w:p>
      <w:pPr>
        <w:rPr>
          <w:rFonts w:ascii="宋体" w:cs="宋体"/>
          <w:color w:val="000000"/>
        </w:rPr>
      </w:pPr>
    </w:p>
    <w:p>
      <w:pPr>
        <w:rPr>
          <w:rFonts w:ascii="微软简隶书" w:eastAsia="微软简隶书"/>
          <w:color w:val="000000"/>
        </w:rPr>
      </w:pPr>
    </w:p>
    <w:p>
      <w:pPr>
        <w:adjustRightInd w:val="0"/>
        <w:snapToGrid w:val="0"/>
        <w:spacing w:line="600" w:lineRule="auto"/>
        <w:ind w:firstLine="643" w:firstLineChars="200"/>
        <w:jc w:val="left"/>
        <w:rPr>
          <w:rFonts w:ascii="宋体" w:hAnsi="宋体" w:cs="宋体"/>
          <w:color w:val="000000"/>
          <w:sz w:val="28"/>
          <w:u w:val="single"/>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YZCG-DL2020</w:t>
      </w:r>
      <w:r>
        <w:rPr>
          <w:rFonts w:hint="eastAsia" w:ascii="宋体" w:hAnsi="宋体" w:cs="宋体"/>
          <w:color w:val="000000"/>
          <w:sz w:val="32"/>
          <w:szCs w:val="32"/>
          <w:u w:val="single"/>
          <w:lang w:val="en-US" w:eastAsia="zh-CN"/>
        </w:rPr>
        <w:t>025</w:t>
      </w:r>
      <w:r>
        <w:rPr>
          <w:rFonts w:hint="eastAsia" w:ascii="宋体" w:hAnsi="宋体" w:cs="宋体"/>
          <w:color w:val="000000"/>
          <w:sz w:val="32"/>
          <w:szCs w:val="32"/>
          <w:u w:val="single"/>
        </w:rPr>
        <w:t xml:space="preserve">      </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w:t>
      </w:r>
      <w:r>
        <w:rPr>
          <w:rFonts w:hint="eastAsia" w:ascii="宋体" w:hAnsi="宋体" w:cs="宋体"/>
          <w:color w:val="000000"/>
          <w:sz w:val="32"/>
          <w:szCs w:val="32"/>
          <w:u w:val="single"/>
        </w:rPr>
        <w:t xml:space="preserve">禹州市人民医院            </w:t>
      </w:r>
    </w:p>
    <w:p>
      <w:pPr>
        <w:adjustRightInd w:val="0"/>
        <w:snapToGrid w:val="0"/>
        <w:spacing w:line="600" w:lineRule="auto"/>
        <w:ind w:firstLine="643" w:firstLineChars="200"/>
        <w:rPr>
          <w:rFonts w:ascii="宋体" w:hAnsi="宋体" w:cs="宋体"/>
          <w:sz w:val="32"/>
          <w:szCs w:val="32"/>
          <w:u w:val="single"/>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color w:val="000000"/>
          <w:sz w:val="32"/>
          <w:szCs w:val="32"/>
          <w:u w:val="single"/>
        </w:rPr>
        <w:t>中科经纬工程技术有限公司</w:t>
      </w:r>
    </w:p>
    <w:p>
      <w:pPr>
        <w:ind w:firstLine="630" w:firstLineChars="196"/>
        <w:rPr>
          <w:rFonts w:ascii="宋体" w:hAnsi="宋体" w:cs="宋体"/>
          <w:color w:val="000000"/>
          <w:sz w:val="32"/>
          <w:szCs w:val="32"/>
          <w:u w:val="single"/>
        </w:rPr>
      </w:pPr>
      <w:r>
        <w:rPr>
          <w:rFonts w:hint="eastAsia" w:ascii="宋体" w:hAnsi="宋体" w:cs="宋体"/>
          <w:b/>
          <w:bCs/>
          <w:color w:val="000000"/>
          <w:sz w:val="32"/>
          <w:szCs w:val="32"/>
        </w:rPr>
        <w:t>行政主管部门：</w:t>
      </w:r>
      <w:r>
        <w:rPr>
          <w:rFonts w:hint="eastAsia" w:ascii="宋体" w:hAnsi="宋体" w:cs="宋体"/>
          <w:color w:val="000000"/>
          <w:sz w:val="32"/>
          <w:szCs w:val="32"/>
          <w:u w:val="single"/>
        </w:rPr>
        <w:t>禹州市卫生健康委员会</w:t>
      </w:r>
    </w:p>
    <w:p>
      <w:pPr>
        <w:ind w:firstLine="627" w:firstLineChars="196"/>
        <w:jc w:val="center"/>
        <w:rPr>
          <w:rFonts w:asciiTheme="majorEastAsia" w:hAnsiTheme="majorEastAsia" w:eastAsiaTheme="majorEastAsia" w:cstheme="majorEastAsia"/>
          <w:b/>
          <w:bCs/>
          <w:sz w:val="36"/>
          <w:szCs w:val="36"/>
        </w:rPr>
      </w:pPr>
      <w:r>
        <w:rPr>
          <w:rFonts w:hint="eastAsia" w:ascii="华文中宋" w:eastAsia="华文中宋"/>
          <w:color w:val="000000"/>
          <w:sz w:val="32"/>
          <w:szCs w:val="32"/>
        </w:rPr>
        <w:t>二零二零年五月</w:t>
      </w:r>
    </w:p>
    <w:p>
      <w:pPr>
        <w:autoSpaceDE w:val="0"/>
        <w:autoSpaceDN w:val="0"/>
        <w:adjustRightInd w:val="0"/>
        <w:spacing w:line="700" w:lineRule="exact"/>
        <w:jc w:val="center"/>
        <w:rPr>
          <w:rFonts w:cs="黑体" w:asciiTheme="minorEastAsia" w:hAnsiTheme="minorEastAsia"/>
          <w:b/>
          <w:bCs/>
          <w:sz w:val="44"/>
          <w:szCs w:val="44"/>
        </w:rPr>
      </w:pPr>
    </w:p>
    <w:p>
      <w:pPr>
        <w:autoSpaceDE w:val="0"/>
        <w:autoSpaceDN w:val="0"/>
        <w:adjustRightInd w:val="0"/>
        <w:spacing w:line="700" w:lineRule="exact"/>
        <w:jc w:val="center"/>
        <w:rPr>
          <w:rFonts w:cs="黑体" w:asciiTheme="minorEastAsia" w:hAnsiTheme="minorEastAsia"/>
          <w:b/>
          <w:bCs/>
          <w:sz w:val="44"/>
          <w:szCs w:val="44"/>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ind w:firstLine="0" w:firstLineChars="0"/>
      </w:pPr>
    </w:p>
    <w:p>
      <w:pPr>
        <w:spacing w:line="400" w:lineRule="exact"/>
        <w:jc w:val="center"/>
        <w:rPr>
          <w:rFonts w:ascii="宋体" w:hAnsi="宋体" w:cs="宋体"/>
          <w:b/>
          <w:bCs/>
          <w:sz w:val="32"/>
          <w:szCs w:val="32"/>
        </w:rPr>
      </w:pPr>
      <w:r>
        <w:rPr>
          <w:rFonts w:hint="eastAsia" w:ascii="宋体" w:hAnsi="宋体" w:cs="宋体"/>
          <w:b/>
          <w:bCs/>
          <w:sz w:val="32"/>
          <w:szCs w:val="32"/>
        </w:rPr>
        <w:t>禹州市人民医院所需麻醉深度监测仪等医疗设备采购项目（不见面开标）竞争性谈判公告</w:t>
      </w:r>
    </w:p>
    <w:p>
      <w:pPr>
        <w:spacing w:line="276" w:lineRule="auto"/>
        <w:ind w:firstLine="420" w:firstLineChars="200"/>
        <w:jc w:val="left"/>
        <w:rPr>
          <w:rFonts w:ascii="宋体" w:cs="宋体"/>
          <w:szCs w:val="21"/>
        </w:rPr>
      </w:pPr>
      <w:r>
        <w:rPr>
          <w:rFonts w:hint="eastAsia" w:ascii="宋体" w:cs="宋体"/>
          <w:szCs w:val="21"/>
        </w:rPr>
        <w:t>中科经纬工程技术有限公司受禹州市人民医院的委托，就“禹州市人民医院所需麻醉深度监测仪等医疗设备采购项目”进行竞争性谈判，欢迎合格投标人前来投标。</w:t>
      </w:r>
    </w:p>
    <w:p>
      <w:pPr>
        <w:pStyle w:val="47"/>
        <w:widowControl/>
        <w:shd w:val="clear" w:color="auto" w:fill="FFFFFF"/>
        <w:spacing w:line="276" w:lineRule="auto"/>
        <w:jc w:val="left"/>
        <w:rPr>
          <w:rFonts w:ascii="宋体" w:cs="宋体"/>
          <w:szCs w:val="21"/>
        </w:rPr>
      </w:pPr>
      <w:r>
        <w:rPr>
          <w:rFonts w:hint="eastAsia" w:ascii="宋体" w:hAnsi="宋体" w:cs="宋体"/>
          <w:szCs w:val="21"/>
        </w:rPr>
        <w:t>一、项目基本情况</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、采购人：禹州市人民医院</w:t>
      </w:r>
    </w:p>
    <w:p>
      <w:pPr>
        <w:widowControl/>
        <w:shd w:val="clear" w:color="auto" w:fill="FFFFFF"/>
        <w:spacing w:line="276" w:lineRule="auto"/>
        <w:ind w:firstLine="420" w:firstLineChars="200"/>
        <w:jc w:val="left"/>
        <w:rPr>
          <w:rFonts w:ascii="宋体" w:cs="宋体"/>
          <w:bCs/>
          <w:szCs w:val="21"/>
        </w:rPr>
      </w:pPr>
      <w:r>
        <w:rPr>
          <w:rFonts w:ascii="宋体" w:hAnsi="宋体" w:cs="宋体"/>
          <w:szCs w:val="21"/>
        </w:rPr>
        <w:t>2</w:t>
      </w:r>
      <w:r>
        <w:rPr>
          <w:rFonts w:hint="eastAsia" w:ascii="宋体" w:hAnsi="宋体" w:cs="宋体"/>
          <w:szCs w:val="21"/>
        </w:rPr>
        <w:t>、项目名称：</w:t>
      </w:r>
      <w:r>
        <w:rPr>
          <w:rFonts w:hint="eastAsia" w:ascii="宋体" w:cs="宋体"/>
          <w:szCs w:val="21"/>
        </w:rPr>
        <w:t>禹州市人民医院所需麻醉深度监测仪等医疗设备采购项目</w:t>
      </w:r>
    </w:p>
    <w:p>
      <w:pPr>
        <w:widowControl/>
        <w:shd w:val="clear" w:color="auto" w:fill="FFFFFF"/>
        <w:spacing w:line="276" w:lineRule="auto"/>
        <w:ind w:firstLine="420" w:firstLineChars="200"/>
        <w:jc w:val="left"/>
        <w:rPr>
          <w:rFonts w:hint="default" w:ascii="宋体" w:cs="宋体" w:eastAsiaTheme="minorEastAsia"/>
          <w:szCs w:val="21"/>
          <w:lang w:val="en-US" w:eastAsia="zh-CN"/>
        </w:rPr>
      </w:pPr>
      <w:r>
        <w:rPr>
          <w:rFonts w:ascii="宋体" w:hAnsi="宋体" w:cs="宋体"/>
          <w:szCs w:val="21"/>
        </w:rPr>
        <w:t>3</w:t>
      </w:r>
      <w:r>
        <w:rPr>
          <w:rFonts w:hint="eastAsia" w:ascii="宋体" w:hAnsi="宋体" w:cs="宋体"/>
          <w:szCs w:val="21"/>
        </w:rPr>
        <w:t>、采购编号：</w:t>
      </w:r>
      <w:r>
        <w:rPr>
          <w:rFonts w:hint="eastAsia"/>
        </w:rPr>
        <w:t>YZCG-DL2020</w:t>
      </w:r>
      <w:r>
        <w:rPr>
          <w:rFonts w:hint="eastAsia"/>
          <w:lang w:val="en-US" w:eastAsia="zh-CN"/>
        </w:rPr>
        <w:t>025</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、项目需求：本项目为禹州市人民医院所需麻醉深度监测仪等医疗设备采购项目（详见招标文件第二章项目需求）；</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5、采购预算：第一标段：156万元；</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6、采购限价：第一标段：156万元；</w:t>
      </w:r>
    </w:p>
    <w:p>
      <w:pPr>
        <w:pStyle w:val="7"/>
        <w:spacing w:line="276" w:lineRule="auto"/>
      </w:pPr>
      <w:r>
        <w:rPr>
          <w:rFonts w:hint="eastAsia"/>
        </w:rPr>
        <w:t>7、交付时间：合同签订后30天内；</w:t>
      </w:r>
    </w:p>
    <w:p>
      <w:pPr>
        <w:pStyle w:val="7"/>
        <w:spacing w:line="276" w:lineRule="auto"/>
      </w:pPr>
      <w:r>
        <w:rPr>
          <w:rFonts w:hint="eastAsia"/>
        </w:rPr>
        <w:t>8、服务地点：禹州市人民医院；</w:t>
      </w:r>
    </w:p>
    <w:p>
      <w:pPr>
        <w:pStyle w:val="7"/>
        <w:spacing w:line="276" w:lineRule="auto"/>
      </w:pPr>
      <w:r>
        <w:rPr>
          <w:rFonts w:hint="eastAsia"/>
        </w:rPr>
        <w:t>9、标段划分：一标段；</w:t>
      </w:r>
    </w:p>
    <w:p>
      <w:pPr>
        <w:pStyle w:val="7"/>
        <w:spacing w:line="276" w:lineRule="auto"/>
        <w:ind w:firstLine="735" w:firstLineChars="350"/>
        <w:rPr>
          <w:rFonts w:ascii="宋体" w:cs="宋体"/>
          <w:szCs w:val="21"/>
        </w:rPr>
      </w:pPr>
      <w:r>
        <w:rPr>
          <w:rFonts w:hint="eastAsia" w:ascii="宋体" w:hAnsi="宋体" w:cs="宋体"/>
          <w:szCs w:val="21"/>
        </w:rPr>
        <w:t>二、需要落实的政府采购政策</w:t>
      </w:r>
    </w:p>
    <w:p>
      <w:pPr>
        <w:widowControl/>
        <w:shd w:val="clear" w:color="auto" w:fill="FFFFFF"/>
        <w:spacing w:line="276" w:lineRule="auto"/>
        <w:ind w:firstLine="641"/>
        <w:jc w:val="left"/>
        <w:rPr>
          <w:rFonts w:ascii="宋体" w:cs="宋体"/>
          <w:szCs w:val="21"/>
        </w:rPr>
      </w:pPr>
      <w:r>
        <w:rPr>
          <w:rFonts w:hint="eastAsia" w:ascii="宋体" w:hAnsi="宋体" w:cs="宋体"/>
          <w:szCs w:val="21"/>
        </w:rPr>
        <w:t>本项目落实节约能源、保护环境、扶持不发达地区和少数民族地区、促进中小企业、监狱企业发展等政府采购政策。（详见招标文件）</w:t>
      </w:r>
    </w:p>
    <w:p>
      <w:pPr>
        <w:widowControl/>
        <w:numPr>
          <w:ilvl w:val="0"/>
          <w:numId w:val="5"/>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供应商资格要求：</w:t>
      </w:r>
    </w:p>
    <w:p>
      <w:pPr>
        <w:widowControl/>
        <w:numPr>
          <w:ilvl w:val="0"/>
          <w:numId w:val="6"/>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符合《政府采购法》第二十二条之规定，具有独立法人资格及相应的经营范围（以营业执照为准）；</w:t>
      </w:r>
    </w:p>
    <w:p>
      <w:pPr>
        <w:widowControl/>
        <w:numPr>
          <w:ilvl w:val="0"/>
          <w:numId w:val="6"/>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投标人须具有《医疗器械生产许可证》或《医疗器械经营许可证》；</w:t>
      </w:r>
    </w:p>
    <w:p>
      <w:pPr>
        <w:widowControl/>
        <w:numPr>
          <w:ilvl w:val="0"/>
          <w:numId w:val="6"/>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被委托人是须是本单位职工，须提供公司为本人缴纳社会保险证明；</w:t>
      </w:r>
    </w:p>
    <w:p>
      <w:pPr>
        <w:widowControl/>
        <w:shd w:val="clear" w:color="auto" w:fill="FFFFFF"/>
        <w:spacing w:line="276" w:lineRule="auto"/>
        <w:ind w:left="420" w:leftChars="200"/>
        <w:jc w:val="left"/>
        <w:rPr>
          <w:rFonts w:ascii="宋体" w:cs="宋体"/>
          <w:szCs w:val="21"/>
        </w:rPr>
      </w:pPr>
      <w:r>
        <w:rPr>
          <w:rFonts w:ascii="宋体" w:hAnsi="宋体" w:cs="宋体"/>
          <w:szCs w:val="21"/>
        </w:rPr>
        <w:t>4</w:t>
      </w:r>
      <w:r>
        <w:rPr>
          <w:rFonts w:hint="eastAsia" w:ascii="宋体" w:hAnsi="宋体" w:cs="宋体"/>
          <w:szCs w:val="21"/>
        </w:rPr>
        <w:t>、本项目不接受联合体投标。</w:t>
      </w:r>
    </w:p>
    <w:p>
      <w:pPr>
        <w:widowControl/>
        <w:shd w:val="clear" w:color="auto" w:fill="FFFFFF"/>
        <w:spacing w:line="276" w:lineRule="auto"/>
        <w:ind w:firstLine="422" w:firstLineChars="200"/>
        <w:jc w:val="left"/>
        <w:rPr>
          <w:rFonts w:ascii="宋体" w:cs="宋体"/>
          <w:b/>
          <w:color w:val="000000"/>
          <w:kern w:val="0"/>
          <w:szCs w:val="21"/>
        </w:rPr>
      </w:pPr>
      <w:r>
        <w:rPr>
          <w:rFonts w:hint="eastAsia" w:ascii="宋体" w:hAnsi="宋体" w:cs="宋体"/>
          <w:b/>
          <w:color w:val="000000"/>
          <w:kern w:val="0"/>
          <w:szCs w:val="21"/>
        </w:rPr>
        <w:t>四、获取招标文件的方式、时间、地点</w:t>
      </w:r>
    </w:p>
    <w:p>
      <w:pPr>
        <w:wordWrap w:val="0"/>
        <w:topLinePunct/>
        <w:autoSpaceDE w:val="0"/>
        <w:autoSpaceDN w:val="0"/>
        <w:adjustRightInd w:val="0"/>
        <w:snapToGrid w:val="0"/>
        <w:spacing w:line="276" w:lineRule="auto"/>
        <w:ind w:firstLine="420" w:firstLineChars="200"/>
        <w:rPr>
          <w:rFonts w:ascii="宋体" w:hAnsi="宋体" w:cs="宋体"/>
          <w:szCs w:val="21"/>
        </w:rPr>
      </w:pPr>
      <w:r>
        <w:rPr>
          <w:rFonts w:hint="eastAsia" w:ascii="宋体" w:hAnsi="宋体" w:cs="宋体"/>
          <w:szCs w:val="21"/>
        </w:rPr>
        <w:t>1、持CA数字认证证书，登录《全国公共资源交易平台（河南省·许昌市）》“系统用户注册”入口</w:t>
      </w:r>
      <w:r>
        <w:fldChar w:fldCharType="begin"/>
      </w:r>
      <w:r>
        <w:instrText xml:space="preserve"> HYPERLINK "http://ggzy.xuchang.gov.cn:8088/ggzy/eps/public/RegistAllJcxx.html" </w:instrText>
      </w:r>
      <w:r>
        <w:fldChar w:fldCharType="separate"/>
      </w:r>
      <w:r>
        <w:rPr>
          <w:rStyle w:val="27"/>
          <w:rFonts w:hint="eastAsia" w:ascii="宋体" w:hAnsi="宋体" w:cs="宋体"/>
          <w:szCs w:val="21"/>
        </w:rPr>
        <w:t>http://ggzy.xuchang.gov.cn:8088/ggzy/eps/public/RegistAllJcxx.html</w:t>
      </w:r>
      <w:r>
        <w:rPr>
          <w:rStyle w:val="27"/>
          <w:rFonts w:hint="eastAsia" w:ascii="宋体" w:hAnsi="宋体" w:cs="宋体"/>
          <w:szCs w:val="21"/>
        </w:rPr>
        <w:fldChar w:fldCharType="end"/>
      </w:r>
      <w:r>
        <w:rPr>
          <w:rFonts w:hint="eastAsia" w:ascii="宋体" w:hAnsi="宋体" w:cs="宋体"/>
          <w:szCs w:val="21"/>
        </w:rPr>
        <w:t>）进行免费注册登记（详见“常见问题解答-诚信库网上注册相关资料下载”）；</w:t>
      </w:r>
    </w:p>
    <w:p>
      <w:pPr>
        <w:wordWrap w:val="0"/>
        <w:topLinePunct/>
        <w:autoSpaceDE w:val="0"/>
        <w:autoSpaceDN w:val="0"/>
        <w:adjustRightInd w:val="0"/>
        <w:snapToGrid w:val="0"/>
        <w:spacing w:line="276" w:lineRule="auto"/>
        <w:ind w:firstLine="420" w:firstLineChars="200"/>
        <w:rPr>
          <w:rFonts w:ascii="宋体" w:hAnsi="宋体" w:cs="宋体"/>
          <w:szCs w:val="21"/>
        </w:rPr>
      </w:pPr>
      <w:r>
        <w:rPr>
          <w:rFonts w:hint="eastAsia" w:ascii="宋体" w:hAnsi="宋体" w:cs="宋体"/>
          <w:szCs w:val="21"/>
        </w:rPr>
        <w:t>2、在谈判响应截止时间前均可登录《全国公共资源交易平台（河南省·许昌市）》“投标人/供应商登录”入口（</w:t>
      </w:r>
      <w:r>
        <w:fldChar w:fldCharType="begin"/>
      </w:r>
      <w:r>
        <w:instrText xml:space="preserve"> HYPERLINK "http://ggzy.xuchang.gov.cn:8088/ggzy/" </w:instrText>
      </w:r>
      <w:r>
        <w:fldChar w:fldCharType="separate"/>
      </w:r>
      <w:r>
        <w:rPr>
          <w:rStyle w:val="27"/>
          <w:rFonts w:hint="eastAsia" w:ascii="宋体" w:hAnsi="宋体" w:cs="宋体"/>
          <w:szCs w:val="21"/>
        </w:rPr>
        <w:t>http://ggzy.xuchang.gov.cn:8088/ggzy/</w:t>
      </w:r>
      <w:r>
        <w:rPr>
          <w:rStyle w:val="27"/>
          <w:rFonts w:hint="eastAsia" w:ascii="宋体" w:hAnsi="宋体" w:cs="宋体"/>
          <w:szCs w:val="21"/>
        </w:rPr>
        <w:fldChar w:fldCharType="end"/>
      </w:r>
      <w:r>
        <w:rPr>
          <w:rFonts w:hint="eastAsia" w:ascii="宋体" w:hAnsi="宋体" w:cs="宋体"/>
          <w:szCs w:val="21"/>
        </w:rPr>
        <w:t>）自行免费下载竞争性谈判文件（详见“常见问题解答-交易系统操作手册”）。</w:t>
      </w:r>
    </w:p>
    <w:p>
      <w:pPr>
        <w:wordWrap w:val="0"/>
        <w:topLinePunct/>
        <w:autoSpaceDE w:val="0"/>
        <w:autoSpaceDN w:val="0"/>
        <w:adjustRightInd w:val="0"/>
        <w:snapToGrid w:val="0"/>
        <w:spacing w:line="276" w:lineRule="auto"/>
        <w:ind w:firstLine="420" w:firstLineChars="200"/>
        <w:rPr>
          <w:rFonts w:ascii="宋体" w:cs="宋体"/>
          <w:szCs w:val="21"/>
        </w:rPr>
      </w:pPr>
      <w:r>
        <w:rPr>
          <w:rFonts w:hint="eastAsia" w:ascii="宋体" w:hAnsi="宋体" w:cs="宋体"/>
          <w:szCs w:val="21"/>
        </w:rPr>
        <w:t>3、谈判文件每份售价人民</w:t>
      </w:r>
      <w:r>
        <w:rPr>
          <w:rFonts w:ascii="宋体" w:hAnsi="宋体" w:cs="宋体"/>
          <w:szCs w:val="21"/>
        </w:rPr>
        <w:t>500</w:t>
      </w:r>
      <w:r>
        <w:rPr>
          <w:rFonts w:hint="eastAsia" w:ascii="宋体" w:hAnsi="宋体" w:cs="宋体"/>
          <w:szCs w:val="21"/>
        </w:rPr>
        <w:t>元，售后不退。供应商于开标时在规定时间内转账至支付宝，支付宝账号开标时临时公布。逾期或拒交响应文件费用的，视为放弃投标，响应文件不予解密。</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五、投标截止时间、开标时间及地点：</w:t>
      </w:r>
    </w:p>
    <w:p>
      <w:pPr>
        <w:widowControl/>
        <w:shd w:val="clear" w:color="auto" w:fill="FFFFFF"/>
        <w:spacing w:line="276"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、响应文件提交截止及谈判响应截止时间、谈判时间：2020年</w:t>
      </w:r>
      <w:r>
        <w:rPr>
          <w:rFonts w:hint="eastAsia" w:ascii="宋体" w:hAnsi="宋体" w:cs="宋体"/>
          <w:color w:val="000000"/>
          <w:kern w:val="0"/>
          <w:szCs w:val="21"/>
          <w:lang w:val="en-US" w:eastAsia="zh-CN"/>
        </w:rPr>
        <w:t>7</w:t>
      </w:r>
      <w:r>
        <w:rPr>
          <w:rFonts w:hint="eastAsia" w:ascii="宋体" w:hAnsi="宋体" w:cs="宋体"/>
          <w:color w:val="000000"/>
          <w:kern w:val="0"/>
          <w:szCs w:val="21"/>
        </w:rPr>
        <w:t>月</w:t>
      </w:r>
      <w:r>
        <w:rPr>
          <w:rFonts w:hint="eastAsia" w:ascii="宋体" w:hAnsi="宋体" w:cs="宋体"/>
          <w:color w:val="000000"/>
          <w:kern w:val="0"/>
          <w:szCs w:val="21"/>
          <w:lang w:val="en-US" w:eastAsia="zh-CN"/>
        </w:rPr>
        <w:t>1</w:t>
      </w:r>
      <w:r>
        <w:rPr>
          <w:rFonts w:hint="eastAsia" w:ascii="宋体" w:hAnsi="宋体" w:cs="宋体"/>
          <w:color w:val="000000"/>
          <w:kern w:val="0"/>
          <w:szCs w:val="21"/>
        </w:rPr>
        <w:t>日8时30分（北京时间），逾期送达或不符合规定的响应文件不予接受。</w:t>
      </w:r>
    </w:p>
    <w:p>
      <w:pPr>
        <w:spacing w:line="276"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、开标地点：</w:t>
      </w:r>
      <w:r>
        <w:rPr>
          <w:rFonts w:hint="eastAsia" w:ascii="宋体" w:hAnsi="宋体" w:cs="宋体"/>
          <w:szCs w:val="21"/>
        </w:rPr>
        <w:t>禹州市公共资源交易中心第一开标室（禹州市行政服务中心楼</w:t>
      </w:r>
      <w:r>
        <w:rPr>
          <w:rFonts w:ascii="宋体" w:hAnsi="宋体" w:cs="宋体"/>
          <w:szCs w:val="21"/>
        </w:rPr>
        <w:t>9</w:t>
      </w:r>
      <w:r>
        <w:rPr>
          <w:rFonts w:hint="eastAsia" w:ascii="宋体" w:hAnsi="宋体" w:cs="宋体"/>
          <w:szCs w:val="21"/>
        </w:rPr>
        <w:t>楼）（</w:t>
      </w:r>
      <w:r>
        <w:rPr>
          <w:rFonts w:hint="eastAsia" w:ascii="宋体" w:hAnsi="宋体" w:cs="宋体"/>
          <w:b/>
          <w:szCs w:val="21"/>
        </w:rPr>
        <w:t>本项目采用远程不见面谈判，投标人无须到达现场</w:t>
      </w:r>
      <w:r>
        <w:rPr>
          <w:rFonts w:hint="eastAsia" w:ascii="宋体" w:hAnsi="宋体" w:cs="宋体"/>
          <w:szCs w:val="21"/>
        </w:rPr>
        <w:t>）</w:t>
      </w:r>
    </w:p>
    <w:p>
      <w:pPr>
        <w:spacing w:line="276" w:lineRule="auto"/>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、本项目为全流程电子化交易项目，投标人须提交电子响应文件。</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）加密电子响应文件（</w:t>
      </w:r>
      <w:r>
        <w:rPr>
          <w:rFonts w:ascii="宋体" w:hAnsi="宋体" w:cs="宋体"/>
          <w:color w:val="000000"/>
          <w:kern w:val="0"/>
          <w:szCs w:val="21"/>
        </w:rPr>
        <w:t>.file</w:t>
      </w:r>
      <w:r>
        <w:rPr>
          <w:rFonts w:hint="eastAsia" w:ascii="宋体" w:hAnsi="宋体" w:cs="宋体"/>
          <w:color w:val="000000"/>
          <w:kern w:val="0"/>
          <w:szCs w:val="21"/>
        </w:rPr>
        <w:t>格式）须在投标截止时间（开标时间）前通过《全国公共资源交易平台</w:t>
      </w:r>
      <w:r>
        <w:rPr>
          <w:rFonts w:ascii="宋体" w:hAnsi="宋体" w:cs="宋体"/>
          <w:color w:val="000000"/>
          <w:kern w:val="0"/>
          <w:szCs w:val="21"/>
        </w:rPr>
        <w:t>(</w:t>
      </w:r>
      <w:r>
        <w:rPr>
          <w:rFonts w:hint="eastAsia" w:ascii="宋体" w:hAnsi="宋体" w:cs="宋体"/>
          <w:color w:val="000000"/>
          <w:kern w:val="0"/>
          <w:szCs w:val="21"/>
        </w:rPr>
        <w:t>河南省</w:t>
      </w:r>
      <w:r>
        <w:rPr>
          <w:rFonts w:ascii="宋体" w:hAnsi="宋体" w:cs="宋体"/>
          <w:color w:val="000000"/>
          <w:kern w:val="0"/>
          <w:szCs w:val="21"/>
        </w:rPr>
        <w:t>?</w:t>
      </w:r>
      <w:r>
        <w:rPr>
          <w:rFonts w:hint="eastAsia" w:ascii="宋体" w:hAnsi="宋体" w:cs="宋体"/>
          <w:color w:val="000000"/>
          <w:kern w:val="0"/>
          <w:szCs w:val="21"/>
        </w:rPr>
        <w:t>许昌市</w:t>
      </w:r>
      <w:r>
        <w:rPr>
          <w:rFonts w:ascii="宋体" w:hAnsi="宋体" w:cs="宋体"/>
          <w:color w:val="000000"/>
          <w:kern w:val="0"/>
          <w:szCs w:val="21"/>
        </w:rPr>
        <w:t>)</w:t>
      </w:r>
      <w:r>
        <w:rPr>
          <w:rFonts w:hint="eastAsia" w:ascii="宋体" w:hAnsi="宋体" w:cs="宋体"/>
          <w:color w:val="000000"/>
          <w:kern w:val="0"/>
          <w:szCs w:val="21"/>
        </w:rPr>
        <w:t>》公共资源交易系统成功上传。</w:t>
      </w:r>
    </w:p>
    <w:p>
      <w:pPr>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谈判响应截止时间前，供应商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7"/>
      </w:pPr>
      <w:r>
        <w:rPr>
          <w:rFonts w:hint="eastAsia"/>
        </w:rPr>
        <w:t>（3）</w:t>
      </w:r>
      <w:r>
        <w:rPr>
          <w:rFonts w:hint="eastAsia"/>
          <w:color w:val="000000"/>
        </w:rPr>
        <w:t>逾期送达（未成功上传）的或者未按规定解密的电子响应文件，采购人不予受理。</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六、本次招标公告同时在《中国政府采购网》、《河南省政府采购网》、《全国公共资源交易平台（河南省·许昌市）》发布等。</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七、代理机构及采购单位地址、联系人、联系电话</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联系电话：0374-6068578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联系电话：18637410597</w:t>
      </w:r>
    </w:p>
    <w:p>
      <w:pPr>
        <w:widowControl/>
        <w:shd w:val="clear" w:color="auto" w:fill="FFFFFF"/>
        <w:spacing w:line="276" w:lineRule="auto"/>
        <w:ind w:firstLine="641"/>
        <w:jc w:val="left"/>
        <w:rPr>
          <w:rFonts w:ascii="宋体" w:cs="宋体"/>
          <w:color w:val="000000" w:themeColor="text1"/>
          <w:szCs w:val="21"/>
        </w:rPr>
      </w:pPr>
      <w:r>
        <w:rPr>
          <w:rFonts w:hint="eastAsia" w:ascii="宋体" w:hAnsi="宋体" w:cs="宋体"/>
          <w:color w:val="000000" w:themeColor="text1"/>
          <w:kern w:val="0"/>
          <w:szCs w:val="21"/>
        </w:rPr>
        <w:t>行政主管部门：禹州市卫生健康委员会</w:t>
      </w:r>
    </w:p>
    <w:p>
      <w:pPr>
        <w:spacing w:line="276" w:lineRule="auto"/>
        <w:ind w:firstLine="2310" w:firstLineChars="1100"/>
        <w:rPr>
          <w:rFonts w:ascii="宋体" w:cs="宋体"/>
          <w:szCs w:val="21"/>
        </w:rPr>
      </w:pPr>
    </w:p>
    <w:p>
      <w:pPr>
        <w:spacing w:line="276" w:lineRule="auto"/>
        <w:ind w:firstLine="3990" w:firstLineChars="1900"/>
        <w:jc w:val="right"/>
        <w:rPr>
          <w:color w:val="000000" w:themeColor="text1"/>
        </w:rPr>
      </w:pPr>
      <w:r>
        <w:rPr>
          <w:rFonts w:ascii="宋体" w:hAnsi="宋体" w:cs="宋体"/>
          <w:color w:val="000000" w:themeColor="text1"/>
          <w:szCs w:val="21"/>
        </w:rPr>
        <w:t xml:space="preserve"> 20</w:t>
      </w:r>
      <w:r>
        <w:rPr>
          <w:rFonts w:hint="eastAsia" w:ascii="宋体" w:hAnsi="宋体" w:cs="宋体"/>
          <w:color w:val="000000" w:themeColor="text1"/>
          <w:szCs w:val="21"/>
        </w:rPr>
        <w:t>20年5月</w:t>
      </w:r>
      <w:r>
        <w:rPr>
          <w:rFonts w:hint="eastAsia" w:ascii="宋体" w:hAnsi="宋体" w:cs="宋体"/>
          <w:color w:val="000000" w:themeColor="text1"/>
          <w:szCs w:val="21"/>
          <w:lang w:val="en-US" w:eastAsia="zh-CN"/>
        </w:rPr>
        <w:t>25</w:t>
      </w:r>
      <w:r>
        <w:rPr>
          <w:rFonts w:hint="eastAsia" w:ascii="宋体" w:hAnsi="宋体" w:cs="宋体"/>
          <w:color w:val="000000" w:themeColor="text1"/>
          <w:szCs w:val="21"/>
        </w:rPr>
        <w:t>日</w:t>
      </w:r>
    </w:p>
    <w:p>
      <w:pPr>
        <w:spacing w:line="276" w:lineRule="auto"/>
        <w:rPr>
          <w:rFonts w:ascii="宋体" w:cs="宋体"/>
          <w:b/>
          <w:szCs w:val="21"/>
        </w:rPr>
      </w:pPr>
      <w:r>
        <w:rPr>
          <w:rFonts w:hint="eastAsia" w:ascii="宋体" w:hAnsi="宋体" w:cs="宋体"/>
          <w:b/>
          <w:szCs w:val="21"/>
        </w:rPr>
        <w:t>温馨提示：</w:t>
      </w:r>
    </w:p>
    <w:p>
      <w:pPr>
        <w:spacing w:line="276" w:lineRule="auto"/>
        <w:ind w:firstLine="422" w:firstLineChars="200"/>
        <w:rPr>
          <w:rFonts w:ascii="宋体" w:cs="宋体"/>
          <w:b/>
          <w:szCs w:val="21"/>
        </w:rPr>
      </w:pPr>
      <w:r>
        <w:rPr>
          <w:rFonts w:hint="eastAsia" w:ascii="宋体" w:hAnsi="宋体" w:cs="宋体"/>
          <w:b/>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ind w:firstLine="315" w:firstLineChars="15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）。供应商应充分考虑并预留技术处理和上传数据所需时间。</w:t>
      </w:r>
    </w:p>
    <w:p>
      <w:pPr>
        <w:tabs>
          <w:tab w:val="left" w:pos="7095"/>
        </w:tabs>
        <w:spacing w:line="360" w:lineRule="auto"/>
        <w:ind w:firstLine="315" w:firstLineChars="15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.2加密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tbl>
      <w:tblPr>
        <w:tblStyle w:val="23"/>
        <w:tblpPr w:leftFromText="180" w:rightFromText="180" w:vertAnchor="page" w:horzAnchor="margin" w:tblpY="3856"/>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710"/>
        <w:gridCol w:w="1410"/>
        <w:gridCol w:w="249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8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71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设备名称</w:t>
            </w:r>
          </w:p>
        </w:tc>
        <w:tc>
          <w:tcPr>
            <w:tcW w:w="141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2495" w:type="dxa"/>
            <w:vAlign w:val="center"/>
          </w:tcPr>
          <w:p>
            <w:pPr>
              <w:spacing w:line="420" w:lineRule="exact"/>
              <w:ind w:firstLine="422" w:firstLineChars="150"/>
              <w:rPr>
                <w:rFonts w:ascii="仿宋" w:hAnsi="仿宋" w:eastAsia="仿宋" w:cs="仿宋"/>
                <w:b/>
                <w:bCs/>
                <w:sz w:val="28"/>
                <w:szCs w:val="28"/>
              </w:rPr>
            </w:pPr>
            <w:r>
              <w:rPr>
                <w:rFonts w:hint="eastAsia" w:ascii="仿宋" w:hAnsi="仿宋" w:eastAsia="仿宋" w:cs="仿宋"/>
                <w:b/>
                <w:bCs/>
                <w:sz w:val="28"/>
                <w:szCs w:val="28"/>
              </w:rPr>
              <w:t>预算金额</w:t>
            </w:r>
          </w:p>
          <w:p>
            <w:pPr>
              <w:spacing w:line="420" w:lineRule="exact"/>
              <w:jc w:val="center"/>
              <w:rPr>
                <w:rFonts w:ascii="仿宋" w:hAnsi="仿宋" w:eastAsia="仿宋" w:cs="仿宋"/>
                <w:b/>
                <w:bCs/>
                <w:sz w:val="28"/>
                <w:szCs w:val="28"/>
              </w:rPr>
            </w:pPr>
            <w:r>
              <w:rPr>
                <w:rFonts w:hint="eastAsia" w:ascii="仿宋" w:hAnsi="仿宋" w:eastAsia="仿宋" w:cs="仿宋"/>
                <w:b/>
                <w:bCs/>
                <w:sz w:val="28"/>
                <w:szCs w:val="28"/>
              </w:rPr>
              <w:t>（万元）</w:t>
            </w:r>
          </w:p>
        </w:tc>
        <w:tc>
          <w:tcPr>
            <w:tcW w:w="2040" w:type="dxa"/>
            <w:vAlign w:val="center"/>
          </w:tcPr>
          <w:p>
            <w:pPr>
              <w:spacing w:line="420" w:lineRule="exact"/>
              <w:jc w:val="center"/>
              <w:rPr>
                <w:rFonts w:ascii="仿宋" w:hAnsi="仿宋" w:eastAsia="仿宋" w:cs="仿宋"/>
                <w:b/>
                <w:bCs/>
                <w:sz w:val="28"/>
                <w:szCs w:val="28"/>
              </w:rPr>
            </w:pPr>
            <w:r>
              <w:rPr>
                <w:rFonts w:hint="eastAsia" w:ascii="仿宋" w:hAnsi="仿宋" w:eastAsia="仿宋" w:cs="仿宋"/>
                <w:b/>
                <w:bCs/>
                <w:sz w:val="28"/>
                <w:szCs w:val="28"/>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2710" w:type="dxa"/>
            <w:vAlign w:val="center"/>
          </w:tcPr>
          <w:p>
            <w:pPr>
              <w:pStyle w:val="21"/>
              <w:widowControl/>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麻醉深度监测仪</w:t>
            </w:r>
          </w:p>
        </w:tc>
        <w:tc>
          <w:tcPr>
            <w:tcW w:w="141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1套</w:t>
            </w:r>
          </w:p>
        </w:tc>
        <w:tc>
          <w:tcPr>
            <w:tcW w:w="2495" w:type="dxa"/>
            <w:vAlign w:val="center"/>
          </w:tcPr>
          <w:p>
            <w:pPr>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2710"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神经刺激仪</w:t>
            </w:r>
          </w:p>
        </w:tc>
        <w:tc>
          <w:tcPr>
            <w:tcW w:w="141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1台</w:t>
            </w:r>
          </w:p>
        </w:tc>
        <w:tc>
          <w:tcPr>
            <w:tcW w:w="2495" w:type="dxa"/>
            <w:vAlign w:val="center"/>
          </w:tcPr>
          <w:p>
            <w:pPr>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2710"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体表加温仪</w:t>
            </w:r>
          </w:p>
        </w:tc>
        <w:tc>
          <w:tcPr>
            <w:tcW w:w="141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1台</w:t>
            </w:r>
          </w:p>
        </w:tc>
        <w:tc>
          <w:tcPr>
            <w:tcW w:w="2495" w:type="dxa"/>
            <w:vAlign w:val="center"/>
          </w:tcPr>
          <w:p>
            <w:pPr>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2710"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高频电刀</w:t>
            </w:r>
          </w:p>
        </w:tc>
        <w:tc>
          <w:tcPr>
            <w:tcW w:w="141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3台</w:t>
            </w:r>
          </w:p>
        </w:tc>
        <w:tc>
          <w:tcPr>
            <w:tcW w:w="2495" w:type="dxa"/>
            <w:vAlign w:val="center"/>
          </w:tcPr>
          <w:p>
            <w:pPr>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Merge w:val="restart"/>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2710"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电动手术床</w:t>
            </w:r>
          </w:p>
        </w:tc>
        <w:tc>
          <w:tcPr>
            <w:tcW w:w="141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sz w:val="28"/>
                <w:szCs w:val="28"/>
              </w:rPr>
              <w:t>3台</w:t>
            </w:r>
          </w:p>
        </w:tc>
        <w:tc>
          <w:tcPr>
            <w:tcW w:w="2495" w:type="dxa"/>
            <w:vMerge w:val="restart"/>
            <w:vAlign w:val="center"/>
          </w:tcPr>
          <w:p>
            <w:pPr>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Merge w:val="continue"/>
            <w:vAlign w:val="center"/>
          </w:tcPr>
          <w:p>
            <w:pPr>
              <w:pStyle w:val="21"/>
              <w:widowControl/>
              <w:jc w:val="center"/>
              <w:rPr>
                <w:rFonts w:ascii="仿宋" w:hAnsi="仿宋" w:eastAsia="仿宋" w:cs="仿宋"/>
                <w:color w:val="000000"/>
                <w:sz w:val="28"/>
                <w:szCs w:val="28"/>
              </w:rPr>
            </w:pPr>
          </w:p>
        </w:tc>
        <w:tc>
          <w:tcPr>
            <w:tcW w:w="2710"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无影灯</w:t>
            </w:r>
          </w:p>
        </w:tc>
        <w:tc>
          <w:tcPr>
            <w:tcW w:w="141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1台</w:t>
            </w:r>
          </w:p>
        </w:tc>
        <w:tc>
          <w:tcPr>
            <w:tcW w:w="2495" w:type="dxa"/>
            <w:vMerge w:val="continue"/>
            <w:vAlign w:val="center"/>
          </w:tcPr>
          <w:p>
            <w:pPr>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2710"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超声刀</w:t>
            </w:r>
          </w:p>
        </w:tc>
        <w:tc>
          <w:tcPr>
            <w:tcW w:w="141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1台</w:t>
            </w:r>
          </w:p>
        </w:tc>
        <w:tc>
          <w:tcPr>
            <w:tcW w:w="2495" w:type="dxa"/>
            <w:vAlign w:val="center"/>
          </w:tcPr>
          <w:p>
            <w:pPr>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2710"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麻醉机</w:t>
            </w:r>
          </w:p>
        </w:tc>
        <w:tc>
          <w:tcPr>
            <w:tcW w:w="141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1台</w:t>
            </w:r>
          </w:p>
        </w:tc>
        <w:tc>
          <w:tcPr>
            <w:tcW w:w="2495" w:type="dxa"/>
            <w:vAlign w:val="center"/>
          </w:tcPr>
          <w:p>
            <w:pPr>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2710" w:type="dxa"/>
            <w:vAlign w:val="center"/>
          </w:tcPr>
          <w:p>
            <w:pPr>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新生儿监护仪</w:t>
            </w:r>
          </w:p>
        </w:tc>
        <w:tc>
          <w:tcPr>
            <w:tcW w:w="1410" w:type="dxa"/>
            <w:vAlign w:val="center"/>
          </w:tcPr>
          <w:p>
            <w:pPr>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1台</w:t>
            </w:r>
          </w:p>
        </w:tc>
        <w:tc>
          <w:tcPr>
            <w:tcW w:w="2495" w:type="dxa"/>
            <w:vAlign w:val="center"/>
          </w:tcPr>
          <w:p>
            <w:pPr>
              <w:spacing w:line="360" w:lineRule="auto"/>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2710" w:type="dxa"/>
            <w:vAlign w:val="center"/>
          </w:tcPr>
          <w:p>
            <w:pPr>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新生儿抢救台</w:t>
            </w:r>
          </w:p>
        </w:tc>
        <w:tc>
          <w:tcPr>
            <w:tcW w:w="1410" w:type="dxa"/>
            <w:vAlign w:val="center"/>
          </w:tcPr>
          <w:p>
            <w:pPr>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1台</w:t>
            </w:r>
          </w:p>
        </w:tc>
        <w:tc>
          <w:tcPr>
            <w:tcW w:w="2495" w:type="dxa"/>
            <w:vAlign w:val="center"/>
          </w:tcPr>
          <w:p>
            <w:pPr>
              <w:spacing w:line="360" w:lineRule="auto"/>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2710" w:type="dxa"/>
            <w:vAlign w:val="center"/>
          </w:tcPr>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睡眠监测仪</w:t>
            </w:r>
          </w:p>
        </w:tc>
        <w:tc>
          <w:tcPr>
            <w:tcW w:w="1410" w:type="dxa"/>
            <w:vAlign w:val="center"/>
          </w:tcPr>
          <w:p>
            <w:pPr>
              <w:spacing w:line="360" w:lineRule="auto"/>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1台</w:t>
            </w:r>
          </w:p>
        </w:tc>
        <w:tc>
          <w:tcPr>
            <w:tcW w:w="2495" w:type="dxa"/>
            <w:vAlign w:val="center"/>
          </w:tcPr>
          <w:p>
            <w:pPr>
              <w:spacing w:line="360" w:lineRule="auto"/>
              <w:jc w:val="center"/>
              <w:rPr>
                <w:rFonts w:ascii="仿宋" w:hAnsi="仿宋" w:eastAsia="仿宋" w:cs="仿宋"/>
                <w:color w:val="000000"/>
                <w:kern w:val="0"/>
                <w:sz w:val="28"/>
                <w:szCs w:val="28"/>
              </w:rPr>
            </w:pPr>
          </w:p>
        </w:tc>
        <w:tc>
          <w:tcPr>
            <w:tcW w:w="204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595" w:type="dxa"/>
            <w:gridSpan w:val="2"/>
            <w:vAlign w:val="center"/>
          </w:tcPr>
          <w:p>
            <w:pPr>
              <w:pStyle w:val="21"/>
              <w:widowControl/>
              <w:ind w:firstLine="1546" w:firstLineChars="550"/>
              <w:rPr>
                <w:rFonts w:ascii="仿宋" w:hAnsi="仿宋" w:eastAsia="仿宋" w:cs="仿宋"/>
                <w:b/>
                <w:color w:val="000000"/>
                <w:sz w:val="28"/>
                <w:szCs w:val="28"/>
              </w:rPr>
            </w:pPr>
            <w:r>
              <w:rPr>
                <w:rFonts w:hint="eastAsia" w:ascii="仿宋" w:hAnsi="仿宋" w:eastAsia="仿宋" w:cs="仿宋"/>
                <w:b/>
                <w:color w:val="000000"/>
                <w:sz w:val="28"/>
                <w:szCs w:val="28"/>
              </w:rPr>
              <w:t>合计</w:t>
            </w:r>
          </w:p>
        </w:tc>
        <w:tc>
          <w:tcPr>
            <w:tcW w:w="1410" w:type="dxa"/>
            <w:vAlign w:val="center"/>
          </w:tcPr>
          <w:p>
            <w:pPr>
              <w:jc w:val="center"/>
              <w:rPr>
                <w:rFonts w:ascii="仿宋" w:hAnsi="仿宋" w:eastAsia="仿宋" w:cs="仿宋"/>
                <w:sz w:val="28"/>
                <w:szCs w:val="28"/>
              </w:rPr>
            </w:pPr>
            <w:r>
              <w:rPr>
                <w:rFonts w:hint="eastAsia" w:ascii="仿宋" w:hAnsi="仿宋" w:eastAsia="仿宋" w:cs="仿宋"/>
                <w:color w:val="000000"/>
                <w:kern w:val="0"/>
                <w:sz w:val="28"/>
                <w:szCs w:val="28"/>
              </w:rPr>
              <w:t>台</w:t>
            </w:r>
          </w:p>
        </w:tc>
        <w:tc>
          <w:tcPr>
            <w:tcW w:w="2495" w:type="dxa"/>
            <w:vAlign w:val="center"/>
          </w:tcPr>
          <w:p>
            <w:pPr>
              <w:jc w:val="center"/>
              <w:rPr>
                <w:rFonts w:ascii="仿宋" w:hAnsi="仿宋" w:eastAsia="仿宋" w:cs="仿宋"/>
                <w:sz w:val="28"/>
                <w:szCs w:val="28"/>
              </w:rPr>
            </w:pPr>
          </w:p>
        </w:tc>
        <w:tc>
          <w:tcPr>
            <w:tcW w:w="2040" w:type="dxa"/>
            <w:vAlign w:val="center"/>
          </w:tcPr>
          <w:p>
            <w:pPr>
              <w:jc w:val="center"/>
              <w:rPr>
                <w:rFonts w:ascii="仿宋" w:hAnsi="仿宋" w:eastAsia="仿宋" w:cs="仿宋"/>
                <w:sz w:val="28"/>
                <w:szCs w:val="28"/>
              </w:rPr>
            </w:pPr>
          </w:p>
        </w:tc>
      </w:tr>
    </w:tbl>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禹州市人民医院</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麻醉深度监测仪等医疗设备主要技术参数及要求</w:t>
      </w:r>
    </w:p>
    <w:p>
      <w:pPr>
        <w:rPr>
          <w:rFonts w:cs="宋体" w:asciiTheme="majorEastAsia" w:hAnsiTheme="majorEastAsia" w:eastAsiaTheme="majorEastAsia"/>
          <w:b/>
          <w:kern w:val="0"/>
          <w:sz w:val="32"/>
          <w:szCs w:val="32"/>
        </w:rPr>
      </w:pP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br w:type="page"/>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参数一：     麻醉深度监测仪主要技术参数及要求</w:t>
      </w:r>
    </w:p>
    <w:p>
      <w:pPr>
        <w:pStyle w:val="10"/>
        <w:numPr>
          <w:ilvl w:val="0"/>
          <w:numId w:val="7"/>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设备名称：麻醉深度监测仪。</w:t>
      </w:r>
    </w:p>
    <w:p>
      <w:pPr>
        <w:pStyle w:val="10"/>
        <w:numPr>
          <w:ilvl w:val="0"/>
          <w:numId w:val="7"/>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数量：1台。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三、设备用途及说明：用于手术过程中麻醉深度的监测。</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四、技术参数：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1、麻醉深度监护仪整机为一体机，≥10英寸彩色液晶显示屏。</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2、标准配置：脑电意识指数（IOC1）、伤害敏感指数（IOC2）面部肌电指数（EMG）、爆发抑制比（BS）。</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  2.1脑电意识指数：实时显示患者镇静、睡眠、昏迷程度，范围0 -- 100；</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    2.2伤害敏感指数：实时显示患者麻醉状态下镇痛程度，范围0 -- 100；</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  2.3 面部肌电指数：实时监测范围在70--110HZ肌电强度；</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    2.4 爆发性抑制比（BS）：范围0--100%，实时监测记录，为过深麻醉和镇静提供定量参考数据，保证麻醉安全。</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3、信号质量指数（SQI）：范围0--100，能实时监测记录信号质量。</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4、趋势图：能实时观察麻醉深度参数的变化趋势，显示整个麻醉过程中患者各监测参数的动态变化，刷新时间：≤1秒。</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5、显示功能：全触摸屏并显示全过程的各麻醉深度参数数值和图形，并持续更新。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6、内置电池：工作时间≥8小时。</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7、报警功能：声光报警上下限用户可调。</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8、系统自检功能：每15分钟自检一次，每次都会自动更新检测阻抗数值。</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9、适用人群：4岁以上。</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10、能监测各种麻醉方式：全静脉麻醉、吸入麻醉和静吸复合麻醉。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11、采样率：1800次/秒， 16位。</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12、脑电灵敏度：±475µV。</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13、噪音强度：≤2uVp-p(l—150Hz)。</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14、共模抑制比(CMR)：≥100dB。</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15、输入阻抗：≥50M。</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16、测量精度：±3％。</w:t>
      </w:r>
      <w:r>
        <w:rPr>
          <w:rFonts w:hint="eastAsia" w:cs="黑体" w:asciiTheme="minorEastAsia" w:hAnsiTheme="minorEastAsia"/>
          <w:b/>
          <w:bCs/>
          <w:color w:val="000000"/>
          <w:sz w:val="24"/>
          <w:szCs w:val="24"/>
          <w:shd w:val="clear" w:color="auto" w:fill="FFFFFF"/>
        </w:rPr>
        <w:br w:type="textWrapping"/>
      </w:r>
      <w:r>
        <w:rPr>
          <w:rFonts w:hint="eastAsia" w:cs="黑体" w:asciiTheme="minorEastAsia" w:hAnsiTheme="minorEastAsia"/>
          <w:b/>
          <w:bCs/>
          <w:color w:val="000000"/>
          <w:sz w:val="24"/>
          <w:szCs w:val="24"/>
          <w:shd w:val="clear" w:color="auto" w:fill="FFFFFF"/>
        </w:rPr>
        <w:t>17、具有病例演示功能。</w:t>
      </w:r>
    </w:p>
    <w:p>
      <w:pPr>
        <w:pStyle w:val="10"/>
        <w:rPr>
          <w:rFonts w:cs="黑体" w:asciiTheme="minorEastAsia" w:hAnsiTheme="minorEastAsia"/>
          <w:b/>
          <w:bCs/>
          <w:color w:val="000000"/>
          <w:sz w:val="24"/>
          <w:szCs w:val="24"/>
          <w:shd w:val="clear" w:color="auto" w:fill="FFFFFF"/>
        </w:rPr>
      </w:pPr>
    </w:p>
    <w:p>
      <w:pPr>
        <w:pStyle w:val="10"/>
        <w:rPr>
          <w:rFonts w:cs="黑体" w:asciiTheme="minorEastAsia" w:hAnsiTheme="minorEastAsia"/>
          <w:b/>
          <w:bCs/>
          <w:color w:val="000000"/>
          <w:sz w:val="24"/>
          <w:szCs w:val="24"/>
          <w:shd w:val="clear" w:color="auto" w:fill="FFFFFF"/>
        </w:rPr>
      </w:pP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参数二：  神经刺激器主要技术参数及要求</w:t>
      </w:r>
    </w:p>
    <w:p>
      <w:pPr>
        <w:pStyle w:val="10"/>
        <w:numPr>
          <w:ilvl w:val="0"/>
          <w:numId w:val="8"/>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设备名称：神经刺激仪。</w:t>
      </w:r>
    </w:p>
    <w:p>
      <w:pPr>
        <w:pStyle w:val="10"/>
        <w:numPr>
          <w:ilvl w:val="0"/>
          <w:numId w:val="8"/>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数量：1台。</w:t>
      </w:r>
    </w:p>
    <w:p>
      <w:pPr>
        <w:pStyle w:val="10"/>
        <w:numPr>
          <w:ilvl w:val="0"/>
          <w:numId w:val="8"/>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设备用途及说明：适用于神经阻滞麻醉。</w:t>
      </w:r>
    </w:p>
    <w:p>
      <w:pPr>
        <w:pStyle w:val="10"/>
        <w:numPr>
          <w:ilvl w:val="0"/>
          <w:numId w:val="8"/>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主要技术参数：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1、单极浅表神经探头1个：可进行浅表神经的无损伤定位。</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2、刺激针电流：0--6mA</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3、体表探头最大电流60mA：</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4、刺激脉宽：≥6种脉宽选择，满足不同病人对于感觉神经和运动神经的调节。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5、具备预设功能：开机后可以默认预设数值。</w:t>
      </w:r>
    </w:p>
    <w:p>
      <w:pPr>
        <w:pStyle w:val="10"/>
        <w:numPr>
          <w:ilvl w:val="0"/>
          <w:numId w:val="9"/>
        </w:numPr>
        <w:tabs>
          <w:tab w:val="clear" w:pos="720"/>
        </w:tabs>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电源：9V碱性电池或可充电电池。</w:t>
      </w:r>
    </w:p>
    <w:p>
      <w:pPr>
        <w:pStyle w:val="10"/>
        <w:numPr>
          <w:ilvl w:val="0"/>
          <w:numId w:val="9"/>
        </w:numPr>
        <w:tabs>
          <w:tab w:val="clear" w:pos="720"/>
        </w:tabs>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刺激电压：0--95V（最大。</w:t>
      </w:r>
    </w:p>
    <w:p>
      <w:pPr>
        <w:pStyle w:val="10"/>
        <w:numPr>
          <w:ilvl w:val="0"/>
          <w:numId w:val="9"/>
        </w:numPr>
        <w:tabs>
          <w:tab w:val="clear" w:pos="720"/>
        </w:tabs>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刺激频率：1Hz/2Hz（±1%）。</w:t>
      </w:r>
    </w:p>
    <w:p>
      <w:pPr>
        <w:pStyle w:val="10"/>
        <w:numPr>
          <w:ilvl w:val="0"/>
          <w:numId w:val="9"/>
        </w:numPr>
        <w:tabs>
          <w:tab w:val="clear" w:pos="720"/>
        </w:tabs>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允许加载电阻：0--12kΩ。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10、电流探测精度：≤±0.01mA。</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11、电阻测量范围：目标刺激电流≥0.5mA时，1kΩ--12kΩ。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12、自检功能：带刺激警报，出现错误时，有错误信息提示。</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参数三：</w:t>
      </w:r>
      <w:r>
        <w:rPr>
          <w:rFonts w:hint="eastAsia" w:cs="黑体" w:asciiTheme="minorEastAsia" w:hAnsiTheme="minorEastAsia"/>
          <w:b/>
          <w:bCs/>
          <w:color w:val="000000"/>
          <w:sz w:val="24"/>
          <w:szCs w:val="24"/>
          <w:shd w:val="clear" w:color="auto" w:fill="FFFFFF"/>
        </w:rPr>
        <w:tab/>
      </w:r>
      <w:r>
        <w:rPr>
          <w:rFonts w:hint="eastAsia" w:cs="黑体" w:asciiTheme="minorEastAsia" w:hAnsiTheme="minorEastAsia"/>
          <w:b/>
          <w:bCs/>
          <w:color w:val="000000"/>
          <w:sz w:val="24"/>
          <w:szCs w:val="24"/>
          <w:shd w:val="clear" w:color="auto" w:fill="FFFFFF"/>
        </w:rPr>
        <w:t>充气式升温系统主要技术参数及要求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一、设备名称：充气式升温系统。</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二、数量：1台。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三、设备用途及说明：用于手术室、麻醉室、重症、急诊等科室，可以给病人提供安全可靠的升温，维持病人的正常体温。</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四、主要技术参数：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1、一次性使用保温毯具有≥20种型号可选（供全科手术体位使用）。</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2、运行温度档位，具有三个档位以上。</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3、具有测试气流功能。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4、风速（CMF）≥45CMF。</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5、具有微处理器（半导体集成电路）控制，非离散逻辑电路。</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6、具有报警装置。</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7、具有系统感应装置。</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8、具有计时功能。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9、具有温度过热测试装置。</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10、具有设备自助校准功能。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11、具有≤0.2微米高效空气过滤器。</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12、采用中心汇管控制气流。</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参数四：   高频电刀主要技术参数及要求</w:t>
      </w:r>
    </w:p>
    <w:p>
      <w:pPr>
        <w:pStyle w:val="10"/>
        <w:numPr>
          <w:ilvl w:val="0"/>
          <w:numId w:val="10"/>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设备名称：高频电刀。</w:t>
      </w:r>
    </w:p>
    <w:p>
      <w:pPr>
        <w:pStyle w:val="10"/>
        <w:numPr>
          <w:ilvl w:val="0"/>
          <w:numId w:val="10"/>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数量：3套。</w:t>
      </w:r>
    </w:p>
    <w:p>
      <w:pPr>
        <w:pStyle w:val="10"/>
        <w:numPr>
          <w:ilvl w:val="0"/>
          <w:numId w:val="10"/>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设备用途及说明：用于普外、妇科、胸外、泌尿外科、神经外科、脑外科等开放或微创腔镜手术。</w:t>
      </w:r>
    </w:p>
    <w:p>
      <w:pPr>
        <w:pStyle w:val="10"/>
        <w:numPr>
          <w:ilvl w:val="0"/>
          <w:numId w:val="10"/>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1、全悬浮电源，高频漏电流≤75mA。</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2、具有全功能功率自动补偿。</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3、具有高频发生器通用内窥接口, 可配合胃镜、肠镜、腹腔镜等内镜使用。</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4、具有专用病人回路电极板接触质量检测系统。</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5、单极</w:t>
      </w:r>
      <w:bookmarkStart w:id="0" w:name="OLE_LINK4"/>
      <w:r>
        <w:rPr>
          <w:rFonts w:hint="eastAsia" w:cs="黑体" w:asciiTheme="minorEastAsia" w:hAnsiTheme="minorEastAsia"/>
          <w:b/>
          <w:bCs/>
          <w:color w:val="000000"/>
          <w:sz w:val="24"/>
          <w:szCs w:val="24"/>
          <w:shd w:val="clear" w:color="auto" w:fill="FFFFFF"/>
        </w:rPr>
        <w:t>既可手控输出也可脚控输出。</w:t>
      </w:r>
      <w:bookmarkEnd w:id="0"/>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6、具有断电保护电路，能记忆前一次使用的输出设定值。</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7、具有远程故障诊断。</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8、具有两个脚踏，单双极可自动转换。</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9、通过EMC检测、欧盟CE 认证。</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10、工作频率：416kHz。</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11、具有六种输出模式：</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11.1 纯切：≥350W(负载500Ω)；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11.2 切割1：≥200W(负载500Ω)；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11.3 切割2：≥120W(负载500Ω)；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11.4 喷凝：≥150W(负载500Ω)；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11.5 柔凝：≥80W(负载500Ω)；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11.6 标准双极电凝：≥70W(负载100Ω)。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12、电源：AC 220V， 50Hz；</w:t>
      </w:r>
    </w:p>
    <w:p>
      <w:pPr>
        <w:pStyle w:val="10"/>
        <w:rPr>
          <w:rFonts w:cs="黑体" w:asciiTheme="minorEastAsia" w:hAnsiTheme="minorEastAsia"/>
          <w:b/>
          <w:bCs/>
          <w:color w:val="000000"/>
          <w:sz w:val="24"/>
          <w:szCs w:val="24"/>
          <w:shd w:val="clear" w:color="auto" w:fill="FFFFFF"/>
        </w:rPr>
      </w:pPr>
    </w:p>
    <w:p>
      <w:pPr>
        <w:pStyle w:val="10"/>
        <w:rPr>
          <w:rFonts w:cs="黑体" w:asciiTheme="minorEastAsia" w:hAnsiTheme="minorEastAsia"/>
          <w:b/>
          <w:bCs/>
          <w:color w:val="000000"/>
          <w:sz w:val="24"/>
          <w:szCs w:val="24"/>
          <w:shd w:val="clear" w:color="auto" w:fill="FFFFFF"/>
        </w:rPr>
      </w:pP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参数五：   电动液压综合手术床主要技术参数及要求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一、设备名称：电动液压综合手术床。</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二、数量：3套。</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三、设备用途及说明：用于手术中对患者身体的支撑以及保持患者不同体位。</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四、主要技术参数及要求：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1、电动液压驱动机，电动调节床面升降、前后倾、左右倾、背板升降4个主要动作组，由4组（不少于5个）独立液压缸液压驱动。</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2、配有高性能充电电池，单次充电可满足≥50次手术需要。</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3、配备手持有线控制器≥1个。</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4、承重≥180kg。</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5、手术床台面框架和立柱采用优质不锈钢材质，抗撞击，耐腐蚀，耐消毒，坚固耐用。</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6、手术床床垫由质地柔软的双层记忆海绵整体制成，厚度≥70mm。床垫表面采用无缝烫接技术，防水透气易清洗，防静电。</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7、手术床床板由头板、背板、臀板及可分开式腿板等五部分组成。头板可拆卸；腿板具有可拆卸、可上下折和可分叉等多种功能。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8、独立机械脚踏式控制刹车系统，锁定之后确保手术床绝对稳固。</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9、手术术床液压系统具备内部过滤处理功能。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10、技术参数：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10.1手术床长度2020 mm；</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10.2 手术床宽度500 mm；</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10.3 床面高度可调范围：685 mm -- 1025 mm；</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10.4 台面前后倾角度：≥25°；</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10.5 台面左右倾角度：≥20°；</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10.6 背板折转角度：上折≥80°、下折≥-40°；</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10.7 腿板折转角度：上折≥20°、下折≥90°、外展角度90°；</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10.8 头板折转角度：上折≥45°、下折90°；</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10.9 台面平移距离≥300mm。</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 基本配置：</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11.1 电动手术床主床一台, 配床垫一套；</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11.2 托手架一对；</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11.3 麻醉屏架1个。</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参数六：  手术无影灯主要技术参数及要求</w:t>
      </w:r>
    </w:p>
    <w:p>
      <w:pPr>
        <w:pStyle w:val="10"/>
        <w:numPr>
          <w:ilvl w:val="0"/>
          <w:numId w:val="11"/>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设备名称：手术无影灯。</w:t>
      </w:r>
    </w:p>
    <w:p>
      <w:pPr>
        <w:pStyle w:val="10"/>
        <w:numPr>
          <w:ilvl w:val="0"/>
          <w:numId w:val="11"/>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数量：1套。</w:t>
      </w:r>
    </w:p>
    <w:p>
      <w:pPr>
        <w:pStyle w:val="10"/>
        <w:numPr>
          <w:ilvl w:val="0"/>
          <w:numId w:val="11"/>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设备用途及说明：用于手术照明。</w:t>
      </w:r>
    </w:p>
    <w:p>
      <w:pPr>
        <w:pStyle w:val="10"/>
        <w:numPr>
          <w:ilvl w:val="0"/>
          <w:numId w:val="11"/>
        </w:numPr>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技术参数：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 采用进口LED冷光源，亮度可调。</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2、灯泡数量：母灯：≥35颗，子灯≥25颗。</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 灯头直径：母灯：≤65cm，子灯≤60cm。</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4、灯头厚度：母灯：≤10cm，子灯≤10cm。</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5、母灯照度≥16万Lux,子灯照度≥13万Lux(提供检验报告证明）。</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6、单灯聚焦深度≥1150mm。</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7、深腔无影率95%。</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8、色温：4300K 。</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9、 色彩还原度≥96。</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 LED灯珠可单独更换。</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 光斑直径：母灯180--300mm、子灯180--270mm连续可调，且照度不随光斑大小改变而变化，保证术野获得稳定的照明。</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 母灯单遮板无影率≥75%，单遮板深腔无影率≥60%。</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13、子灯双遮板无影率≥55%，双遮板深腔无影率≥50%。</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14、 具有明亮照明模式、普通照明模式和环境光照明模式，一键切换。</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15、 采用进口弹簧臂。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16、 生产厂家需通过ISO9001及ISO13485质量体系认证，符合国家相关标准要求；LED无影灯通过DIN1946-4层流指数认证，确保手术灯在层流手术间内，不影响层流效果。</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参数七：      超声刀主要技术参数及要求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一、设备名称：超声刀。</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二、数量：1套。</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三、设备用途及说明：用于普外、妇科、胸外、泌尿外科等开放或微创腔镜手术，针对软组织切割和血管闭合的手术。</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四、主要技术参数及要求：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1、工作频率55.5KHz。</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2、具有主机、换能器、刀头等相关全套组件。</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3、主机性能稳性、安全性符合相关标准，智能检测及故障诊断，中文彩色显示。</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4、主机具备≥ 5档功率调节，可同时连接手控和脚踏。</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5、主机具备软件升级功能。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6、满足3mm及以下的血管闭合和组织切割。</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7、换能器无使用次数限制，且连接线可拆卸，方便术后清洗消毒。</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  8、刀头可以直接和其他主流品牌超声刀驱动手柄对接使用。</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9、超声止血刀必须具备超声刀具单独的注册证件。</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 10、枪式刀头具有14cm/23cm/36cm不同长度规格，满足各种开放及腔镜手术需求，集切割、凝闭、抓持、分离功能于一体。</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11、刀杆及握把一体式设计，不可拆卸。</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12、刀杆可做360°旋转，弧形钳口，不造成视野阻挡，方便操作。</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13、刀头钳口部分设计多个工作面，用于组织快速切割。</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14、设备故障时提供备用机。</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15、配置要求：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  15.1 主机：1台；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15.2 手柄（含手柄连线/扭力扳手/测试棒）：1个。</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15.3其他配套部件。</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参数八：     麻醉机主要技术参数及要求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 设备名称：麻醉机。</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二、数量：1台。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三、设备要求及用途：气动电控型，符合国家安全通用标准。适用于</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成人、儿童及婴幼儿等各科手术病人麻醉期间的麻醉和呼吸管理，能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较好地满足手术麻醉工作的要求。</w:t>
      </w:r>
    </w:p>
    <w:p>
      <w:pPr>
        <w:pStyle w:val="10"/>
        <w:rPr>
          <w:rFonts w:cs="黑体" w:asciiTheme="minorEastAsia" w:hAnsiTheme="minorEastAsia"/>
          <w:b/>
          <w:bCs/>
          <w:color w:val="000000"/>
          <w:sz w:val="24"/>
          <w:szCs w:val="24"/>
          <w:shd w:val="clear" w:color="auto" w:fill="FFFFFF"/>
          <w:lang w:val="de-DE"/>
        </w:rPr>
      </w:pPr>
      <w:r>
        <w:rPr>
          <w:rFonts w:hint="eastAsia" w:cs="黑体" w:asciiTheme="minorEastAsia" w:hAnsiTheme="minorEastAsia"/>
          <w:b/>
          <w:bCs/>
          <w:color w:val="000000"/>
          <w:sz w:val="24"/>
          <w:szCs w:val="24"/>
          <w:shd w:val="clear" w:color="auto" w:fill="FFFFFF"/>
        </w:rPr>
        <w:t>四、主要技术参数及要求：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1、工作方式:手动、自动。呼吸模式：容量控制模式（VCV）（标</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配）、压力控制模式（PCV）（标配）、同步间歇指令模式（SIMV）及压力支持模式（PSV）等。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2、潮气量：容量控制模式（VCV）下，设定范围25—1400ml。</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3、频率：6—60次/分。</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4、吸呼比：3:1—1:6。</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5、吸气流速：10—70L/min。</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6、快速充氧：≥30L/min。</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7、报警功能：潮气量上下限报警、每分钟通气量报警、窒息、</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气道高低压力报警、氧浓度报警、供缺氧、气道高低压力和电源故障报警功能等多种报警功能。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8、监测参数：可持续监测吸入氧浓度、气道压力（峰压、平台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压、平均压、PEEP），分钟通气量、潮气量、呼吸频率、吸呼比和气道阻力等。</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9、监测显示波形：压力波形、容量波形和流速波形等波形。</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10、具备吸入端，呼出端双流量传感器，实现动态潮气量实时</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自动补偿功能，补偿吸入潮气量和设置潮气量之间的误差。</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11、挥发罐：双罐位，单罐，有安全互锁功能，配置同品牌七</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氟烷挥发罐一个。</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12、呼吸回路和重复使用的CO</w:t>
      </w:r>
      <w:r>
        <w:rPr>
          <w:rFonts w:hint="eastAsia" w:cs="黑体" w:asciiTheme="minorEastAsia" w:hAnsiTheme="minorEastAsia"/>
          <w:b/>
          <w:bCs/>
          <w:color w:val="000000"/>
          <w:sz w:val="24"/>
          <w:szCs w:val="24"/>
          <w:shd w:val="clear" w:color="auto" w:fill="FFFFFF"/>
          <w:vertAlign w:val="subscript"/>
        </w:rPr>
        <w:t>2</w:t>
      </w:r>
      <w:r>
        <w:rPr>
          <w:rFonts w:hint="eastAsia" w:cs="黑体" w:asciiTheme="minorEastAsia" w:hAnsiTheme="minorEastAsia"/>
          <w:b/>
          <w:bCs/>
          <w:color w:val="000000"/>
          <w:sz w:val="24"/>
          <w:szCs w:val="24"/>
          <w:shd w:val="clear" w:color="auto" w:fill="FFFFFF"/>
        </w:rPr>
        <w:t>吸收器无需工具可徒手拆装，呼</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吸回路可134℃高温、高压消毒。</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13、流量计：双管氧气、空气。</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14、≥10英寸彩色TFT触摸显示屏，全中文操作界面。</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15、可选配AG（麻醉气体监测）模块。</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16、具备AGSS主动排污装置系统。</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17、输入电压：AC 220V，50HZ，内置备用电池，停电后整机工作时间≥1.5小时。</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18、可升级麻醉深度BIS、呼吸二氧化碳CO2、麻醉气体AG模</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块并可以在同品牌监护仪上通用。</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参数九：    新生儿监护仪主要技术参数及要求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一、设备名称：新生儿监护仪。</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二、数量：1台。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三、设备用途及说明：用于对新生儿人体电（ECG）、呼吸(RESP)、无创血压(NIBP)、血氧饱和度(SpO2)、脉搏(PR)、通道体温(TEMP) 等多项生理参数的持续监护。</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四、主要技术参数及要求：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1、专用于新生儿，插件式监护仪，整机无风扇设计。</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2、≥8.0英寸彩色液晶触摸显示屏，支持中/英文字符输入。</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3、360度报警灯，具有三级声光报警，参数报警级别可调。</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4、配置原厂的新生儿专用附件。</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5、支持3/5导心电测量。 </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6、最多可同屏显示7导ST值参数，具备多导ST波形片段同屏显示功能。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7、具备新生儿实时QT/QTc分析功能。 </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8、具备新生儿的心律失常分析功能，对室颤\室速、停搏、室性心动过缓等新生儿危重心律失常，提供分析与报警。</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9、具备ECG多导同步分析功能，同时分析多个心电导联，个别导联干扰情况下仍能准确监测。</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10、具备显示PI血氧灌注指数、PI过低报警功能。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11、血氧监测具备抗干扰和抗弱灌注性能。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12、标配CCHD新生儿危重先心病筛查临床辅助应用功能。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13、新生儿呼吸测量范围：0--200bpm。</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14、NIBP可选择初始充气压力，提升测量的准确性和患者舒适性</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15、新生儿NIBP测量范围：收缩压:25--140mmHg，舒张压:10--115mmHg。</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16、具备大字体显示界面，呼吸氧合图界面，趋势共存界面，及标准显示界面等多种显示界面。</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17、呼吸氧合图界面支持显示呼吸暂停ABD事件类型，并支持ABD事件回顾和统计。</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18、具备</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120小时趋势图表、</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100个报警和手动事件、</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1000组NIBP测量回顾功能。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19、支持</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100条呼吸氧合事件的数据存储和专门的回顾界面</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20、支持</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48小时全息波形和体征参数的存储与回顾</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21、标配锂电池，支持工作时间</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6小时</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22、ECG、SPO2、NIBP、TEMP参数为抗电击类型等级：CF型。</w:t>
      </w:r>
    </w:p>
    <w:p>
      <w:pPr>
        <w:pStyle w:val="10"/>
        <w:rPr>
          <w:rFonts w:cs="黑体" w:asciiTheme="minorEastAsia" w:hAnsiTheme="minorEastAsia"/>
          <w:b/>
          <w:bCs/>
          <w:color w:val="000000"/>
          <w:sz w:val="24"/>
          <w:szCs w:val="24"/>
          <w:shd w:val="clear" w:color="auto" w:fill="FFFFFF"/>
        </w:rPr>
      </w:pPr>
    </w:p>
    <w:p>
      <w:pPr>
        <w:pStyle w:val="10"/>
        <w:rPr>
          <w:rFonts w:cs="黑体" w:asciiTheme="minorEastAsia" w:hAnsiTheme="minorEastAsia"/>
          <w:b/>
          <w:bCs/>
          <w:color w:val="000000"/>
          <w:sz w:val="24"/>
          <w:szCs w:val="24"/>
          <w:shd w:val="clear" w:color="auto" w:fill="FFFFFF"/>
        </w:rPr>
      </w:pP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参数十：   新生儿抢救台主要技术参数及要求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一、设备名称：新生儿抢救台。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二、数量：1台。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三、设备用途及说明：适用于</w:t>
      </w:r>
      <w:r>
        <w:rPr>
          <w:rFonts w:cs="黑体" w:asciiTheme="minorEastAsia" w:hAnsiTheme="minorEastAsia"/>
          <w:b/>
          <w:bCs/>
          <w:color w:val="000000"/>
          <w:sz w:val="24"/>
          <w:szCs w:val="24"/>
          <w:shd w:val="clear" w:color="auto" w:fill="FFFFFF"/>
        </w:rPr>
        <w:t>新生儿敞开式护理</w:t>
      </w:r>
      <w:r>
        <w:rPr>
          <w:rFonts w:hint="eastAsia" w:cs="黑体" w:asciiTheme="minorEastAsia" w:hAnsiTheme="minorEastAsia"/>
          <w:b/>
          <w:bCs/>
          <w:color w:val="000000"/>
          <w:sz w:val="24"/>
          <w:szCs w:val="24"/>
          <w:shd w:val="clear" w:color="auto" w:fill="FFFFFF"/>
        </w:rPr>
        <w:t>、</w:t>
      </w:r>
      <w:r>
        <w:rPr>
          <w:rFonts w:cs="黑体" w:asciiTheme="minorEastAsia" w:hAnsiTheme="minorEastAsia"/>
          <w:b/>
          <w:bCs/>
          <w:color w:val="000000"/>
          <w:sz w:val="24"/>
          <w:szCs w:val="24"/>
          <w:shd w:val="clear" w:color="auto" w:fill="FFFFFF"/>
        </w:rPr>
        <w:t>抢救</w:t>
      </w:r>
      <w:r>
        <w:rPr>
          <w:rFonts w:hint="eastAsia" w:cs="黑体" w:asciiTheme="minorEastAsia" w:hAnsiTheme="minorEastAsia"/>
          <w:b/>
          <w:bCs/>
          <w:color w:val="000000"/>
          <w:sz w:val="24"/>
          <w:szCs w:val="24"/>
          <w:shd w:val="clear" w:color="auto" w:fill="FFFFFF"/>
        </w:rPr>
        <w:t>及</w:t>
      </w:r>
      <w:r>
        <w:rPr>
          <w:rFonts w:cs="黑体" w:asciiTheme="minorEastAsia" w:hAnsiTheme="minorEastAsia"/>
          <w:b/>
          <w:bCs/>
          <w:color w:val="000000"/>
          <w:sz w:val="24"/>
          <w:szCs w:val="24"/>
          <w:shd w:val="clear" w:color="auto" w:fill="FFFFFF"/>
        </w:rPr>
        <w:t>体温调节。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 xml:space="preserve">四、主要技术参数及要求： </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1、设备组成：辐射箱、控制仪、皮肤温度传感器、婴儿床、托盘、输液架及机架等组成。</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2、使用期限：≥5年。</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3、工作电源：AC  220V，50H</w:t>
      </w:r>
      <w:r>
        <w:rPr>
          <w:rFonts w:hint="eastAsia" w:cs="黑体" w:asciiTheme="minorEastAsia" w:hAnsiTheme="minorEastAsia"/>
          <w:b/>
          <w:bCs/>
          <w:color w:val="000000"/>
          <w:sz w:val="24"/>
          <w:szCs w:val="24"/>
          <w:shd w:val="clear" w:color="auto" w:fill="FFFFFF"/>
          <w:vertAlign w:val="subscript"/>
        </w:rPr>
        <w:t>Z</w:t>
      </w:r>
      <w:r>
        <w:rPr>
          <w:rFonts w:hint="eastAsia" w:cs="黑体" w:asciiTheme="minorEastAsia" w:hAnsiTheme="minorEastAsia"/>
          <w:b/>
          <w:bCs/>
          <w:color w:val="000000"/>
          <w:sz w:val="24"/>
          <w:szCs w:val="24"/>
          <w:shd w:val="clear" w:color="auto" w:fill="FFFFFF"/>
        </w:rPr>
        <w:t>。</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4、肤温控温范围：32℃--37.5℃，皮肤温度传感器精度≤±0.3℃，皮肤温度传感器测得的温度与控制温度之差≤0.5℃；肤温显示范围：5℃--50℃。</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5、床面温度均匀性：≤2℃。</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6、辐射箱水平角度：0°-- 90°，双向转动。</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7、婴儿床倾斜角度：≥3档可调。</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8、基本APGAR评分计时功能。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9、报警功能：超温、偏差、传感器、断电、故障等报警功能。</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10、具备预热、手控和肤温三种温度控制模式。</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参数十一：      睡眠监测仪主要技术参数及要求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一、设备名称：睡眠监测仪。</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二、数量：1台。</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三、设备用途及说明：适用于用于睡眠呼吸障碍诊断前的筛查</w:t>
      </w:r>
      <w:r>
        <w:rPr>
          <w:rFonts w:cs="黑体" w:asciiTheme="minorEastAsia" w:hAnsiTheme="minorEastAsia"/>
          <w:b/>
          <w:bCs/>
          <w:color w:val="000000"/>
          <w:sz w:val="24"/>
          <w:szCs w:val="24"/>
          <w:shd w:val="clear" w:color="auto" w:fill="FFFFFF"/>
        </w:rPr>
        <w:t>。</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四、主要技术参数及要求：</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1、7通道采集通道：鼾声、胸腹呼吸运动、体动等数据。</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2、采用非接触监测。</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3、可记录患者≥12小的睡眠数据，数据存储容量：≥4G 。</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4、报告文件格式：FAT32。</w:t>
      </w:r>
      <w:r>
        <w:rPr>
          <w:rFonts w:hint="eastAsia" w:cs="黑体" w:asciiTheme="minorEastAsia" w:hAnsiTheme="minorEastAsia"/>
          <w:b/>
          <w:bCs/>
          <w:color w:val="000000"/>
          <w:sz w:val="24"/>
          <w:szCs w:val="24"/>
          <w:shd w:val="clear" w:color="auto" w:fill="FFFFFF"/>
        </w:rPr>
        <w:br w:type="textWrapping"/>
      </w:r>
      <w:r>
        <w:rPr>
          <w:rFonts w:hint="eastAsia" w:cs="黑体" w:asciiTheme="minorEastAsia" w:hAnsiTheme="minorEastAsia"/>
          <w:b/>
          <w:bCs/>
          <w:color w:val="000000"/>
          <w:sz w:val="24"/>
          <w:szCs w:val="24"/>
          <w:shd w:val="clear" w:color="auto" w:fill="FFFFFF"/>
        </w:rPr>
        <w:t>5、可直接将患者原始数据和分析数据导出，无需安装专门或设备</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自带睡眠分析软件，在任意电脑上打开患者数据即可进行数据查看和报告打印。</w:t>
      </w:r>
      <w:r>
        <w:rPr>
          <w:rFonts w:hint="eastAsia" w:cs="黑体" w:asciiTheme="minorEastAsia" w:hAnsiTheme="minorEastAsia"/>
          <w:b/>
          <w:bCs/>
          <w:color w:val="000000"/>
          <w:sz w:val="24"/>
          <w:szCs w:val="24"/>
          <w:shd w:val="clear" w:color="auto" w:fill="FFFFFF"/>
        </w:rPr>
        <w:br w:type="textWrapping"/>
      </w:r>
      <w:r>
        <w:rPr>
          <w:rFonts w:hint="eastAsia" w:cs="黑体" w:asciiTheme="minorEastAsia" w:hAnsiTheme="minorEastAsia"/>
          <w:b/>
          <w:bCs/>
          <w:color w:val="000000"/>
          <w:sz w:val="24"/>
          <w:szCs w:val="24"/>
          <w:shd w:val="clear" w:color="auto" w:fill="FFFFFF"/>
        </w:rPr>
        <w:t xml:space="preserve">  6、主机配备无线睡眠呼吸筛查功能，可用于睡眠呼吸连续监测和筛查；可选配心率血氧智能指夹，用于脉率、血氧监测分析报告等。 </w:t>
      </w:r>
      <w:r>
        <w:rPr>
          <w:rFonts w:hint="eastAsia" w:cs="黑体" w:asciiTheme="minorEastAsia" w:hAnsiTheme="minorEastAsia"/>
          <w:b/>
          <w:bCs/>
          <w:color w:val="000000"/>
          <w:sz w:val="24"/>
          <w:szCs w:val="24"/>
          <w:shd w:val="clear" w:color="auto" w:fill="FFFFFF"/>
        </w:rPr>
        <w:br w:type="textWrapping"/>
      </w:r>
      <w:r>
        <w:rPr>
          <w:rFonts w:hint="eastAsia" w:cs="黑体" w:asciiTheme="minorEastAsia" w:hAnsiTheme="minorEastAsia"/>
          <w:b/>
          <w:bCs/>
          <w:color w:val="000000"/>
          <w:sz w:val="24"/>
          <w:szCs w:val="24"/>
          <w:shd w:val="clear" w:color="auto" w:fill="FFFFFF"/>
        </w:rPr>
        <w:t xml:space="preserve">  7、具备多种手工编辑方式：标准编辑、选择编辑、重复编辑、快速编辑、半自动分析，可自定义中文的报告模板。 </w:t>
      </w:r>
      <w:r>
        <w:rPr>
          <w:rFonts w:hint="eastAsia" w:cs="黑体" w:asciiTheme="minorEastAsia" w:hAnsiTheme="minorEastAsia"/>
          <w:b/>
          <w:bCs/>
          <w:color w:val="000000"/>
          <w:sz w:val="24"/>
          <w:szCs w:val="24"/>
          <w:shd w:val="clear" w:color="auto" w:fill="FFFFFF"/>
        </w:rPr>
        <w:br w:type="textWrapping"/>
      </w:r>
      <w:r>
        <w:rPr>
          <w:rFonts w:hint="eastAsia" w:cs="黑体" w:asciiTheme="minorEastAsia" w:hAnsiTheme="minorEastAsia"/>
          <w:b/>
          <w:bCs/>
          <w:color w:val="000000"/>
          <w:sz w:val="24"/>
          <w:szCs w:val="24"/>
          <w:shd w:val="clear" w:color="auto" w:fill="FFFFFF"/>
        </w:rPr>
        <w:t xml:space="preserve">  8、报告可导出PDF格式，进行保存和打印；</w:t>
      </w:r>
      <w:r>
        <w:rPr>
          <w:rFonts w:hint="eastAsia" w:cs="黑体" w:asciiTheme="minorEastAsia" w:hAnsiTheme="minorEastAsia"/>
          <w:b/>
          <w:bCs/>
          <w:color w:val="000000"/>
          <w:sz w:val="24"/>
          <w:szCs w:val="24"/>
          <w:shd w:val="clear" w:color="auto" w:fill="FFFFFF"/>
        </w:rPr>
        <w:br w:type="textWrapping"/>
      </w:r>
      <w:r>
        <w:rPr>
          <w:rFonts w:hint="eastAsia" w:cs="黑体" w:asciiTheme="minorEastAsia" w:hAnsiTheme="minorEastAsia"/>
          <w:b/>
          <w:bCs/>
          <w:color w:val="000000"/>
          <w:sz w:val="24"/>
          <w:szCs w:val="24"/>
          <w:shd w:val="clear" w:color="auto" w:fill="FFFFFF"/>
        </w:rPr>
        <w:t xml:space="preserve">  9、用户数据库管理：可按记录时间、AHI等关键词对病历排序和查找；具备数据压缩存储备份功能。</w:t>
      </w:r>
    </w:p>
    <w:p>
      <w:pPr>
        <w:pStyle w:val="10"/>
        <w:numPr>
          <w:ilvl w:val="0"/>
          <w:numId w:val="9"/>
        </w:numPr>
        <w:tabs>
          <w:tab w:val="clear" w:pos="720"/>
        </w:tabs>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电源：AC 220V，50Hz。</w:t>
      </w: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总体要求</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1</w:t>
      </w:r>
      <w:r>
        <w:rPr>
          <w:rFonts w:hint="eastAsia" w:cs="黑体" w:asciiTheme="minorEastAsia" w:hAnsiTheme="minorEastAsia"/>
          <w:b/>
          <w:bCs/>
          <w:color w:val="000000"/>
          <w:sz w:val="24"/>
          <w:szCs w:val="24"/>
          <w:shd w:val="clear" w:color="auto" w:fill="FFFFFF"/>
        </w:rPr>
        <w:t>、免费培训医师、技师、操作及维修人员，免费负责设备的安装及调试。</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2</w:t>
      </w:r>
      <w:r>
        <w:rPr>
          <w:rFonts w:hint="eastAsia" w:cs="黑体" w:asciiTheme="minorEastAsia" w:hAnsiTheme="minorEastAsia"/>
          <w:b/>
          <w:bCs/>
          <w:color w:val="000000"/>
          <w:sz w:val="24"/>
          <w:szCs w:val="24"/>
          <w:shd w:val="clear" w:color="auto" w:fill="FFFFFF"/>
        </w:rPr>
        <w:t>、公司信誉度高，具有完善的售后服务，设备出现故障</w:t>
      </w:r>
      <w:r>
        <w:rPr>
          <w:rFonts w:cs="黑体" w:asciiTheme="minorEastAsia" w:hAnsiTheme="minorEastAsia"/>
          <w:b/>
          <w:bCs/>
          <w:color w:val="000000"/>
          <w:sz w:val="24"/>
          <w:szCs w:val="24"/>
          <w:shd w:val="clear" w:color="auto" w:fill="FFFFFF"/>
        </w:rPr>
        <w:t xml:space="preserve">, </w:t>
      </w:r>
      <w:r>
        <w:rPr>
          <w:rFonts w:hint="eastAsia" w:cs="黑体" w:asciiTheme="minorEastAsia" w:hAnsiTheme="minorEastAsia"/>
          <w:b/>
          <w:bCs/>
          <w:color w:val="000000"/>
          <w:sz w:val="24"/>
          <w:szCs w:val="24"/>
          <w:shd w:val="clear" w:color="auto" w:fill="FFFFFF"/>
        </w:rPr>
        <w:t>接到通知后</w:t>
      </w:r>
      <w:r>
        <w:rPr>
          <w:rFonts w:cs="黑体" w:asciiTheme="minorEastAsia" w:hAnsiTheme="minorEastAsia"/>
          <w:b/>
          <w:bCs/>
          <w:color w:val="000000"/>
          <w:sz w:val="24"/>
          <w:szCs w:val="24"/>
          <w:shd w:val="clear" w:color="auto" w:fill="FFFFFF"/>
        </w:rPr>
        <w:t>48</w:t>
      </w:r>
      <w:r>
        <w:rPr>
          <w:rFonts w:hint="eastAsia" w:cs="黑体" w:asciiTheme="minorEastAsia" w:hAnsiTheme="minorEastAsia"/>
          <w:b/>
          <w:bCs/>
          <w:color w:val="000000"/>
          <w:sz w:val="24"/>
          <w:szCs w:val="24"/>
          <w:shd w:val="clear" w:color="auto" w:fill="FFFFFF"/>
        </w:rPr>
        <w:t>小时内工程人员应到达现场。</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3</w:t>
      </w:r>
      <w:r>
        <w:rPr>
          <w:rFonts w:hint="eastAsia" w:cs="黑体" w:asciiTheme="minorEastAsia" w:hAnsiTheme="minorEastAsia"/>
          <w:b/>
          <w:bCs/>
          <w:color w:val="000000"/>
          <w:sz w:val="24"/>
          <w:szCs w:val="24"/>
          <w:shd w:val="clear" w:color="auto" w:fill="FFFFFF"/>
        </w:rPr>
        <w:t>、提供设备使用说明书和维修指导说明书。</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4</w:t>
      </w:r>
      <w:r>
        <w:rPr>
          <w:rFonts w:hint="eastAsia" w:cs="黑体" w:asciiTheme="minorEastAsia" w:hAnsiTheme="minorEastAsia"/>
          <w:b/>
          <w:bCs/>
          <w:color w:val="000000"/>
          <w:sz w:val="24"/>
          <w:szCs w:val="24"/>
          <w:shd w:val="clear" w:color="auto" w:fill="FFFFFF"/>
        </w:rPr>
        <w:t>、设备交付正常使用前所发生的所有费用均由公司承担。</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5</w:t>
      </w:r>
      <w:r>
        <w:rPr>
          <w:rFonts w:hint="eastAsia" w:cs="黑体" w:asciiTheme="minorEastAsia" w:hAnsiTheme="minorEastAsia"/>
          <w:b/>
          <w:bCs/>
          <w:color w:val="000000"/>
          <w:sz w:val="24"/>
          <w:szCs w:val="24"/>
          <w:shd w:val="clear" w:color="auto" w:fill="FFFFFF"/>
        </w:rPr>
        <w:t>、整机质保期为1年，在质保期内维修工程师提供至少2次的上门维护保养工作。</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6</w:t>
      </w:r>
      <w:r>
        <w:rPr>
          <w:rFonts w:hint="eastAsia" w:cs="黑体" w:asciiTheme="minorEastAsia" w:hAnsiTheme="minorEastAsia"/>
          <w:b/>
          <w:bCs/>
          <w:color w:val="000000"/>
          <w:sz w:val="24"/>
          <w:szCs w:val="24"/>
          <w:shd w:val="clear" w:color="auto" w:fill="FFFFFF"/>
        </w:rPr>
        <w:t>、付款方式：设备安装验收培训使用合格后，一个月付全款的</w:t>
      </w:r>
      <w:r>
        <w:rPr>
          <w:rFonts w:cs="黑体" w:asciiTheme="minorEastAsia" w:hAnsiTheme="minorEastAsia"/>
          <w:b/>
          <w:bCs/>
          <w:color w:val="000000"/>
          <w:sz w:val="24"/>
          <w:szCs w:val="24"/>
          <w:shd w:val="clear" w:color="auto" w:fill="FFFFFF"/>
        </w:rPr>
        <w:t>70%</w:t>
      </w:r>
      <w:r>
        <w:rPr>
          <w:rFonts w:hint="eastAsia" w:cs="黑体" w:asciiTheme="minorEastAsia" w:hAnsiTheme="minorEastAsia"/>
          <w:b/>
          <w:bCs/>
          <w:color w:val="000000"/>
          <w:sz w:val="24"/>
          <w:szCs w:val="24"/>
          <w:shd w:val="clear" w:color="auto" w:fill="FFFFFF"/>
        </w:rPr>
        <w:t>，剩余</w:t>
      </w:r>
      <w:r>
        <w:rPr>
          <w:rFonts w:cs="黑体" w:asciiTheme="minorEastAsia" w:hAnsiTheme="minorEastAsia"/>
          <w:b/>
          <w:bCs/>
          <w:color w:val="000000"/>
          <w:sz w:val="24"/>
          <w:szCs w:val="24"/>
          <w:shd w:val="clear" w:color="auto" w:fill="FFFFFF"/>
        </w:rPr>
        <w:t>30%</w:t>
      </w:r>
      <w:r>
        <w:rPr>
          <w:rFonts w:hint="eastAsia" w:cs="黑体" w:asciiTheme="minorEastAsia" w:hAnsiTheme="minorEastAsia"/>
          <w:b/>
          <w:bCs/>
          <w:color w:val="000000"/>
          <w:sz w:val="24"/>
          <w:szCs w:val="24"/>
          <w:shd w:val="clear" w:color="auto" w:fill="FFFFFF"/>
        </w:rPr>
        <w:t>满一年付清。</w:t>
      </w:r>
    </w:p>
    <w:p>
      <w:pPr>
        <w:pStyle w:val="10"/>
        <w:rPr>
          <w:rFonts w:cs="黑体" w:asciiTheme="minorEastAsia" w:hAnsiTheme="minorEastAsia"/>
          <w:b/>
          <w:bCs/>
          <w:color w:val="000000"/>
          <w:sz w:val="24"/>
          <w:szCs w:val="24"/>
          <w:shd w:val="clear" w:color="auto" w:fill="FFFFFF"/>
        </w:rPr>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41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4"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41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bCs/>
                <w:szCs w:val="21"/>
              </w:rPr>
              <w:t>禹州市人民医院所需麻醉深度监测仪等医疗设备采购项目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采购编号：YZCG-DL2020</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交付时间：</w:t>
            </w:r>
            <w:r>
              <w:rPr>
                <w:rFonts w:hint="eastAsia"/>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4"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cs="宋体"/>
                <w:color w:val="000000" w:themeColor="text1"/>
                <w:kern w:val="0"/>
                <w:szCs w:val="21"/>
              </w:rPr>
              <w:t>联系电话：0374-6068578</w:t>
            </w:r>
            <w:r>
              <w:rPr>
                <w:rFonts w:hint="eastAsia" w:cs="仿宋_GB2312" w:asciiTheme="minorEastAsia" w:hAnsiTheme="minorEastAsia"/>
                <w:color w:val="00000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联系电话：18637410597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1560000.00元，超出预算金额的响应无效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410"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日</w:t>
            </w:r>
            <w:r>
              <w:rPr>
                <w:rFonts w:hint="eastAsia" w:cs="宋体" w:asciiTheme="minorEastAsia" w:hAnsiTheme="minorEastAsia"/>
                <w:bCs/>
                <w:szCs w:val="21"/>
              </w:rPr>
              <w:t>8</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禹州市公共资源交易中心开标一室（地址：禹州市行政服务中心楼九楼）（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813" w:type="dxa"/>
            <w:tcBorders>
              <w:top w:val="single" w:color="auto" w:sz="4" w:space="0"/>
            </w:tcBorders>
            <w:vAlign w:val="center"/>
          </w:tcPr>
          <w:p>
            <w:pPr>
              <w:pStyle w:val="10"/>
            </w:pPr>
            <w:r>
              <w:rPr>
                <w:rFonts w:hint="eastAsia" w:ascii="宋体" w:hAnsi="宋体" w:cs="宋体"/>
                <w:szCs w:val="21"/>
              </w:rPr>
              <w:t>谈判文件每份售价人民</w:t>
            </w:r>
            <w:r>
              <w:rPr>
                <w:rFonts w:ascii="宋体" w:hAnsi="宋体" w:cs="宋体"/>
                <w:szCs w:val="21"/>
              </w:rPr>
              <w:t>500</w:t>
            </w:r>
            <w:r>
              <w:rPr>
                <w:rFonts w:hint="eastAsia" w:ascii="宋体" w:hAnsi="宋体" w:cs="宋体"/>
                <w:szCs w:val="21"/>
              </w:rPr>
              <w:t>元，售后不退。供应商于开标时在规定时间内转账至支付宝，支付宝账号开标时临时公布。逾期或拒交响应文件费用的，视为放弃投标，响应文件不予解密。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w:t>
            </w:r>
            <w:r>
              <w:rPr>
                <w:rFonts w:hint="eastAsia" w:cs="宋体" w:asciiTheme="minorEastAsia" w:hAnsiTheme="minorEastAsia"/>
                <w:bCs/>
                <w:color w:val="000000"/>
                <w:szCs w:val="21"/>
              </w:rPr>
              <w:t>《中国政府采购网》、《河南省政府采购网》、《全国公共资源交易平台（河南省·许昌市）》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410"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410"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hint="eastAsia" w:ascii="宋体" w:hAnsi="宋体" w:cs="宋体"/>
                <w:szCs w:val="21"/>
                <w:lang w:val="zh-CN"/>
              </w:rPr>
              <w:t>人。纪检监察人员对评审工作实施监督，并签字登记备案、备查，监督人员应切实履行监督责任</w:t>
            </w:r>
            <w:r>
              <w:rPr>
                <w:rFonts w:hint="eastAsia" w:cs="仿宋_GB2312" w:asciiTheme="minorEastAsia" w:hAnsiTheme="minor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cs="宋体"/>
                <w:color w:val="333333"/>
                <w:szCs w:val="21"/>
              </w:rPr>
              <w:t>招标代理服务费由中标人支付，招标代理服务费根据《国家计委〈计价格〔</w:t>
            </w:r>
            <w:r>
              <w:rPr>
                <w:rFonts w:ascii="宋体" w:hAnsi="宋体" w:cs="宋体"/>
                <w:color w:val="333333"/>
                <w:szCs w:val="21"/>
              </w:rPr>
              <w:t>2002</w:t>
            </w:r>
            <w:r>
              <w:rPr>
                <w:rFonts w:hint="eastAsia" w:ascii="宋体" w:hAnsi="宋体" w:cs="宋体"/>
                <w:color w:val="333333"/>
                <w:szCs w:val="21"/>
              </w:rPr>
              <w:t>〕</w:t>
            </w:r>
            <w:r>
              <w:rPr>
                <w:rFonts w:ascii="宋体" w:hAnsi="宋体" w:cs="宋体"/>
                <w:color w:val="333333"/>
                <w:szCs w:val="21"/>
              </w:rPr>
              <w:t>1980</w:t>
            </w:r>
            <w:r>
              <w:rPr>
                <w:rFonts w:hint="eastAsia" w:ascii="宋体" w:hAnsi="宋体" w:cs="宋体"/>
                <w:color w:val="333333"/>
                <w:szCs w:val="21"/>
              </w:rPr>
              <w:t>号〉》及《国家发展改革委办公厅〈发改办价格〔</w:t>
            </w:r>
            <w:r>
              <w:rPr>
                <w:rFonts w:ascii="宋体" w:hAnsi="宋体" w:cs="宋体"/>
                <w:color w:val="333333"/>
                <w:szCs w:val="21"/>
              </w:rPr>
              <w:t>2003</w:t>
            </w:r>
            <w:r>
              <w:rPr>
                <w:rFonts w:hint="eastAsia" w:ascii="宋体" w:hAnsi="宋体" w:cs="宋体"/>
                <w:color w:val="333333"/>
                <w:szCs w:val="21"/>
              </w:rPr>
              <w:t>〕</w:t>
            </w:r>
            <w:r>
              <w:rPr>
                <w:rFonts w:ascii="宋体" w:hAnsi="宋体" w:cs="宋体"/>
                <w:color w:val="333333"/>
                <w:szCs w:val="21"/>
              </w:rPr>
              <w:t>857</w:t>
            </w:r>
            <w:r>
              <w:rPr>
                <w:rFonts w:hint="eastAsia" w:ascii="宋体" w:hAnsi="宋体" w:cs="宋体"/>
                <w:color w:val="333333"/>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pPr>
    </w:p>
    <w:p>
      <w:pPr>
        <w:pStyle w:val="2"/>
      </w:pPr>
    </w:p>
    <w:p>
      <w:pPr>
        <w:pStyle w:val="2"/>
      </w:pPr>
    </w:p>
    <w:p>
      <w:pPr>
        <w:pStyle w:val="2"/>
      </w:pPr>
    </w:p>
    <w:p>
      <w:pPr>
        <w:pStyle w:val="2"/>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7"/>
          <w:rFonts w:cs="宋体" w:asciiTheme="minorEastAsia" w:hAnsiTheme="minorEastAsia"/>
          <w:kern w:val="0"/>
          <w:szCs w:val="21"/>
        </w:rPr>
        <w:t>www.chinanpo.gov.cn</w:t>
      </w:r>
      <w:r>
        <w:rPr>
          <w:rStyle w:val="27"/>
          <w:rFonts w:cs="宋体" w:asciiTheme="minorEastAsia" w:hAnsiTheme="minorEastAsia"/>
          <w:kern w:val="0"/>
          <w:szCs w:val="21"/>
        </w:rPr>
        <w:fldChar w:fldCharType="end"/>
      </w:r>
      <w:r>
        <w:rPr>
          <w:rFonts w:hint="eastAsia" w:cs="宋体" w:asciiTheme="minorEastAsia" w:hAnsiTheme="minorEastAsia"/>
          <w:kern w:val="0"/>
          <w:szCs w:val="21"/>
        </w:rPr>
        <w:t>）；</w:t>
      </w:r>
    </w:p>
    <w:p>
      <w:pPr>
        <w:pStyle w:val="47"/>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2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招标代理服务费由中标人支付，招标代理服务费根据原发改委计价格【2002】1980和发改价格【2011】534号文件之有关规定内容收取。</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bookmarkStart w:id="94" w:name="_GoBack"/>
      <w:bookmarkEnd w:id="94"/>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响应文件应参照谈判文件第八部分（响应文件有关格式）的内容要求、编排顺序和格式要求。</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7"/>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3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autoSpaceDE w:val="0"/>
        <w:autoSpaceDN w:val="0"/>
        <w:spacing w:line="360" w:lineRule="auto"/>
        <w:contextualSpacing/>
        <w:rPr>
          <w:rFonts w:cs="宋体" w:asciiTheme="minorEastAsia" w:hAnsiTheme="minorEastAsia"/>
          <w:kern w:val="0"/>
          <w:szCs w:val="21"/>
        </w:rPr>
      </w:pPr>
    </w:p>
    <w:p>
      <w:pPr>
        <w:pStyle w:val="47"/>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1"/>
          <w:numId w:val="37"/>
        </w:numPr>
        <w:autoSpaceDE w:val="0"/>
        <w:autoSpaceDN w:val="0"/>
        <w:spacing w:line="360" w:lineRule="auto"/>
        <w:ind w:firstLineChars="0"/>
        <w:contextualSpacing/>
        <w:rPr>
          <w:rFonts w:ascii="ˎ̥" w:hAnsi="ˎ̥"/>
          <w:vanish/>
        </w:rPr>
      </w:pPr>
    </w:p>
    <w:p>
      <w:pPr>
        <w:pStyle w:val="47"/>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9"/>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9"/>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9"/>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41"/>
        </w:numPr>
        <w:spacing w:line="360" w:lineRule="auto"/>
        <w:ind w:hanging="964" w:firstLineChars="0"/>
        <w:rPr>
          <w:rFonts w:cs="宋体" w:asciiTheme="minorEastAsia" w:hAnsiTheme="minorEastAsia"/>
          <w:kern w:val="0"/>
          <w:szCs w:val="21"/>
        </w:rPr>
      </w:pPr>
      <w:r>
        <w:rPr>
          <w:rFonts w:hint="eastAsia" w:cs="宋体" w:asciiTheme="minorEastAsia" w:hAnsiTheme="minorEastAsia"/>
          <w:kern w:val="0"/>
          <w:szCs w:val="21"/>
        </w:rPr>
        <w:t>资格审查：</w:t>
      </w:r>
      <w:r>
        <w:rPr>
          <w:rFonts w:hint="eastAsia" w:cs="宋体" w:asciiTheme="minorEastAsia" w:hAnsiTheme="minorEastAsia"/>
          <w:bCs/>
          <w:kern w:val="0"/>
          <w:szCs w:val="21"/>
        </w:rPr>
        <w:t>开标结束后，采购人依法对投标人的资格进行审查。</w:t>
      </w:r>
      <w:r>
        <w:rPr>
          <w:rFonts w:hint="eastAsia" w:cs="宋体" w:asciiTheme="minorEastAsia" w:hAnsiTheme="minorEastAsia"/>
          <w:kern w:val="0"/>
          <w:szCs w:val="21"/>
        </w:rPr>
        <w:t>合格投标人不足</w:t>
      </w:r>
      <w:r>
        <w:rPr>
          <w:rFonts w:cs="宋体" w:asciiTheme="minorEastAsia" w:hAnsiTheme="minorEastAsia"/>
          <w:kern w:val="0"/>
          <w:szCs w:val="21"/>
        </w:rPr>
        <w:t>3</w:t>
      </w:r>
      <w:r>
        <w:rPr>
          <w:rFonts w:hint="eastAsia" w:cs="宋体" w:asciiTheme="minorEastAsia" w:hAnsiTheme="minorEastAsia"/>
          <w:kern w:val="0"/>
          <w:szCs w:val="21"/>
        </w:rPr>
        <w:t>家的，不得评标。</w:t>
      </w: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17"/>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17"/>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7"/>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7"/>
        <w:numPr>
          <w:ilvl w:val="0"/>
          <w:numId w:val="4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4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4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4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7"/>
        <w:numPr>
          <w:ilvl w:val="0"/>
          <w:numId w:val="4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8"/>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8"/>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8"/>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8"/>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43"/>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5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5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5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5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5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widowControl/>
              <w:numPr>
                <w:ilvl w:val="0"/>
                <w:numId w:val="59"/>
              </w:numPr>
              <w:shd w:val="clear" w:color="auto" w:fill="FFFFFF"/>
              <w:spacing w:line="276" w:lineRule="auto"/>
              <w:ind w:left="709" w:hanging="709"/>
              <w:rPr>
                <w:rFonts w:ascii="宋体" w:hAnsi="宋体" w:cs="宋体"/>
                <w:szCs w:val="21"/>
              </w:rPr>
            </w:pPr>
            <w:r>
              <w:rPr>
                <w:rFonts w:hint="eastAsia" w:ascii="宋体" w:hAnsi="宋体" w:cs="宋体"/>
                <w:szCs w:val="21"/>
              </w:rPr>
              <w:t>符合《政府采购法》第二十二条之规定，具有独立法人资格及相应的经营范围（以营业执照为准）；</w:t>
            </w:r>
          </w:p>
          <w:p>
            <w:pPr>
              <w:spacing w:line="360" w:lineRule="auto"/>
              <w:rPr>
                <w:rFonts w:asciiTheme="minorEastAsia" w:hAnsiTheme="minorEastAsia"/>
                <w:b/>
                <w:bCs/>
                <w:szCs w:val="21"/>
              </w:rPr>
            </w:pPr>
            <w:r>
              <w:rPr>
                <w:rFonts w:hint="eastAsia" w:ascii="宋体" w:hAnsi="宋体" w:cs="宋体"/>
                <w:szCs w:val="21"/>
              </w:rPr>
              <w:t>2、投标人须具有《医疗器械生产许可证》或《医疗器械经营许可证》；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after="156" w:line="500" w:lineRule="exact"/>
        <w:rPr>
          <w:rFonts w:ascii="仿宋" w:hAnsi="仿宋" w:eastAsia="仿宋"/>
          <w:szCs w:val="24"/>
        </w:rPr>
      </w:pPr>
      <w:bookmarkStart w:id="3" w:name="_Toc364457259"/>
      <w:bookmarkStart w:id="4" w:name="_Toc326060505"/>
      <w:bookmarkStart w:id="5" w:name="_Toc354404029"/>
      <w:bookmarkStart w:id="6" w:name="_Toc355649942"/>
      <w:bookmarkStart w:id="7" w:name="_Toc354923119"/>
      <w:bookmarkStart w:id="8" w:name="_Toc356744034"/>
      <w:bookmarkStart w:id="9" w:name="_Toc357868214"/>
      <w:bookmarkStart w:id="10" w:name="_Toc354922980"/>
      <w:bookmarkStart w:id="11" w:name="_Toc329278149"/>
      <w:r>
        <w:rPr>
          <w:rFonts w:hint="eastAsia" w:ascii="仿宋" w:hAnsi="仿宋" w:eastAsia="仿宋"/>
          <w:szCs w:val="24"/>
        </w:rPr>
        <w:t>一、词语定义及合同文件</w:t>
      </w:r>
      <w:bookmarkEnd w:id="3"/>
      <w:bookmarkEnd w:id="4"/>
      <w:bookmarkEnd w:id="5"/>
      <w:bookmarkEnd w:id="6"/>
      <w:bookmarkEnd w:id="7"/>
      <w:bookmarkEnd w:id="8"/>
      <w:bookmarkEnd w:id="9"/>
      <w:bookmarkEnd w:id="10"/>
      <w:bookmarkEnd w:id="11"/>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6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6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6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6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5"/>
        <w:spacing w:after="156" w:line="500" w:lineRule="exact"/>
        <w:rPr>
          <w:rFonts w:cs="宋体" w:asciiTheme="minorEastAsia" w:hAnsiTheme="minorEastAsia" w:eastAsiaTheme="minorEastAsia"/>
          <w:sz w:val="21"/>
          <w:szCs w:val="21"/>
          <w:lang w:val="en-US"/>
        </w:rPr>
      </w:pPr>
      <w:bookmarkStart w:id="12" w:name="_Toc364457260"/>
      <w:bookmarkStart w:id="13" w:name="_Toc354923120"/>
      <w:bookmarkStart w:id="14" w:name="_Toc355649943"/>
      <w:bookmarkStart w:id="15" w:name="_Toc356744035"/>
      <w:bookmarkStart w:id="16" w:name="_Toc354404030"/>
      <w:bookmarkStart w:id="17" w:name="_Toc329278150"/>
      <w:bookmarkStart w:id="18" w:name="_Toc326060506"/>
      <w:bookmarkStart w:id="19" w:name="_Toc357868215"/>
      <w:bookmarkStart w:id="20" w:name="_Toc354922981"/>
      <w:r>
        <w:rPr>
          <w:rFonts w:hint="eastAsia" w:cs="宋体" w:asciiTheme="minorEastAsia" w:hAnsiTheme="minorEastAsia" w:eastAsiaTheme="minorEastAsia"/>
          <w:sz w:val="21"/>
          <w:szCs w:val="21"/>
          <w:lang w:val="en-US"/>
        </w:rPr>
        <w:t>二、双方一般权利和义务</w:t>
      </w:r>
      <w:bookmarkEnd w:id="12"/>
      <w:bookmarkEnd w:id="13"/>
      <w:bookmarkEnd w:id="14"/>
      <w:bookmarkEnd w:id="15"/>
      <w:bookmarkEnd w:id="16"/>
      <w:bookmarkEnd w:id="17"/>
      <w:bookmarkEnd w:id="18"/>
      <w:bookmarkEnd w:id="19"/>
      <w:bookmarkEnd w:id="20"/>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58"/>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6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6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6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6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6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6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6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5"/>
        <w:spacing w:after="156" w:line="500" w:lineRule="exact"/>
        <w:rPr>
          <w:rFonts w:cs="宋体" w:asciiTheme="minorEastAsia" w:hAnsiTheme="minorEastAsia" w:eastAsiaTheme="minorEastAsia"/>
          <w:sz w:val="21"/>
          <w:szCs w:val="21"/>
          <w:lang w:val="en-US"/>
        </w:rPr>
      </w:pPr>
      <w:bookmarkStart w:id="21" w:name="_Toc354923121"/>
      <w:bookmarkStart w:id="22" w:name="_Toc357868216"/>
      <w:bookmarkStart w:id="23" w:name="_Toc326060507"/>
      <w:bookmarkStart w:id="24" w:name="_Toc354404031"/>
      <w:bookmarkStart w:id="25" w:name="_Toc354922982"/>
      <w:bookmarkStart w:id="26" w:name="_Toc355649944"/>
      <w:bookmarkStart w:id="27" w:name="_Toc364457261"/>
      <w:bookmarkStart w:id="28" w:name="_Toc356744036"/>
      <w:bookmarkStart w:id="29" w:name="_Toc329278151"/>
      <w:r>
        <w:rPr>
          <w:rFonts w:hint="eastAsia" w:cs="宋体" w:asciiTheme="minorEastAsia" w:hAnsiTheme="minorEastAsia" w:eastAsiaTheme="minorEastAsia"/>
          <w:sz w:val="21"/>
          <w:szCs w:val="21"/>
          <w:lang w:val="en-US"/>
        </w:rPr>
        <w:t>三、施工组织设计和工期</w:t>
      </w:r>
      <w:bookmarkEnd w:id="21"/>
      <w:bookmarkEnd w:id="22"/>
      <w:bookmarkEnd w:id="23"/>
      <w:bookmarkEnd w:id="24"/>
      <w:bookmarkEnd w:id="25"/>
      <w:bookmarkEnd w:id="26"/>
      <w:bookmarkEnd w:id="27"/>
      <w:bookmarkEnd w:id="28"/>
      <w:bookmarkEnd w:id="29"/>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5"/>
        <w:spacing w:after="156" w:line="500" w:lineRule="exact"/>
        <w:rPr>
          <w:rFonts w:cs="宋体" w:asciiTheme="minorEastAsia" w:hAnsiTheme="minorEastAsia" w:eastAsiaTheme="minorEastAsia"/>
          <w:sz w:val="21"/>
          <w:szCs w:val="21"/>
          <w:lang w:val="en-US"/>
        </w:rPr>
      </w:pPr>
      <w:bookmarkStart w:id="30" w:name="_Toc355649945"/>
      <w:bookmarkStart w:id="31" w:name="_Toc356744037"/>
      <w:bookmarkStart w:id="32" w:name="_Toc364457262"/>
      <w:bookmarkStart w:id="33" w:name="_Toc326060508"/>
      <w:bookmarkStart w:id="34" w:name="_Toc357868217"/>
      <w:bookmarkStart w:id="35" w:name="_Toc354404032"/>
      <w:bookmarkStart w:id="36" w:name="_Toc329278152"/>
      <w:bookmarkStart w:id="37" w:name="_Toc354922983"/>
      <w:bookmarkStart w:id="38" w:name="_Toc354923122"/>
      <w:r>
        <w:rPr>
          <w:rFonts w:hint="eastAsia" w:cs="宋体" w:asciiTheme="minorEastAsia" w:hAnsiTheme="minorEastAsia" w:eastAsiaTheme="minorEastAsia"/>
          <w:sz w:val="21"/>
          <w:szCs w:val="21"/>
          <w:lang w:val="en-US"/>
        </w:rPr>
        <w:t>四、质量与验收</w:t>
      </w:r>
      <w:bookmarkEnd w:id="30"/>
      <w:bookmarkEnd w:id="31"/>
      <w:bookmarkEnd w:id="32"/>
      <w:bookmarkEnd w:id="33"/>
      <w:bookmarkEnd w:id="34"/>
      <w:bookmarkEnd w:id="35"/>
      <w:bookmarkEnd w:id="36"/>
      <w:bookmarkEnd w:id="37"/>
      <w:bookmarkEnd w:id="38"/>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62"/>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5"/>
        <w:spacing w:after="156" w:line="500" w:lineRule="exact"/>
        <w:rPr>
          <w:rFonts w:cs="宋体" w:asciiTheme="minorEastAsia" w:hAnsiTheme="minorEastAsia" w:eastAsiaTheme="minorEastAsia"/>
          <w:sz w:val="21"/>
          <w:szCs w:val="21"/>
          <w:lang w:val="en-US"/>
        </w:rPr>
      </w:pPr>
      <w:bookmarkStart w:id="39" w:name="_Toc364457263"/>
      <w:bookmarkStart w:id="40" w:name="_Toc355649946"/>
      <w:bookmarkStart w:id="41" w:name="_Toc354923123"/>
      <w:bookmarkStart w:id="42" w:name="_Toc329278153"/>
      <w:bookmarkStart w:id="43" w:name="_Toc356744038"/>
      <w:bookmarkStart w:id="44" w:name="_Toc354404033"/>
      <w:bookmarkStart w:id="45" w:name="_Toc357868218"/>
      <w:bookmarkStart w:id="46" w:name="_Toc326060509"/>
      <w:bookmarkStart w:id="47" w:name="_Toc354922984"/>
      <w:r>
        <w:rPr>
          <w:rFonts w:hint="eastAsia" w:cs="宋体" w:asciiTheme="minorEastAsia" w:hAnsiTheme="minorEastAsia" w:eastAsiaTheme="minorEastAsia"/>
          <w:sz w:val="21"/>
          <w:szCs w:val="21"/>
          <w:lang w:val="en-US"/>
        </w:rPr>
        <w:t>五、安全施工</w:t>
      </w:r>
      <w:bookmarkEnd w:id="39"/>
      <w:bookmarkEnd w:id="40"/>
      <w:bookmarkEnd w:id="41"/>
      <w:bookmarkEnd w:id="42"/>
      <w:bookmarkEnd w:id="43"/>
      <w:bookmarkEnd w:id="44"/>
      <w:bookmarkEnd w:id="45"/>
      <w:bookmarkEnd w:id="46"/>
      <w:bookmarkEnd w:id="47"/>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5"/>
        <w:spacing w:after="156" w:line="500" w:lineRule="exact"/>
        <w:rPr>
          <w:rFonts w:cs="宋体" w:asciiTheme="minorEastAsia" w:hAnsiTheme="minorEastAsia" w:eastAsiaTheme="minorEastAsia"/>
          <w:sz w:val="21"/>
          <w:szCs w:val="21"/>
          <w:lang w:val="en-US"/>
        </w:rPr>
      </w:pPr>
      <w:bookmarkStart w:id="48" w:name="_Toc355649947"/>
      <w:bookmarkStart w:id="49" w:name="_Toc354923124"/>
      <w:bookmarkStart w:id="50" w:name="_Toc326060510"/>
      <w:bookmarkStart w:id="51" w:name="_Toc356744039"/>
      <w:bookmarkStart w:id="52" w:name="_Toc354922985"/>
      <w:bookmarkStart w:id="53" w:name="_Toc364457264"/>
      <w:bookmarkStart w:id="54" w:name="_Toc354404034"/>
      <w:bookmarkStart w:id="55" w:name="_Toc329278154"/>
      <w:bookmarkStart w:id="56" w:name="_Toc357868219"/>
      <w:r>
        <w:rPr>
          <w:rFonts w:hint="eastAsia" w:cs="宋体" w:asciiTheme="minorEastAsia" w:hAnsiTheme="minorEastAsia" w:eastAsiaTheme="minorEastAsia"/>
          <w:sz w:val="21"/>
          <w:szCs w:val="21"/>
          <w:lang w:val="en-US"/>
        </w:rPr>
        <w:t>六、合同价款与支付</w:t>
      </w:r>
      <w:bookmarkEnd w:id="48"/>
      <w:bookmarkEnd w:id="49"/>
      <w:bookmarkEnd w:id="50"/>
      <w:bookmarkEnd w:id="51"/>
      <w:bookmarkEnd w:id="52"/>
      <w:bookmarkEnd w:id="53"/>
      <w:bookmarkEnd w:id="54"/>
      <w:bookmarkEnd w:id="55"/>
      <w:bookmarkEnd w:id="5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6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6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6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6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64"/>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64"/>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64"/>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59"/>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5"/>
        <w:spacing w:after="156" w:line="500" w:lineRule="exact"/>
        <w:rPr>
          <w:rFonts w:cs="宋体" w:asciiTheme="minorEastAsia" w:hAnsiTheme="minorEastAsia" w:eastAsiaTheme="minorEastAsia"/>
          <w:sz w:val="21"/>
          <w:szCs w:val="21"/>
          <w:lang w:val="en-US"/>
        </w:rPr>
      </w:pPr>
      <w:bookmarkStart w:id="57" w:name="_Toc329278155"/>
      <w:bookmarkStart w:id="58" w:name="_Toc364457265"/>
      <w:bookmarkStart w:id="59" w:name="_Toc354404035"/>
      <w:bookmarkStart w:id="60" w:name="_Toc356744040"/>
      <w:bookmarkStart w:id="61" w:name="_Toc354922986"/>
      <w:bookmarkStart w:id="62" w:name="_Toc354923125"/>
      <w:bookmarkStart w:id="63" w:name="_Toc326060511"/>
      <w:bookmarkStart w:id="64" w:name="_Toc355649948"/>
      <w:bookmarkStart w:id="65" w:name="_Toc357868220"/>
      <w:r>
        <w:rPr>
          <w:rFonts w:hint="eastAsia" w:cs="宋体" w:asciiTheme="minorEastAsia" w:hAnsiTheme="minorEastAsia" w:eastAsiaTheme="minorEastAsia"/>
          <w:sz w:val="21"/>
          <w:szCs w:val="21"/>
          <w:lang w:val="en-US"/>
        </w:rPr>
        <w:t>七、竣工验收与结算</w:t>
      </w:r>
      <w:bookmarkEnd w:id="57"/>
      <w:bookmarkEnd w:id="58"/>
      <w:bookmarkEnd w:id="59"/>
      <w:bookmarkEnd w:id="60"/>
      <w:bookmarkEnd w:id="61"/>
      <w:bookmarkEnd w:id="62"/>
      <w:bookmarkEnd w:id="63"/>
      <w:bookmarkEnd w:id="64"/>
      <w:bookmarkEnd w:id="6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5"/>
        <w:spacing w:after="156" w:line="500" w:lineRule="exact"/>
        <w:rPr>
          <w:rFonts w:cs="宋体" w:asciiTheme="minorEastAsia" w:hAnsiTheme="minorEastAsia" w:eastAsiaTheme="minorEastAsia"/>
          <w:sz w:val="21"/>
          <w:szCs w:val="21"/>
          <w:lang w:val="en-US"/>
        </w:rPr>
      </w:pPr>
      <w:bookmarkStart w:id="66" w:name="_Toc357868221"/>
      <w:bookmarkStart w:id="67" w:name="_Toc355649949"/>
      <w:bookmarkStart w:id="68" w:name="_Toc354404036"/>
      <w:bookmarkStart w:id="69" w:name="_Toc356744041"/>
      <w:bookmarkStart w:id="70" w:name="_Toc354923126"/>
      <w:bookmarkStart w:id="71" w:name="_Toc364457266"/>
      <w:bookmarkStart w:id="72" w:name="_Toc354922987"/>
      <w:bookmarkStart w:id="73" w:name="_Toc329278156"/>
      <w:bookmarkStart w:id="74" w:name="_Toc326060512"/>
      <w:r>
        <w:rPr>
          <w:rFonts w:hint="eastAsia" w:cs="宋体" w:asciiTheme="minorEastAsia" w:hAnsiTheme="minorEastAsia" w:eastAsiaTheme="minorEastAsia"/>
          <w:sz w:val="21"/>
          <w:szCs w:val="21"/>
          <w:lang w:val="en-US"/>
        </w:rPr>
        <w:t>八、违约、索赔和争议</w:t>
      </w:r>
      <w:bookmarkEnd w:id="66"/>
      <w:bookmarkEnd w:id="67"/>
      <w:bookmarkEnd w:id="68"/>
      <w:bookmarkEnd w:id="69"/>
      <w:bookmarkEnd w:id="70"/>
      <w:bookmarkEnd w:id="71"/>
      <w:bookmarkEnd w:id="72"/>
      <w:bookmarkEnd w:id="73"/>
      <w:bookmarkEnd w:id="74"/>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65"/>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65"/>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5"/>
        <w:spacing w:after="156" w:line="500" w:lineRule="exact"/>
        <w:rPr>
          <w:rFonts w:cs="宋体" w:asciiTheme="minorEastAsia" w:hAnsiTheme="minorEastAsia" w:eastAsiaTheme="minorEastAsia"/>
          <w:sz w:val="21"/>
          <w:szCs w:val="21"/>
          <w:lang w:val="en-US"/>
        </w:rPr>
      </w:pPr>
      <w:bookmarkStart w:id="75" w:name="_Toc354922988"/>
      <w:bookmarkStart w:id="76" w:name="_Toc354404037"/>
      <w:bookmarkStart w:id="77" w:name="_Toc326060513"/>
      <w:bookmarkStart w:id="78" w:name="_Toc356744042"/>
      <w:bookmarkStart w:id="79" w:name="_Toc357868222"/>
      <w:bookmarkStart w:id="80" w:name="_Toc364457267"/>
      <w:bookmarkStart w:id="81" w:name="_Toc354923127"/>
      <w:bookmarkStart w:id="82" w:name="_Toc355649950"/>
      <w:bookmarkStart w:id="83" w:name="_Toc329278157"/>
      <w:r>
        <w:rPr>
          <w:rFonts w:hint="eastAsia" w:cs="宋体" w:asciiTheme="minorEastAsia" w:hAnsiTheme="minorEastAsia" w:eastAsiaTheme="minorEastAsia"/>
          <w:sz w:val="21"/>
          <w:szCs w:val="21"/>
          <w:lang w:val="en-US"/>
        </w:rPr>
        <w:t>九、其他</w:t>
      </w:r>
      <w:bookmarkEnd w:id="75"/>
      <w:bookmarkEnd w:id="76"/>
      <w:bookmarkEnd w:id="77"/>
      <w:bookmarkEnd w:id="78"/>
      <w:bookmarkEnd w:id="79"/>
      <w:bookmarkEnd w:id="80"/>
      <w:bookmarkEnd w:id="81"/>
      <w:bookmarkEnd w:id="82"/>
      <w:bookmarkEnd w:id="8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bookmarkStart w:id="84" w:name="_Toc20663_WPSOffice_Level1"/>
      <w:bookmarkStart w:id="85" w:name="_Toc32729_WPSOffice_Level1"/>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cs="黑体"/>
          <w:b/>
          <w:color w:val="000000"/>
          <w:kern w:val="0"/>
          <w:sz w:val="28"/>
          <w:szCs w:val="28"/>
        </w:rPr>
      </w:pPr>
      <w:r>
        <w:rPr>
          <w:rFonts w:hint="eastAsia" w:ascii="宋体" w:hAnsi="宋体" w:cs="黑体"/>
          <w:b/>
          <w:color w:val="000000"/>
          <w:kern w:val="0"/>
          <w:sz w:val="28"/>
          <w:szCs w:val="28"/>
        </w:rPr>
        <w:t>注：</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1.以下的响应文件格式为通用的格式，供应商在制作投标文件时应以谈判文件内容要求为准，选择相应的响应文件格式。</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2.没有给定格式的，供应商可以自行设计。</w:t>
      </w:r>
    </w:p>
    <w:bookmarkEnd w:id="84"/>
    <w:bookmarkEnd w:id="85"/>
    <w:p>
      <w:pPr>
        <w:spacing w:after="120"/>
        <w:ind w:left="63" w:right="63" w:firstLine="240" w:firstLineChars="100"/>
        <w:rPr>
          <w:rFonts w:ascii="宋体" w:hAnsi="宋体" w:cs="宋体"/>
          <w:kern w:val="0"/>
          <w:sz w:val="24"/>
          <w:szCs w:val="20"/>
        </w:rPr>
      </w:pPr>
    </w:p>
    <w:p>
      <w:pPr>
        <w:spacing w:line="480" w:lineRule="auto"/>
        <w:rPr>
          <w:rFonts w:ascii="宋体" w:hAnsi="宋体" w:cs="宋体"/>
          <w:sz w:val="24"/>
        </w:rPr>
      </w:pPr>
      <w:r>
        <w:rPr>
          <w:rFonts w:hint="eastAsia" w:ascii="宋体" w:hAnsi="宋体" w:cs="宋体"/>
          <w:sz w:val="36"/>
          <w:szCs w:val="36"/>
          <w:u w:val="single"/>
        </w:rPr>
        <w:t xml:space="preserve">                   （项目名称、标段）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竞争性谈判文件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bookmarkStart w:id="86" w:name="_Toc7428_WPSOffice_Level1"/>
      <w:bookmarkStart w:id="87" w:name="_Toc27760_WPSOffice_Level1"/>
      <w:r>
        <w:rPr>
          <w:rFonts w:hint="eastAsia" w:ascii="宋体" w:hAnsi="宋体" w:cs="宋体"/>
          <w:sz w:val="28"/>
          <w:szCs w:val="28"/>
        </w:rPr>
        <w:t>供应商：（全称并加盖公章）</w:t>
      </w:r>
      <w:bookmarkEnd w:id="86"/>
      <w:bookmarkEnd w:id="87"/>
    </w:p>
    <w:p>
      <w:pPr>
        <w:spacing w:line="480" w:lineRule="auto"/>
        <w:rPr>
          <w:rFonts w:ascii="宋体" w:hAnsi="宋体" w:cs="宋体"/>
          <w:b/>
          <w:bCs/>
          <w:sz w:val="28"/>
          <w:szCs w:val="28"/>
        </w:rPr>
      </w:pPr>
      <w:bookmarkStart w:id="88" w:name="_Toc4840_WPSOffice_Level1"/>
      <w:bookmarkStart w:id="89" w:name="_Toc28157_WPSOffice_Level1"/>
      <w:r>
        <w:rPr>
          <w:rFonts w:hint="eastAsia" w:ascii="宋体" w:hAnsi="宋体" w:cs="宋体"/>
          <w:sz w:val="28"/>
          <w:szCs w:val="28"/>
        </w:rPr>
        <w:t>法定代表人或委托代理人（签字）：</w:t>
      </w:r>
      <w:bookmarkEnd w:id="88"/>
      <w:bookmarkEnd w:id="89"/>
    </w:p>
    <w:p>
      <w:pPr>
        <w:spacing w:line="480" w:lineRule="auto"/>
        <w:rPr>
          <w:rFonts w:ascii="宋体" w:hAnsi="宋体" w:cs="宋体"/>
          <w:sz w:val="24"/>
        </w:rPr>
      </w:pPr>
      <w:bookmarkStart w:id="90" w:name="_Toc2311_WPSOffice_Level1"/>
      <w:bookmarkStart w:id="91" w:name="_Toc15640_WPSOffice_Level1"/>
      <w:r>
        <w:rPr>
          <w:rFonts w:hint="eastAsia" w:ascii="宋体" w:hAnsi="宋体" w:cs="宋体"/>
          <w:sz w:val="28"/>
          <w:szCs w:val="28"/>
        </w:rPr>
        <w:t>日    期：年 月 日</w:t>
      </w:r>
      <w:bookmarkEnd w:id="90"/>
      <w:bookmarkEnd w:id="91"/>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r>
        <w:rPr>
          <w:rFonts w:hint="eastAsia" w:ascii="宋体" w:hAnsi="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一、供应商应答索引表</w:t>
      </w: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二、报价一览表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五、其他资料（若有）</w:t>
      </w:r>
    </w:p>
    <w:p>
      <w:pPr>
        <w:autoSpaceDE w:val="0"/>
        <w:autoSpaceDN w:val="0"/>
        <w:adjustRightInd w:val="0"/>
        <w:spacing w:line="700" w:lineRule="exact"/>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r>
              <w:rPr>
                <w:rFonts w:hint="eastAsia" w:ascii="宋体" w:hAnsi="宋体" w:cs="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4"/>
        <w:spacing w:line="360" w:lineRule="auto"/>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cs="宋体"/>
          <w:color w:val="000000"/>
          <w:szCs w:val="21"/>
        </w:rPr>
        <w:t>本企业郑重承诺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276" w:lineRule="auto"/>
        <w:jc w:val="center"/>
        <w:rPr>
          <w:rFonts w:ascii="宋体" w:cs="宋体"/>
          <w:b/>
          <w:snapToGrid w:val="0"/>
          <w:kern w:val="0"/>
          <w:sz w:val="36"/>
          <w:szCs w:val="36"/>
        </w:rPr>
      </w:pPr>
      <w:r>
        <w:rPr>
          <w:rFonts w:hint="eastAsia" w:ascii="宋体" w:hAnsi="宋体" w:cs="宋体"/>
          <w:b/>
          <w:bCs/>
          <w:sz w:val="28"/>
          <w:szCs w:val="28"/>
          <w:lang w:val="zh-CN"/>
        </w:rPr>
        <w:t>四、符合性审查证明材料</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hint="eastAsia" w:ascii="宋体" w:hAnsi="宋体" w:cs="宋体"/>
          <w:b/>
          <w:bCs/>
          <w:color w:val="000000"/>
          <w:sz w:val="24"/>
          <w:szCs w:val="24"/>
        </w:rPr>
        <w:t>投标分项报价表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技术</w:t>
            </w:r>
          </w:p>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产地及</w:t>
            </w:r>
          </w:p>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105" w:firstLineChars="50"/>
              <w:rPr>
                <w:rFonts w:ascii="宋体" w:cs="宋体"/>
                <w:szCs w:val="21"/>
                <w:lang w:val="zh-CN"/>
              </w:rPr>
            </w:pPr>
            <w:r>
              <w:rPr>
                <w:rFonts w:hint="eastAsia" w:ascii="宋体" w:hAnsi="宋体" w:cs="宋体"/>
                <w:szCs w:val="21"/>
                <w:lang w:val="zh-CN"/>
              </w:rPr>
              <w:t>大写：　　　　　　小写：</w:t>
            </w: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 w:val="24"/>
          <w:szCs w:val="24"/>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spacing w:line="276" w:lineRule="auto"/>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4.2 </w:t>
      </w:r>
      <w:r>
        <w:rPr>
          <w:rFonts w:hint="eastAsia" w:ascii="宋体" w:hAnsi="宋体" w:cs="宋体"/>
          <w:b/>
          <w:bCs/>
          <w:color w:val="000000"/>
          <w:sz w:val="24"/>
          <w:szCs w:val="24"/>
        </w:rPr>
        <w:t>技术规格偏离表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w:t>
            </w:r>
          </w:p>
          <w:p>
            <w:pPr>
              <w:spacing w:line="276" w:lineRule="auto"/>
              <w:jc w:val="center"/>
              <w:rPr>
                <w:rFonts w:ascii="宋体" w:cs="宋体"/>
                <w:b/>
                <w:bCs/>
                <w:szCs w:val="21"/>
              </w:rPr>
            </w:pPr>
            <w:r>
              <w:rPr>
                <w:rFonts w:hint="eastAsia" w:ascii="宋体" w:hAnsi="宋体" w:cs="宋体"/>
                <w:b/>
                <w:bCs/>
                <w:szCs w:val="21"/>
              </w:rPr>
              <w:t>（无偏离</w:t>
            </w:r>
            <w:r>
              <w:rPr>
                <w:rFonts w:ascii="宋体" w:hAnsi="宋体" w:cs="宋体"/>
                <w:b/>
                <w:bCs/>
                <w:szCs w:val="21"/>
              </w:rPr>
              <w:t>/</w:t>
            </w:r>
            <w:r>
              <w:rPr>
                <w:rFonts w:hint="eastAsia" w:ascii="宋体" w:hAnsi="宋体" w:cs="宋体"/>
                <w:b/>
                <w:bCs/>
                <w:szCs w:val="21"/>
              </w:rPr>
              <w:t>正偏离</w:t>
            </w:r>
            <w:r>
              <w:rPr>
                <w:rFonts w:ascii="宋体" w:hAnsi="宋体" w:cs="宋体"/>
                <w:b/>
                <w:bCs/>
                <w:szCs w:val="21"/>
              </w:rPr>
              <w:t>/</w:t>
            </w:r>
            <w:r>
              <w:rPr>
                <w:rFonts w:hint="eastAsia" w:ascii="宋体" w:hAnsi="宋体" w:cs="宋体"/>
                <w:b/>
                <w:bCs/>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Cs/>
                <w:szCs w:val="21"/>
              </w:rPr>
            </w:pPr>
            <w:r>
              <w:rPr>
                <w:rFonts w:hint="eastAsia" w:ascii="宋体" w:hAnsi="宋体" w:cs="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hint="eastAsia" w:ascii="宋体" w:hAnsi="宋体" w:cs="宋体"/>
          <w:b/>
          <w:bCs/>
          <w:color w:val="000000"/>
          <w:sz w:val="24"/>
          <w:szCs w:val="24"/>
        </w:rPr>
        <w:t>技术方案（实施方案）</w:t>
      </w: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pStyle w:val="7"/>
      </w:pPr>
    </w:p>
    <w:p>
      <w:pPr>
        <w:pStyle w:val="7"/>
      </w:pPr>
    </w:p>
    <w:p>
      <w:pPr>
        <w:pStyle w:val="7"/>
      </w:pPr>
    </w:p>
    <w:p>
      <w:pPr>
        <w:pStyle w:val="7"/>
      </w:pPr>
    </w:p>
    <w:p>
      <w:pPr>
        <w:pStyle w:val="7"/>
      </w:pPr>
    </w:p>
    <w:p>
      <w:pPr>
        <w:pStyle w:val="7"/>
      </w:pPr>
    </w:p>
    <w:p>
      <w:pPr>
        <w:pStyle w:val="7"/>
      </w:pPr>
    </w:p>
    <w:p>
      <w:pPr>
        <w:pStyle w:val="7"/>
      </w:pP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4.4 </w:t>
      </w:r>
      <w:r>
        <w:rPr>
          <w:rFonts w:hint="eastAsia" w:ascii="宋体" w:hAnsi="宋体" w:cs="宋体"/>
          <w:b/>
          <w:bCs/>
          <w:color w:val="000000"/>
          <w:sz w:val="24"/>
          <w:szCs w:val="24"/>
        </w:rPr>
        <w:t>业绩情况表</w:t>
      </w:r>
    </w:p>
    <w:p>
      <w:pPr>
        <w:autoSpaceDE w:val="0"/>
        <w:autoSpaceDN w:val="0"/>
        <w:adjustRightInd w:val="0"/>
        <w:spacing w:line="276" w:lineRule="auto"/>
        <w:jc w:val="center"/>
        <w:outlineLvl w:val="0"/>
        <w:rPr>
          <w:rFonts w:ascii="宋体" w:cs="宋体"/>
          <w:b/>
          <w:bCs/>
          <w:color w:val="00000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napToGrid w:val="0"/>
        <w:spacing w:line="276" w:lineRule="auto"/>
        <w:rPr>
          <w:rFonts w:ascii="宋体" w:cs="宋体"/>
          <w:b/>
          <w:snapToGrid w:val="0"/>
          <w:kern w:val="0"/>
          <w:szCs w:val="21"/>
        </w:rPr>
      </w:pPr>
      <w:r>
        <w:rPr>
          <w:rFonts w:hint="eastAsia" w:ascii="宋体" w:hAnsi="宋体" w:cs="宋体"/>
          <w:color w:val="000000"/>
          <w:szCs w:val="21"/>
        </w:rPr>
        <w:t>项目名称：</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276" w:lineRule="auto"/>
              <w:rPr>
                <w:rFonts w:ascii="宋体" w:hAnsi="宋体" w:eastAsia="宋体" w:cs="宋体"/>
                <w:sz w:val="21"/>
                <w:szCs w:val="21"/>
              </w:rPr>
            </w:pPr>
          </w:p>
        </w:tc>
        <w:tc>
          <w:tcPr>
            <w:tcW w:w="3579" w:type="dxa"/>
            <w:vAlign w:val="center"/>
          </w:tcPr>
          <w:p>
            <w:pPr>
              <w:pStyle w:val="8"/>
              <w:spacing w:line="276" w:lineRule="auto"/>
              <w:rPr>
                <w:rFonts w:ascii="宋体" w:hAnsi="宋体" w:eastAsia="宋体" w:cs="宋体"/>
                <w:sz w:val="21"/>
                <w:szCs w:val="21"/>
              </w:rPr>
            </w:pPr>
          </w:p>
        </w:tc>
        <w:tc>
          <w:tcPr>
            <w:tcW w:w="1440" w:type="dxa"/>
            <w:vAlign w:val="center"/>
          </w:tcPr>
          <w:p>
            <w:pPr>
              <w:pStyle w:val="8"/>
              <w:spacing w:line="276" w:lineRule="auto"/>
              <w:rPr>
                <w:rFonts w:ascii="宋体" w:hAnsi="宋体" w:eastAsia="宋体" w:cs="宋体"/>
                <w:sz w:val="21"/>
                <w:szCs w:val="21"/>
              </w:rPr>
            </w:pPr>
          </w:p>
        </w:tc>
        <w:tc>
          <w:tcPr>
            <w:tcW w:w="1706" w:type="dxa"/>
            <w:vAlign w:val="center"/>
          </w:tcPr>
          <w:p>
            <w:pPr>
              <w:pStyle w:val="8"/>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276" w:lineRule="auto"/>
              <w:rPr>
                <w:rFonts w:ascii="宋体" w:hAnsi="宋体" w:eastAsia="宋体" w:cs="宋体"/>
                <w:sz w:val="21"/>
                <w:szCs w:val="21"/>
              </w:rPr>
            </w:pPr>
          </w:p>
        </w:tc>
        <w:tc>
          <w:tcPr>
            <w:tcW w:w="3579" w:type="dxa"/>
            <w:vAlign w:val="center"/>
          </w:tcPr>
          <w:p>
            <w:pPr>
              <w:pStyle w:val="8"/>
              <w:spacing w:line="276" w:lineRule="auto"/>
              <w:rPr>
                <w:rFonts w:ascii="宋体" w:hAnsi="宋体" w:eastAsia="宋体" w:cs="宋体"/>
                <w:sz w:val="21"/>
                <w:szCs w:val="21"/>
              </w:rPr>
            </w:pPr>
          </w:p>
        </w:tc>
        <w:tc>
          <w:tcPr>
            <w:tcW w:w="1440" w:type="dxa"/>
            <w:vAlign w:val="center"/>
          </w:tcPr>
          <w:p>
            <w:pPr>
              <w:pStyle w:val="8"/>
              <w:spacing w:line="276" w:lineRule="auto"/>
              <w:rPr>
                <w:rFonts w:ascii="宋体" w:hAnsi="宋体" w:eastAsia="宋体" w:cs="宋体"/>
                <w:sz w:val="21"/>
                <w:szCs w:val="21"/>
              </w:rPr>
            </w:pPr>
          </w:p>
        </w:tc>
        <w:tc>
          <w:tcPr>
            <w:tcW w:w="1706" w:type="dxa"/>
            <w:vAlign w:val="center"/>
          </w:tcPr>
          <w:p>
            <w:pPr>
              <w:pStyle w:val="8"/>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276" w:lineRule="auto"/>
              <w:rPr>
                <w:rFonts w:ascii="宋体" w:hAnsi="宋体" w:eastAsia="宋体" w:cs="宋体"/>
                <w:sz w:val="21"/>
                <w:szCs w:val="21"/>
              </w:rPr>
            </w:pPr>
          </w:p>
        </w:tc>
        <w:tc>
          <w:tcPr>
            <w:tcW w:w="3579" w:type="dxa"/>
            <w:vAlign w:val="center"/>
          </w:tcPr>
          <w:p>
            <w:pPr>
              <w:pStyle w:val="8"/>
              <w:spacing w:line="276" w:lineRule="auto"/>
              <w:rPr>
                <w:rFonts w:ascii="宋体" w:hAnsi="宋体" w:eastAsia="宋体" w:cs="宋体"/>
                <w:sz w:val="21"/>
                <w:szCs w:val="21"/>
              </w:rPr>
            </w:pPr>
          </w:p>
        </w:tc>
        <w:tc>
          <w:tcPr>
            <w:tcW w:w="1440" w:type="dxa"/>
            <w:vAlign w:val="center"/>
          </w:tcPr>
          <w:p>
            <w:pPr>
              <w:pStyle w:val="8"/>
              <w:spacing w:line="276" w:lineRule="auto"/>
              <w:rPr>
                <w:rFonts w:ascii="宋体" w:hAnsi="宋体" w:eastAsia="宋体" w:cs="宋体"/>
                <w:sz w:val="21"/>
                <w:szCs w:val="21"/>
              </w:rPr>
            </w:pPr>
          </w:p>
        </w:tc>
        <w:tc>
          <w:tcPr>
            <w:tcW w:w="1706" w:type="dxa"/>
            <w:vAlign w:val="center"/>
          </w:tcPr>
          <w:p>
            <w:pPr>
              <w:pStyle w:val="8"/>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pStyle w:val="22"/>
        <w:spacing w:line="276" w:lineRule="auto"/>
        <w:ind w:firstLine="340"/>
        <w:rPr>
          <w:lang w:val="zh-CN"/>
        </w:rPr>
      </w:pPr>
    </w:p>
    <w:p>
      <w:pPr>
        <w:pStyle w:val="22"/>
        <w:spacing w:line="276" w:lineRule="auto"/>
        <w:ind w:firstLine="340"/>
        <w:rPr>
          <w:lang w:val="zh-CN"/>
        </w:rPr>
      </w:pPr>
    </w:p>
    <w:p>
      <w:pPr>
        <w:autoSpaceDE w:val="0"/>
        <w:autoSpaceDN w:val="0"/>
        <w:adjustRightInd w:val="0"/>
        <w:spacing w:line="276" w:lineRule="auto"/>
        <w:rPr>
          <w:rFonts w:ascii="宋体" w:cs="宋体"/>
          <w:sz w:val="24"/>
          <w:szCs w:val="24"/>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hint="eastAsia" w:ascii="宋体" w:hAnsi="宋体" w:cs="宋体"/>
          <w:b/>
          <w:bCs/>
          <w:color w:val="000000"/>
          <w:sz w:val="24"/>
          <w:szCs w:val="24"/>
        </w:rPr>
        <w:t>售后服务方案</w:t>
      </w:r>
    </w:p>
    <w:p>
      <w:pPr>
        <w:autoSpaceDE w:val="0"/>
        <w:autoSpaceDN w:val="0"/>
        <w:adjustRightInd w:val="0"/>
        <w:spacing w:line="276" w:lineRule="auto"/>
        <w:jc w:val="center"/>
        <w:outlineLvl w:val="0"/>
        <w:rPr>
          <w:rFonts w:ascii="宋体" w:cs="宋体"/>
          <w:b/>
          <w:bCs/>
          <w:color w:val="00000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276" w:lineRule="auto"/>
        <w:jc w:val="center"/>
        <w:outlineLvl w:val="0"/>
        <w:rPr>
          <w:rFonts w:ascii="宋体" w:cs="宋体"/>
          <w:b/>
          <w:bCs/>
          <w:color w:val="000000"/>
          <w:sz w:val="36"/>
          <w:szCs w:val="36"/>
        </w:rPr>
      </w:pPr>
    </w:p>
    <w:p>
      <w:pPr>
        <w:pStyle w:val="22"/>
        <w:spacing w:line="276" w:lineRule="auto"/>
        <w:ind w:firstLine="340"/>
      </w:pPr>
    </w:p>
    <w:p>
      <w:pPr>
        <w:pStyle w:val="22"/>
        <w:spacing w:line="276" w:lineRule="auto"/>
        <w:ind w:firstLine="340"/>
      </w:pPr>
    </w:p>
    <w:p>
      <w:pPr>
        <w:pStyle w:val="7"/>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hint="eastAsia" w:ascii="宋体" w:hAnsi="宋体" w:cs="宋体"/>
          <w:b/>
          <w:bCs/>
          <w:color w:val="000000"/>
          <w:sz w:val="24"/>
          <w:szCs w:val="24"/>
        </w:rPr>
        <w:t>中小企业声明函</w:t>
      </w:r>
    </w:p>
    <w:p>
      <w:pPr>
        <w:spacing w:line="276" w:lineRule="auto"/>
        <w:jc w:val="center"/>
        <w:rPr>
          <w:rFonts w:ascii="宋体" w:cs="宋体"/>
          <w:b/>
          <w:bCs/>
          <w:color w:val="000000"/>
          <w:szCs w:val="21"/>
        </w:rPr>
      </w:pP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本公司郑重声明，根据《政府采购促进中小企业发展暂行办法》（财库</w:t>
      </w:r>
      <w:r>
        <w:rPr>
          <w:rFonts w:ascii="宋体" w:hAnsi="宋体" w:cs="宋体"/>
          <w:color w:val="000000"/>
          <w:kern w:val="0"/>
          <w:szCs w:val="21"/>
        </w:rPr>
        <w:t>[2011]181</w:t>
      </w:r>
      <w:r>
        <w:rPr>
          <w:rFonts w:hint="eastAsia" w:ascii="宋体" w:hAnsi="宋体" w:cs="宋体"/>
          <w:color w:val="000000"/>
          <w:kern w:val="0"/>
          <w:szCs w:val="21"/>
        </w:rPr>
        <w:t>号）的规定，本公司为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（请填写：中型、小型、微型）企业。即，本公司同时满足以下条件：</w:t>
      </w:r>
      <w:r>
        <w:rPr>
          <w:rFonts w:ascii="宋体" w:cs="宋体"/>
          <w:color w:val="000000"/>
          <w:kern w:val="0"/>
          <w:szCs w:val="21"/>
        </w:rPr>
        <w:br w:type="textWrapping"/>
      </w:r>
      <w:r>
        <w:rPr>
          <w:rFonts w:hint="eastAsia" w:ascii="宋体" w:hAnsi="宋体" w:cs="宋体"/>
          <w:color w:val="000000"/>
          <w:kern w:val="0"/>
          <w:szCs w:val="21"/>
        </w:rPr>
        <w:t>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hint="eastAsia" w:ascii="宋体" w:hAnsi="宋体" w:cs="宋体"/>
          <w:color w:val="000000"/>
          <w:kern w:val="0"/>
          <w:szCs w:val="21"/>
        </w:rPr>
        <w:t>号）规定的划分标准，</w:t>
      </w:r>
      <w:r>
        <w:rPr>
          <w:rFonts w:hint="eastAsia" w:ascii="宋体" w:hAnsi="宋体" w:cs="宋体"/>
          <w:color w:val="000000"/>
          <w:szCs w:val="21"/>
        </w:rPr>
        <w:t>按照《国家统计局关于印发统计上大中小微型企业划分办法的通知》（国统字</w:t>
      </w:r>
      <w:r>
        <w:rPr>
          <w:rFonts w:ascii="宋体" w:hAnsi="宋体" w:cs="宋体"/>
          <w:color w:val="000000"/>
          <w:szCs w:val="21"/>
        </w:rPr>
        <w:t>[2011] 75</w:t>
      </w:r>
      <w:r>
        <w:rPr>
          <w:rFonts w:hint="eastAsia" w:ascii="宋体" w:hAnsi="宋体" w:cs="宋体"/>
          <w:color w:val="000000"/>
          <w:szCs w:val="21"/>
        </w:rPr>
        <w:t>号）规定，本公司所属行业为</w:t>
      </w:r>
      <w:r>
        <w:rPr>
          <w:rFonts w:ascii="宋体" w:hAnsi="宋体" w:cs="宋体"/>
          <w:color w:val="000000"/>
          <w:szCs w:val="21"/>
        </w:rPr>
        <w:t>______</w:t>
      </w:r>
      <w:r>
        <w:rPr>
          <w:rFonts w:hint="eastAsia" w:ascii="宋体" w:hAnsi="宋体" w:cs="宋体"/>
          <w:color w:val="000000"/>
          <w:szCs w:val="21"/>
        </w:rPr>
        <w:t>，截至上一财年末，公司资产总额</w:t>
      </w:r>
      <w:r>
        <w:rPr>
          <w:rFonts w:ascii="宋体" w:hAnsi="宋体" w:cs="宋体"/>
          <w:color w:val="000000"/>
          <w:szCs w:val="21"/>
        </w:rPr>
        <w:t>______</w:t>
      </w:r>
      <w:r>
        <w:rPr>
          <w:rFonts w:hint="eastAsia" w:ascii="宋体" w:hAnsi="宋体" w:cs="宋体"/>
          <w:color w:val="000000"/>
          <w:szCs w:val="21"/>
        </w:rPr>
        <w:t>万元，营业收入</w:t>
      </w:r>
      <w:r>
        <w:rPr>
          <w:rFonts w:ascii="宋体" w:hAnsi="宋体" w:cs="宋体"/>
          <w:color w:val="000000"/>
          <w:szCs w:val="21"/>
        </w:rPr>
        <w:t>______</w:t>
      </w:r>
      <w:r>
        <w:rPr>
          <w:rFonts w:hint="eastAsia" w:ascii="宋体" w:hAnsi="宋体" w:cs="宋体"/>
          <w:color w:val="000000"/>
          <w:szCs w:val="21"/>
        </w:rPr>
        <w:t>万元，从业人员</w:t>
      </w:r>
      <w:r>
        <w:rPr>
          <w:rFonts w:ascii="宋体" w:hAnsi="宋体" w:cs="宋体"/>
          <w:color w:val="000000"/>
          <w:szCs w:val="21"/>
        </w:rPr>
        <w:t>______</w:t>
      </w:r>
      <w:r>
        <w:rPr>
          <w:rFonts w:hint="eastAsia" w:ascii="宋体" w:hAnsi="宋体" w:cs="宋体"/>
          <w:color w:val="000000"/>
          <w:szCs w:val="21"/>
        </w:rPr>
        <w:t>人，</w:t>
      </w:r>
      <w:r>
        <w:rPr>
          <w:rFonts w:hint="eastAsia" w:ascii="宋体" w:hAnsi="宋体" w:cs="宋体"/>
          <w:color w:val="000000"/>
          <w:kern w:val="0"/>
          <w:szCs w:val="21"/>
        </w:rPr>
        <w:t>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　　</w:t>
      </w: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本公司对上述声明的真实性负责。如有虚假，将依法承担相应责任。</w:t>
      </w: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r>
        <w:rPr>
          <w:rFonts w:hint="eastAsia" w:ascii="宋体" w:hAnsi="宋体" w:cs="宋体"/>
          <w:color w:val="000000"/>
          <w:kern w:val="0"/>
          <w:szCs w:val="21"/>
        </w:rPr>
        <w:t>企业名称（盖章）：　　　　　　　　　</w:t>
      </w:r>
      <w:r>
        <w:rPr>
          <w:rFonts w:ascii="宋体" w:cs="宋体"/>
          <w:color w:val="000000"/>
          <w:kern w:val="0"/>
          <w:szCs w:val="21"/>
        </w:rPr>
        <w:br w:type="textWrapping"/>
      </w:r>
      <w:r>
        <w:rPr>
          <w:rFonts w:hint="eastAsia" w:ascii="宋体" w:hAnsi="宋体" w:cs="宋体"/>
          <w:color w:val="000000"/>
          <w:kern w:val="0"/>
          <w:szCs w:val="21"/>
        </w:rPr>
        <w:t>日　期：</w:t>
      </w:r>
      <w:r>
        <w:rPr>
          <w:rFonts w:hint="eastAsia" w:ascii="宋体" w:hAnsi="宋体" w:cs="宋体"/>
          <w:szCs w:val="21"/>
        </w:rPr>
        <w:t>年月日</w:t>
      </w:r>
    </w:p>
    <w:p>
      <w:pPr>
        <w:widowControl/>
        <w:spacing w:before="100" w:beforeAutospacing="1" w:after="100" w:afterAutospacing="1" w:line="276" w:lineRule="auto"/>
        <w:contextualSpacing/>
        <w:jc w:val="left"/>
        <w:rPr>
          <w:rFonts w:ascii="宋体" w:cs="宋体"/>
          <w:color w:val="000000"/>
          <w:szCs w:val="21"/>
        </w:rPr>
      </w:pPr>
      <w:r>
        <w:rPr>
          <w:rFonts w:hint="eastAsia" w:ascii="宋体" w:hAnsi="宋体" w:cs="宋体"/>
          <w:color w:val="000000"/>
          <w:szCs w:val="21"/>
        </w:rPr>
        <w:t>说明：</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、如投标人为联合投标的，联合投标人需分别填写上述《中小企业声明函》。</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、小型和微型企业不包括民办非企业。</w:t>
      </w:r>
    </w:p>
    <w:p>
      <w:pPr>
        <w:pStyle w:val="22"/>
        <w:spacing w:line="276" w:lineRule="auto"/>
        <w:ind w:firstLine="340"/>
      </w:pPr>
    </w:p>
    <w:p>
      <w:pPr>
        <w:pStyle w:val="22"/>
        <w:spacing w:line="276" w:lineRule="auto"/>
        <w:ind w:firstLine="340"/>
      </w:pPr>
    </w:p>
    <w:p>
      <w:pPr>
        <w:pStyle w:val="22"/>
        <w:spacing w:line="276" w:lineRule="auto"/>
        <w:ind w:firstLine="340"/>
      </w:pPr>
    </w:p>
    <w:p>
      <w:pPr>
        <w:pStyle w:val="22"/>
        <w:spacing w:line="276" w:lineRule="auto"/>
        <w:ind w:firstLine="340"/>
      </w:pPr>
    </w:p>
    <w:p>
      <w:pPr>
        <w:pStyle w:val="22"/>
        <w:spacing w:line="276" w:lineRule="auto"/>
        <w:ind w:firstLine="340"/>
      </w:pPr>
    </w:p>
    <w:p>
      <w:pPr>
        <w:pStyle w:val="22"/>
        <w:spacing w:line="276" w:lineRule="auto"/>
        <w:ind w:firstLine="340"/>
      </w:pPr>
    </w:p>
    <w:p>
      <w:pPr>
        <w:autoSpaceDE w:val="0"/>
        <w:autoSpaceDN w:val="0"/>
        <w:adjustRightInd w:val="0"/>
        <w:spacing w:line="276" w:lineRule="auto"/>
        <w:jc w:val="center"/>
        <w:outlineLvl w:val="0"/>
        <w:rPr>
          <w:rFonts w:ascii="宋体" w:hAnsi="宋体" w:cs="宋体"/>
          <w:b/>
          <w:bCs/>
          <w:color w:val="000000"/>
          <w:sz w:val="24"/>
          <w:szCs w:val="24"/>
        </w:rPr>
      </w:pPr>
      <w:bookmarkStart w:id="92" w:name="OLE_LINK13"/>
      <w:bookmarkStart w:id="93" w:name="OLE_LINK14"/>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4.7 </w:t>
      </w:r>
      <w:r>
        <w:rPr>
          <w:rFonts w:hint="eastAsia" w:ascii="宋体" w:hAnsi="宋体" w:cs="宋体"/>
          <w:b/>
          <w:bCs/>
          <w:color w:val="000000"/>
          <w:sz w:val="24"/>
          <w:szCs w:val="24"/>
        </w:rPr>
        <w:t>残疾人福利性单位声明函</w:t>
      </w:r>
    </w:p>
    <w:bookmarkEnd w:id="92"/>
    <w:bookmarkEnd w:id="93"/>
    <w:p>
      <w:pPr>
        <w:spacing w:line="276" w:lineRule="auto"/>
        <w:rPr>
          <w:rFonts w:ascii="宋体" w:cs="宋体"/>
          <w:szCs w:val="21"/>
        </w:rPr>
      </w:pPr>
    </w:p>
    <w:p>
      <w:pPr>
        <w:spacing w:line="276"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276"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276" w:lineRule="auto"/>
        <w:rPr>
          <w:rFonts w:ascii="宋体" w:cs="宋体"/>
          <w:szCs w:val="21"/>
        </w:rPr>
      </w:pPr>
    </w:p>
    <w:p>
      <w:pPr>
        <w:spacing w:line="276" w:lineRule="auto"/>
        <w:rPr>
          <w:rFonts w:ascii="宋体" w:cs="宋体"/>
          <w:szCs w:val="21"/>
        </w:rPr>
      </w:pPr>
    </w:p>
    <w:p>
      <w:pPr>
        <w:spacing w:line="276" w:lineRule="auto"/>
        <w:rPr>
          <w:rFonts w:ascii="宋体" w:cs="宋体"/>
          <w:szCs w:val="21"/>
        </w:rPr>
      </w:pPr>
      <w:r>
        <w:rPr>
          <w:rFonts w:hint="eastAsia" w:ascii="宋体" w:hAnsi="宋体" w:cs="宋体"/>
          <w:szCs w:val="21"/>
        </w:rPr>
        <w:t>单位名称（盖章）：</w:t>
      </w:r>
    </w:p>
    <w:p>
      <w:pPr>
        <w:spacing w:line="276" w:lineRule="auto"/>
        <w:rPr>
          <w:rFonts w:ascii="宋体" w:cs="宋体"/>
          <w:szCs w:val="21"/>
        </w:rPr>
      </w:pPr>
      <w:r>
        <w:rPr>
          <w:rFonts w:hint="eastAsia" w:ascii="宋体" w:hAnsi="宋体" w:cs="宋体"/>
          <w:szCs w:val="21"/>
        </w:rPr>
        <w:t>日期：年月日</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hint="eastAsia" w:ascii="宋体" w:hAnsi="宋体" w:cs="宋体"/>
          <w:b/>
          <w:bCs/>
          <w:color w:val="000000"/>
          <w:sz w:val="24"/>
          <w:szCs w:val="24"/>
        </w:rPr>
        <w:t>所投产品符合国家强制性要求承诺函</w:t>
      </w:r>
    </w:p>
    <w:p>
      <w:pPr>
        <w:autoSpaceDE w:val="0"/>
        <w:autoSpaceDN w:val="0"/>
        <w:adjustRightInd w:val="0"/>
        <w:spacing w:line="276" w:lineRule="auto"/>
        <w:jc w:val="center"/>
        <w:outlineLvl w:val="0"/>
        <w:rPr>
          <w:rFonts w:ascii="宋体" w:cs="宋体"/>
          <w:b/>
          <w:bCs/>
          <w:color w:val="000000"/>
          <w:sz w:val="28"/>
          <w:szCs w:val="28"/>
        </w:rPr>
      </w:pPr>
    </w:p>
    <w:p>
      <w:pPr>
        <w:spacing w:line="276" w:lineRule="auto"/>
        <w:jc w:val="center"/>
        <w:rPr>
          <w:rFonts w:ascii="宋体" w:cs="宋体"/>
          <w:color w:val="000000"/>
          <w:kern w:val="0"/>
          <w:szCs w:val="21"/>
        </w:rPr>
      </w:pPr>
      <w:r>
        <w:rPr>
          <w:rFonts w:hint="eastAsia" w:ascii="宋体" w:hAnsi="宋体" w:cs="宋体"/>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hint="eastAsia" w:ascii="宋体" w:hAnsi="宋体" w:cs="宋体"/>
          <w:color w:val="000000"/>
          <w:kern w:val="0"/>
          <w:szCs w:val="21"/>
        </w:rPr>
        <w:t>认证，格式自拟）</w:t>
      </w:r>
    </w:p>
    <w:p>
      <w:pPr>
        <w:widowControl/>
        <w:spacing w:before="100" w:beforeAutospacing="1" w:after="100" w:afterAutospacing="1" w:line="276" w:lineRule="auto"/>
        <w:jc w:val="center"/>
        <w:rPr>
          <w:rFonts w:ascii="宋体" w:cs="宋体"/>
          <w:b/>
          <w:bCs/>
          <w:color w:val="000000"/>
          <w:sz w:val="36"/>
          <w:szCs w:val="36"/>
        </w:rPr>
      </w:pPr>
    </w:p>
    <w:p>
      <w:pPr>
        <w:widowControl/>
        <w:spacing w:before="100" w:beforeAutospacing="1" w:after="100" w:afterAutospacing="1" w:line="276" w:lineRule="auto"/>
        <w:jc w:val="center"/>
        <w:rPr>
          <w:rFonts w:ascii="宋体" w:cs="宋体"/>
          <w:b/>
          <w:bCs/>
          <w:color w:val="000000"/>
          <w:sz w:val="36"/>
          <w:szCs w:val="36"/>
        </w:rPr>
      </w:pPr>
    </w:p>
    <w:p>
      <w:pPr>
        <w:spacing w:line="276" w:lineRule="auto"/>
        <w:rPr>
          <w:rFonts w:ascii="宋体" w:cs="宋体"/>
        </w:rPr>
      </w:pPr>
    </w:p>
    <w:p>
      <w:pPr>
        <w:pStyle w:val="7"/>
      </w:pPr>
    </w:p>
    <w:p>
      <w:pPr>
        <w:pStyle w:val="7"/>
      </w:pPr>
    </w:p>
    <w:p>
      <w:pPr>
        <w:pStyle w:val="7"/>
      </w:pPr>
    </w:p>
    <w:p>
      <w:pPr>
        <w:pStyle w:val="7"/>
      </w:pPr>
    </w:p>
    <w:p>
      <w:pPr>
        <w:spacing w:line="276" w:lineRule="auto"/>
        <w:rPr>
          <w:rFonts w:ascii="宋体" w:cs="宋体"/>
        </w:rPr>
      </w:pPr>
    </w:p>
    <w:p>
      <w:pPr>
        <w:autoSpaceDE w:val="0"/>
        <w:autoSpaceDN w:val="0"/>
        <w:adjustRightInd w:val="0"/>
        <w:spacing w:line="276" w:lineRule="auto"/>
        <w:jc w:val="center"/>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五、其他资料（若有）</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jc w:val="center"/>
        <w:rPr>
          <w:rFonts w:ascii="宋体" w:cs="宋体"/>
          <w:b/>
          <w:bCs/>
          <w:color w:val="000000"/>
          <w:sz w:val="28"/>
          <w:szCs w:val="28"/>
        </w:rPr>
      </w:pPr>
      <w:r>
        <w:rPr>
          <w:rFonts w:hint="eastAsia" w:ascii="宋体" w:hAnsi="宋体" w:cs="宋体"/>
          <w:b/>
          <w:bCs/>
          <w:color w:val="000000"/>
          <w:sz w:val="28"/>
          <w:szCs w:val="28"/>
        </w:rPr>
        <w:t>除招标文件另有规定外，投标人认为需要提交的其他证明材料或资料加盖投标人的单位公章后应在此项下提交。</w:t>
      </w:r>
    </w:p>
    <w:p>
      <w:pPr>
        <w:spacing w:line="276" w:lineRule="auto"/>
        <w:jc w:val="center"/>
        <w:rPr>
          <w:rFonts w:ascii="宋体" w:cs="宋体"/>
          <w:b/>
          <w:bCs/>
          <w:color w:val="000000"/>
          <w:sz w:val="28"/>
          <w:szCs w:val="28"/>
        </w:rPr>
      </w:pPr>
      <w:r>
        <w:rPr>
          <w:rFonts w:ascii="宋体" w:cs="宋体"/>
          <w:b/>
          <w:bCs/>
          <w:color w:val="000000"/>
          <w:sz w:val="28"/>
          <w:szCs w:val="28"/>
        </w:rPr>
        <w:t> </w:t>
      </w:r>
    </w:p>
    <w:p>
      <w:pPr>
        <w:spacing w:line="276" w:lineRule="auto"/>
        <w:rPr>
          <w:rFonts w:ascii="宋体" w:cs="宋体"/>
        </w:rPr>
      </w:pPr>
    </w:p>
    <w:p>
      <w:pPr>
        <w:pStyle w:val="61"/>
        <w:spacing w:line="276" w:lineRule="auto"/>
        <w:ind w:firstLine="0" w:firstLineChars="0"/>
        <w:rPr>
          <w:rFonts w:cs="宋体"/>
        </w:rPr>
      </w:pPr>
    </w:p>
    <w:p>
      <w:pPr>
        <w:spacing w:line="360" w:lineRule="auto"/>
        <w:jc w:val="center"/>
        <w:rPr>
          <w:rFonts w:ascii="宋体" w:hAnsi="宋体"/>
          <w:b/>
          <w:bCs/>
          <w:color w:val="000000"/>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0"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37C83"/>
    <w:multiLevelType w:val="singleLevel"/>
    <w:tmpl w:val="8EB37C83"/>
    <w:lvl w:ilvl="0" w:tentative="0">
      <w:start w:val="1"/>
      <w:numFmt w:val="chineseCounting"/>
      <w:suff w:val="nothing"/>
      <w:lvlText w:val="%1、"/>
      <w:lvlJc w:val="left"/>
      <w:rPr>
        <w:rFonts w:hint="eastAsia"/>
      </w:rPr>
    </w:lvl>
  </w:abstractNum>
  <w:abstractNum w:abstractNumId="1">
    <w:nsid w:val="BC8C6B7C"/>
    <w:multiLevelType w:val="singleLevel"/>
    <w:tmpl w:val="BC8C6B7C"/>
    <w:lvl w:ilvl="0" w:tentative="0">
      <w:start w:val="1"/>
      <w:numFmt w:val="chineseCounting"/>
      <w:suff w:val="nothing"/>
      <w:lvlText w:val="%1、"/>
      <w:lvlJc w:val="left"/>
      <w:rPr>
        <w:rFonts w:hint="eastAsia"/>
      </w:rPr>
    </w:lvl>
  </w:abstractNum>
  <w:abstractNum w:abstractNumId="2">
    <w:nsid w:val="C26498C8"/>
    <w:multiLevelType w:val="singleLevel"/>
    <w:tmpl w:val="C26498C8"/>
    <w:lvl w:ilvl="0" w:tentative="0">
      <w:start w:val="1"/>
      <w:numFmt w:val="chineseCounting"/>
      <w:suff w:val="nothing"/>
      <w:lvlText w:val="%1、"/>
      <w:lvlJc w:val="left"/>
      <w:rPr>
        <w:rFonts w:hint="eastAsia"/>
      </w:rPr>
    </w:lvl>
  </w:abstractNum>
  <w:abstractNum w:abstractNumId="3">
    <w:nsid w:val="EC3911C5"/>
    <w:multiLevelType w:val="singleLevel"/>
    <w:tmpl w:val="EC3911C5"/>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1">
    <w:nsid w:val="2C7A7622"/>
    <w:multiLevelType w:val="singleLevel"/>
    <w:tmpl w:val="2C7A7622"/>
    <w:lvl w:ilvl="0" w:tentative="0">
      <w:start w:val="1"/>
      <w:numFmt w:val="chineseCounting"/>
      <w:suff w:val="space"/>
      <w:lvlText w:val="第%1章"/>
      <w:lvlJc w:val="left"/>
      <w:rPr>
        <w:rFonts w:hint="eastAsia"/>
      </w:rPr>
    </w:lvl>
  </w:abstractNum>
  <w:abstractNum w:abstractNumId="3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32013AD"/>
    <w:multiLevelType w:val="singleLevel"/>
    <w:tmpl w:val="332013AD"/>
    <w:lvl w:ilvl="0" w:tentative="0">
      <w:start w:val="1"/>
      <w:numFmt w:val="decimal"/>
      <w:suff w:val="nothing"/>
      <w:lvlText w:val="%1、"/>
      <w:lvlJc w:val="left"/>
    </w:lvl>
  </w:abstractNum>
  <w:abstractNum w:abstractNumId="3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9">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07B42DE"/>
    <w:multiLevelType w:val="singleLevel"/>
    <w:tmpl w:val="507B42DE"/>
    <w:lvl w:ilvl="0" w:tentative="0">
      <w:start w:val="3"/>
      <w:numFmt w:val="chineseCounting"/>
      <w:suff w:val="nothing"/>
      <w:lvlText w:val="%1、"/>
      <w:lvlJc w:val="left"/>
      <w:rPr>
        <w:rFonts w:hint="eastAsia"/>
      </w:rPr>
    </w:lvl>
  </w:abstractNum>
  <w:abstractNum w:abstractNumId="4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9F817E8"/>
    <w:multiLevelType w:val="singleLevel"/>
    <w:tmpl w:val="59F817E8"/>
    <w:lvl w:ilvl="0" w:tentative="0">
      <w:start w:val="1"/>
      <w:numFmt w:val="chineseCounting"/>
      <w:pStyle w:val="57"/>
      <w:suff w:val="nothing"/>
      <w:lvlText w:val="%1、"/>
      <w:lvlJc w:val="left"/>
    </w:lvl>
  </w:abstractNum>
  <w:abstractNum w:abstractNumId="4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620E001D"/>
    <w:multiLevelType w:val="multilevel"/>
    <w:tmpl w:val="620E001D"/>
    <w:lvl w:ilvl="0" w:tentative="0">
      <w:start w:val="6"/>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4417EA"/>
    <w:multiLevelType w:val="singleLevel"/>
    <w:tmpl w:val="734417EA"/>
    <w:lvl w:ilvl="0" w:tentative="0">
      <w:start w:val="1"/>
      <w:numFmt w:val="chineseCounting"/>
      <w:suff w:val="nothing"/>
      <w:lvlText w:val="%1、"/>
      <w:lvlJc w:val="left"/>
      <w:rPr>
        <w:rFonts w:hint="eastAsia"/>
      </w:rPr>
    </w:lvl>
  </w:abstractNum>
  <w:abstractNum w:abstractNumId="5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4">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11"/>
  </w:num>
  <w:num w:numId="3">
    <w:abstractNumId w:val="48"/>
  </w:num>
  <w:num w:numId="4">
    <w:abstractNumId w:val="31"/>
  </w:num>
  <w:num w:numId="5">
    <w:abstractNumId w:val="44"/>
  </w:num>
  <w:num w:numId="6">
    <w:abstractNumId w:val="3"/>
  </w:num>
  <w:num w:numId="7">
    <w:abstractNumId w:val="1"/>
  </w:num>
  <w:num w:numId="8">
    <w:abstractNumId w:val="2"/>
  </w:num>
  <w:num w:numId="9">
    <w:abstractNumId w:val="50"/>
  </w:num>
  <w:num w:numId="10">
    <w:abstractNumId w:val="57"/>
  </w:num>
  <w:num w:numId="11">
    <w:abstractNumId w:val="0"/>
  </w:num>
  <w:num w:numId="12">
    <w:abstractNumId w:val="24"/>
  </w:num>
  <w:num w:numId="13">
    <w:abstractNumId w:val="25"/>
  </w:num>
  <w:num w:numId="14">
    <w:abstractNumId w:val="54"/>
  </w:num>
  <w:num w:numId="15">
    <w:abstractNumId w:val="63"/>
  </w:num>
  <w:num w:numId="16">
    <w:abstractNumId w:val="62"/>
  </w:num>
  <w:num w:numId="17">
    <w:abstractNumId w:val="53"/>
  </w:num>
  <w:num w:numId="18">
    <w:abstractNumId w:val="30"/>
  </w:num>
  <w:num w:numId="19">
    <w:abstractNumId w:val="26"/>
  </w:num>
  <w:num w:numId="20">
    <w:abstractNumId w:val="56"/>
  </w:num>
  <w:num w:numId="21">
    <w:abstractNumId w:val="51"/>
  </w:num>
  <w:num w:numId="22">
    <w:abstractNumId w:val="61"/>
  </w:num>
  <w:num w:numId="23">
    <w:abstractNumId w:val="43"/>
  </w:num>
  <w:num w:numId="24">
    <w:abstractNumId w:val="21"/>
  </w:num>
  <w:num w:numId="25">
    <w:abstractNumId w:val="47"/>
  </w:num>
  <w:num w:numId="26">
    <w:abstractNumId w:val="14"/>
  </w:num>
  <w:num w:numId="27">
    <w:abstractNumId w:val="29"/>
  </w:num>
  <w:num w:numId="28">
    <w:abstractNumId w:val="45"/>
  </w:num>
  <w:num w:numId="29">
    <w:abstractNumId w:val="13"/>
  </w:num>
  <w:num w:numId="30">
    <w:abstractNumId w:val="59"/>
  </w:num>
  <w:num w:numId="31">
    <w:abstractNumId w:val="20"/>
  </w:num>
  <w:num w:numId="32">
    <w:abstractNumId w:val="34"/>
  </w:num>
  <w:num w:numId="33">
    <w:abstractNumId w:val="39"/>
  </w:num>
  <w:num w:numId="34">
    <w:abstractNumId w:val="27"/>
  </w:num>
  <w:num w:numId="35">
    <w:abstractNumId w:val="49"/>
  </w:num>
  <w:num w:numId="36">
    <w:abstractNumId w:val="32"/>
  </w:num>
  <w:num w:numId="37">
    <w:abstractNumId w:val="58"/>
  </w:num>
  <w:num w:numId="38">
    <w:abstractNumId w:val="40"/>
  </w:num>
  <w:num w:numId="39">
    <w:abstractNumId w:val="22"/>
  </w:num>
  <w:num w:numId="40">
    <w:abstractNumId w:val="12"/>
  </w:num>
  <w:num w:numId="41">
    <w:abstractNumId w:val="18"/>
  </w:num>
  <w:num w:numId="42">
    <w:abstractNumId w:val="15"/>
  </w:num>
  <w:num w:numId="43">
    <w:abstractNumId w:val="37"/>
  </w:num>
  <w:num w:numId="44">
    <w:abstractNumId w:val="23"/>
  </w:num>
  <w:num w:numId="45">
    <w:abstractNumId w:val="55"/>
  </w:num>
  <w:num w:numId="46">
    <w:abstractNumId w:val="38"/>
  </w:num>
  <w:num w:numId="47">
    <w:abstractNumId w:val="64"/>
  </w:num>
  <w:num w:numId="48">
    <w:abstractNumId w:val="36"/>
  </w:num>
  <w:num w:numId="49">
    <w:abstractNumId w:val="60"/>
  </w:num>
  <w:num w:numId="50">
    <w:abstractNumId w:val="46"/>
  </w:num>
  <w:num w:numId="51">
    <w:abstractNumId w:val="28"/>
  </w:num>
  <w:num w:numId="52">
    <w:abstractNumId w:val="33"/>
  </w:num>
  <w:num w:numId="53">
    <w:abstractNumId w:val="41"/>
  </w:num>
  <w:num w:numId="54">
    <w:abstractNumId w:val="52"/>
  </w:num>
  <w:num w:numId="55">
    <w:abstractNumId w:val="65"/>
  </w:num>
  <w:num w:numId="56">
    <w:abstractNumId w:val="19"/>
  </w:num>
  <w:num w:numId="57">
    <w:abstractNumId w:val="42"/>
  </w:num>
  <w:num w:numId="58">
    <w:abstractNumId w:val="16"/>
  </w:num>
  <w:num w:numId="59">
    <w:abstractNumId w:val="35"/>
  </w:num>
  <w:num w:numId="60">
    <w:abstractNumId w:val="6"/>
  </w:num>
  <w:num w:numId="61">
    <w:abstractNumId w:val="10"/>
  </w:num>
  <w:num w:numId="62">
    <w:abstractNumId w:val="7"/>
  </w:num>
  <w:num w:numId="63">
    <w:abstractNumId w:val="9"/>
  </w:num>
  <w:num w:numId="64">
    <w:abstractNumId w:val="5"/>
  </w:num>
  <w:num w:numId="65">
    <w:abstractNumId w:val="8"/>
  </w:num>
  <w:num w:numId="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369C1"/>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4B46"/>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8782E"/>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431C"/>
    <w:rsid w:val="00246A17"/>
    <w:rsid w:val="00252174"/>
    <w:rsid w:val="00252623"/>
    <w:rsid w:val="00255732"/>
    <w:rsid w:val="002615C0"/>
    <w:rsid w:val="002643C8"/>
    <w:rsid w:val="002659C7"/>
    <w:rsid w:val="00266A3E"/>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13DC"/>
    <w:rsid w:val="003E4EEF"/>
    <w:rsid w:val="003E5ADF"/>
    <w:rsid w:val="003E7C66"/>
    <w:rsid w:val="003F602C"/>
    <w:rsid w:val="00403689"/>
    <w:rsid w:val="00410B19"/>
    <w:rsid w:val="00416591"/>
    <w:rsid w:val="00435E0B"/>
    <w:rsid w:val="00436107"/>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59F9"/>
    <w:rsid w:val="004A698D"/>
    <w:rsid w:val="004A713D"/>
    <w:rsid w:val="004B620B"/>
    <w:rsid w:val="004B6F24"/>
    <w:rsid w:val="004C1117"/>
    <w:rsid w:val="004C2A4D"/>
    <w:rsid w:val="004D0712"/>
    <w:rsid w:val="004D1421"/>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4746C"/>
    <w:rsid w:val="0055332A"/>
    <w:rsid w:val="00553F62"/>
    <w:rsid w:val="00555EDE"/>
    <w:rsid w:val="005711DE"/>
    <w:rsid w:val="00573241"/>
    <w:rsid w:val="00575C9D"/>
    <w:rsid w:val="005779B2"/>
    <w:rsid w:val="00581F58"/>
    <w:rsid w:val="00586CD2"/>
    <w:rsid w:val="005940FF"/>
    <w:rsid w:val="00596914"/>
    <w:rsid w:val="005A173C"/>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247D4"/>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2204"/>
    <w:rsid w:val="0067327E"/>
    <w:rsid w:val="00675A3C"/>
    <w:rsid w:val="006778F4"/>
    <w:rsid w:val="0069574E"/>
    <w:rsid w:val="00695B12"/>
    <w:rsid w:val="006A1483"/>
    <w:rsid w:val="006A2005"/>
    <w:rsid w:val="006A4956"/>
    <w:rsid w:val="006A6187"/>
    <w:rsid w:val="006A62D6"/>
    <w:rsid w:val="006A6E3E"/>
    <w:rsid w:val="006A7F72"/>
    <w:rsid w:val="006B25F5"/>
    <w:rsid w:val="006B34C4"/>
    <w:rsid w:val="006D0369"/>
    <w:rsid w:val="006D2D95"/>
    <w:rsid w:val="006D71B0"/>
    <w:rsid w:val="006D71DF"/>
    <w:rsid w:val="006E21C6"/>
    <w:rsid w:val="006F1019"/>
    <w:rsid w:val="006F15D2"/>
    <w:rsid w:val="006F7C4F"/>
    <w:rsid w:val="00714D78"/>
    <w:rsid w:val="007217EE"/>
    <w:rsid w:val="00724498"/>
    <w:rsid w:val="007303E5"/>
    <w:rsid w:val="00736907"/>
    <w:rsid w:val="0075204D"/>
    <w:rsid w:val="00752DA3"/>
    <w:rsid w:val="00763CD2"/>
    <w:rsid w:val="0076522A"/>
    <w:rsid w:val="007707E3"/>
    <w:rsid w:val="00772353"/>
    <w:rsid w:val="0077399E"/>
    <w:rsid w:val="0078097A"/>
    <w:rsid w:val="00783715"/>
    <w:rsid w:val="007873DE"/>
    <w:rsid w:val="0078798E"/>
    <w:rsid w:val="00791B7A"/>
    <w:rsid w:val="00792B2D"/>
    <w:rsid w:val="007A1051"/>
    <w:rsid w:val="007B019B"/>
    <w:rsid w:val="007C0625"/>
    <w:rsid w:val="007C15AC"/>
    <w:rsid w:val="007C74CE"/>
    <w:rsid w:val="007E5B97"/>
    <w:rsid w:val="007E6453"/>
    <w:rsid w:val="007E6BFA"/>
    <w:rsid w:val="007E6FAA"/>
    <w:rsid w:val="007F042C"/>
    <w:rsid w:val="007F216A"/>
    <w:rsid w:val="007F4688"/>
    <w:rsid w:val="00806029"/>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0CA6"/>
    <w:rsid w:val="008C64CC"/>
    <w:rsid w:val="008D05C1"/>
    <w:rsid w:val="008D2E1A"/>
    <w:rsid w:val="008E16F1"/>
    <w:rsid w:val="008E7FBF"/>
    <w:rsid w:val="008F2C11"/>
    <w:rsid w:val="008F4729"/>
    <w:rsid w:val="008F52FA"/>
    <w:rsid w:val="008F67AC"/>
    <w:rsid w:val="008F757D"/>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758F3"/>
    <w:rsid w:val="00983B30"/>
    <w:rsid w:val="009853BF"/>
    <w:rsid w:val="0098663F"/>
    <w:rsid w:val="00992A2E"/>
    <w:rsid w:val="00992AB2"/>
    <w:rsid w:val="0099755A"/>
    <w:rsid w:val="009A0424"/>
    <w:rsid w:val="009A0D67"/>
    <w:rsid w:val="009A10C2"/>
    <w:rsid w:val="009A31BA"/>
    <w:rsid w:val="009A3E46"/>
    <w:rsid w:val="009A42AD"/>
    <w:rsid w:val="009A43A5"/>
    <w:rsid w:val="009B2566"/>
    <w:rsid w:val="009B77DF"/>
    <w:rsid w:val="009C12AB"/>
    <w:rsid w:val="009C20C0"/>
    <w:rsid w:val="009C29B9"/>
    <w:rsid w:val="009D0218"/>
    <w:rsid w:val="009D173B"/>
    <w:rsid w:val="009D63BC"/>
    <w:rsid w:val="009E04B6"/>
    <w:rsid w:val="009E2A41"/>
    <w:rsid w:val="009F055D"/>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2870"/>
    <w:rsid w:val="00AB37ED"/>
    <w:rsid w:val="00AC081D"/>
    <w:rsid w:val="00AC5A33"/>
    <w:rsid w:val="00AC766D"/>
    <w:rsid w:val="00AC7F46"/>
    <w:rsid w:val="00AD26B3"/>
    <w:rsid w:val="00AD442D"/>
    <w:rsid w:val="00AD77A9"/>
    <w:rsid w:val="00AE3026"/>
    <w:rsid w:val="00AE3F48"/>
    <w:rsid w:val="00AF6E1F"/>
    <w:rsid w:val="00B007A9"/>
    <w:rsid w:val="00B010D9"/>
    <w:rsid w:val="00B03A96"/>
    <w:rsid w:val="00B03AE3"/>
    <w:rsid w:val="00B05B6E"/>
    <w:rsid w:val="00B060ED"/>
    <w:rsid w:val="00B1212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AFC"/>
    <w:rsid w:val="00BC6C68"/>
    <w:rsid w:val="00BD35E0"/>
    <w:rsid w:val="00BD3610"/>
    <w:rsid w:val="00BE0803"/>
    <w:rsid w:val="00BE1918"/>
    <w:rsid w:val="00BF6206"/>
    <w:rsid w:val="00BF6B3B"/>
    <w:rsid w:val="00C02173"/>
    <w:rsid w:val="00C120A4"/>
    <w:rsid w:val="00C13A29"/>
    <w:rsid w:val="00C14459"/>
    <w:rsid w:val="00C14BFB"/>
    <w:rsid w:val="00C21F92"/>
    <w:rsid w:val="00C24F01"/>
    <w:rsid w:val="00C25F2B"/>
    <w:rsid w:val="00C27457"/>
    <w:rsid w:val="00C32265"/>
    <w:rsid w:val="00C32DA0"/>
    <w:rsid w:val="00C34DB2"/>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5AD6"/>
    <w:rsid w:val="00F02D15"/>
    <w:rsid w:val="00F03E1C"/>
    <w:rsid w:val="00F16292"/>
    <w:rsid w:val="00F25F89"/>
    <w:rsid w:val="00F2770F"/>
    <w:rsid w:val="00F3115B"/>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12B1"/>
    <w:rsid w:val="00FB2E22"/>
    <w:rsid w:val="00FB5348"/>
    <w:rsid w:val="00FB5796"/>
    <w:rsid w:val="00FB6F1A"/>
    <w:rsid w:val="00FC04EC"/>
    <w:rsid w:val="00FC302B"/>
    <w:rsid w:val="00FC5DCD"/>
    <w:rsid w:val="00FD493A"/>
    <w:rsid w:val="00FE5AD6"/>
    <w:rsid w:val="00FF04A6"/>
    <w:rsid w:val="01611451"/>
    <w:rsid w:val="01CD2E9D"/>
    <w:rsid w:val="02A057FF"/>
    <w:rsid w:val="04C57FAE"/>
    <w:rsid w:val="07733ED3"/>
    <w:rsid w:val="079A26F9"/>
    <w:rsid w:val="0A4A5AB2"/>
    <w:rsid w:val="0B2D22A7"/>
    <w:rsid w:val="12043882"/>
    <w:rsid w:val="13706DBD"/>
    <w:rsid w:val="15990155"/>
    <w:rsid w:val="188565EC"/>
    <w:rsid w:val="1A225CA1"/>
    <w:rsid w:val="1A3902E2"/>
    <w:rsid w:val="1D3D2567"/>
    <w:rsid w:val="1DE978C4"/>
    <w:rsid w:val="226F1C2A"/>
    <w:rsid w:val="24E915BF"/>
    <w:rsid w:val="271413DF"/>
    <w:rsid w:val="27821D05"/>
    <w:rsid w:val="27AF44E3"/>
    <w:rsid w:val="284941DC"/>
    <w:rsid w:val="2A9B65A1"/>
    <w:rsid w:val="2AA71F8F"/>
    <w:rsid w:val="2C5953F9"/>
    <w:rsid w:val="301A7EDF"/>
    <w:rsid w:val="32493792"/>
    <w:rsid w:val="34AE374B"/>
    <w:rsid w:val="35AD3EF5"/>
    <w:rsid w:val="371619FA"/>
    <w:rsid w:val="381249E3"/>
    <w:rsid w:val="3AB0548E"/>
    <w:rsid w:val="3C627C9C"/>
    <w:rsid w:val="3FD9391B"/>
    <w:rsid w:val="417325FA"/>
    <w:rsid w:val="41980640"/>
    <w:rsid w:val="41E424CB"/>
    <w:rsid w:val="4247403B"/>
    <w:rsid w:val="454D157F"/>
    <w:rsid w:val="470B1985"/>
    <w:rsid w:val="48413985"/>
    <w:rsid w:val="49956296"/>
    <w:rsid w:val="4D6F2CBC"/>
    <w:rsid w:val="4DF1687C"/>
    <w:rsid w:val="4E155F34"/>
    <w:rsid w:val="539E39DD"/>
    <w:rsid w:val="55E82BF9"/>
    <w:rsid w:val="5B9F5659"/>
    <w:rsid w:val="5FCA2E7D"/>
    <w:rsid w:val="636E5F81"/>
    <w:rsid w:val="64D65536"/>
    <w:rsid w:val="65060E7A"/>
    <w:rsid w:val="65D103CC"/>
    <w:rsid w:val="66A36C22"/>
    <w:rsid w:val="6B990923"/>
    <w:rsid w:val="6F925502"/>
    <w:rsid w:val="70A46938"/>
    <w:rsid w:val="725310CC"/>
    <w:rsid w:val="72827E86"/>
    <w:rsid w:val="77983195"/>
    <w:rsid w:val="7C433F8A"/>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99"/>
    <w:pPr>
      <w:ind w:firstLine="425"/>
    </w:pPr>
    <w:rPr>
      <w:rFonts w:ascii="Times New Roman" w:hAnsi="Times New Roman" w:eastAsia="宋体" w:cs="Times New Roman"/>
      <w:szCs w:val="20"/>
    </w:rPr>
  </w:style>
  <w:style w:type="paragraph" w:styleId="8">
    <w:name w:val="caption"/>
    <w:basedOn w:val="1"/>
    <w:next w:val="1"/>
    <w:qFormat/>
    <w:uiPriority w:val="99"/>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w:basedOn w:val="1"/>
    <w:link w:val="33"/>
    <w:semiHidden/>
    <w:unhideWhenUsed/>
    <w:qFormat/>
    <w:uiPriority w:val="99"/>
    <w:pPr>
      <w:spacing w:after="120"/>
    </w:pPr>
  </w:style>
  <w:style w:type="paragraph" w:styleId="11">
    <w:name w:val="Body Text Indent"/>
    <w:basedOn w:val="1"/>
    <w:link w:val="3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4"/>
    <w:qFormat/>
    <w:uiPriority w:val="99"/>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kern w:val="0"/>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kern w:val="0"/>
      <w:sz w:val="28"/>
      <w:szCs w:val="28"/>
    </w:rPr>
  </w:style>
  <w:style w:type="character" w:customStyle="1" w:styleId="32">
    <w:name w:val="正文文本 3 Char"/>
    <w:basedOn w:val="24"/>
    <w:link w:val="9"/>
    <w:qFormat/>
    <w:uiPriority w:val="0"/>
    <w:rPr>
      <w:rFonts w:ascii="Times New Roman" w:hAnsi="Times New Roman" w:eastAsia="宋体" w:cs="Times New Roman"/>
      <w:color w:val="FF0000"/>
      <w:sz w:val="24"/>
      <w:szCs w:val="24"/>
    </w:rPr>
  </w:style>
  <w:style w:type="character" w:customStyle="1" w:styleId="33">
    <w:name w:val="正文文本 Char"/>
    <w:basedOn w:val="24"/>
    <w:link w:val="10"/>
    <w:semiHidden/>
    <w:qFormat/>
    <w:uiPriority w:val="99"/>
  </w:style>
  <w:style w:type="character" w:customStyle="1" w:styleId="34">
    <w:name w:val="正文文本缩进 Char"/>
    <w:basedOn w:val="24"/>
    <w:qFormat/>
    <w:uiPriority w:val="0"/>
  </w:style>
  <w:style w:type="character" w:customStyle="1" w:styleId="35">
    <w:name w:val="正文文本缩进 Char1"/>
    <w:basedOn w:val="24"/>
    <w:link w:val="11"/>
    <w:qFormat/>
    <w:uiPriority w:val="99"/>
    <w:rPr>
      <w:kern w:val="0"/>
      <w:sz w:val="24"/>
      <w:szCs w:val="20"/>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批注框文本 Char"/>
    <w:basedOn w:val="24"/>
    <w:semiHidden/>
    <w:qFormat/>
    <w:uiPriority w:val="99"/>
    <w:rPr>
      <w:sz w:val="18"/>
      <w:szCs w:val="18"/>
    </w:rPr>
  </w:style>
  <w:style w:type="character" w:customStyle="1" w:styleId="39">
    <w:name w:val="批注框文本 Char1"/>
    <w:basedOn w:val="24"/>
    <w:link w:val="16"/>
    <w:semiHidden/>
    <w:qFormat/>
    <w:uiPriority w:val="99"/>
    <w:rPr>
      <w:sz w:val="18"/>
      <w:szCs w:val="18"/>
    </w:rPr>
  </w:style>
  <w:style w:type="character" w:customStyle="1" w:styleId="40">
    <w:name w:val="页脚 Char"/>
    <w:basedOn w:val="24"/>
    <w:link w:val="17"/>
    <w:qFormat/>
    <w:uiPriority w:val="99"/>
    <w:rPr>
      <w:sz w:val="18"/>
      <w:szCs w:val="18"/>
    </w:rPr>
  </w:style>
  <w:style w:type="character" w:customStyle="1" w:styleId="41">
    <w:name w:val="页眉 Char"/>
    <w:basedOn w:val="24"/>
    <w:link w:val="18"/>
    <w:qFormat/>
    <w:uiPriority w:val="99"/>
    <w:rPr>
      <w:sz w:val="18"/>
      <w:szCs w:val="18"/>
    </w:rPr>
  </w:style>
  <w:style w:type="character" w:customStyle="1" w:styleId="42">
    <w:name w:val="HTML 预设格式 Char"/>
    <w:basedOn w:val="24"/>
    <w:semiHidden/>
    <w:qFormat/>
    <w:uiPriority w:val="99"/>
    <w:rPr>
      <w:rFonts w:ascii="宋体" w:hAnsi="宋体" w:eastAsia="宋体" w:cs="宋体"/>
      <w:kern w:val="0"/>
      <w:sz w:val="24"/>
      <w:szCs w:val="24"/>
    </w:rPr>
  </w:style>
  <w:style w:type="character" w:customStyle="1" w:styleId="43">
    <w:name w:val="HTML 预设格式 Char1"/>
    <w:basedOn w:val="24"/>
    <w:link w:val="20"/>
    <w:semiHidden/>
    <w:qFormat/>
    <w:uiPriority w:val="99"/>
    <w:rPr>
      <w:rFonts w:ascii="Courier New" w:hAnsi="Courier New" w:cs="Courier New"/>
      <w:sz w:val="20"/>
      <w:szCs w:val="20"/>
    </w:rPr>
  </w:style>
  <w:style w:type="character" w:customStyle="1" w:styleId="44">
    <w:name w:val="正文首行缩进 Char"/>
    <w:basedOn w:val="33"/>
    <w:link w:val="22"/>
    <w:qFormat/>
    <w:uiPriority w:val="99"/>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7">
    <w:name w:val="List Paragraph"/>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4"/>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9">
    <w:name w:val="纯文本1"/>
    <w:basedOn w:val="1"/>
    <w:qFormat/>
    <w:uiPriority w:val="0"/>
    <w:rPr>
      <w:rFonts w:ascii="宋体" w:hAnsi="Courier New"/>
      <w:kern w:val="0"/>
      <w:sz w:val="20"/>
      <w:szCs w:val="21"/>
    </w:rPr>
  </w:style>
  <w:style w:type="paragraph" w:customStyle="1" w:styleId="60">
    <w:name w:val="无间隔1"/>
    <w:basedOn w:val="1"/>
    <w:qFormat/>
    <w:uiPriority w:val="99"/>
    <w:pPr>
      <w:spacing w:line="400" w:lineRule="exact"/>
    </w:pPr>
    <w:rPr>
      <w:rFonts w:ascii="Calibri" w:hAnsi="Calibri" w:eastAsia="宋体" w:cs="Times New Roman"/>
      <w:sz w:val="24"/>
    </w:rPr>
  </w:style>
  <w:style w:type="paragraph" w:customStyle="1" w:styleId="61">
    <w:name w:val="*正文"/>
    <w:basedOn w:val="1"/>
    <w:qFormat/>
    <w:uiPriority w:val="99"/>
    <w:pPr>
      <w:keepNext/>
      <w:keepLines/>
      <w:spacing w:line="360" w:lineRule="auto"/>
      <w:ind w:firstLine="200" w:firstLineChars="200"/>
    </w:pPr>
    <w:rPr>
      <w:rFonts w:ascii="宋体" w:hAnsi="宋体"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A2B0A-EEBA-4481-81CE-9FFCE6362CD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77</Pages>
  <Words>6510</Words>
  <Characters>37108</Characters>
  <Lines>309</Lines>
  <Paragraphs>87</Paragraphs>
  <TotalTime>0</TotalTime>
  <ScaleCrop>false</ScaleCrop>
  <LinksUpToDate>false</LinksUpToDate>
  <CharactersWithSpaces>43531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华联世纪工程咨询股份有限公司:王啸</cp:lastModifiedBy>
  <dcterms:modified xsi:type="dcterms:W3CDTF">2020-05-25T04:29:50Z</dcterms:modified>
  <cp:revision>658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