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许昌市中心医院“许昌市中心医院新院区大型医疗设备采购项目（五）(不见面开标)”项目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084" w:firstLineChars="300"/>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项目编号：ZFCG-G2020</w:t>
      </w:r>
      <w:r>
        <w:rPr>
          <w:rFonts w:hint="eastAsia" w:asciiTheme="majorEastAsia" w:hAnsiTheme="majorEastAsia" w:eastAsiaTheme="majorEastAsia" w:cstheme="majorEastAsia"/>
          <w:b/>
          <w:bCs/>
          <w:color w:val="000000"/>
          <w:sz w:val="36"/>
          <w:szCs w:val="36"/>
          <w:lang w:val="en-US" w:eastAsia="zh-CN"/>
        </w:rPr>
        <w:t>066</w:t>
      </w:r>
      <w:r>
        <w:rPr>
          <w:rFonts w:hint="eastAsia" w:asciiTheme="majorEastAsia" w:hAnsiTheme="majorEastAsia" w:eastAsiaTheme="majorEastAsia" w:cstheme="majorEastAsia"/>
          <w:b/>
          <w:bCs/>
          <w:color w:val="000000"/>
          <w:sz w:val="36"/>
          <w:szCs w:val="36"/>
        </w:rPr>
        <w:t>号</w:t>
      </w:r>
    </w:p>
    <w:p>
      <w:pPr>
        <w:ind w:firstLine="1084" w:firstLineChars="300"/>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采购单位：许昌市中心医院</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代理机构：许昌市政府采购服务中心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二〇二〇年</w:t>
      </w:r>
      <w:r>
        <w:rPr>
          <w:rFonts w:hint="eastAsia" w:asciiTheme="majorEastAsia" w:hAnsiTheme="majorEastAsia" w:eastAsiaTheme="majorEastAsia" w:cstheme="majorEastAsia"/>
          <w:b/>
          <w:bCs/>
          <w:color w:val="000000"/>
          <w:sz w:val="36"/>
          <w:szCs w:val="36"/>
          <w:lang w:eastAsia="zh-CN"/>
        </w:rPr>
        <w:t>五</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二十二</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1"/>
        <w:widowControl/>
        <w:shd w:val="clear" w:color="auto" w:fill="FFFFFF"/>
        <w:spacing w:line="360" w:lineRule="auto"/>
        <w:ind w:firstLine="420" w:firstLineChars="200"/>
        <w:contextualSpacing/>
        <w:jc w:val="left"/>
        <w:rPr>
          <w:color w:val="000000"/>
          <w:sz w:val="21"/>
          <w:szCs w:val="21"/>
          <w:shd w:val="clear" w:color="auto" w:fill="FFFFFF"/>
        </w:rPr>
      </w:pPr>
    </w:p>
    <w:p>
      <w:pPr>
        <w:pStyle w:val="21"/>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rPr>
        <w:t>许昌市政府采购服务中心(以下简称采购中心) 受许昌市中心医院的委托，对“许昌市中心医院新院区大型医疗设备采购项目（五）(不见面开标)”项目进行公开招标。现邀请符合本招标文件规定条件的投标人前来投标。</w:t>
      </w:r>
    </w:p>
    <w:p>
      <w:pPr>
        <w:pStyle w:val="21"/>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（一）项目名称：许昌市中心医院新院区大型医疗设备采购项目（五）(不见面开标)</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（二）项目编号：ZFCG-G202</w:t>
      </w:r>
      <w:r>
        <w:rPr>
          <w:rFonts w:hint="eastAsia" w:cs="仿宋_GB2312" w:asciiTheme="minorEastAsia" w:hAnsiTheme="minorEastAsia" w:eastAsiaTheme="minorEastAsia"/>
          <w:color w:val="000000"/>
          <w:sz w:val="21"/>
          <w:szCs w:val="21"/>
          <w:shd w:val="clear" w:color="auto" w:fill="FFFFFF"/>
          <w:lang w:val="en-US" w:eastAsia="zh-CN"/>
        </w:rPr>
        <w:t>0</w:t>
      </w:r>
      <w:r>
        <w:rPr>
          <w:rFonts w:hint="eastAsia" w:cs="仿宋_GB2312" w:asciiTheme="minorEastAsia" w:hAnsiTheme="minorEastAsia" w:eastAsiaTheme="minorEastAsia"/>
          <w:color w:val="000000"/>
          <w:sz w:val="21"/>
          <w:szCs w:val="21"/>
          <w:shd w:val="clear" w:color="auto" w:fill="FFFFFF"/>
        </w:rPr>
        <w:t>0</w:t>
      </w:r>
      <w:r>
        <w:rPr>
          <w:rFonts w:hint="eastAsia" w:cs="仿宋_GB2312" w:asciiTheme="minorEastAsia" w:hAnsiTheme="minorEastAsia" w:eastAsiaTheme="minorEastAsia"/>
          <w:color w:val="000000"/>
          <w:sz w:val="21"/>
          <w:szCs w:val="21"/>
          <w:shd w:val="clear" w:color="auto" w:fill="FFFFFF"/>
          <w:lang w:val="en-US" w:eastAsia="zh-CN"/>
        </w:rPr>
        <w:t>66</w:t>
      </w:r>
      <w:r>
        <w:rPr>
          <w:rFonts w:hint="eastAsia" w:cs="仿宋_GB2312" w:asciiTheme="minorEastAsia" w:hAnsiTheme="minorEastAsia" w:eastAsiaTheme="minorEastAsia"/>
          <w:color w:val="000000"/>
          <w:sz w:val="21"/>
          <w:szCs w:val="21"/>
          <w:shd w:val="clear" w:color="auto" w:fill="FFFFFF"/>
        </w:rPr>
        <w:t xml:space="preserve">号    </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（三）采购方式：公开招标                                                                                                                         </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（四）项目主要内容、数量及要求：移动CT机1台</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（五）预算金额：850万元。最高限价：850万</w:t>
      </w:r>
      <w:r>
        <w:rPr>
          <w:rFonts w:hint="eastAsia" w:cs="仿宋_GB2312" w:asciiTheme="minorEastAsia" w:hAnsiTheme="minorEastAsia" w:eastAsiaTheme="minorEastAsia"/>
          <w:color w:val="000000"/>
          <w:sz w:val="21"/>
          <w:szCs w:val="21"/>
          <w:shd w:val="clear" w:color="auto" w:fill="FFFFFF"/>
          <w:lang w:eastAsia="zh-CN"/>
        </w:rPr>
        <w:t>元</w:t>
      </w:r>
      <w:r>
        <w:rPr>
          <w:rFonts w:hint="eastAsia" w:cs="仿宋_GB2312" w:asciiTheme="minorEastAsia" w:hAnsiTheme="minorEastAsia" w:eastAsiaTheme="minorEastAsia"/>
          <w:color w:val="000000"/>
          <w:sz w:val="21"/>
          <w:szCs w:val="21"/>
          <w:shd w:val="clear" w:color="auto" w:fill="FFFFFF"/>
        </w:rPr>
        <w:t>。</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w:t>
      </w:r>
      <w:bookmarkStart w:id="0" w:name="交付日期"/>
      <w:r>
        <w:rPr>
          <w:rFonts w:hint="eastAsia" w:cs="仿宋_GB2312" w:asciiTheme="minorEastAsia" w:hAnsiTheme="minorEastAsia" w:eastAsiaTheme="minorEastAsia"/>
          <w:color w:val="000000"/>
          <w:sz w:val="21"/>
          <w:szCs w:val="21"/>
          <w:shd w:val="clear" w:color="auto" w:fill="FFFFFF"/>
        </w:rPr>
        <w:t>自合同生效之日起</w:t>
      </w:r>
      <w:bookmarkEnd w:id="0"/>
      <w:r>
        <w:rPr>
          <w:rFonts w:hint="eastAsia" w:cs="仿宋_GB2312" w:asciiTheme="minorEastAsia" w:hAnsiTheme="minorEastAsia" w:eastAsiaTheme="minorEastAsia"/>
          <w:color w:val="000000"/>
          <w:sz w:val="21"/>
          <w:szCs w:val="21"/>
          <w:shd w:val="clear" w:color="auto" w:fill="FFFFFF"/>
        </w:rPr>
        <w:t>90日历天</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（七）交付（服务、完工）地点：许昌市中心医院新院区</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（八）进口产品：允许。</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）严重违法失信名单的社会组织。</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(三)本次招标不接受联合体投标。</w:t>
      </w:r>
    </w:p>
    <w:p>
      <w:pPr>
        <w:pStyle w:val="21"/>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（四）1、 投标人为产品制造商时，提供有效的《医疗器械生产许可证》（国外制造商除外）； 2、投标人为产品代理商或经销商时，提供有效的《医疗器械经营许可证》。</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w:t>
      </w:r>
      <w:r>
        <w:t xml:space="preserve"> </w:t>
      </w:r>
      <w:r>
        <w:rPr>
          <w:rFonts w:cs="仿宋_GB2312" w:asciiTheme="minorEastAsia" w:hAnsiTheme="minorEastAsia" w:eastAsiaTheme="minorEastAsia"/>
          <w:color w:val="000000"/>
          <w:sz w:val="21"/>
          <w:szCs w:val="21"/>
          <w:shd w:val="clear" w:color="auto" w:fill="FFFFFF"/>
        </w:rPr>
        <w:t>ggzy.xuchang.gov.cn:8088/ggzy/eps/public/RegistAllJcxx.html</w:t>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w:t>
      </w:r>
      <w:r>
        <w:rPr>
          <w:rFonts w:cs="仿宋_GB2312" w:asciiTheme="minorEastAsia" w:hAnsiTheme="minorEastAsia" w:eastAsiaTheme="minorEastAsia"/>
          <w:color w:val="000000"/>
          <w:sz w:val="21"/>
          <w:szCs w:val="21"/>
          <w:shd w:val="clear" w:color="auto" w:fill="FFFFFF"/>
        </w:rPr>
        <w:t>ggzy.xuchang.gov.cn:8088/ggzy/</w:t>
      </w:r>
      <w:r>
        <w:rPr>
          <w:rFonts w:hint="eastAsia" w:cs="仿宋_GB2312" w:asciiTheme="minorEastAsia" w:hAnsiTheme="minorEastAsia" w:eastAsiaTheme="minorEastAsia"/>
          <w:color w:val="000000"/>
          <w:sz w:val="21"/>
          <w:szCs w:val="21"/>
          <w:shd w:val="clear" w:color="auto" w:fill="FFFFFF"/>
        </w:rPr>
        <w:t>）自行免费下载招标文件（详见“常见问题解答-交易系统操作手册”）。</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000000"/>
          <w:sz w:val="21"/>
          <w:szCs w:val="21"/>
        </w:rPr>
        <w:t>（一）投标截止及开标时间：2020</w:t>
      </w:r>
      <w:r>
        <w:rPr>
          <w:rFonts w:hint="eastAsia" w:cs="仿宋_GB2312" w:asciiTheme="minorEastAsia" w:hAnsiTheme="minorEastAsia" w:eastAsiaTheme="minorEastAsia"/>
          <w:color w:val="auto"/>
          <w:sz w:val="21"/>
          <w:szCs w:val="21"/>
        </w:rPr>
        <w:t>年</w:t>
      </w:r>
      <w:r>
        <w:rPr>
          <w:rFonts w:hint="eastAsia" w:cs="仿宋_GB2312" w:asciiTheme="minorEastAsia" w:hAnsiTheme="minorEastAsia" w:eastAsiaTheme="minorEastAsia"/>
          <w:color w:val="auto"/>
          <w:sz w:val="21"/>
          <w:szCs w:val="21"/>
          <w:lang w:val="en-US" w:eastAsia="zh-CN"/>
        </w:rPr>
        <w:t>6</w:t>
      </w:r>
      <w:r>
        <w:rPr>
          <w:rFonts w:hint="eastAsia" w:cs="仿宋_GB2312" w:asciiTheme="minorEastAsia" w:hAnsiTheme="minorEastAsia" w:eastAsiaTheme="minorEastAsia"/>
          <w:color w:val="auto"/>
          <w:sz w:val="21"/>
          <w:szCs w:val="21"/>
        </w:rPr>
        <w:t>月</w:t>
      </w:r>
      <w:r>
        <w:rPr>
          <w:rFonts w:hint="eastAsia" w:cs="仿宋_GB2312" w:asciiTheme="minorEastAsia" w:hAnsiTheme="minorEastAsia" w:eastAsiaTheme="minorEastAsia"/>
          <w:color w:val="auto"/>
          <w:sz w:val="21"/>
          <w:szCs w:val="21"/>
          <w:lang w:val="en-US" w:eastAsia="zh-CN"/>
        </w:rPr>
        <w:t>19</w:t>
      </w:r>
      <w:r>
        <w:rPr>
          <w:rFonts w:hint="eastAsia" w:cs="仿宋_GB2312" w:asciiTheme="minorEastAsia" w:hAnsiTheme="minorEastAsia" w:eastAsiaTheme="minorEastAsia"/>
          <w:color w:val="auto"/>
          <w:sz w:val="21"/>
          <w:szCs w:val="21"/>
        </w:rPr>
        <w:t>日</w:t>
      </w:r>
      <w:r>
        <w:rPr>
          <w:rFonts w:hint="eastAsia" w:cs="仿宋_GB2312" w:asciiTheme="minorEastAsia" w:hAnsiTheme="minorEastAsia" w:eastAsiaTheme="minorEastAsia"/>
          <w:color w:val="auto"/>
          <w:sz w:val="21"/>
          <w:szCs w:val="21"/>
          <w:lang w:val="en-US" w:eastAsia="zh-CN"/>
        </w:rPr>
        <w:t>8</w:t>
      </w:r>
      <w:r>
        <w:rPr>
          <w:rFonts w:hint="eastAsia" w:cs="仿宋_GB2312" w:asciiTheme="minorEastAsia" w:hAnsiTheme="minorEastAsia" w:eastAsiaTheme="minorEastAsia"/>
          <w:color w:val="auto"/>
          <w:sz w:val="21"/>
          <w:szCs w:val="21"/>
        </w:rPr>
        <w:t>时</w:t>
      </w:r>
      <w:r>
        <w:rPr>
          <w:rFonts w:hint="eastAsia" w:cs="仿宋_GB2312" w:asciiTheme="minorEastAsia" w:hAnsiTheme="minorEastAsia" w:eastAsiaTheme="minorEastAsia"/>
          <w:color w:val="auto"/>
          <w:sz w:val="21"/>
          <w:szCs w:val="21"/>
          <w:lang w:val="en-US" w:eastAsia="zh-CN"/>
        </w:rPr>
        <w:t>30</w:t>
      </w:r>
      <w:r>
        <w:rPr>
          <w:rFonts w:hint="eastAsia" w:cs="仿宋_GB2312" w:asciiTheme="minorEastAsia" w:hAnsiTheme="minorEastAsia" w:eastAsiaTheme="minorEastAsia"/>
          <w:color w:val="auto"/>
          <w:sz w:val="21"/>
          <w:szCs w:val="21"/>
        </w:rPr>
        <w:t>分（北京时间），逾期提交或不符合规定的投标文件不予接受。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（二）开标地点：许昌市公共资源交易中心三楼开标</w:t>
      </w:r>
      <w:r>
        <w:rPr>
          <w:rFonts w:hint="eastAsia" w:cs="仿宋_GB2312" w:asciiTheme="minorEastAsia" w:hAnsiTheme="minorEastAsia" w:eastAsiaTheme="minorEastAsia"/>
          <w:color w:val="auto"/>
          <w:sz w:val="21"/>
          <w:szCs w:val="21"/>
          <w:lang w:eastAsia="zh-CN"/>
        </w:rPr>
        <w:t>三</w:t>
      </w:r>
      <w:r>
        <w:rPr>
          <w:rFonts w:hint="eastAsia" w:cs="仿宋_GB2312" w:asciiTheme="minorEastAsia" w:hAnsiTheme="minorEastAsia" w:eastAsiaTheme="minorEastAsia"/>
          <w:color w:val="auto"/>
          <w:sz w:val="21"/>
          <w:szCs w:val="21"/>
        </w:rPr>
        <w:t>室。（</w:t>
      </w:r>
      <w:r>
        <w:rPr>
          <w:rFonts w:hint="eastAsia" w:cs="Arial" w:asciiTheme="minorEastAsia" w:hAnsiTheme="minorEastAsia" w:eastAsiaTheme="minorEastAsia"/>
          <w:b/>
          <w:color w:val="auto"/>
          <w:sz w:val="21"/>
          <w:szCs w:val="21"/>
        </w:rPr>
        <w:t>本项目采用远程不见面开标，投标人无须到现场</w:t>
      </w:r>
      <w:r>
        <w:rPr>
          <w:rFonts w:hint="eastAsia" w:cs="Arial" w:asciiTheme="minorEastAsia" w:hAnsiTheme="minorEastAsia" w:eastAsiaTheme="minorEastAsia"/>
          <w:color w:val="auto"/>
          <w:sz w:val="21"/>
          <w:szCs w:val="21"/>
        </w:rPr>
        <w:t>）</w:t>
      </w:r>
      <w:r>
        <w:rPr>
          <w:rFonts w:hint="eastAsia" w:cs="仿宋_GB2312" w:asciiTheme="minorEastAsia" w:hAnsiTheme="minorEastAsia" w:eastAsiaTheme="minorEastAsia"/>
          <w:color w:val="auto"/>
          <w:sz w:val="21"/>
          <w:szCs w:val="21"/>
        </w:rPr>
        <w:t>。</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（三） 本项目为全流程电子化交易项目，投标人须提交电子投标文件。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1、加密电子投标文件</w:t>
      </w:r>
      <w:r>
        <w:rPr>
          <w:rFonts w:hint="eastAsia" w:cs="宋体" w:asciiTheme="minorEastAsia" w:hAnsiTheme="minorEastAsia"/>
          <w:color w:val="auto"/>
          <w:sz w:val="21"/>
          <w:szCs w:val="21"/>
        </w:rPr>
        <w:t>（</w:t>
      </w:r>
      <w:r>
        <w:rPr>
          <w:rFonts w:asciiTheme="minorEastAsia" w:hAnsiTheme="minorEastAsia" w:eastAsiaTheme="minorEastAsia"/>
          <w:color w:val="auto"/>
          <w:sz w:val="21"/>
          <w:szCs w:val="21"/>
        </w:rPr>
        <w:t>.file</w:t>
      </w:r>
      <w:r>
        <w:rPr>
          <w:rFonts w:hint="eastAsia" w:cs="宋体" w:asciiTheme="minorEastAsia" w:hAnsiTheme="minorEastAsia"/>
          <w:color w:val="auto"/>
          <w:sz w:val="21"/>
          <w:szCs w:val="21"/>
        </w:rPr>
        <w:t>格式）须</w:t>
      </w:r>
      <w:r>
        <w:rPr>
          <w:rFonts w:hint="eastAsia" w:cs="仿宋_GB2312" w:asciiTheme="minorEastAsia" w:hAnsiTheme="minorEastAsia" w:eastAsiaTheme="minorEastAsia"/>
          <w:color w:val="auto"/>
          <w:sz w:val="21"/>
          <w:szCs w:val="21"/>
        </w:rPr>
        <w:t>在投标截止时间（开标时间）前通过《全国公共资源交易平台(河南省</w:t>
      </w:r>
      <w:r>
        <w:rPr>
          <w:rFonts w:hint="eastAsia" w:ascii="MS Mincho" w:hAnsi="MS Mincho" w:eastAsia="MS Mincho" w:cs="MS Mincho"/>
          <w:color w:val="auto"/>
          <w:sz w:val="21"/>
          <w:szCs w:val="21"/>
        </w:rPr>
        <w:t>▪</w:t>
      </w:r>
      <w:r>
        <w:rPr>
          <w:rFonts w:hint="eastAsia" w:ascii="宋体" w:hAnsi="宋体" w:cs="宋体"/>
          <w:color w:val="auto"/>
          <w:sz w:val="21"/>
          <w:szCs w:val="21"/>
        </w:rPr>
        <w:t>许昌市</w:t>
      </w:r>
      <w:r>
        <w:rPr>
          <w:rFonts w:hint="eastAsia" w:cs="仿宋_GB2312" w:asciiTheme="minorEastAsia" w:hAnsiTheme="minorEastAsia" w:eastAsiaTheme="minorEastAsia"/>
          <w:color w:val="auto"/>
          <w:sz w:val="21"/>
          <w:szCs w:val="21"/>
        </w:rPr>
        <w:t>)》公共资源交易系统成功上传。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2、开标时间前，投标人</w:t>
      </w:r>
      <w:r>
        <w:rPr>
          <w:rFonts w:hint="eastAsia" w:cs="仿宋_GB2312" w:asciiTheme="minorEastAsia" w:hAnsiTheme="minorEastAsia" w:eastAsiaTheme="minorEastAsia"/>
          <w:color w:val="auto"/>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Pr>
          <w:rFonts w:hint="eastAsia" w:cs="仿宋_GB2312" w:asciiTheme="minorEastAsia" w:hAnsiTheme="minorEastAsia" w:eastAsiaTheme="minorEastAsia"/>
          <w:color w:val="auto"/>
          <w:sz w:val="21"/>
          <w:szCs w:val="21"/>
        </w:rPr>
        <w:t>按照开标时间准时参加线上开标，进行远程解密、在线询问、电子签章等。</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六、本次招标公告同时在《中国政府采购网》、《河南省政府采购网》、《许昌市政府采购网》、《全国公共资源交易平台（河南省·许昌市）》、《中国·许昌 许昌市政府网》发布。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本招标公告自发布之日起公告期限为5个工作日。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rPr>
      </w:pPr>
      <w:r>
        <w:rPr>
          <w:rFonts w:hint="eastAsia" w:cs="黑体" w:asciiTheme="minorEastAsia" w:hAnsiTheme="minorEastAsia" w:eastAsiaTheme="minorEastAsia"/>
          <w:b/>
          <w:bCs/>
          <w:color w:val="auto"/>
          <w:sz w:val="21"/>
          <w:szCs w:val="21"/>
        </w:rPr>
        <w:t>八、联系方式</w:t>
      </w:r>
    </w:p>
    <w:p>
      <w:pPr>
        <w:adjustRightInd w:val="0"/>
        <w:spacing w:line="360" w:lineRule="auto"/>
        <w:ind w:firstLine="843" w:firstLineChars="400"/>
        <w:contextualSpacing/>
        <w:jc w:val="left"/>
        <w:rPr>
          <w:rFonts w:ascii="宋体" w:hAnsi="宋体"/>
          <w:szCs w:val="21"/>
        </w:rPr>
      </w:pPr>
      <w:r>
        <w:rPr>
          <w:rFonts w:hint="eastAsia" w:ascii="宋体" w:hAnsi="宋体"/>
          <w:b/>
          <w:color w:val="auto"/>
          <w:szCs w:val="21"/>
        </w:rPr>
        <w:t>采购人</w:t>
      </w:r>
      <w:r>
        <w:rPr>
          <w:rFonts w:hint="eastAsia" w:ascii="宋体" w:hAnsi="宋体"/>
          <w:color w:val="auto"/>
          <w:szCs w:val="21"/>
        </w:rPr>
        <w:t>：</w:t>
      </w:r>
      <w:r>
        <w:rPr>
          <w:rFonts w:hint="eastAsia" w:ascii="宋体" w:hAnsi="宋体"/>
          <w:szCs w:val="21"/>
        </w:rPr>
        <w:t>许昌市中心医院</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地址：许昌市魏都区华佗路30号</w:t>
      </w:r>
    </w:p>
    <w:p>
      <w:pPr>
        <w:adjustRightInd w:val="0"/>
        <w:spacing w:line="360" w:lineRule="auto"/>
        <w:ind w:firstLine="840" w:firstLineChars="400"/>
        <w:contextualSpacing/>
        <w:jc w:val="left"/>
        <w:rPr>
          <w:rFonts w:ascii="宋体" w:hAnsi="宋体"/>
          <w:szCs w:val="21"/>
        </w:rPr>
      </w:pPr>
      <w:r>
        <w:rPr>
          <w:rFonts w:hint="eastAsia" w:ascii="宋体" w:hAnsi="宋体"/>
          <w:szCs w:val="21"/>
        </w:rPr>
        <w:t>联系人：李岩                  联系电话：13137431907</w:t>
      </w:r>
    </w:p>
    <w:p>
      <w:pPr>
        <w:adjustRightInd w:val="0"/>
        <w:spacing w:line="360" w:lineRule="auto"/>
        <w:ind w:firstLine="843" w:firstLineChars="400"/>
        <w:contextualSpacing/>
        <w:jc w:val="left"/>
        <w:rPr>
          <w:rFonts w:ascii="宋体" w:hAnsi="宋体"/>
          <w:color w:val="auto"/>
          <w:szCs w:val="21"/>
        </w:rPr>
      </w:pPr>
      <w:r>
        <w:rPr>
          <w:rFonts w:hint="eastAsia" w:ascii="宋体" w:hAnsi="宋体"/>
          <w:b/>
          <w:color w:val="auto"/>
          <w:szCs w:val="21"/>
        </w:rPr>
        <w:t>集中采购机构</w:t>
      </w:r>
      <w:r>
        <w:rPr>
          <w:rFonts w:hint="eastAsia" w:ascii="宋体" w:hAnsi="宋体"/>
          <w:color w:val="auto"/>
          <w:szCs w:val="21"/>
        </w:rPr>
        <w:t xml:space="preserve">：许昌市政府采购服务中心 </w:t>
      </w:r>
    </w:p>
    <w:p>
      <w:pPr>
        <w:adjustRightInd w:val="0"/>
        <w:spacing w:line="360" w:lineRule="auto"/>
        <w:ind w:firstLine="840" w:firstLineChars="400"/>
        <w:contextualSpacing/>
        <w:jc w:val="left"/>
        <w:rPr>
          <w:rFonts w:ascii="宋体" w:hAnsi="宋体"/>
          <w:color w:val="auto"/>
          <w:szCs w:val="21"/>
        </w:rPr>
      </w:pPr>
      <w:r>
        <w:rPr>
          <w:rFonts w:hint="eastAsia" w:ascii="宋体" w:hAnsi="宋体"/>
          <w:color w:val="auto"/>
          <w:szCs w:val="21"/>
        </w:rPr>
        <w:t>地址：许昌市</w:t>
      </w:r>
      <w:r>
        <w:rPr>
          <w:rFonts w:cs="Arial" w:asciiTheme="minorEastAsia" w:hAnsiTheme="minorEastAsia"/>
          <w:color w:val="auto"/>
          <w:szCs w:val="21"/>
        </w:rPr>
        <w:t>龙兴路与竹林路交汇处</w:t>
      </w:r>
      <w:r>
        <w:rPr>
          <w:rFonts w:hint="eastAsia" w:cs="仿宋_GB2312" w:asciiTheme="minorEastAsia" w:hAnsiTheme="minorEastAsia"/>
          <w:color w:val="auto"/>
          <w:szCs w:val="21"/>
        </w:rPr>
        <w:t>创业服务中心C座</w:t>
      </w:r>
    </w:p>
    <w:p>
      <w:pPr>
        <w:adjustRightInd w:val="0"/>
        <w:spacing w:line="360" w:lineRule="auto"/>
        <w:ind w:firstLine="840" w:firstLineChars="400"/>
        <w:contextualSpacing/>
        <w:jc w:val="left"/>
        <w:rPr>
          <w:rFonts w:hint="default" w:ascii="宋体" w:hAnsi="宋体" w:eastAsiaTheme="minorEastAsia"/>
          <w:color w:val="auto"/>
          <w:szCs w:val="21"/>
          <w:lang w:val="en-US" w:eastAsia="zh-CN"/>
        </w:rPr>
      </w:pPr>
      <w:r>
        <w:rPr>
          <w:rFonts w:hint="eastAsia" w:ascii="宋体" w:hAnsi="宋体"/>
          <w:color w:val="auto"/>
          <w:szCs w:val="21"/>
        </w:rPr>
        <w:t>联系人：</w:t>
      </w:r>
      <w:r>
        <w:rPr>
          <w:rFonts w:hint="eastAsia" w:ascii="宋体" w:hAnsi="宋体"/>
          <w:color w:val="auto"/>
          <w:szCs w:val="21"/>
          <w:lang w:eastAsia="zh-CN"/>
        </w:rPr>
        <w:t>杨女士</w:t>
      </w:r>
      <w:r>
        <w:rPr>
          <w:rFonts w:hint="eastAsia" w:ascii="宋体" w:hAnsi="宋体"/>
          <w:color w:val="auto"/>
          <w:szCs w:val="21"/>
        </w:rPr>
        <w:t xml:space="preserve">                 联系电话：</w:t>
      </w:r>
      <w:bookmarkStart w:id="1" w:name="联系人电话"/>
      <w:r>
        <w:rPr>
          <w:rFonts w:ascii="宋体" w:hAnsi="宋体"/>
          <w:color w:val="auto"/>
          <w:szCs w:val="21"/>
        </w:rPr>
        <w:t>0</w:t>
      </w:r>
      <w:bookmarkEnd w:id="1"/>
      <w:r>
        <w:rPr>
          <w:rFonts w:hint="eastAsia" w:ascii="宋体" w:hAnsi="宋体"/>
          <w:color w:val="auto"/>
          <w:szCs w:val="21"/>
        </w:rPr>
        <w:t>374-</w:t>
      </w:r>
      <w:r>
        <w:rPr>
          <w:rFonts w:hint="eastAsia" w:ascii="宋体" w:hAnsi="宋体"/>
          <w:color w:val="auto"/>
          <w:szCs w:val="21"/>
          <w:lang w:val="en-US" w:eastAsia="zh-CN"/>
        </w:rPr>
        <w:t>296</w:t>
      </w:r>
      <w:bookmarkStart w:id="14" w:name="_GoBack"/>
      <w:bookmarkEnd w:id="14"/>
      <w:r>
        <w:rPr>
          <w:rFonts w:hint="eastAsia" w:ascii="宋体" w:hAnsi="宋体"/>
          <w:color w:val="auto"/>
          <w:szCs w:val="21"/>
          <w:lang w:val="en-US" w:eastAsia="zh-CN"/>
        </w:rPr>
        <w:t>8687</w:t>
      </w:r>
    </w:p>
    <w:p>
      <w:pPr>
        <w:adjustRightInd w:val="0"/>
        <w:snapToGrid w:val="0"/>
        <w:spacing w:line="360" w:lineRule="auto"/>
        <w:ind w:firstLine="840" w:firstLineChars="400"/>
        <w:jc w:val="left"/>
        <w:rPr>
          <w:rFonts w:ascii="宋体" w:hAnsi="宋体"/>
          <w:color w:val="auto"/>
          <w:szCs w:val="21"/>
        </w:rPr>
      </w:pPr>
    </w:p>
    <w:p>
      <w:pPr>
        <w:adjustRightInd w:val="0"/>
        <w:snapToGrid w:val="0"/>
        <w:spacing w:line="360" w:lineRule="auto"/>
        <w:ind w:firstLine="840" w:firstLineChars="400"/>
        <w:jc w:val="left"/>
        <w:rPr>
          <w:rFonts w:ascii="宋体" w:hAnsi="宋体"/>
          <w:color w:val="auto"/>
          <w:szCs w:val="21"/>
        </w:rPr>
      </w:pPr>
    </w:p>
    <w:p>
      <w:pPr>
        <w:adjustRightInd w:val="0"/>
        <w:snapToGrid w:val="0"/>
        <w:spacing w:line="360" w:lineRule="auto"/>
        <w:ind w:firstLine="840" w:firstLineChars="400"/>
        <w:jc w:val="right"/>
        <w:rPr>
          <w:rFonts w:hint="eastAsia" w:ascii="宋体" w:hAnsi="宋体"/>
          <w:szCs w:val="21"/>
        </w:rPr>
      </w:pPr>
      <w:r>
        <w:rPr>
          <w:rFonts w:hint="eastAsia" w:ascii="宋体" w:hAnsi="宋体"/>
          <w:szCs w:val="21"/>
        </w:rPr>
        <w:t>许昌市中心医院</w:t>
      </w:r>
    </w:p>
    <w:p>
      <w:pPr>
        <w:adjustRightInd w:val="0"/>
        <w:snapToGrid w:val="0"/>
        <w:spacing w:line="360" w:lineRule="auto"/>
        <w:ind w:firstLine="840" w:firstLineChars="400"/>
        <w:jc w:val="right"/>
        <w:rPr>
          <w:rFonts w:ascii="宋体" w:hAnsi="宋体"/>
          <w:color w:val="auto"/>
          <w:szCs w:val="21"/>
        </w:rPr>
      </w:pPr>
      <w:r>
        <w:rPr>
          <w:rFonts w:hint="eastAsia" w:ascii="宋体" w:hAnsi="宋体"/>
          <w:color w:val="auto"/>
          <w:szCs w:val="21"/>
        </w:rPr>
        <w:t>二〇二〇年</w:t>
      </w:r>
      <w:r>
        <w:rPr>
          <w:rFonts w:hint="eastAsia" w:ascii="宋体" w:hAnsi="宋体"/>
          <w:color w:val="auto"/>
          <w:szCs w:val="21"/>
          <w:lang w:eastAsia="zh-CN"/>
        </w:rPr>
        <w:t>五</w:t>
      </w:r>
      <w:r>
        <w:rPr>
          <w:rFonts w:hint="eastAsia" w:ascii="宋体" w:hAnsi="宋体"/>
          <w:color w:val="auto"/>
          <w:szCs w:val="21"/>
        </w:rPr>
        <w:t>月</w:t>
      </w:r>
      <w:r>
        <w:rPr>
          <w:rFonts w:hint="eastAsia" w:ascii="宋体" w:hAnsi="宋体"/>
          <w:color w:val="auto"/>
          <w:szCs w:val="21"/>
          <w:lang w:eastAsia="zh-CN"/>
        </w:rPr>
        <w:t>二十二</w:t>
      </w:r>
      <w:r>
        <w:rPr>
          <w:rFonts w:hint="eastAsia" w:ascii="宋体" w:hAnsi="宋体"/>
          <w:color w:val="auto"/>
          <w:szCs w:val="21"/>
        </w:rPr>
        <w:t>日</w:t>
      </w:r>
    </w:p>
    <w:p>
      <w:pPr>
        <w:adjustRightInd w:val="0"/>
        <w:snapToGrid w:val="0"/>
        <w:spacing w:line="360" w:lineRule="auto"/>
        <w:ind w:firstLine="840" w:firstLineChars="400"/>
        <w:jc w:val="left"/>
        <w:rPr>
          <w:rFonts w:ascii="宋体" w:hAnsi="宋体"/>
          <w:color w:val="auto"/>
          <w:szCs w:val="21"/>
        </w:rPr>
      </w:pPr>
    </w:p>
    <w:p>
      <w:pPr>
        <w:spacing w:line="360" w:lineRule="auto"/>
        <w:rPr>
          <w:rFonts w:hAnsi="宋体"/>
          <w:b/>
          <w:color w:val="auto"/>
          <w:sz w:val="28"/>
          <w:szCs w:val="28"/>
        </w:rPr>
      </w:pPr>
      <w:r>
        <w:rPr>
          <w:rFonts w:hint="eastAsia" w:hAnsi="宋体"/>
          <w:b/>
          <w:color w:val="auto"/>
          <w:sz w:val="28"/>
          <w:szCs w:val="28"/>
        </w:rPr>
        <w:t>温馨提示：</w:t>
      </w:r>
    </w:p>
    <w:p>
      <w:pPr>
        <w:spacing w:line="360" w:lineRule="auto"/>
        <w:ind w:firstLine="562" w:firstLineChars="200"/>
        <w:rPr>
          <w:rFonts w:hAnsi="宋体"/>
          <w:b/>
          <w:color w:val="auto"/>
          <w:sz w:val="28"/>
          <w:szCs w:val="28"/>
        </w:rPr>
      </w:pPr>
      <w:r>
        <w:rPr>
          <w:rFonts w:hint="eastAsia" w:hAnsi="宋体"/>
          <w:b/>
          <w:color w:val="auto"/>
          <w:sz w:val="28"/>
          <w:szCs w:val="28"/>
        </w:rPr>
        <w:t>本项目为全流程电子化交易项目，请认真阅读招标文件，并注意以下事项。</w:t>
      </w:r>
    </w:p>
    <w:p>
      <w:pPr>
        <w:pStyle w:val="22"/>
        <w:ind w:firstLine="321"/>
        <w:rPr>
          <w:rFonts w:ascii="仿宋_GB2312" w:eastAsia="仿宋_GB2312"/>
          <w:b/>
          <w:color w:val="auto"/>
          <w:sz w:val="32"/>
          <w:szCs w:val="32"/>
        </w:rPr>
      </w:pP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1.</w:t>
      </w:r>
      <w:r>
        <w:rPr>
          <w:rFonts w:hint="eastAsia" w:hAnsi="宋体"/>
          <w:b/>
          <w:color w:val="auto"/>
          <w:szCs w:val="21"/>
        </w:rPr>
        <w:t>投标人应按招标文件规定编制、提交、解密电子投标文件。</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2</w:t>
      </w:r>
      <w:r>
        <w:rPr>
          <w:rFonts w:asciiTheme="minorEastAsia" w:hAnsiTheme="minorEastAsia"/>
          <w:b/>
          <w:color w:val="auto"/>
          <w:szCs w:val="21"/>
        </w:rPr>
        <w:t>.</w:t>
      </w:r>
      <w:r>
        <w:rPr>
          <w:rFonts w:hint="eastAsia" w:hAnsi="宋体"/>
          <w:b/>
          <w:color w:val="auto"/>
          <w:szCs w:val="21"/>
        </w:rPr>
        <w:t>电子文件下载、制作、提交期间和远程不见面开标（</w:t>
      </w:r>
      <w:r>
        <w:rPr>
          <w:rFonts w:hint="eastAsia" w:hAnsi="宋体"/>
          <w:color w:val="auto"/>
          <w:szCs w:val="21"/>
        </w:rPr>
        <w:t>电子投标文件的解密</w:t>
      </w:r>
      <w:r>
        <w:rPr>
          <w:rFonts w:hint="eastAsia" w:hAnsi="宋体"/>
          <w:b/>
          <w:color w:val="auto"/>
          <w:szCs w:val="21"/>
        </w:rPr>
        <w:t>）环节，投标人须使用同一个</w:t>
      </w:r>
      <w:r>
        <w:rPr>
          <w:rFonts w:hAnsi="宋体"/>
          <w:b/>
          <w:color w:val="auto"/>
          <w:szCs w:val="21"/>
        </w:rPr>
        <w:t>CA数字证书</w:t>
      </w:r>
      <w:r>
        <w:rPr>
          <w:rFonts w:hint="eastAsia" w:hAnsi="宋体"/>
          <w:b/>
          <w:color w:val="auto"/>
          <w:szCs w:val="21"/>
        </w:rPr>
        <w:t>（证书须在有效期内并可正常使用）</w:t>
      </w:r>
      <w:r>
        <w:rPr>
          <w:rFonts w:hAnsi="宋体"/>
          <w:b/>
          <w:color w:val="auto"/>
          <w:szCs w:val="21"/>
        </w:rPr>
        <w:t>。</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3</w:t>
      </w:r>
      <w:r>
        <w:rPr>
          <w:rFonts w:hint="eastAsia" w:asciiTheme="minorEastAsia" w:hAnsiTheme="minorEastAsia"/>
          <w:b/>
          <w:color w:val="auto"/>
          <w:szCs w:val="21"/>
        </w:rPr>
        <w:t>.</w:t>
      </w:r>
      <w:r>
        <w:rPr>
          <w:rFonts w:hint="eastAsia" w:hAnsi="宋体"/>
          <w:b/>
          <w:color w:val="auto"/>
          <w:szCs w:val="21"/>
        </w:rPr>
        <w:t>电子投标文件的制作</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 xml:space="preserve"> 投标人登录《全国公共资源交易平台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7"/>
          <w:rFonts w:hAnsi="宋体"/>
          <w:color w:val="auto"/>
          <w:szCs w:val="21"/>
        </w:rPr>
        <w:t>http://221.14.6.70:8088/ggzy/</w:t>
      </w:r>
      <w:r>
        <w:rPr>
          <w:rStyle w:val="27"/>
          <w:rFonts w:hAnsi="宋体"/>
          <w:color w:val="auto"/>
          <w:szCs w:val="21"/>
        </w:rPr>
        <w:fldChar w:fldCharType="end"/>
      </w:r>
      <w:r>
        <w:rPr>
          <w:rFonts w:hint="eastAsia" w:hAnsi="宋体"/>
          <w:color w:val="auto"/>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auto"/>
          <w:szCs w:val="21"/>
        </w:rPr>
        <w:t>电子投标文件的制作，参考《全国公共资源交易平台</w:t>
      </w:r>
      <w:r>
        <w:rPr>
          <w:rFonts w:hint="eastAsia" w:asciiTheme="minorEastAsia" w:hAnsiTheme="min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》公共资源交易系统——组件下载——交易系统操作手册（投标人、供应商</w:t>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w:t>
      </w:r>
      <w:r>
        <w:rPr>
          <w:rFonts w:hAnsi="宋体"/>
          <w:color w:val="auto"/>
          <w:szCs w:val="21"/>
        </w:rPr>
        <w:t>件要求在相应位置加盖</w:t>
      </w:r>
      <w:r>
        <w:rPr>
          <w:rFonts w:hint="eastAsia" w:hAnsi="宋体"/>
          <w:color w:val="auto"/>
          <w:szCs w:val="21"/>
        </w:rPr>
        <w:t>投标人</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一个标段对应生成一个文件夹（xxxx项目xx标段）,其中后缀名为“</w:t>
      </w:r>
      <w:r>
        <w:rPr>
          <w:rFonts w:hAnsi="宋体"/>
          <w:color w:val="auto"/>
          <w:szCs w:val="21"/>
        </w:rPr>
        <w:t>.file</w:t>
      </w:r>
      <w:r>
        <w:rPr>
          <w:rFonts w:hint="eastAsia" w:hAnsi="宋体"/>
          <w:color w:val="auto"/>
          <w:szCs w:val="21"/>
        </w:rPr>
        <w:t>”的文件用于电子投标使用。</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电子投标文件的提交</w:t>
      </w:r>
    </w:p>
    <w:p>
      <w:pPr>
        <w:tabs>
          <w:tab w:val="left" w:pos="7095"/>
        </w:tabs>
        <w:spacing w:line="360" w:lineRule="auto"/>
        <w:contextualSpacing/>
        <w:rPr>
          <w:rFonts w:hAnsi="宋体"/>
          <w:color w:val="auto"/>
          <w:szCs w:val="21"/>
        </w:rPr>
      </w:pPr>
      <w:r>
        <w:rPr>
          <w:rFonts w:hint="eastAsia" w:hAnsi="宋体"/>
          <w:color w:val="auto"/>
          <w:szCs w:val="21"/>
        </w:rPr>
        <w:t xml:space="preserve">    </w:t>
      </w: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电子投标文件应按规定在投标截止时间（开标时间）之前成功提交至《全国公共资源交易平台(河南省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7"/>
          <w:rFonts w:hAnsi="宋体"/>
          <w:color w:val="auto"/>
          <w:szCs w:val="21"/>
        </w:rPr>
        <w:t>http://221.14.6.70:8088/ggzy/</w:t>
      </w:r>
      <w:r>
        <w:rPr>
          <w:rStyle w:val="27"/>
          <w:rFonts w:hAnsi="宋体"/>
          <w:color w:val="auto"/>
          <w:szCs w:val="21"/>
        </w:rPr>
        <w:fldChar w:fldCharType="end"/>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投标人应充分考虑并预留技术处理和上传数据所需时间。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2 </w:t>
      </w:r>
      <w:r>
        <w:rPr>
          <w:rFonts w:hint="eastAsia" w:hAnsi="宋体"/>
          <w:color w:val="auto"/>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 xml:space="preserve"> 加密</w:t>
      </w:r>
      <w:r>
        <w:rPr>
          <w:rFonts w:hint="eastAsia" w:hAnsi="宋体"/>
          <w:color w:val="auto"/>
          <w:szCs w:val="21"/>
        </w:rPr>
        <w:t>电子投标文件成功提交后，《全国公共资源交易平台(河南省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7"/>
          <w:rFonts w:hAnsi="宋体"/>
          <w:color w:val="auto"/>
          <w:szCs w:val="21"/>
        </w:rPr>
        <w:t>http://221.14.6.70:8088/ggzy/</w:t>
      </w:r>
      <w:r>
        <w:rPr>
          <w:rStyle w:val="27"/>
          <w:rFonts w:hAnsi="宋体"/>
          <w:color w:val="auto"/>
          <w:szCs w:val="21"/>
        </w:rPr>
        <w:fldChar w:fldCharType="end"/>
      </w:r>
      <w:r>
        <w:rPr>
          <w:rFonts w:hint="eastAsia" w:hAnsi="宋体"/>
          <w:color w:val="auto"/>
          <w:szCs w:val="21"/>
        </w:rPr>
        <w:t>）</w:t>
      </w:r>
      <w:r>
        <w:rPr>
          <w:rFonts w:hint="eastAsia" w:cs="仿宋_GB2312" w:asciiTheme="minorEastAsia" w:hAnsiTheme="minorEastAsia"/>
          <w:color w:val="auto"/>
          <w:szCs w:val="21"/>
        </w:rPr>
        <w:t>生成“投标文件提交回执单”。</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5.远程不见面开标（</w:t>
      </w:r>
      <w:r>
        <w:rPr>
          <w:rFonts w:hint="eastAsia" w:hAnsi="宋体"/>
          <w:b/>
          <w:color w:val="auto"/>
          <w:szCs w:val="21"/>
        </w:rPr>
        <w:t>电子投标文件的解密</w:t>
      </w:r>
      <w:r>
        <w:rPr>
          <w:rFonts w:hint="eastAsia" w:asciiTheme="minorEastAsia" w:hAnsiTheme="minorEastAsia"/>
          <w:b/>
          <w:color w:val="auto"/>
          <w:szCs w:val="21"/>
        </w:rPr>
        <w:t>）</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w:t>
      </w:r>
      <w:r>
        <w:rPr>
          <w:rFonts w:hint="eastAsia" w:asciiTheme="minorEastAsia" w:hAnsiTheme="minorEastAsia"/>
          <w:color w:val="auto"/>
          <w:szCs w:val="21"/>
        </w:rPr>
        <w:t xml:space="preserve">1 </w:t>
      </w:r>
      <w:r>
        <w:rPr>
          <w:rFonts w:hint="eastAsia" w:hAnsi="宋体"/>
          <w:color w:val="auto"/>
          <w:szCs w:val="21"/>
        </w:rPr>
        <w:t>投标人应熟悉《许昌市不见面操作手册》，并提前设置不见面开标浏览器（设置流程详见《许昌市不见面操作手册》）。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 xml:space="preserve">5.2 </w:t>
      </w:r>
      <w:r>
        <w:rPr>
          <w:rFonts w:hint="eastAsia" w:hAnsi="宋体"/>
          <w:color w:val="auto"/>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auto"/>
          <w:szCs w:val="21"/>
        </w:rPr>
        <w:t>5.</w:t>
      </w:r>
      <w:r>
        <w:rPr>
          <w:rFonts w:asciiTheme="minorEastAsia" w:hAnsiTheme="minorEastAsia"/>
          <w:color w:val="auto"/>
          <w:szCs w:val="21"/>
        </w:rPr>
        <w:t>3</w:t>
      </w:r>
      <w:r>
        <w:rPr>
          <w:rFonts w:hint="eastAsia" w:cs="仿宋_GB2312" w:asciiTheme="minorEastAsia" w:hAnsiTheme="minorEastAsia"/>
          <w:color w:val="auto"/>
          <w:szCs w:val="21"/>
        </w:rPr>
        <w:t>开标时间前投标人应登录本项目不</w:t>
      </w:r>
      <w:r>
        <w:rPr>
          <w:rFonts w:hint="eastAsia" w:cs="仿宋_GB2312" w:asciiTheme="minorEastAsia" w:hAnsiTheme="minorEastAsia"/>
          <w:color w:val="000000"/>
          <w:szCs w:val="21"/>
        </w:rPr>
        <w:t>见面开标大厅，按照招标文件确定的开标时间准时参加网上开标。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5.4</w:t>
      </w:r>
      <w:r>
        <w:rPr>
          <w:rFonts w:hint="eastAsia" w:hAnsi="宋体"/>
          <w:color w:val="000000"/>
          <w:szCs w:val="21"/>
        </w:rPr>
        <w:t>投标人对开标过程和开标记录如有疑义，可在本项目不见面开标大厅“文字互动”对话框或“新增质疑”处在线提出询问。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000000"/>
          <w:szCs w:val="21"/>
        </w:rPr>
        <w:t>5.5根据采购代理机构在“文字互动”对话框的通知，投标人选择功能栏“解密环节”按钮进行电子投标文件解密（投标人解密应自采购代理机构点击“开标开始”按钮后60分钟内完成）。投标人未解密或</w:t>
      </w:r>
      <w:r>
        <w:rPr>
          <w:rFonts w:hint="eastAsia" w:cs="宋体" w:asciiTheme="minorEastAsia" w:hAnsiTheme="minorEastAsia"/>
          <w:kern w:val="0"/>
          <w:szCs w:val="21"/>
        </w:rPr>
        <w:t>因投标人原因解密失</w:t>
      </w:r>
      <w:r>
        <w:rPr>
          <w:rFonts w:hint="eastAsia" w:cs="宋体" w:asciiTheme="minorEastAsia" w:hAnsiTheme="minorEastAsia"/>
          <w:color w:val="auto"/>
          <w:kern w:val="0"/>
          <w:szCs w:val="21"/>
        </w:rPr>
        <w:t>败的，其投标将被拒绝。</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5.6项目远程</w:t>
      </w:r>
      <w:r>
        <w:rPr>
          <w:rFonts w:hint="eastAsia" w:hAnsi="宋体"/>
          <w:color w:val="auto"/>
          <w:szCs w:val="21"/>
        </w:rPr>
        <w:t>不见面开标活动结束时，投标人应在《开标记录表》上进行电子签章。投标人未签章的，视同认可开标结果。</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6.</w:t>
      </w:r>
      <w:r>
        <w:rPr>
          <w:rFonts w:hint="eastAsia" w:hAnsi="宋体"/>
          <w:b/>
          <w:color w:val="auto"/>
          <w:szCs w:val="21"/>
        </w:rPr>
        <w:t>评标依据</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6.1</w:t>
      </w:r>
      <w:r>
        <w:rPr>
          <w:rFonts w:hint="eastAsia" w:hAnsi="宋体"/>
          <w:color w:val="auto"/>
          <w:szCs w:val="21"/>
        </w:rPr>
        <w:t>全流程电子化交易（不见面开标）项目，评标委员会以成功上传、解密的电子投标文件为依据评审。</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6.2 评标期间，投标人应保持通讯手机畅通。</w:t>
      </w:r>
      <w:r>
        <w:rPr>
          <w:rFonts w:hint="eastAsia" w:cs="宋体" w:asciiTheme="minorEastAsia" w:hAnsiTheme="minorEastAsia"/>
          <w:color w:val="auto"/>
          <w:kern w:val="0"/>
          <w:szCs w:val="21"/>
        </w:rPr>
        <w:t>评标委员会</w:t>
      </w:r>
      <w:r>
        <w:rPr>
          <w:rFonts w:hint="eastAsia" w:asciiTheme="minorEastAsia" w:hAnsiTheme="minorEastAsia"/>
          <w:color w:val="auto"/>
          <w:szCs w:val="21"/>
        </w:rPr>
        <w:t>如</w:t>
      </w:r>
      <w:r>
        <w:rPr>
          <w:rFonts w:hint="eastAsia" w:cs="宋体" w:asciiTheme="minorEastAsia" w:hAnsiTheme="minorEastAsia"/>
          <w:color w:val="auto"/>
          <w:kern w:val="0"/>
          <w:szCs w:val="21"/>
        </w:rPr>
        <w:t>要求投标人作出澄清、说明或者补正等，投标人应在评标委员会要求的评标期间合理的时间内通过电子邮件形式提供。</w:t>
      </w:r>
    </w:p>
    <w:p>
      <w:pPr>
        <w:tabs>
          <w:tab w:val="left" w:pos="7095"/>
        </w:tabs>
        <w:spacing w:line="360" w:lineRule="auto"/>
        <w:ind w:firstLine="420" w:firstLineChars="200"/>
        <w:contextualSpacing/>
        <w:rPr>
          <w:color w:val="auto"/>
        </w:rPr>
      </w:pPr>
      <w:r>
        <w:rPr>
          <w:rFonts w:hint="eastAsia" w:cs="宋体" w:asciiTheme="minorEastAsia" w:hAnsiTheme="minorEastAsia"/>
          <w:color w:val="auto"/>
          <w:kern w:val="0"/>
          <w:szCs w:val="21"/>
        </w:rPr>
        <w:t>投标人通过电子邮件提供的书面说明或相关证明材料应加盖公章，或者由法定代表人或其授权的代表签字。</w:t>
      </w:r>
    </w:p>
    <w:p>
      <w:pPr>
        <w:tabs>
          <w:tab w:val="left" w:pos="7095"/>
        </w:tabs>
        <w:spacing w:line="360" w:lineRule="auto"/>
        <w:ind w:firstLine="420" w:firstLineChars="200"/>
        <w:contextualSpacing/>
        <w:rPr>
          <w:rFonts w:hAnsi="宋体"/>
          <w:color w:val="auto"/>
          <w:szCs w:val="21"/>
        </w:rPr>
      </w:pPr>
    </w:p>
    <w:p>
      <w:pPr>
        <w:widowControl/>
        <w:jc w:val="left"/>
        <w:rPr>
          <w:rFonts w:cs="宋体" w:asciiTheme="majorEastAsia" w:hAnsiTheme="majorEastAsia" w:eastAsiaTheme="majorEastAsia"/>
          <w:b/>
          <w:color w:val="auto"/>
          <w:kern w:val="0"/>
          <w:sz w:val="32"/>
          <w:szCs w:val="32"/>
        </w:rPr>
      </w:pPr>
      <w:r>
        <w:rPr>
          <w:rFonts w:cs="宋体" w:asciiTheme="majorEastAsia" w:hAnsiTheme="majorEastAsia" w:eastAsiaTheme="majorEastAsia"/>
          <w:b/>
          <w:color w:val="auto"/>
          <w:kern w:val="0"/>
          <w:sz w:val="32"/>
          <w:szCs w:val="32"/>
        </w:rPr>
        <w:br w:type="page"/>
      </w: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一、本项目需实现的功能或者目标</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设备需可移动至任何危重患者或术中患者身边进行扫描成像。2、设备需可使用墙上普通电源插座供电和充电，并可单独使用内置蓄电池供电工作。3、设备需具备X线自防护功能，操作人员可以安全的在近台操作和在远程隔室操作。4、需具备常规轴向扫描和螺旋容积扫描功能，并需具有CTA、CTP、3D VR等图像后处理功能。5、需可用无线WIFI将图像传输至工作站或医院PACS系统。6、需具有与神经外科导航系统兼容的功能。</w:t>
      </w: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rPr>
        <w:t>二、采购清单</w:t>
      </w:r>
    </w:p>
    <w:tbl>
      <w:tblPr>
        <w:tblStyle w:val="23"/>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418"/>
        <w:gridCol w:w="4252"/>
        <w:gridCol w:w="851"/>
        <w:gridCol w:w="85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货物名称</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技术规格及主要参数</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单位</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数量</w:t>
            </w:r>
          </w:p>
        </w:tc>
        <w:tc>
          <w:tcPr>
            <w:tcW w:w="1134" w:type="dxa"/>
            <w:tcBorders>
              <w:top w:val="single" w:color="auto" w:sz="4" w:space="0"/>
              <w:left w:val="single" w:color="auto" w:sz="4" w:space="0"/>
              <w:bottom w:val="single" w:color="auto" w:sz="4" w:space="0"/>
              <w:right w:val="single" w:color="auto" w:sz="4" w:space="0"/>
            </w:tcBorders>
          </w:tcPr>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是否为</w:t>
            </w:r>
          </w:p>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ascii="宋体" w:hAnsi="宋体" w:eastAsia="宋体" w:cs="宋体"/>
                <w:szCs w:val="21"/>
              </w:rPr>
            </w:pPr>
            <w:r>
              <w:rPr>
                <w:rFonts w:hint="eastAsia" w:ascii="宋体" w:hAnsi="宋体" w:eastAsia="宋体" w:cs="宋体"/>
                <w:szCs w:val="21"/>
              </w:rPr>
              <w:t>1</w:t>
            </w:r>
          </w:p>
          <w:p>
            <w:pPr>
              <w:rPr>
                <w:rFonts w:ascii="宋体" w:hAnsi="宋体" w:eastAsia="宋体" w:cs="宋体"/>
                <w:kern w:val="2"/>
                <w:sz w:val="21"/>
                <w:szCs w:val="21"/>
                <w:lang w:val="en-US" w:eastAsia="zh-CN" w:bidi="ar-SA"/>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textAlignment w:val="center"/>
              <w:rPr>
                <w:rFonts w:ascii="宋体" w:hAnsi="宋体" w:eastAsia="宋体" w:cs="宋体"/>
                <w:kern w:val="2"/>
                <w:sz w:val="21"/>
                <w:szCs w:val="21"/>
                <w:lang w:val="en-US" w:eastAsia="zh-CN" w:bidi="ar-SA"/>
              </w:rPr>
            </w:pPr>
            <w:r>
              <w:rPr>
                <w:rFonts w:hint="eastAsia" w:ascii="宋体" w:hAnsi="宋体" w:eastAsia="宋体" w:cs="宋体"/>
                <w:szCs w:val="21"/>
              </w:rPr>
              <w:t>移动CT机</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top"/>
          </w:tcPr>
          <w:p>
            <w:pPr>
              <w:spacing w:line="360" w:lineRule="auto"/>
              <w:rPr>
                <w:szCs w:val="21"/>
              </w:rPr>
            </w:pPr>
            <w:r>
              <w:rPr>
                <w:rFonts w:hint="eastAsia"/>
                <w:szCs w:val="21"/>
              </w:rPr>
              <w:t>一、基本要求</w:t>
            </w:r>
          </w:p>
          <w:p>
            <w:pPr>
              <w:spacing w:line="360" w:lineRule="auto"/>
              <w:rPr>
                <w:szCs w:val="21"/>
              </w:rPr>
            </w:pPr>
            <w:r>
              <w:rPr>
                <w:rFonts w:hint="eastAsia"/>
                <w:szCs w:val="21"/>
              </w:rPr>
              <w:t>1、设备需可移动至任何危重患者或术中患者身边进行扫描成像。</w:t>
            </w:r>
          </w:p>
          <w:p>
            <w:pPr>
              <w:spacing w:line="360" w:lineRule="auto"/>
              <w:rPr>
                <w:szCs w:val="21"/>
              </w:rPr>
            </w:pPr>
            <w:r>
              <w:rPr>
                <w:rFonts w:hint="eastAsia"/>
                <w:szCs w:val="21"/>
              </w:rPr>
              <w:t>2、设备需可使用墙上普通电源插座供电和充电，并可单独使用内置蓄电池供电工作。</w:t>
            </w:r>
          </w:p>
          <w:p>
            <w:pPr>
              <w:spacing w:line="360" w:lineRule="auto"/>
              <w:rPr>
                <w:szCs w:val="21"/>
              </w:rPr>
            </w:pPr>
            <w:r>
              <w:rPr>
                <w:rFonts w:hint="eastAsia"/>
                <w:szCs w:val="21"/>
              </w:rPr>
              <w:t>3、设备需具备X线自防护功能，操作人员可以安全的在近台操作和在远程隔室操作。</w:t>
            </w:r>
          </w:p>
          <w:p>
            <w:pPr>
              <w:spacing w:line="360" w:lineRule="auto"/>
              <w:rPr>
                <w:szCs w:val="21"/>
              </w:rPr>
            </w:pPr>
            <w:r>
              <w:rPr>
                <w:rFonts w:hint="eastAsia"/>
                <w:szCs w:val="21"/>
              </w:rPr>
              <w:t>4、需具备常规轴向扫描和螺旋容积扫描功能，并需具有CTA、CTP、3D VR等图像后处理功能。</w:t>
            </w:r>
          </w:p>
          <w:p>
            <w:pPr>
              <w:spacing w:line="360" w:lineRule="auto"/>
              <w:rPr>
                <w:szCs w:val="21"/>
              </w:rPr>
            </w:pPr>
            <w:r>
              <w:rPr>
                <w:rFonts w:hint="eastAsia"/>
                <w:szCs w:val="21"/>
              </w:rPr>
              <w:t>5、需可用无线WIFI将图像传输至工作站或医院PACS系统。</w:t>
            </w:r>
          </w:p>
          <w:p>
            <w:pPr>
              <w:spacing w:line="360" w:lineRule="auto"/>
              <w:rPr>
                <w:szCs w:val="21"/>
              </w:rPr>
            </w:pPr>
            <w:r>
              <w:rPr>
                <w:rFonts w:hint="eastAsia"/>
                <w:szCs w:val="21"/>
              </w:rPr>
              <w:t>6、需具有与神经外科导航系统兼容的功能。</w:t>
            </w:r>
          </w:p>
          <w:p>
            <w:pPr>
              <w:spacing w:line="360" w:lineRule="auto"/>
              <w:rPr>
                <w:szCs w:val="21"/>
              </w:rPr>
            </w:pPr>
            <w:r>
              <w:rPr>
                <w:rFonts w:hint="eastAsia"/>
                <w:szCs w:val="21"/>
              </w:rPr>
              <w:t xml:space="preserve">二、扫描架系统 </w:t>
            </w:r>
          </w:p>
          <w:p>
            <w:pPr>
              <w:spacing w:line="360" w:lineRule="auto"/>
              <w:rPr>
                <w:szCs w:val="21"/>
              </w:rPr>
            </w:pPr>
            <w:r>
              <w:rPr>
                <w:rFonts w:hint="eastAsia"/>
                <w:szCs w:val="21"/>
              </w:rPr>
              <w:t>1、扫描架孔径需≥32cm。</w:t>
            </w:r>
          </w:p>
          <w:p>
            <w:pPr>
              <w:spacing w:line="360" w:lineRule="auto"/>
              <w:rPr>
                <w:szCs w:val="21"/>
              </w:rPr>
            </w:pPr>
            <w:r>
              <w:rPr>
                <w:rFonts w:hint="eastAsia"/>
                <w:szCs w:val="21"/>
              </w:rPr>
              <w:t>2、滑环类型需为低压滑环。</w:t>
            </w:r>
          </w:p>
          <w:p>
            <w:pPr>
              <w:spacing w:line="360" w:lineRule="auto"/>
              <w:rPr>
                <w:szCs w:val="21"/>
              </w:rPr>
            </w:pPr>
            <w:r>
              <w:rPr>
                <w:rFonts w:hint="eastAsia"/>
                <w:szCs w:val="21"/>
              </w:rPr>
              <w:t xml:space="preserve">3、需具有风冷式冷却方式。 </w:t>
            </w:r>
          </w:p>
          <w:p>
            <w:pPr>
              <w:spacing w:line="360" w:lineRule="auto"/>
              <w:rPr>
                <w:szCs w:val="21"/>
              </w:rPr>
            </w:pPr>
            <w:r>
              <w:rPr>
                <w:rFonts w:hint="eastAsia"/>
                <w:szCs w:val="21"/>
              </w:rPr>
              <w:t>4、需具有固体探测器。</w:t>
            </w:r>
          </w:p>
          <w:p>
            <w:pPr>
              <w:spacing w:line="360" w:lineRule="auto"/>
              <w:rPr>
                <w:szCs w:val="21"/>
              </w:rPr>
            </w:pPr>
            <w:r>
              <w:rPr>
                <w:rFonts w:hint="eastAsia"/>
                <w:szCs w:val="21"/>
              </w:rPr>
              <w:t xml:space="preserve">5、探测器排数需≥8 排。 </w:t>
            </w:r>
          </w:p>
          <w:p>
            <w:pPr>
              <w:spacing w:line="360" w:lineRule="auto"/>
              <w:rPr>
                <w:color w:val="auto"/>
                <w:szCs w:val="21"/>
              </w:rPr>
            </w:pPr>
            <w:r>
              <w:rPr>
                <w:rFonts w:hint="eastAsia"/>
                <w:szCs w:val="21"/>
              </w:rPr>
              <w:t>6、探测器单元需≥</w:t>
            </w:r>
            <w:r>
              <w:rPr>
                <w:rFonts w:hint="eastAsia"/>
                <w:color w:val="auto"/>
                <w:szCs w:val="21"/>
              </w:rPr>
              <w:t xml:space="preserve">3264个。 </w:t>
            </w:r>
          </w:p>
          <w:p>
            <w:pPr>
              <w:spacing w:line="360" w:lineRule="auto"/>
              <w:rPr>
                <w:b/>
                <w:bCs/>
                <w:color w:val="auto"/>
                <w:szCs w:val="21"/>
              </w:rPr>
            </w:pPr>
            <w:r>
              <w:rPr>
                <w:rFonts w:hint="eastAsia"/>
                <w:b/>
                <w:bCs/>
                <w:color w:val="auto"/>
                <w:szCs w:val="21"/>
              </w:rPr>
              <w:t>7、工作电源电压需符合国内市电标准，不需进行转换。</w:t>
            </w:r>
          </w:p>
          <w:p>
            <w:pPr>
              <w:spacing w:line="360" w:lineRule="auto"/>
              <w:rPr>
                <w:color w:val="auto"/>
                <w:szCs w:val="21"/>
              </w:rPr>
            </w:pPr>
            <w:r>
              <w:rPr>
                <w:rFonts w:hint="eastAsia"/>
                <w:color w:val="auto"/>
                <w:szCs w:val="21"/>
              </w:rPr>
              <w:t>8、电源功率需≥1.3KW。</w:t>
            </w:r>
          </w:p>
          <w:p>
            <w:pPr>
              <w:spacing w:line="360" w:lineRule="auto"/>
              <w:rPr>
                <w:color w:val="auto"/>
                <w:szCs w:val="21"/>
              </w:rPr>
            </w:pPr>
            <w:r>
              <w:rPr>
                <w:rFonts w:hint="eastAsia"/>
                <w:color w:val="auto"/>
                <w:szCs w:val="21"/>
              </w:rPr>
              <w:t xml:space="preserve">9、内置蓄电池充电时间需≤2小时，扫描架上需具备加密的 USB 闪存接口。 </w:t>
            </w:r>
          </w:p>
          <w:p>
            <w:pPr>
              <w:spacing w:line="360" w:lineRule="auto"/>
              <w:rPr>
                <w:szCs w:val="21"/>
              </w:rPr>
            </w:pPr>
            <w:r>
              <w:rPr>
                <w:rFonts w:hint="eastAsia"/>
                <w:color w:val="auto"/>
                <w:szCs w:val="21"/>
              </w:rPr>
              <w:t>10、需可只通过机架移</w:t>
            </w:r>
            <w:r>
              <w:rPr>
                <w:rFonts w:hint="eastAsia"/>
                <w:szCs w:val="21"/>
              </w:rPr>
              <w:t xml:space="preserve">动完成扫描，病人和床可保持不动。 </w:t>
            </w:r>
          </w:p>
          <w:p>
            <w:pPr>
              <w:spacing w:line="360" w:lineRule="auto"/>
              <w:rPr>
                <w:szCs w:val="21"/>
              </w:rPr>
            </w:pPr>
            <w:r>
              <w:rPr>
                <w:rFonts w:hint="eastAsia"/>
                <w:szCs w:val="21"/>
              </w:rPr>
              <w:t>11、对于卧床病人需能够直接扫描，可不将病人搬离病床扫描。</w:t>
            </w:r>
          </w:p>
          <w:p>
            <w:pPr>
              <w:spacing w:line="360" w:lineRule="auto"/>
              <w:rPr>
                <w:szCs w:val="21"/>
              </w:rPr>
            </w:pPr>
            <w:r>
              <w:rPr>
                <w:rFonts w:hint="eastAsia"/>
                <w:szCs w:val="21"/>
              </w:rPr>
              <w:t>12、需具备机载≥10英寸LCD触摸控制屏。</w:t>
            </w:r>
          </w:p>
          <w:p>
            <w:pPr>
              <w:spacing w:line="360" w:lineRule="auto"/>
              <w:rPr>
                <w:szCs w:val="21"/>
              </w:rPr>
            </w:pPr>
            <w:r>
              <w:rPr>
                <w:rFonts w:hint="eastAsia"/>
                <w:szCs w:val="21"/>
              </w:rPr>
              <w:t xml:space="preserve">13、触摸屏需具有密码锁功能，可防止非授权使用。 </w:t>
            </w:r>
          </w:p>
          <w:p>
            <w:pPr>
              <w:spacing w:line="360" w:lineRule="auto"/>
              <w:rPr>
                <w:szCs w:val="21"/>
              </w:rPr>
            </w:pPr>
            <w:r>
              <w:rPr>
                <w:rFonts w:hint="eastAsia"/>
                <w:szCs w:val="21"/>
              </w:rPr>
              <w:t>14、需具备 WIFI无线图像传输系统。</w:t>
            </w:r>
          </w:p>
          <w:p>
            <w:pPr>
              <w:spacing w:line="360" w:lineRule="auto"/>
              <w:rPr>
                <w:szCs w:val="21"/>
              </w:rPr>
            </w:pPr>
            <w:r>
              <w:rPr>
                <w:rFonts w:hint="eastAsia"/>
                <w:szCs w:val="21"/>
              </w:rPr>
              <w:t xml:space="preserve">15、扫描架内需附有≥0.5mm铅当量的铅衬。 </w:t>
            </w:r>
          </w:p>
          <w:p>
            <w:pPr>
              <w:spacing w:line="360" w:lineRule="auto"/>
              <w:rPr>
                <w:szCs w:val="21"/>
              </w:rPr>
            </w:pPr>
            <w:r>
              <w:rPr>
                <w:rFonts w:hint="eastAsia"/>
                <w:szCs w:val="21"/>
              </w:rPr>
              <w:t xml:space="preserve">16、扫描孔处前后需设有铅挂帘。 </w:t>
            </w:r>
          </w:p>
          <w:p>
            <w:pPr>
              <w:spacing w:line="360" w:lineRule="auto"/>
              <w:rPr>
                <w:szCs w:val="21"/>
              </w:rPr>
            </w:pPr>
            <w:r>
              <w:rPr>
                <w:rFonts w:hint="eastAsia"/>
                <w:szCs w:val="21"/>
              </w:rPr>
              <w:t>17、扫描状态下扫描中心高度需≥97cm。</w:t>
            </w:r>
          </w:p>
          <w:p>
            <w:pPr>
              <w:spacing w:line="360" w:lineRule="auto"/>
              <w:rPr>
                <w:szCs w:val="21"/>
              </w:rPr>
            </w:pPr>
            <w:r>
              <w:rPr>
                <w:rFonts w:hint="eastAsia"/>
                <w:szCs w:val="21"/>
              </w:rPr>
              <w:t xml:space="preserve">三、X 线球管及高压发生器 </w:t>
            </w:r>
          </w:p>
          <w:p>
            <w:pPr>
              <w:spacing w:line="360" w:lineRule="auto"/>
              <w:rPr>
                <w:szCs w:val="21"/>
              </w:rPr>
            </w:pPr>
            <w:r>
              <w:rPr>
                <w:rFonts w:hint="eastAsia"/>
                <w:szCs w:val="21"/>
              </w:rPr>
              <w:t xml:space="preserve">1、管电流需≥1-7 mA。 </w:t>
            </w:r>
          </w:p>
          <w:p>
            <w:pPr>
              <w:spacing w:line="360" w:lineRule="auto"/>
              <w:rPr>
                <w:szCs w:val="21"/>
              </w:rPr>
            </w:pPr>
            <w:r>
              <w:rPr>
                <w:rFonts w:hint="eastAsia"/>
                <w:szCs w:val="21"/>
              </w:rPr>
              <w:t xml:space="preserve">2、管电压需包含100 KV、120 KV、140 KV可选。 </w:t>
            </w:r>
          </w:p>
          <w:p>
            <w:pPr>
              <w:spacing w:line="360" w:lineRule="auto"/>
              <w:rPr>
                <w:szCs w:val="21"/>
              </w:rPr>
            </w:pPr>
            <w:r>
              <w:rPr>
                <w:rFonts w:hint="eastAsia"/>
                <w:szCs w:val="21"/>
              </w:rPr>
              <w:t xml:space="preserve">3、扫描速度需≤1-6s/360度。 </w:t>
            </w:r>
          </w:p>
          <w:p>
            <w:pPr>
              <w:spacing w:line="360" w:lineRule="auto"/>
              <w:rPr>
                <w:szCs w:val="21"/>
              </w:rPr>
            </w:pPr>
            <w:r>
              <w:rPr>
                <w:rFonts w:hint="eastAsia"/>
                <w:szCs w:val="21"/>
              </w:rPr>
              <w:t xml:space="preserve">4、高压发生器功率需≥0.98 KW。 </w:t>
            </w:r>
          </w:p>
          <w:p>
            <w:pPr>
              <w:spacing w:line="360" w:lineRule="auto"/>
              <w:rPr>
                <w:szCs w:val="21"/>
              </w:rPr>
            </w:pPr>
            <w:r>
              <w:rPr>
                <w:rFonts w:hint="eastAsia"/>
                <w:szCs w:val="21"/>
              </w:rPr>
              <w:t xml:space="preserve">5、阳极焦点需具有≤1.0mm×1.0 mm的固定尺寸。 </w:t>
            </w:r>
          </w:p>
          <w:p>
            <w:pPr>
              <w:spacing w:line="360" w:lineRule="auto"/>
              <w:rPr>
                <w:szCs w:val="21"/>
              </w:rPr>
            </w:pPr>
            <w:r>
              <w:rPr>
                <w:rFonts w:hint="eastAsia"/>
                <w:szCs w:val="21"/>
              </w:rPr>
              <w:t xml:space="preserve">四、扫描参数和图像质量 </w:t>
            </w:r>
          </w:p>
          <w:p>
            <w:pPr>
              <w:spacing w:line="360" w:lineRule="auto"/>
              <w:rPr>
                <w:szCs w:val="21"/>
              </w:rPr>
            </w:pPr>
            <w:r>
              <w:rPr>
                <w:rFonts w:hint="eastAsia"/>
                <w:szCs w:val="21"/>
              </w:rPr>
              <w:t>1、空间分辨率需≥15lp/cm @0%MTF。</w:t>
            </w:r>
          </w:p>
          <w:p>
            <w:pPr>
              <w:spacing w:line="360" w:lineRule="auto"/>
              <w:rPr>
                <w:szCs w:val="21"/>
              </w:rPr>
            </w:pPr>
            <w:r>
              <w:rPr>
                <w:rFonts w:hint="eastAsia"/>
                <w:szCs w:val="21"/>
              </w:rPr>
              <w:t xml:space="preserve">2、密度分辨率需≤3mm@0.3%。 </w:t>
            </w:r>
          </w:p>
          <w:p>
            <w:pPr>
              <w:spacing w:line="360" w:lineRule="auto"/>
              <w:rPr>
                <w:szCs w:val="21"/>
              </w:rPr>
            </w:pPr>
            <w:r>
              <w:rPr>
                <w:rFonts w:hint="eastAsia"/>
                <w:szCs w:val="21"/>
              </w:rPr>
              <w:t xml:space="preserve">3、最大FOV需≥25cm。 </w:t>
            </w:r>
          </w:p>
          <w:p>
            <w:pPr>
              <w:spacing w:line="360" w:lineRule="auto"/>
              <w:rPr>
                <w:szCs w:val="21"/>
              </w:rPr>
            </w:pPr>
            <w:r>
              <w:rPr>
                <w:rFonts w:hint="eastAsia"/>
                <w:szCs w:val="21"/>
              </w:rPr>
              <w:t xml:space="preserve">五、移动式图像工作站 </w:t>
            </w:r>
          </w:p>
          <w:p>
            <w:pPr>
              <w:spacing w:line="360" w:lineRule="auto"/>
              <w:rPr>
                <w:szCs w:val="21"/>
              </w:rPr>
            </w:pPr>
            <w:r>
              <w:rPr>
                <w:rFonts w:hint="eastAsia"/>
                <w:szCs w:val="21"/>
              </w:rPr>
              <w:t xml:space="preserve">1、 CPU需≥4核2.7GHz。 </w:t>
            </w:r>
          </w:p>
          <w:p>
            <w:pPr>
              <w:spacing w:line="360" w:lineRule="auto"/>
              <w:rPr>
                <w:szCs w:val="21"/>
              </w:rPr>
            </w:pPr>
            <w:r>
              <w:rPr>
                <w:rFonts w:hint="eastAsia"/>
                <w:szCs w:val="21"/>
              </w:rPr>
              <w:t>2、运行内存需≥8.0GB。</w:t>
            </w:r>
          </w:p>
          <w:p>
            <w:pPr>
              <w:spacing w:line="360" w:lineRule="auto"/>
              <w:rPr>
                <w:szCs w:val="21"/>
              </w:rPr>
            </w:pPr>
            <w:r>
              <w:rPr>
                <w:rFonts w:hint="eastAsia"/>
                <w:szCs w:val="21"/>
              </w:rPr>
              <w:t xml:space="preserve">3、硬盘容量需≥500GB。 </w:t>
            </w:r>
          </w:p>
          <w:p>
            <w:pPr>
              <w:spacing w:line="360" w:lineRule="auto"/>
              <w:rPr>
                <w:szCs w:val="21"/>
              </w:rPr>
            </w:pPr>
            <w:r>
              <w:rPr>
                <w:rFonts w:hint="eastAsia"/>
                <w:szCs w:val="21"/>
              </w:rPr>
              <w:t xml:space="preserve">4、显示器需为≥17英寸的LCD显示器。 </w:t>
            </w:r>
          </w:p>
          <w:p>
            <w:pPr>
              <w:spacing w:line="360" w:lineRule="auto"/>
              <w:rPr>
                <w:szCs w:val="21"/>
              </w:rPr>
            </w:pPr>
            <w:r>
              <w:rPr>
                <w:rFonts w:hint="eastAsia"/>
                <w:szCs w:val="21"/>
              </w:rPr>
              <w:t>5、图像分辨率需≥1920×1200。</w:t>
            </w:r>
          </w:p>
          <w:p>
            <w:pPr>
              <w:spacing w:line="360" w:lineRule="auto"/>
              <w:rPr>
                <w:szCs w:val="21"/>
              </w:rPr>
            </w:pPr>
            <w:r>
              <w:rPr>
                <w:rFonts w:hint="eastAsia"/>
                <w:szCs w:val="21"/>
              </w:rPr>
              <w:t>6、需可通过CD ROM和USB进行数据存储。</w:t>
            </w:r>
          </w:p>
          <w:p>
            <w:pPr>
              <w:spacing w:line="360" w:lineRule="auto"/>
              <w:rPr>
                <w:szCs w:val="21"/>
              </w:rPr>
            </w:pPr>
            <w:r>
              <w:rPr>
                <w:rFonts w:hint="eastAsia"/>
                <w:szCs w:val="21"/>
              </w:rPr>
              <w:t xml:space="preserve">7、需具有DICOM 3.1 图像传输方式。 </w:t>
            </w:r>
          </w:p>
          <w:p>
            <w:pPr>
              <w:spacing w:line="360" w:lineRule="auto"/>
              <w:rPr>
                <w:szCs w:val="21"/>
              </w:rPr>
            </w:pPr>
            <w:r>
              <w:rPr>
                <w:rFonts w:hint="eastAsia"/>
                <w:szCs w:val="21"/>
              </w:rPr>
              <w:t>8、需具备 WIFI无线图像传输系统。</w:t>
            </w:r>
          </w:p>
          <w:p>
            <w:pPr>
              <w:spacing w:line="360" w:lineRule="auto"/>
              <w:rPr>
                <w:szCs w:val="21"/>
              </w:rPr>
            </w:pPr>
            <w:r>
              <w:rPr>
                <w:rFonts w:hint="eastAsia"/>
                <w:szCs w:val="21"/>
              </w:rPr>
              <w:t>9、需具有USB 图像输出接口及闪存。</w:t>
            </w:r>
          </w:p>
          <w:p>
            <w:pPr>
              <w:spacing w:line="360" w:lineRule="auto"/>
              <w:rPr>
                <w:szCs w:val="21"/>
              </w:rPr>
            </w:pPr>
            <w:r>
              <w:rPr>
                <w:rFonts w:hint="eastAsia"/>
                <w:szCs w:val="21"/>
              </w:rPr>
              <w:t>10、需具备移动式图像工作站可进行扫描操作。</w:t>
            </w:r>
          </w:p>
          <w:p>
            <w:pPr>
              <w:spacing w:line="360" w:lineRule="auto"/>
              <w:rPr>
                <w:szCs w:val="21"/>
              </w:rPr>
            </w:pPr>
            <w:r>
              <w:rPr>
                <w:rFonts w:hint="eastAsia"/>
                <w:szCs w:val="21"/>
              </w:rPr>
              <w:t>六、临床应用软件：需具有多平面重建（MPR）、三维容积重建（3D）、造影剂团注跟踪（Bolus Tracking）、MTT、CBF、CBV等应用软件。</w:t>
            </w:r>
          </w:p>
          <w:p>
            <w:pPr>
              <w:spacing w:line="360" w:lineRule="auto"/>
              <w:rPr>
                <w:szCs w:val="21"/>
              </w:rPr>
            </w:pPr>
            <w:r>
              <w:rPr>
                <w:rFonts w:hint="eastAsia"/>
                <w:szCs w:val="21"/>
              </w:rPr>
              <w:t>七、其它要求</w:t>
            </w:r>
          </w:p>
          <w:p>
            <w:pPr>
              <w:spacing w:line="360" w:lineRule="auto"/>
              <w:rPr>
                <w:szCs w:val="21"/>
              </w:rPr>
            </w:pPr>
            <w:r>
              <w:rPr>
                <w:rFonts w:hint="eastAsia"/>
                <w:szCs w:val="21"/>
              </w:rPr>
              <w:t>1、需配备标准质控水模1套。</w:t>
            </w:r>
          </w:p>
          <w:p>
            <w:pPr>
              <w:spacing w:line="360" w:lineRule="auto"/>
              <w:rPr>
                <w:szCs w:val="21"/>
              </w:rPr>
            </w:pPr>
            <w:r>
              <w:rPr>
                <w:rFonts w:hint="eastAsia"/>
                <w:szCs w:val="21"/>
              </w:rPr>
              <w:t>2、所有软件可免费无限升级。</w:t>
            </w:r>
          </w:p>
          <w:p>
            <w:pPr>
              <w:spacing w:line="360" w:lineRule="auto"/>
              <w:rPr>
                <w:szCs w:val="21"/>
              </w:rPr>
            </w:pPr>
            <w:r>
              <w:rPr>
                <w:rFonts w:hint="eastAsia"/>
                <w:szCs w:val="21"/>
              </w:rPr>
              <w:t>3、需配备防护铅衣、铅帽、铅围脖、三角巾、铅眼镜等全套防护装备2套。</w:t>
            </w:r>
          </w:p>
          <w:p>
            <w:pPr>
              <w:spacing w:line="360" w:lineRule="auto"/>
              <w:rPr>
                <w:rFonts w:asciiTheme="minorHAnsi" w:hAnsiTheme="minorHAnsi" w:eastAsiaTheme="minorEastAsia" w:cstheme="minorBidi"/>
                <w:kern w:val="2"/>
                <w:sz w:val="21"/>
                <w:szCs w:val="21"/>
                <w:lang w:val="en-US" w:eastAsia="zh-CN" w:bidi="ar-SA"/>
              </w:rPr>
            </w:pPr>
            <w:r>
              <w:rPr>
                <w:rFonts w:hint="eastAsia"/>
                <w:szCs w:val="21"/>
              </w:rPr>
              <w:t>4、需配备可升降式铅防护屏风1套。</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ascii="宋体" w:hAnsi="宋体" w:eastAsia="宋体" w:cs="宋体"/>
                <w:kern w:val="2"/>
                <w:sz w:val="21"/>
                <w:szCs w:val="21"/>
                <w:lang w:val="en-US" w:eastAsia="zh-CN" w:bidi="ar-SA"/>
              </w:rPr>
            </w:pPr>
            <w:r>
              <w:rPr>
                <w:rFonts w:hint="eastAsia" w:ascii="宋体" w:hAnsi="宋体" w:eastAsia="宋体" w:cs="宋体"/>
                <w:szCs w:val="21"/>
              </w:rPr>
              <w:t>台</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ascii="宋体" w:hAnsi="宋体" w:eastAsia="宋体" w:cs="宋体"/>
                <w:kern w:val="2"/>
                <w:sz w:val="21"/>
                <w:szCs w:val="21"/>
                <w:lang w:val="en-US" w:eastAsia="zh-CN" w:bidi="ar-SA"/>
              </w:rPr>
            </w:pPr>
            <w:r>
              <w:rPr>
                <w:rFonts w:hint="eastAsia" w:ascii="宋体" w:hAnsi="宋体" w:eastAsia="宋体" w:cs="宋体"/>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kern w:val="2"/>
                <w:sz w:val="21"/>
                <w:szCs w:val="21"/>
                <w:lang w:val="en-US" w:eastAsia="zh-CN" w:bidi="ar-SA"/>
              </w:rPr>
            </w:pPr>
            <w:r>
              <w:rPr>
                <w:rFonts w:hint="eastAsia" w:ascii="宋体" w:hAnsi="宋体" w:eastAsia="宋体" w:cs="宋体"/>
                <w:szCs w:val="21"/>
              </w:rPr>
              <w:t>是</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color w:val="auto"/>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w:t>
      </w:r>
      <w:r>
        <w:rPr>
          <w:rFonts w:cs="仿宋_GB2312" w:asciiTheme="minorEastAsia" w:hAnsiTheme="minorEastAsia"/>
          <w:color w:val="auto"/>
          <w:sz w:val="24"/>
          <w:szCs w:val="24"/>
          <w:lang w:val="zh-CN"/>
        </w:rPr>
        <w:t>强制性产品认证的产品目录》</w:t>
      </w:r>
      <w:r>
        <w:rPr>
          <w:rFonts w:hint="eastAsia" w:cs="仿宋_GB2312" w:asciiTheme="minorEastAsia" w:hAnsiTheme="minorEastAsia"/>
          <w:color w:val="auto"/>
          <w:sz w:val="24"/>
          <w:szCs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w:t>
      </w:r>
      <w:r>
        <w:rPr>
          <w:rFonts w:cs="宋体" w:asciiTheme="minorEastAsia" w:hAnsiTheme="minorEastAsia"/>
          <w:color w:val="auto"/>
          <w:kern w:val="0"/>
          <w:sz w:val="24"/>
          <w:szCs w:val="24"/>
        </w:rPr>
        <w:t>信息安全产品强制性</w:t>
      </w:r>
      <w:r>
        <w:rPr>
          <w:rFonts w:hint="eastAsia" w:cs="宋体" w:asciiTheme="minorEastAsia" w:hAnsiTheme="minorEastAsia"/>
          <w:color w:val="auto"/>
          <w:kern w:val="0"/>
          <w:sz w:val="24"/>
          <w:szCs w:val="24"/>
        </w:rPr>
        <w:t>认证</w:t>
      </w:r>
    </w:p>
    <w:p>
      <w:pPr>
        <w:spacing w:line="360" w:lineRule="auto"/>
        <w:ind w:firstLine="480" w:firstLineChars="200"/>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如投标人所投产品</w:t>
      </w:r>
      <w:r>
        <w:rPr>
          <w:rFonts w:hint="eastAsia" w:cs="宋体" w:asciiTheme="minorEastAsia" w:hAnsiTheme="minorEastAsia"/>
          <w:color w:val="auto"/>
          <w:kern w:val="0"/>
          <w:sz w:val="24"/>
          <w:szCs w:val="24"/>
        </w:rPr>
        <w:t>被列入</w:t>
      </w:r>
      <w:r>
        <w:rPr>
          <w:rFonts w:cs="宋体" w:asciiTheme="minorEastAsia" w:hAnsiTheme="minorEastAsia"/>
          <w:color w:val="auto"/>
          <w:kern w:val="0"/>
          <w:sz w:val="24"/>
          <w:szCs w:val="24"/>
        </w:rPr>
        <w:t>《信息安全产品强制性认证目录》，</w:t>
      </w:r>
      <w:r>
        <w:rPr>
          <w:rFonts w:hint="eastAsia" w:cs="宋体" w:asciiTheme="minorEastAsia" w:hAnsiTheme="minorEastAsia"/>
          <w:color w:val="auto"/>
          <w:kern w:val="0"/>
          <w:sz w:val="24"/>
          <w:szCs w:val="24"/>
        </w:rPr>
        <w:t>投标人</w:t>
      </w:r>
      <w:r>
        <w:rPr>
          <w:rFonts w:cs="宋体" w:asciiTheme="minorEastAsia" w:hAnsiTheme="minorEastAsia"/>
          <w:color w:val="auto"/>
          <w:kern w:val="0"/>
          <w:sz w:val="24"/>
          <w:szCs w:val="24"/>
        </w:rPr>
        <w:t>不能提供超出此目录范畴外的替代品</w:t>
      </w:r>
      <w:r>
        <w:rPr>
          <w:rFonts w:hint="eastAsia" w:cs="宋体" w:asciiTheme="minorEastAsia" w:hAnsiTheme="minorEastAsia"/>
          <w:color w:val="auto"/>
          <w:kern w:val="0"/>
          <w:sz w:val="24"/>
          <w:szCs w:val="24"/>
        </w:rPr>
        <w:t>并须在投标文件中提供：</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color w:val="auto"/>
          <w:kern w:val="0"/>
          <w:sz w:val="24"/>
          <w:szCs w:val="24"/>
        </w:rPr>
        <w:t>①中国信息安全认证中心官网（</w:t>
      </w:r>
      <w:r>
        <w:rPr>
          <w:rFonts w:cs="宋体" w:asciiTheme="minorEastAsia" w:hAnsiTheme="minorEastAsia"/>
          <w:color w:val="auto"/>
          <w:kern w:val="0"/>
          <w:sz w:val="24"/>
          <w:szCs w:val="24"/>
        </w:rPr>
        <w:t>http://www.isccc.gov.cn/index.shtml</w:t>
      </w:r>
      <w:r>
        <w:rPr>
          <w:rFonts w:hint="eastAsia" w:cs="宋体" w:asciiTheme="minorEastAsia" w:hAnsiTheme="minorEastAsia"/>
          <w:color w:val="auto"/>
          <w:kern w:val="0"/>
          <w:sz w:val="24"/>
          <w:szCs w:val="24"/>
        </w:rPr>
        <w:t>）产品查询结果截图并加盖投标人</w:t>
      </w:r>
      <w:r>
        <w:rPr>
          <w:rFonts w:hint="eastAsia" w:cs="宋体" w:asciiTheme="minorEastAsia" w:hAnsiTheme="minorEastAsia"/>
          <w:kern w:val="0"/>
          <w:sz w:val="24"/>
          <w:szCs w:val="24"/>
        </w:rPr>
        <w:t>公章；</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②中国信息安全认证中心颁发的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的原件扫描件（或图片）并加盖投标人公章。</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spacing w:line="360" w:lineRule="auto"/>
        <w:ind w:firstLine="482" w:firstLineChars="200"/>
        <w:contextualSpacing/>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四、服务标准、期限、效率等要求</w:t>
      </w:r>
    </w:p>
    <w:p>
      <w:pPr>
        <w:wordWrap w:val="0"/>
        <w:spacing w:line="360" w:lineRule="auto"/>
        <w:ind w:firstLine="480" w:firstLineChars="2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1、免费培训操作及维修人员，免费负责设备的安装及调试。</w:t>
      </w:r>
    </w:p>
    <w:p>
      <w:pPr>
        <w:wordWrap w:val="0"/>
        <w:spacing w:line="360" w:lineRule="auto"/>
        <w:ind w:firstLine="480" w:firstLineChars="2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2、具有完善的售后服务，设备出现故障, 接到通知后12小时内售后服务人员应到达现场。 </w:t>
      </w:r>
    </w:p>
    <w:p>
      <w:pPr>
        <w:wordWrap w:val="0"/>
        <w:spacing w:line="360" w:lineRule="auto"/>
        <w:ind w:firstLine="480" w:firstLineChars="2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3、提供设备使用说明书和维修指导说明书。 </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五、采购标的的其他技术、服务等要求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1、投标人须明确投标产品的厂家、品牌、型号、详细参数，</w:t>
      </w:r>
      <w:r>
        <w:rPr>
          <w:rFonts w:hint="eastAsia" w:ascii="宋体" w:cs="宋体"/>
          <w:b/>
          <w:sz w:val="24"/>
          <w:lang w:val="zh-CN"/>
        </w:rPr>
        <w:t>否则为无效投标。</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2、投标人应就本项目完整投标，</w:t>
      </w:r>
      <w:r>
        <w:rPr>
          <w:rFonts w:hint="eastAsia" w:ascii="宋体" w:cs="宋体"/>
          <w:b/>
          <w:sz w:val="24"/>
          <w:lang w:val="zh-CN"/>
        </w:rPr>
        <w:t>否则为无效投标。</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3、质保期及售后服务</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3.1质量保修期：3年;</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3.2投标人须明确维修地点、负责人、联系人和联系电话。</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4</w:t>
      </w:r>
      <w:r>
        <w:rPr>
          <w:rFonts w:hint="eastAsia" w:ascii="宋体" w:cs="宋体"/>
          <w:sz w:val="24"/>
          <w:lang w:val="zh-CN"/>
        </w:rPr>
        <w:t>、投标人须提供所投产品有效的《中华人民共和国医疗器械注册证》，不提供者为无效投标。</w:t>
      </w:r>
    </w:p>
    <w:p>
      <w:pPr>
        <w:wordWrap w:val="0"/>
        <w:topLinePunct/>
        <w:spacing w:line="360" w:lineRule="auto"/>
        <w:ind w:left="479" w:leftChars="228" w:firstLine="0" w:firstLineChars="0"/>
        <w:rPr>
          <w:rFonts w:hint="eastAsia" w:ascii="宋体" w:cs="宋体"/>
          <w:sz w:val="24"/>
          <w:lang w:val="zh-CN"/>
        </w:rPr>
      </w:pPr>
      <w:r>
        <w:rPr>
          <w:rFonts w:hint="eastAsia" w:ascii="宋体" w:cs="宋体"/>
          <w:sz w:val="24"/>
          <w:lang w:val="en-US" w:eastAsia="zh-CN"/>
        </w:rPr>
        <w:t>5</w:t>
      </w:r>
      <w:r>
        <w:rPr>
          <w:rFonts w:hint="eastAsia" w:ascii="宋体" w:cs="宋体"/>
          <w:sz w:val="24"/>
          <w:lang w:val="zh-CN"/>
        </w:rPr>
        <w:t>、所投产品必须符合国家质量检测标准和本招标文件规定标准的全新正品现货。6、本次采购清单中产品采购人允许是进口产品，并报财政监管部门备案批准。</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7</w:t>
      </w:r>
      <w:r>
        <w:rPr>
          <w:rFonts w:hint="eastAsia" w:ascii="宋体" w:cs="宋体"/>
          <w:sz w:val="24"/>
          <w:lang w:val="zh-CN"/>
        </w:rPr>
        <w:t>、本项目为交钥匙工程（包括设备、材料、元件等购置、安装调试、验收、与其它施工单位协作所产生的费用、负责设备机房的防护及装修等）。</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六、验收标准</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2、本项目采用现场运行、测试验收方式验收。投标人完成的项目应达到的质量标准应符合国家质量检测标准。</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3、符合招标文件要求和投标文件承诺。</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hd w:val="clear" w:color="auto" w:fill="FFFFFF"/>
        </w:rPr>
        <w:t>七、本项目预算金额</w:t>
      </w:r>
      <w:r>
        <w:rPr>
          <w:rFonts w:hint="eastAsia" w:cs="黑体" w:asciiTheme="minorEastAsia" w:hAnsiTheme="minorEastAsia" w:eastAsiaTheme="minorEastAsia"/>
          <w:b/>
          <w:bCs/>
          <w:color w:val="000000"/>
          <w:shd w:val="clear" w:color="auto" w:fill="FFFFFF"/>
          <w:lang w:val="en-US" w:eastAsia="zh-CN"/>
        </w:rPr>
        <w:t>850万</w:t>
      </w:r>
      <w:r>
        <w:rPr>
          <w:rFonts w:hint="eastAsia" w:cs="黑体" w:asciiTheme="minorEastAsia" w:hAnsiTheme="minorEastAsia" w:eastAsiaTheme="minorEastAsia"/>
          <w:b/>
          <w:bCs/>
          <w:color w:val="000000"/>
          <w:shd w:val="clear" w:color="auto" w:fill="FFFFFF"/>
        </w:rPr>
        <w:t>元。最高限价</w:t>
      </w:r>
      <w:r>
        <w:rPr>
          <w:rFonts w:hint="eastAsia" w:cs="黑体" w:asciiTheme="minorEastAsia" w:hAnsiTheme="minorEastAsia" w:eastAsiaTheme="minorEastAsia"/>
          <w:b/>
          <w:bCs/>
          <w:color w:val="000000"/>
          <w:shd w:val="clear" w:color="auto" w:fill="FFFFFF"/>
          <w:lang w:val="en-US" w:eastAsia="zh-CN"/>
        </w:rPr>
        <w:t>850万</w:t>
      </w:r>
      <w:r>
        <w:rPr>
          <w:rFonts w:hint="eastAsia" w:cs="宋体" w:asciiTheme="minorEastAsia" w:hAnsiTheme="minorEastAsia" w:eastAsiaTheme="minorEastAsia"/>
          <w:b/>
          <w:color w:val="000000"/>
          <w:kern w:val="0"/>
          <w:lang w:val="zh-CN"/>
        </w:rPr>
        <w:t>元。超出最高限价的投标无效。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八、资金支付</w:t>
      </w:r>
    </w:p>
    <w:p>
      <w:pPr>
        <w:wordWrap w:val="0"/>
        <w:topLinePunct/>
        <w:spacing w:line="360" w:lineRule="auto"/>
        <w:ind w:firstLine="480" w:firstLineChars="200"/>
        <w:rPr>
          <w:rFonts w:hint="eastAsia" w:ascii="宋体" w:cs="宋体"/>
          <w:sz w:val="24"/>
          <w:lang w:val="zh-CN"/>
        </w:rPr>
      </w:pPr>
      <w:r>
        <w:rPr>
          <w:rFonts w:hint="eastAsia" w:cs="宋体" w:asciiTheme="minorEastAsia" w:hAnsiTheme="minorEastAsia"/>
          <w:color w:val="000000"/>
          <w:kern w:val="0"/>
          <w:sz w:val="24"/>
          <w:szCs w:val="24"/>
          <w:lang w:val="zh-CN"/>
        </w:rPr>
        <w:t>1、支付方式</w:t>
      </w:r>
      <w:r>
        <w:rPr>
          <w:rFonts w:hint="eastAsia" w:ascii="宋体" w:cs="宋体"/>
          <w:sz w:val="24"/>
          <w:lang w:val="zh-CN"/>
        </w:rPr>
        <w:t>：银行转账</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2、</w:t>
      </w:r>
      <w:r>
        <w:rPr>
          <w:rFonts w:hint="eastAsia" w:ascii="宋体" w:cs="宋体"/>
          <w:sz w:val="24"/>
          <w:lang w:val="zh-CN"/>
        </w:rPr>
        <w:t>支付时间及条件：设备装机验收合格后支付合同总金额的60%；第二合同年末支付合同总金额的30%；质保期结束后支付合同总金额的10%。</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autoSpaceDE w:val="0"/>
        <w:autoSpaceDN w:val="0"/>
        <w:adjustRightInd w:val="0"/>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vAlign w:val="top"/>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项目名称：许昌市中心医院新院区大型医疗设备采购</w:t>
            </w:r>
            <w:r>
              <w:rPr>
                <w:rFonts w:hint="eastAsia" w:cs="仿宋_GB2312" w:asciiTheme="minorEastAsia" w:hAnsiTheme="minorEastAsia"/>
                <w:color w:val="000000"/>
                <w:szCs w:val="21"/>
                <w:shd w:val="clear" w:color="auto" w:fill="FFFFFF"/>
              </w:rPr>
              <w:t>（</w:t>
            </w:r>
            <w:r>
              <w:rPr>
                <w:rFonts w:hint="eastAsia" w:cs="仿宋_GB2312" w:asciiTheme="minorEastAsia" w:hAnsiTheme="minorEastAsia"/>
                <w:color w:val="000000"/>
                <w:szCs w:val="21"/>
                <w:shd w:val="clear" w:color="auto" w:fill="FFFFFF"/>
                <w:lang w:eastAsia="zh-CN"/>
              </w:rPr>
              <w:t>五</w:t>
            </w:r>
            <w:r>
              <w:rPr>
                <w:rFonts w:hint="eastAsia" w:cs="仿宋_GB2312" w:asciiTheme="minorEastAsia" w:hAnsiTheme="minorEastAsia"/>
                <w:color w:val="000000"/>
                <w:szCs w:val="21"/>
                <w:shd w:val="clear" w:color="auto" w:fill="FFFFFF"/>
              </w:rPr>
              <w:t>）(不见面开标)项目</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项目编号：ZFCG-G2020</w:t>
            </w:r>
            <w:r>
              <w:rPr>
                <w:rFonts w:hint="eastAsia" w:cs="仿宋_GB2312" w:asciiTheme="minorEastAsia" w:hAnsiTheme="minorEastAsia"/>
                <w:szCs w:val="21"/>
                <w:lang w:val="en-US" w:eastAsia="zh-CN"/>
              </w:rPr>
              <w:t>066</w:t>
            </w:r>
            <w:r>
              <w:rPr>
                <w:rFonts w:hint="eastAsia" w:cs="仿宋_GB2312" w:asciiTheme="minorEastAsia" w:hAnsiTheme="minorEastAsia"/>
                <w:szCs w:val="21"/>
              </w:rPr>
              <w:t>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eastAsiaTheme="minorEastAsia"/>
                <w:color w:val="000000"/>
                <w:sz w:val="21"/>
                <w:szCs w:val="21"/>
                <w:shd w:val="clear" w:color="auto" w:fill="FFFFFF"/>
              </w:rPr>
              <w:t>移动CT机1台</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项目地址：许昌市中心医院新院区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名称：许昌市中心医院</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地址：魏都区华佗路30号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联系人：李岩               电话：13137431907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名称：许昌市政府采购服务中心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地址：许昌市龙兴路与竹林路交汇处公创业服务中心C座</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w:t>
            </w:r>
            <w:r>
              <w:rPr>
                <w:rFonts w:hint="eastAsia" w:cs="仿宋_GB2312" w:asciiTheme="minorEastAsia" w:hAnsiTheme="minorEastAsia"/>
                <w:szCs w:val="21"/>
              </w:rPr>
              <w:t>女士              电话：0374-2968687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color w:val="auto"/>
                <w:szCs w:val="21"/>
              </w:rPr>
            </w:pPr>
            <w:r>
              <w:rPr>
                <w:rFonts w:hint="eastAsia" w:asciiTheme="minorEastAsia" w:hAnsiTheme="minorEastAsia"/>
                <w:bCs/>
                <w:szCs w:val="21"/>
              </w:rPr>
              <w:t>1、投标人是法人（法</w:t>
            </w:r>
            <w:r>
              <w:rPr>
                <w:rFonts w:hint="eastAsia" w:asciiTheme="minorEastAsia" w:hAnsiTheme="minorEastAsia"/>
                <w:bCs/>
                <w:color w:val="auto"/>
                <w:szCs w:val="21"/>
              </w:rPr>
              <w:t>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color w:val="auto"/>
                <w:szCs w:val="21"/>
              </w:rPr>
              <w:t>①2018年度或2019年度经审计的财务报告，包括资产</w:t>
            </w:r>
            <w:r>
              <w:rPr>
                <w:rFonts w:hint="eastAsia" w:asciiTheme="minorEastAsia" w:hAnsiTheme="minorEastAsia"/>
                <w:bCs/>
                <w:szCs w:val="21"/>
              </w:rPr>
              <w:t>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仿宋_GB2312" w:asciiTheme="minorEastAsia" w:hAnsiTheme="minorEastAsia"/>
                <w:szCs w:val="21"/>
              </w:rPr>
            </w:pPr>
            <w:r>
              <w:rPr>
                <w:rFonts w:hint="eastAsia" w:cs="仿宋_GB2312" w:asciiTheme="minorEastAsia" w:hAnsiTheme="minorEastAsia"/>
                <w:b/>
                <w:color w:val="000000"/>
                <w:szCs w:val="21"/>
                <w:shd w:val="clear" w:color="auto" w:fill="FFFFFF"/>
              </w:rPr>
              <w:t>八</w:t>
            </w:r>
            <w:r>
              <w:rPr>
                <w:rFonts w:hint="eastAsia" w:cs="宋体" w:asciiTheme="minorEastAsia" w:hAnsiTheme="minorEastAsia"/>
                <w:kern w:val="0"/>
                <w:szCs w:val="21"/>
              </w:rPr>
              <w:t>、</w:t>
            </w:r>
            <w:r>
              <w:rPr>
                <w:rFonts w:hint="eastAsia" w:cs="宋体" w:asciiTheme="minorEastAsia" w:hAnsiTheme="minorEastAsia"/>
                <w:b/>
                <w:bCs/>
                <w:kern w:val="0"/>
                <w:szCs w:val="21"/>
              </w:rPr>
              <w:t>1、 投标人为产品制造商时，提供有效的《医疗器械生产许可证》（国外制造商除外）； 2、投标人为产品代理商或经销商时，提供有效的《医疗器械经营许可证》。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850万</w:t>
            </w:r>
            <w:r>
              <w:rPr>
                <w:rFonts w:hint="eastAsia" w:cs="宋体" w:asciiTheme="minorEastAsia" w:hAnsiTheme="minorEastAsia"/>
                <w:bCs/>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2020</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6</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19</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开标地点：许昌市公共资源交易中心开标</w:t>
            </w:r>
            <w:r>
              <w:rPr>
                <w:rFonts w:hint="eastAsia" w:cs="仿宋_GB2312" w:asciiTheme="minorEastAsia" w:hAnsiTheme="minorEastAsia"/>
                <w:color w:val="000000"/>
                <w:szCs w:val="21"/>
                <w:lang w:eastAsia="zh-CN"/>
              </w:rPr>
              <w:t>三</w:t>
            </w:r>
            <w:r>
              <w:rPr>
                <w:rFonts w:hint="eastAsia" w:cs="仿宋_GB2312" w:asciiTheme="minorEastAsia" w:hAnsiTheme="minorEastAsia"/>
                <w:color w:val="000000"/>
                <w:szCs w:val="21"/>
              </w:rPr>
              <w:t>室（</w:t>
            </w:r>
            <w:r>
              <w:rPr>
                <w:rFonts w:hint="eastAsia" w:cs="Arial" w:asciiTheme="minorEastAsia" w:hAnsiTheme="minorEastAsia"/>
                <w:b/>
                <w:color w:val="FF0000"/>
                <w:szCs w:val="21"/>
              </w:rPr>
              <w:t>本项目采用远程不见面开标，投标人无须到交易中心现场</w:t>
            </w:r>
            <w:r>
              <w:rPr>
                <w:rFonts w:hint="eastAsia" w:cs="Arial" w:asciiTheme="minorEastAsia" w:hAnsiTheme="minorEastAsia"/>
                <w:color w:val="000000"/>
                <w:szCs w:val="21"/>
              </w:rPr>
              <w:t>）</w:t>
            </w:r>
            <w:r>
              <w:rPr>
                <w:rFonts w:hint="eastAsia" w:cs="仿宋_GB2312"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FF0000"/>
                <w:szCs w:val="21"/>
              </w:rPr>
            </w:pPr>
            <w:r>
              <w:rPr>
                <w:rFonts w:ascii="新宋体" w:hAnsi="新宋体" w:eastAsia="新宋体"/>
                <w:b/>
                <w:color w:val="FF0000"/>
                <w:szCs w:val="21"/>
              </w:rPr>
              <w:fldChar w:fldCharType="begin"/>
            </w:r>
            <w:r>
              <w:rPr>
                <w:rFonts w:ascii="新宋体" w:hAnsi="新宋体" w:eastAsia="新宋体"/>
                <w:b/>
                <w:color w:val="FF0000"/>
                <w:szCs w:val="21"/>
              </w:rPr>
              <w:instrText xml:space="preserve"> </w:instrText>
            </w:r>
            <w:r>
              <w:rPr>
                <w:rFonts w:hint="eastAsia" w:ascii="新宋体" w:hAnsi="新宋体" w:eastAsia="新宋体"/>
                <w:b/>
                <w:color w:val="FF0000"/>
                <w:szCs w:val="21"/>
              </w:rPr>
              <w:instrText xml:space="preserve">eq \o\ac(□,√)</w:instrText>
            </w:r>
            <w:r>
              <w:rPr>
                <w:rFonts w:ascii="新宋体" w:hAnsi="新宋体" w:eastAsia="新宋体"/>
                <w:b/>
                <w:color w:val="FF0000"/>
                <w:szCs w:val="21"/>
              </w:rPr>
              <w:fldChar w:fldCharType="end"/>
            </w:r>
            <w:r>
              <w:rPr>
                <w:rFonts w:hint="eastAsia" w:ascii="新宋体" w:hAnsi="新宋体" w:eastAsia="新宋体"/>
                <w:color w:val="FF0000"/>
                <w:szCs w:val="21"/>
              </w:rPr>
              <w:t>电子投标文件：成功上传至《全国公共资源交易平台（河南省·许昌市）》公共资源交易系统加密电子投标文件1份</w:t>
            </w:r>
            <w:r>
              <w:rPr>
                <w:rFonts w:hint="eastAsia" w:hAnsi="宋体" w:cs="宋体"/>
                <w:color w:val="FF0000"/>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color w:val="FF0000"/>
                <w:szCs w:val="21"/>
                <w:lang w:val="zh-CN"/>
              </w:rPr>
              <w:t>□</w:t>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 xml:space="preserve"> 一 </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color w:val="FF0000"/>
                <w:szCs w:val="21"/>
                <w:lang w:val="zh-CN"/>
              </w:rPr>
              <w:t>□</w:t>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w:t>
            </w:r>
            <w:r>
              <w:rPr>
                <w:rFonts w:hint="eastAsia" w:ascii="新宋体" w:hAnsi="新宋体" w:eastAsia="新宋体"/>
                <w:szCs w:val="21"/>
                <w:u w:val="single"/>
              </w:rPr>
              <w:t xml:space="preserve">    </w:t>
            </w:r>
            <w:r>
              <w:rPr>
                <w:rFonts w:hint="eastAsia" w:ascii="新宋体" w:hAnsi="新宋体" w:eastAsia="新宋体"/>
                <w:szCs w:val="21"/>
              </w:rPr>
              <w:t>%</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向许昌市公共资源交易中心交易见证科发</w:t>
            </w:r>
            <w:r>
              <w:rPr>
                <w:rFonts w:hint="eastAsia" w:cs="宋体" w:asciiTheme="minorEastAsia" w:hAnsiTheme="minorEastAsia"/>
                <w:bCs/>
                <w:szCs w:val="21"/>
                <w:lang w:val="zh-CN"/>
              </w:rPr>
              <w:t xml:space="preserve">送投标报价及分项报价一览表（包含主要中标标的的名称、规格型号、数量、单价、服务要求等）电子文档，并同时电话告知交易见证科。联系电话：0374-2968027；邮箱：jzb2968027@163.com。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FF0000"/>
                <w:szCs w:val="21"/>
                <w:lang w:val="zh-CN"/>
              </w:rPr>
            </w:pPr>
            <w:r>
              <w:rPr>
                <w:rFonts w:cs="宋体" w:asciiTheme="minorEastAsia" w:hAnsiTheme="minorEastAsia"/>
                <w:b/>
                <w:color w:val="FF0000"/>
                <w:kern w:val="0"/>
                <w:szCs w:val="21"/>
                <w:lang w:val="zh-CN"/>
              </w:rPr>
              <w:fldChar w:fldCharType="begin"/>
            </w:r>
            <w:r>
              <w:rPr>
                <w:rFonts w:cs="宋体" w:asciiTheme="minorEastAsia" w:hAnsiTheme="minorEastAsia"/>
                <w:b/>
                <w:color w:val="FF0000"/>
                <w:kern w:val="0"/>
                <w:szCs w:val="21"/>
                <w:lang w:val="zh-CN"/>
              </w:rPr>
              <w:instrText xml:space="preserve"> </w:instrText>
            </w:r>
            <w:r>
              <w:rPr>
                <w:rFonts w:hint="eastAsia" w:cs="宋体" w:asciiTheme="minorEastAsia" w:hAnsiTheme="minorEastAsia"/>
                <w:b/>
                <w:color w:val="FF0000"/>
                <w:kern w:val="0"/>
                <w:szCs w:val="21"/>
                <w:lang w:val="zh-CN"/>
              </w:rPr>
              <w:instrText xml:space="preserve">eq \o\ac(□,</w:instrText>
            </w:r>
            <w:r>
              <w:rPr>
                <w:rFonts w:hint="eastAsia" w:cs="宋体" w:asciiTheme="minorEastAsia" w:hAnsiTheme="minorEastAsia"/>
                <w:b/>
                <w:color w:val="FF0000"/>
                <w:kern w:val="0"/>
                <w:position w:val="2"/>
                <w:szCs w:val="21"/>
                <w:lang w:val="zh-CN"/>
              </w:rPr>
              <w:instrText xml:space="preserve">√</w:instrText>
            </w:r>
            <w:r>
              <w:rPr>
                <w:rFonts w:hint="eastAsia" w:cs="宋体" w:asciiTheme="minorEastAsia" w:hAnsiTheme="minorEastAsia"/>
                <w:b/>
                <w:color w:val="FF0000"/>
                <w:kern w:val="0"/>
                <w:szCs w:val="21"/>
                <w:lang w:val="zh-CN"/>
              </w:rPr>
              <w:instrText xml:space="preserve">)</w:instrText>
            </w:r>
            <w:r>
              <w:rPr>
                <w:rFonts w:cs="宋体" w:asciiTheme="minorEastAsia" w:hAnsiTheme="minorEastAsia"/>
                <w:b/>
                <w:color w:val="FF0000"/>
                <w:kern w:val="0"/>
                <w:szCs w:val="21"/>
                <w:lang w:val="zh-CN"/>
              </w:rPr>
              <w:fldChar w:fldCharType="end"/>
            </w:r>
            <w:r>
              <w:rPr>
                <w:rFonts w:hint="eastAsia" w:cs="宋体" w:asciiTheme="minorEastAsia" w:hAnsiTheme="minorEastAsia"/>
                <w:bCs/>
                <w:color w:val="FF0000"/>
                <w:szCs w:val="21"/>
                <w:lang w:val="zh-CN"/>
              </w:rPr>
              <w:t>是。</w:t>
            </w:r>
            <w:r>
              <w:rPr>
                <w:rFonts w:hint="eastAsia" w:hAnsi="宋体" w:cs="宋体"/>
                <w:color w:val="FF0000"/>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不同投标人电子投标文件制作硬件特征码（网卡MAC地址、CPU序号、硬盘序列号）均一致时，视为‘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9"/>
        <w:numPr>
          <w:ilvl w:val="0"/>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9"/>
        <w:autoSpaceDE w:val="0"/>
        <w:autoSpaceDN w:val="0"/>
        <w:spacing w:line="360" w:lineRule="auto"/>
        <w:ind w:left="780"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9"/>
        <w:numPr>
          <w:ilvl w:val="0"/>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91" w:leftChars="450" w:hanging="46" w:hangingChars="2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9"/>
        <w:numPr>
          <w:ilvl w:val="1"/>
          <w:numId w:val="5"/>
        </w:num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9"/>
        <w:numPr>
          <w:ilvl w:val="0"/>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39"/>
        <w:numPr>
          <w:ilvl w:val="0"/>
          <w:numId w:val="7"/>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 HYPERLINK "http://www.chinanpo.gov.cn" </w:instrText>
      </w:r>
      <w:r>
        <w:fldChar w:fldCharType="separate"/>
      </w:r>
      <w:r>
        <w:rPr>
          <w:rStyle w:val="27"/>
          <w:rFonts w:cs="宋体" w:asciiTheme="minorEastAsia" w:hAnsiTheme="minorEastAsia"/>
          <w:kern w:val="0"/>
          <w:szCs w:val="21"/>
        </w:rPr>
        <w:t>www.chinanpo.gov.cn</w:t>
      </w:r>
      <w:r>
        <w:rPr>
          <w:rStyle w:val="27"/>
          <w:rFonts w:cs="宋体" w:asciiTheme="minorEastAsia" w:hAnsiTheme="minorEastAsia"/>
          <w:kern w:val="0"/>
          <w:szCs w:val="21"/>
        </w:rPr>
        <w:fldChar w:fldCharType="end"/>
      </w:r>
      <w:r>
        <w:rPr>
          <w:rFonts w:hint="eastAsia" w:cs="宋体" w:asciiTheme="minorEastAsia" w:hAnsiTheme="minorEastAsia"/>
          <w:kern w:val="0"/>
          <w:szCs w:val="21"/>
        </w:rPr>
        <w:t>）；</w:t>
      </w:r>
    </w:p>
    <w:p>
      <w:pPr>
        <w:pStyle w:val="39"/>
        <w:numPr>
          <w:ilvl w:val="0"/>
          <w:numId w:val="7"/>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截止时间：同投标截止时间；</w:t>
      </w:r>
    </w:p>
    <w:p>
      <w:pPr>
        <w:pStyle w:val="39"/>
        <w:numPr>
          <w:ilvl w:val="0"/>
          <w:numId w:val="7"/>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pPr>
        <w:pStyle w:val="39"/>
        <w:numPr>
          <w:ilvl w:val="0"/>
          <w:numId w:val="7"/>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严重违法失信社会组织名单的社会组织，将拒绝其参与本次政府采购活动；</w:t>
      </w:r>
    </w:p>
    <w:p>
      <w:pPr>
        <w:pStyle w:val="39"/>
        <w:numPr>
          <w:ilvl w:val="0"/>
          <w:numId w:val="7"/>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pStyle w:val="39"/>
        <w:numPr>
          <w:ilvl w:val="1"/>
          <w:numId w:val="5"/>
        </w:numPr>
        <w:autoSpaceDE w:val="0"/>
        <w:autoSpaceDN w:val="0"/>
        <w:spacing w:line="360" w:lineRule="auto"/>
        <w:ind w:hanging="964" w:firstLineChars="0"/>
        <w:contextualSpacing/>
        <w:rPr>
          <w:rFonts w:ascii="宋体" w:hAnsi="宋体"/>
          <w:szCs w:val="21"/>
        </w:rPr>
      </w:pPr>
      <w:r>
        <w:rPr>
          <w:rFonts w:hint="eastAsia" w:ascii="宋体" w:hAnsi="宋体"/>
          <w:szCs w:val="21"/>
        </w:rPr>
        <w:t>单位负责人为同一人或者存在直接控股、管理关系的不同供应商，不得同时参加本项目投标。违反规定的，相关投标均无效。</w:t>
      </w:r>
    </w:p>
    <w:p>
      <w:pPr>
        <w:pStyle w:val="39"/>
        <w:numPr>
          <w:ilvl w:val="1"/>
          <w:numId w:val="5"/>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39"/>
        <w:numPr>
          <w:ilvl w:val="1"/>
          <w:numId w:val="5"/>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39"/>
        <w:numPr>
          <w:ilvl w:val="0"/>
          <w:numId w:val="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在投标文件中向采购人提交联合体协议书，明确联合体各方承担的工作和义务；</w:t>
      </w:r>
    </w:p>
    <w:p>
      <w:pPr>
        <w:pStyle w:val="39"/>
        <w:numPr>
          <w:ilvl w:val="0"/>
          <w:numId w:val="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39"/>
        <w:numPr>
          <w:ilvl w:val="0"/>
          <w:numId w:val="8"/>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招标人根据采购项目的特殊要求规定投标人特定条件的，联合体各方中至少应当有一方符合采购规定的特定条件。</w:t>
      </w:r>
    </w:p>
    <w:p>
      <w:pPr>
        <w:pStyle w:val="39"/>
        <w:numPr>
          <w:ilvl w:val="0"/>
          <w:numId w:val="8"/>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39"/>
        <w:numPr>
          <w:ilvl w:val="0"/>
          <w:numId w:val="8"/>
        </w:numPr>
        <w:autoSpaceDE w:val="0"/>
        <w:autoSpaceDN w:val="0"/>
        <w:spacing w:line="360" w:lineRule="auto"/>
        <w:ind w:left="1418" w:hanging="1416"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39"/>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9"/>
        <w:numPr>
          <w:ilvl w:val="0"/>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2" w:name="baidusnap0"/>
      <w:bookmarkEnd w:id="2"/>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9"/>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9"/>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9"/>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9"/>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9"/>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9"/>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9"/>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9"/>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9"/>
        <w:numPr>
          <w:ilvl w:val="1"/>
          <w:numId w:val="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kern w:val="0"/>
          <w:szCs w:val="21"/>
        </w:rPr>
        <w:t>投标文件由资格证明材料、</w:t>
      </w:r>
      <w:r>
        <w:rPr>
          <w:rFonts w:hint="eastAsia" w:cs="宋体" w:asciiTheme="minorEastAsia" w:hAnsiTheme="minorEastAsia"/>
          <w:color w:val="auto"/>
          <w:kern w:val="0"/>
          <w:szCs w:val="21"/>
        </w:rPr>
        <w:t>符合性证明材料、其它材料等组成。</w:t>
      </w:r>
    </w:p>
    <w:p>
      <w:pPr>
        <w:pStyle w:val="39"/>
        <w:numPr>
          <w:ilvl w:val="1"/>
          <w:numId w:val="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9"/>
        <w:numPr>
          <w:ilvl w:val="1"/>
          <w:numId w:val="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”的文件用于电子投标使用。</w:t>
      </w:r>
    </w:p>
    <w:p>
      <w:pPr>
        <w:autoSpaceDE w:val="0"/>
        <w:autoSpaceDN w:val="0"/>
        <w:spacing w:line="360" w:lineRule="auto"/>
        <w:ind w:left="105" w:leftChars="50" w:firstLine="840" w:firstLineChars="4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投标文件格式</w:t>
      </w:r>
    </w:p>
    <w:p>
      <w:pPr>
        <w:pStyle w:val="39"/>
        <w:numPr>
          <w:ilvl w:val="0"/>
          <w:numId w:val="12"/>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应参照招标文件第七部分（投标文件有关格式）的内容要求、编排顺序和格式要求，投标人应按照以上要求将投标文件以A4幅面编上唯一的连贯页码，并在投标文件封面上注明：所投项目名称、项目编号、投标人名称、日期等字样。</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color w:val="auto"/>
          <w:kern w:val="0"/>
          <w:szCs w:val="21"/>
        </w:rPr>
        <w:t>投标人应按招标文件提供的格式编写投</w:t>
      </w:r>
      <w:r>
        <w:rPr>
          <w:rFonts w:hint="eastAsia" w:cs="宋体" w:asciiTheme="minorEastAsia" w:hAnsiTheme="minorEastAsia"/>
          <w:kern w:val="0"/>
          <w:szCs w:val="21"/>
        </w:rPr>
        <w:t>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9"/>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39"/>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投标文件的数量和签署盖章</w:t>
      </w:r>
    </w:p>
    <w:p>
      <w:pPr>
        <w:pStyle w:val="39"/>
        <w:numPr>
          <w:ilvl w:val="0"/>
          <w:numId w:val="12"/>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投标人应提交投标文件份数见“投标人须知前附表”。</w:t>
      </w:r>
    </w:p>
    <w:p>
      <w:pPr>
        <w:pStyle w:val="39"/>
        <w:numPr>
          <w:ilvl w:val="1"/>
          <w:numId w:val="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四、投标文件的提交</w:t>
      </w:r>
    </w:p>
    <w:p>
      <w:pPr>
        <w:pStyle w:val="39"/>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投标截止时间</w:t>
      </w:r>
    </w:p>
    <w:p>
      <w:pPr>
        <w:pStyle w:val="39"/>
        <w:numPr>
          <w:ilvl w:val="0"/>
          <w:numId w:val="12"/>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投标人必须在“投标邀请”和“投标人须知前附表”中规定的投标截止时间前，将</w:t>
      </w:r>
      <w:r>
        <w:rPr>
          <w:rFonts w:hint="eastAsia" w:cs="仿宋_GB2312" w:asciiTheme="minorEastAsia" w:hAnsiTheme="minorEastAsia"/>
          <w:color w:val="auto"/>
          <w:szCs w:val="21"/>
        </w:rPr>
        <w:t>加密电子投标文件</w:t>
      </w:r>
      <w:r>
        <w:rPr>
          <w:rFonts w:hint="eastAsia" w:cs="宋体" w:asciiTheme="minorEastAsia" w:hAnsiTheme="minorEastAsia"/>
          <w:color w:val="auto"/>
          <w:szCs w:val="21"/>
        </w:rPr>
        <w:t>（</w:t>
      </w:r>
      <w:r>
        <w:rPr>
          <w:rFonts w:asciiTheme="minorEastAsia" w:hAnsiTheme="minorEastAsia"/>
          <w:color w:val="auto"/>
          <w:szCs w:val="21"/>
        </w:rPr>
        <w:t>.file</w:t>
      </w:r>
      <w:r>
        <w:rPr>
          <w:rFonts w:hint="eastAsia" w:cs="宋体" w:asciiTheme="minorEastAsia" w:hAnsiTheme="minorEastAsia"/>
          <w:color w:val="auto"/>
          <w:szCs w:val="21"/>
        </w:rPr>
        <w:t>格式）</w:t>
      </w:r>
      <w:r>
        <w:rPr>
          <w:rFonts w:hint="eastAsia" w:cs="仿宋_GB2312" w:asciiTheme="minorEastAsia" w:hAnsiTheme="minorEastAsia"/>
          <w:color w:val="auto"/>
          <w:szCs w:val="21"/>
        </w:rPr>
        <w:t>通过《全国公共资源交易平台(河南省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hint="eastAsia" w:cs="仿宋_GB2312" w:asciiTheme="minorEastAsia" w:hAnsiTheme="minorEastAsia"/>
          <w:color w:val="auto"/>
          <w:szCs w:val="21"/>
        </w:rPr>
        <w:t>)》公共资源交易系统成功上传。</w:t>
      </w:r>
    </w:p>
    <w:p>
      <w:pPr>
        <w:pStyle w:val="39"/>
        <w:numPr>
          <w:ilvl w:val="1"/>
          <w:numId w:val="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迟交的投标文件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投标截止时间之后上传的投标文件，招标人将拒绝接收。</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投标文件的修改和撤回</w:t>
      </w:r>
    </w:p>
    <w:p>
      <w:pPr>
        <w:pStyle w:val="39"/>
        <w:numPr>
          <w:ilvl w:val="0"/>
          <w:numId w:val="13"/>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投标人在投标截止时间前，对投标文件进行补充、修改或者撤回的，须书面通知招标人。</w:t>
      </w:r>
    </w:p>
    <w:p>
      <w:pPr>
        <w:autoSpaceDE w:val="0"/>
        <w:autoSpaceDN w:val="0"/>
        <w:spacing w:line="360" w:lineRule="auto"/>
        <w:ind w:left="964" w:firstLine="29"/>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投标人应当在投标截止时间前完成电子投标文件的提交，可以补充、修改或撤回。投标截止时间前未完成电子投标文件提交的，视为撤回投标文件。</w:t>
      </w:r>
    </w:p>
    <w:p>
      <w:pPr>
        <w:pStyle w:val="39"/>
        <w:numPr>
          <w:ilvl w:val="1"/>
          <w:numId w:val="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投标人补充、修改的内容并作为投标文件的组成部分。补充或修改应当按招标文件要求签署、盖章、提交，并应注明“修改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39"/>
        <w:numPr>
          <w:ilvl w:val="1"/>
          <w:numId w:val="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投标人在提交投标文件后，可以撤回其投标，但投标人必须在规定的投标截止时间前以书面形式告知招标人。</w:t>
      </w:r>
    </w:p>
    <w:p>
      <w:pPr>
        <w:pStyle w:val="39"/>
        <w:numPr>
          <w:ilvl w:val="1"/>
          <w:numId w:val="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color w:val="auto"/>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除投标人须知前附表另有规定外，投标人所提交的电子投标文件不予退还。</w:t>
      </w:r>
    </w:p>
    <w:p>
      <w:pPr>
        <w:autoSpaceDE w:val="0"/>
        <w:autoSpaceDN w:val="0"/>
        <w:spacing w:line="360" w:lineRule="auto"/>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五、开标和评标</w:t>
      </w:r>
    </w:p>
    <w:p>
      <w:pPr>
        <w:pStyle w:val="39"/>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开标</w:t>
      </w:r>
    </w:p>
    <w:p>
      <w:pPr>
        <w:pStyle w:val="39"/>
        <w:numPr>
          <w:ilvl w:val="0"/>
          <w:numId w:val="14"/>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招标人将按招标文件规定的时间和地点组织远程不见面开标。开标由代理机构主持，投标人无须到现场。评标委员会成员不得参加开标活动。</w:t>
      </w:r>
    </w:p>
    <w:p>
      <w:pPr>
        <w:pStyle w:val="39"/>
        <w:numPr>
          <w:ilvl w:val="1"/>
          <w:numId w:val="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招标人应当对开标、评标现场活动进行全程录音录像。录音录像应当清晰可辨，音像资料作为采购文件一并存档。</w:t>
      </w:r>
    </w:p>
    <w:p>
      <w:pPr>
        <w:pStyle w:val="39"/>
        <w:numPr>
          <w:ilvl w:val="1"/>
          <w:numId w:val="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开标时，由代理机构开通远程不见面开标大厅及开启“文字互动”等功能；投标人、代理机构进行电子投标文件的解密。解密后</w:t>
      </w:r>
      <w:r>
        <w:rPr>
          <w:rFonts w:hint="eastAsia" w:asciiTheme="minorEastAsia" w:hAnsiTheme="minorEastAsia"/>
          <w:color w:val="auto"/>
          <w:szCs w:val="21"/>
        </w:rPr>
        <w:t>投标人选择功能栏“开标记录”按钮可查看</w:t>
      </w:r>
      <w:r>
        <w:rPr>
          <w:rFonts w:hint="eastAsia" w:cs="宋体" w:asciiTheme="minorEastAsia" w:hAnsiTheme="minorEastAsia"/>
          <w:color w:val="auto"/>
          <w:kern w:val="0"/>
          <w:szCs w:val="21"/>
        </w:rPr>
        <w:t>投标人名称、投标价格、修改和撤回投标的通知（如有的话）和招标文件规定的需要宣布的其他内容。</w:t>
      </w:r>
    </w:p>
    <w:p>
      <w:pPr>
        <w:pStyle w:val="39"/>
        <w:numPr>
          <w:ilvl w:val="1"/>
          <w:numId w:val="15"/>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电子投标文件的解密。全流程电子化交易项目电子投标文件采用双重加密。解密需分</w:t>
      </w:r>
    </w:p>
    <w:p>
      <w:pPr>
        <w:autoSpaceDE w:val="0"/>
        <w:autoSpaceDN w:val="0"/>
        <w:spacing w:line="360" w:lineRule="auto"/>
        <w:ind w:left="1841" w:leftChars="671" w:hanging="432" w:hangingChars="206"/>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标段进行两次解密。</w:t>
      </w:r>
    </w:p>
    <w:p>
      <w:pPr>
        <w:pStyle w:val="39"/>
        <w:numPr>
          <w:ilvl w:val="1"/>
          <w:numId w:val="16"/>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投标人解密：投标人使用本单位CA数字证书远程进行解密。</w:t>
      </w:r>
    </w:p>
    <w:p>
      <w:pPr>
        <w:autoSpaceDE w:val="0"/>
        <w:autoSpaceDN w:val="0"/>
        <w:spacing w:line="360" w:lineRule="auto"/>
        <w:ind w:left="1842" w:hanging="1841" w:hangingChars="877"/>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23.3.1.2         代理机构解密：代理机构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w:t>
      </w:r>
      <w:r>
        <w:rPr>
          <w:rFonts w:cs="宋体" w:asciiTheme="minorEastAsia" w:hAnsiTheme="minorEastAsia"/>
          <w:color w:val="auto"/>
          <w:kern w:val="0"/>
          <w:szCs w:val="21"/>
        </w:rPr>
        <w:t>投标</w:t>
      </w:r>
      <w:r>
        <w:rPr>
          <w:rFonts w:hint="eastAsia" w:cs="宋体" w:asciiTheme="minorEastAsia" w:hAnsiTheme="minorEastAsia"/>
          <w:color w:val="auto"/>
          <w:kern w:val="0"/>
          <w:szCs w:val="21"/>
        </w:rPr>
        <w:t>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pStyle w:val="39"/>
        <w:numPr>
          <w:ilvl w:val="1"/>
          <w:numId w:val="17"/>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因投标人原因电子投标文件解密失败的，其投标将被拒绝。</w:t>
      </w:r>
    </w:p>
    <w:p>
      <w:pPr>
        <w:pStyle w:val="39"/>
        <w:numPr>
          <w:ilvl w:val="1"/>
          <w:numId w:val="15"/>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投标人不足3家的，不得开标。</w:t>
      </w:r>
    </w:p>
    <w:p>
      <w:pPr>
        <w:pStyle w:val="39"/>
        <w:numPr>
          <w:ilvl w:val="1"/>
          <w:numId w:val="18"/>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开标过程由采购代理机构负责记录，</w:t>
      </w:r>
      <w:r>
        <w:rPr>
          <w:rFonts w:hint="eastAsia" w:hAnsi="宋体"/>
          <w:color w:val="auto"/>
          <w:szCs w:val="21"/>
        </w:rPr>
        <w:t>《开标记录表》经投标人进行电子签章、</w:t>
      </w:r>
      <w:r>
        <w:rPr>
          <w:rFonts w:hint="eastAsia" w:cs="宋体" w:asciiTheme="minorEastAsia" w:hAnsiTheme="minorEastAsia"/>
          <w:color w:val="auto"/>
          <w:kern w:val="0"/>
          <w:szCs w:val="21"/>
        </w:rPr>
        <w:t>由参加开标相关工作人员签字确认后随采购文件一并存档。</w:t>
      </w:r>
      <w:r>
        <w:rPr>
          <w:rFonts w:hint="eastAsia" w:hAnsi="宋体"/>
          <w:color w:val="auto"/>
          <w:szCs w:val="21"/>
        </w:rPr>
        <w:t>投标人未电子签章的，视同认可开标结果。</w:t>
      </w:r>
    </w:p>
    <w:p>
      <w:pPr>
        <w:pStyle w:val="39"/>
        <w:numPr>
          <w:ilvl w:val="1"/>
          <w:numId w:val="18"/>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39"/>
        <w:numPr>
          <w:ilvl w:val="1"/>
          <w:numId w:val="18"/>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项目远程不见面开标活动结束时，投标人应在《开标记录表》上进行电子签章。投标人未签章的，视同认可开标结果。</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1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1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评标委员会的组成</w:t>
      </w:r>
    </w:p>
    <w:p>
      <w:pPr>
        <w:pStyle w:val="39"/>
        <w:numPr>
          <w:ilvl w:val="0"/>
          <w:numId w:val="19"/>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pStyle w:val="39"/>
        <w:numPr>
          <w:ilvl w:val="0"/>
          <w:numId w:val="20"/>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招标人将依法组建评标委员会，评标委员会由评审专家组成，成员人数应当为5人以上单数。评审专家依法从政府采购评审专家库中随机抽取。</w:t>
      </w:r>
    </w:p>
    <w:p>
      <w:pPr>
        <w:pStyle w:val="39"/>
        <w:numPr>
          <w:ilvl w:val="0"/>
          <w:numId w:val="20"/>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采购项目符合下列情形之一的，评标委员会成员人数应当为7人以上单数：</w:t>
      </w:r>
    </w:p>
    <w:p>
      <w:pPr>
        <w:pStyle w:val="39"/>
        <w:numPr>
          <w:ilvl w:val="0"/>
          <w:numId w:val="21"/>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采购预算金额在1000万元以上；</w:t>
      </w:r>
    </w:p>
    <w:p>
      <w:pPr>
        <w:pStyle w:val="39"/>
        <w:numPr>
          <w:ilvl w:val="0"/>
          <w:numId w:val="21"/>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技术复杂；</w:t>
      </w:r>
    </w:p>
    <w:p>
      <w:pPr>
        <w:pStyle w:val="39"/>
        <w:numPr>
          <w:ilvl w:val="0"/>
          <w:numId w:val="21"/>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社会影响较大。</w:t>
      </w:r>
    </w:p>
    <w:p>
      <w:pPr>
        <w:pStyle w:val="39"/>
        <w:numPr>
          <w:ilvl w:val="0"/>
          <w:numId w:val="20"/>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评审专家对本单位的采购项目只能作为采购人代表参与评标。采购代理机构工作人员不得参加由本机构代理的政府采购项目的评标。</w:t>
      </w:r>
    </w:p>
    <w:p>
      <w:pPr>
        <w:pStyle w:val="39"/>
        <w:numPr>
          <w:ilvl w:val="0"/>
          <w:numId w:val="22"/>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评审专家与投标人存在下列利害关系之一的,应当回避:</w:t>
      </w:r>
    </w:p>
    <w:p>
      <w:pPr>
        <w:pStyle w:val="39"/>
        <w:numPr>
          <w:ilvl w:val="0"/>
          <w:numId w:val="2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color w:val="auto"/>
          <w:kern w:val="0"/>
          <w:szCs w:val="21"/>
        </w:rPr>
        <w:t>参加采购活动前三年内,与供应商存在劳动关系,</w:t>
      </w:r>
      <w:r>
        <w:rPr>
          <w:rFonts w:hint="eastAsia" w:cs="宋体" w:asciiTheme="minorEastAsia" w:hAnsiTheme="minorEastAsia"/>
          <w:kern w:val="0"/>
          <w:szCs w:val="21"/>
        </w:rPr>
        <w:t>或者担任过供应商的董事、监事,或者是供应商的控股股东或实际控制人；</w:t>
      </w:r>
    </w:p>
    <w:p>
      <w:pPr>
        <w:pStyle w:val="39"/>
        <w:numPr>
          <w:ilvl w:val="0"/>
          <w:numId w:val="2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与供应商的法定代表人或者负责人有夫妻、直系血亲、三代以内旁系血亲或者近姻亲关系；</w:t>
      </w:r>
    </w:p>
    <w:p>
      <w:pPr>
        <w:pStyle w:val="39"/>
        <w:numPr>
          <w:ilvl w:val="0"/>
          <w:numId w:val="2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与供应商有其他可能影响政府采购活动公平、公正进行的关系。</w:t>
      </w:r>
    </w:p>
    <w:p>
      <w:pPr>
        <w:pStyle w:val="39"/>
        <w:numPr>
          <w:ilvl w:val="1"/>
          <w:numId w:val="2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9"/>
        <w:numPr>
          <w:ilvl w:val="1"/>
          <w:numId w:val="2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9"/>
        <w:numPr>
          <w:ilvl w:val="1"/>
          <w:numId w:val="2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9"/>
        <w:numPr>
          <w:ilvl w:val="1"/>
          <w:numId w:val="2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9"/>
        <w:numPr>
          <w:ilvl w:val="0"/>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9"/>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9"/>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2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9"/>
        <w:numPr>
          <w:ilvl w:val="0"/>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9"/>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9"/>
        <w:numPr>
          <w:ilvl w:val="0"/>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2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pStyle w:val="39"/>
        <w:numPr>
          <w:ilvl w:val="0"/>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投标文件中开标一览表(报价表)内容与投标文件中相应内容不一致的，以开标一览表(报价表)为准；</w:t>
      </w:r>
    </w:p>
    <w:p>
      <w:pPr>
        <w:pStyle w:val="39"/>
        <w:numPr>
          <w:ilvl w:val="0"/>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39"/>
        <w:numPr>
          <w:ilvl w:val="0"/>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39"/>
        <w:numPr>
          <w:ilvl w:val="0"/>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2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9"/>
        <w:numPr>
          <w:ilvl w:val="0"/>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pStyle w:val="39"/>
        <w:numPr>
          <w:ilvl w:val="0"/>
          <w:numId w:val="3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未按照招标文件的规定提交投标承诺函的；</w:t>
      </w:r>
      <w:r>
        <w:rPr>
          <w:rFonts w:cs="宋体" w:asciiTheme="minorEastAsia" w:hAnsiTheme="minorEastAsia"/>
          <w:kern w:val="0"/>
          <w:szCs w:val="21"/>
        </w:rPr>
        <w:t xml:space="preserve"> </w:t>
      </w:r>
    </w:p>
    <w:p>
      <w:pPr>
        <w:pStyle w:val="39"/>
        <w:numPr>
          <w:ilvl w:val="0"/>
          <w:numId w:val="3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投标文件未按招标文件要求签署、盖章的；</w:t>
      </w:r>
    </w:p>
    <w:p>
      <w:pPr>
        <w:pStyle w:val="39"/>
        <w:numPr>
          <w:ilvl w:val="0"/>
          <w:numId w:val="3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不具备招标文件中规定的资格要求的；</w:t>
      </w:r>
    </w:p>
    <w:p>
      <w:pPr>
        <w:pStyle w:val="39"/>
        <w:numPr>
          <w:ilvl w:val="0"/>
          <w:numId w:val="3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报价超过招标文件中规定的预算金额或者最高限价的；</w:t>
      </w:r>
    </w:p>
    <w:p>
      <w:pPr>
        <w:pStyle w:val="39"/>
        <w:numPr>
          <w:ilvl w:val="0"/>
          <w:numId w:val="32"/>
        </w:numPr>
        <w:autoSpaceDE w:val="0"/>
        <w:autoSpaceDN w:val="0"/>
        <w:spacing w:line="360" w:lineRule="auto"/>
        <w:ind w:left="1418" w:hanging="1418" w:firstLineChars="0"/>
        <w:contextualSpacing/>
        <w:rPr>
          <w:rFonts w:cs="宋体" w:asciiTheme="minorEastAsia" w:hAnsiTheme="minorEastAsia"/>
          <w:kern w:val="0"/>
          <w:szCs w:val="21"/>
        </w:rPr>
      </w:pP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9"/>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pStyle w:val="39"/>
        <w:numPr>
          <w:ilvl w:val="0"/>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不同投标人的投标文件由同一单位或者个人编制；</w:t>
      </w:r>
    </w:p>
    <w:p>
      <w:pPr>
        <w:pStyle w:val="39"/>
        <w:numPr>
          <w:ilvl w:val="0"/>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不同投标人委托同一单位或者个人办理投标事宜；</w:t>
      </w:r>
    </w:p>
    <w:p>
      <w:pPr>
        <w:pStyle w:val="39"/>
        <w:numPr>
          <w:ilvl w:val="0"/>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不同投标人的投标文件载明的项目管理成员或者联系人员为同一人；</w:t>
      </w:r>
    </w:p>
    <w:p>
      <w:pPr>
        <w:pStyle w:val="39"/>
        <w:numPr>
          <w:ilvl w:val="0"/>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不同投标人的投标文件异常一致或者投标报价呈规律性差异；</w:t>
      </w:r>
    </w:p>
    <w:p>
      <w:pPr>
        <w:pStyle w:val="39"/>
        <w:numPr>
          <w:ilvl w:val="0"/>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不同投标人的投标文件相互混装。</w:t>
      </w:r>
    </w:p>
    <w:p>
      <w:pPr>
        <w:pStyle w:val="39"/>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9"/>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39"/>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按照《关于推进全流程电子化交易和在线监管工作有关问题的通知》（许公管办[2019]3号）规定，不同投标人电子投标文件制作硬件特征码（网卡MAC地址、CPU序号、硬盘序列号）均一致时，视为‘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39"/>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w:t>
      </w:r>
      <w:r>
        <w:rPr>
          <w:rFonts w:cs="宋体" w:asciiTheme="minorEastAsia" w:hAnsiTheme="minorEastAsia"/>
          <w:kern w:val="0"/>
          <w:szCs w:val="21"/>
        </w:rPr>
        <w:t>律、法规和招标文件规定的其他无效情形。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2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9"/>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9"/>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2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2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9"/>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pStyle w:val="39"/>
        <w:numPr>
          <w:ilvl w:val="0"/>
          <w:numId w:val="4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最低评标价法</w:t>
      </w:r>
    </w:p>
    <w:p>
      <w:pPr>
        <w:pStyle w:val="39"/>
        <w:numPr>
          <w:ilvl w:val="0"/>
          <w:numId w:val="42"/>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最低评标价法，是指投标文件满足招标文件全部实质性要求，且投标报价最低的投标人为中标候选人的评标方法。</w:t>
      </w:r>
    </w:p>
    <w:p>
      <w:pPr>
        <w:pStyle w:val="39"/>
        <w:numPr>
          <w:ilvl w:val="0"/>
          <w:numId w:val="42"/>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采用最低评标价法评标时，除了算术修正和落实政府采购政策需进行的价格扣除外，不能对投标人的投标价格进行任何调整。</w:t>
      </w:r>
    </w:p>
    <w:p>
      <w:pPr>
        <w:pStyle w:val="39"/>
        <w:numPr>
          <w:ilvl w:val="0"/>
          <w:numId w:val="4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综合评分法，是指投标文件满足招标文件全部实质性要求，且按照评审因素的量化指标评审得分最高的投标人为中标候选人的评标方法。</w:t>
      </w:r>
    </w:p>
    <w:p>
      <w:pPr>
        <w:pStyle w:val="39"/>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pStyle w:val="39"/>
        <w:numPr>
          <w:ilvl w:val="0"/>
          <w:numId w:val="4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pStyle w:val="39"/>
        <w:numPr>
          <w:ilvl w:val="0"/>
          <w:numId w:val="4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评标过程中，不得去掉报价中的最高报价和最低报价。</w:t>
      </w:r>
    </w:p>
    <w:p>
      <w:pPr>
        <w:pStyle w:val="39"/>
        <w:numPr>
          <w:ilvl w:val="0"/>
          <w:numId w:val="4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因落实政府采购政策进行价格调整的，以调整后的价格计算评标基准价和投标报价。</w:t>
      </w:r>
    </w:p>
    <w:p>
      <w:pPr>
        <w:pStyle w:val="39"/>
        <w:numPr>
          <w:ilvl w:val="1"/>
          <w:numId w:val="4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4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9"/>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9"/>
        <w:numPr>
          <w:ilvl w:val="0"/>
          <w:numId w:val="4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pStyle w:val="39"/>
        <w:numPr>
          <w:ilvl w:val="0"/>
          <w:numId w:val="4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pStyle w:val="39"/>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确定参与评标至评标结束前私自接触投标人；</w:t>
      </w:r>
    </w:p>
    <w:p>
      <w:pPr>
        <w:pStyle w:val="39"/>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接受投标人提出的与投标文件不一致的澄清或者说明，《投标人须知》26条规定的情形除外；</w:t>
      </w:r>
    </w:p>
    <w:p>
      <w:pPr>
        <w:pStyle w:val="39"/>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违反评标纪律发表倾向性意见或者征询采购人的倾向性意见；</w:t>
      </w:r>
    </w:p>
    <w:p>
      <w:pPr>
        <w:pStyle w:val="39"/>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对需要专业判断的主观评审因素协商评分；</w:t>
      </w:r>
    </w:p>
    <w:p>
      <w:pPr>
        <w:pStyle w:val="39"/>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在评标过程中擅离职守，影响评标程序正常进行的；</w:t>
      </w:r>
    </w:p>
    <w:p>
      <w:pPr>
        <w:pStyle w:val="39"/>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记录、复制或者带走任何评标资料；</w:t>
      </w:r>
    </w:p>
    <w:p>
      <w:pPr>
        <w:pStyle w:val="39"/>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其他不遵守评标纪律的行为。</w:t>
      </w:r>
    </w:p>
    <w:p>
      <w:pPr>
        <w:pStyle w:val="39"/>
        <w:autoSpaceDE w:val="0"/>
        <w:autoSpaceDN w:val="0"/>
        <w:spacing w:line="360" w:lineRule="auto"/>
        <w:ind w:left="1384" w:firstLine="0" w:firstLineChars="0"/>
        <w:contextualSpacing/>
        <w:rPr>
          <w:rFonts w:cs="宋体" w:asciiTheme="minorEastAsia" w:hAnsiTheme="minorEastAsia"/>
          <w:kern w:val="0"/>
          <w:szCs w:val="21"/>
        </w:rPr>
      </w:pP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9"/>
        <w:numPr>
          <w:ilvl w:val="0"/>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9"/>
        <w:numPr>
          <w:ilvl w:val="0"/>
          <w:numId w:val="5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9"/>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9"/>
        <w:numPr>
          <w:ilvl w:val="0"/>
          <w:numId w:val="5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9"/>
        <w:numPr>
          <w:ilvl w:val="0"/>
          <w:numId w:val="5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9"/>
        <w:numPr>
          <w:ilvl w:val="0"/>
          <w:numId w:val="5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9"/>
        <w:numPr>
          <w:ilvl w:val="0"/>
          <w:numId w:val="5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9"/>
        <w:numPr>
          <w:ilvl w:val="0"/>
          <w:numId w:val="5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9"/>
        <w:numPr>
          <w:ilvl w:val="0"/>
          <w:numId w:val="5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39"/>
        <w:numPr>
          <w:ilvl w:val="0"/>
          <w:numId w:val="55"/>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pStyle w:val="39"/>
        <w:numPr>
          <w:ilvl w:val="0"/>
          <w:numId w:val="55"/>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  内，以书面形式向采购人和采购代理机构一次性提出；</w:t>
      </w:r>
    </w:p>
    <w:p>
      <w:pPr>
        <w:pStyle w:val="39"/>
        <w:numPr>
          <w:ilvl w:val="0"/>
          <w:numId w:val="55"/>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对中标结果提出质疑的，为中标结果公告期限届满之日起七个工作日内，以书面形式向采购人和采购代理机构一次性提出。</w:t>
      </w:r>
    </w:p>
    <w:p>
      <w:pPr>
        <w:pStyle w:val="39"/>
        <w:numPr>
          <w:ilvl w:val="1"/>
          <w:numId w:val="56"/>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pStyle w:val="39"/>
        <w:numPr>
          <w:ilvl w:val="0"/>
          <w:numId w:val="57"/>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pStyle w:val="39"/>
        <w:numPr>
          <w:ilvl w:val="0"/>
          <w:numId w:val="57"/>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3" w:name="OLE_LINK6"/>
      <w:r>
        <w:rPr>
          <w:rFonts w:hint="eastAsia" w:cs="仿宋_GB2312" w:asciiTheme="minorEastAsia" w:hAnsiTheme="minorEastAsia"/>
          <w:szCs w:val="21"/>
          <w:lang w:val="zh-CN"/>
        </w:rPr>
        <w:t>财库[2014]68号</w:t>
      </w:r>
      <w:bookmarkEnd w:id="3"/>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（1）企业法人营业执照或营业执照。（企业投标提供）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（2）事业单位法人证书。（事业单位投标提供）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（3）执业许可证。（非企业专业服务机构投标提供）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（4）个体工商户营业执照。（个体工商户投标提供）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（5）自然人身份证明。（自然人投标提供）</w:t>
            </w:r>
          </w:p>
          <w:p>
            <w:pPr>
              <w:spacing w:line="360" w:lineRule="auto"/>
              <w:jc w:val="left"/>
              <w:rPr>
                <w:rFonts w:asciiTheme="minorEastAsia" w:hAnsiTheme="minorEastAsia"/>
                <w:b/>
                <w:bCs/>
                <w:color w:val="auto"/>
                <w:szCs w:val="21"/>
              </w:rPr>
            </w:pPr>
            <w:r>
              <w:rPr>
                <w:rFonts w:hint="eastAsia" w:asciiTheme="minorEastAsia" w:hAnsiTheme="minorEastAsia"/>
                <w:bCs/>
                <w:color w:val="auto"/>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color w:val="auto"/>
                <w:szCs w:val="21"/>
              </w:rPr>
            </w:pPr>
            <w:r>
              <w:rPr>
                <w:rFonts w:hint="eastAsia" w:asciiTheme="minorEastAsia" w:hAnsiTheme="minorEastAsia"/>
                <w:bCs/>
                <w:color w:val="auto"/>
                <w:szCs w:val="21"/>
              </w:rPr>
              <w:t>（1）投标人是法人（法人包括企业法人、机关法人、事业单位法人和社会团体法人），提供本单位：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①2018年度或2019年度经审计的财务报告，包括资产负债表、利润表、现金流量表、所有者权益变动表及其附注；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p>
            <w:pPr>
              <w:spacing w:line="360" w:lineRule="auto"/>
              <w:rPr>
                <w:rFonts w:asciiTheme="minorEastAsia" w:hAnsiTheme="minorEastAsia"/>
                <w:bCs/>
                <w:color w:val="auto"/>
                <w:szCs w:val="21"/>
              </w:rPr>
            </w:pPr>
            <w:r>
              <w:rPr>
                <w:rFonts w:hint="eastAsia" w:asciiTheme="minorEastAsia" w:hAnsiTheme="minorEastAsia"/>
                <w:bCs/>
                <w:color w:val="auto"/>
                <w:szCs w:val="21"/>
              </w:rPr>
              <w:t>（2）投标人（其他组织和自然人）提供本单位：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①2018年度或2019年度经审计的财务报告，包括资产负债表、利润表、现金流量表、所有者权益变动表及其附注；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失信被执行人、重大税收违法案件当事人名单的投标人、“</w:t>
            </w:r>
            <w:r>
              <w:rPr>
                <w:rFonts w:asciiTheme="minorEastAsia" w:hAnsiTheme="minorEastAsia"/>
                <w:bCs/>
                <w:szCs w:val="21"/>
              </w:rPr>
              <w:t>中国政府采购网</w:t>
            </w:r>
            <w:r>
              <w:rPr>
                <w:rFonts w:hint="eastAsia" w:asciiTheme="minorEastAsia" w:hAnsiTheme="minorEastAsia"/>
                <w:bCs/>
                <w:szCs w:val="21"/>
              </w:rPr>
              <w:t>”政府采购严重违法失信行为记录名单的投标人、</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bCs/>
                <w:szCs w:val="21"/>
              </w:rPr>
              <w:t>www.creditchina.gov.cn</w:t>
            </w:r>
            <w:r>
              <w:rPr>
                <w:rStyle w:val="27"/>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asciiTheme="minorEastAsia" w:hAnsiTheme="minorEastAsia"/>
                <w:bCs/>
                <w:szCs w:val="21"/>
              </w:rPr>
              <w:t>的投标人</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，将拒绝其参与本次政府采购活动。</w:t>
            </w:r>
          </w:p>
          <w:p>
            <w:pPr>
              <w:spacing w:line="360" w:lineRule="auto"/>
              <w:rPr>
                <w:rFonts w:asciiTheme="minorEastAsia" w:hAnsiTheme="minorEastAsia"/>
                <w:b/>
                <w:bCs/>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cs="宋体" w:asciiTheme="minorEastAsia" w:hAnsiTheme="minorEastAsia"/>
                <w:b/>
                <w:bCs/>
                <w:kern w:val="0"/>
                <w:szCs w:val="21"/>
              </w:rPr>
              <w:t>1、 投标人为产品制造商时，提供有效的《医疗器械生产许可证》（国外制造商除外）； 2、投标人为产品代理商或经销商时，提供有效的《医疗器械经营许可证》。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4" w:name="baidusnap2"/>
            <w:bookmarkEnd w:id="4"/>
            <w:r>
              <w:rPr>
                <w:rFonts w:hint="eastAsia" w:cs="仿宋_GB2312" w:asciiTheme="minorEastAsia" w:hAnsiTheme="minorEastAsia"/>
                <w:szCs w:val="21"/>
                <w:lang w:val="zh-CN"/>
              </w:rPr>
              <w:t>提供未为本项目提供整体设计、</w:t>
            </w:r>
            <w:bookmarkStart w:id="5" w:name="baidusnap9"/>
            <w:bookmarkEnd w:id="5"/>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w:t>
      </w:r>
      <w:r>
        <w:rPr>
          <w:rFonts w:hint="eastAsia" w:cs="仿宋_GB2312" w:asciiTheme="minorEastAsia" w:hAnsiTheme="minorEastAsia"/>
          <w:color w:val="auto"/>
          <w:sz w:val="21"/>
          <w:szCs w:val="21"/>
          <w:lang w:val="zh-CN"/>
        </w:rPr>
        <w:t>掉报价中的最高报价和最低报价。</w:t>
      </w:r>
    </w:p>
    <w:p>
      <w:pPr>
        <w:pStyle w:val="14"/>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如果本项目非专门面向中小企业采购，对小型和微型企业产品的价格给予10%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（2）</w:t>
      </w:r>
      <w:r>
        <w:rPr>
          <w:rFonts w:cs="仿宋_GB2312" w:asciiTheme="minorEastAsia" w:hAnsiTheme="minorEastAsia" w:eastAsiaTheme="minorEastAsia"/>
          <w:b/>
          <w:color w:val="auto"/>
          <w:sz w:val="21"/>
          <w:szCs w:val="21"/>
          <w:lang w:val="zh-CN"/>
        </w:rPr>
        <w:t>关于相同品牌产品</w:t>
      </w:r>
      <w:r>
        <w:rPr>
          <w:rFonts w:cs="仿宋_GB2312" w:asciiTheme="minorEastAsia" w:hAnsiTheme="minorEastAsia" w:eastAsiaTheme="minorEastAsia"/>
          <w:b/>
          <w:bCs/>
          <w:color w:val="auto"/>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 w:val="21"/>
          <w:szCs w:val="21"/>
          <w:lang w:val="zh-CN"/>
        </w:rPr>
        <w:t>采取随机抽取</w:t>
      </w:r>
      <w:r>
        <w:rPr>
          <w:rFonts w:cs="仿宋_GB2312" w:asciiTheme="minorEastAsia" w:hAnsiTheme="minorEastAsia" w:eastAsiaTheme="minorEastAsia"/>
          <w:color w:val="auto"/>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采用综合评分法的，提供相同品牌产品</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非单一产品采购项目，多家投标人提供的核心产品品牌相同</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 w:val="21"/>
          <w:szCs w:val="21"/>
          <w:lang w:val="zh-CN"/>
        </w:rPr>
        <w:t>由采购人或者采购人委托评标委员会</w:t>
      </w:r>
      <w:r>
        <w:rPr>
          <w:rFonts w:cs="仿宋_GB2312" w:asciiTheme="minorEastAsia" w:hAnsiTheme="minorEastAsia" w:eastAsiaTheme="minorEastAsia"/>
          <w:color w:val="auto"/>
          <w:sz w:val="21"/>
          <w:szCs w:val="21"/>
          <w:lang w:val="zh-CN"/>
        </w:rPr>
        <w:t>采取随机抽取方式确定</w:t>
      </w:r>
      <w:r>
        <w:rPr>
          <w:rFonts w:hint="eastAsia" w:cs="仿宋_GB2312" w:asciiTheme="minorEastAsia" w:hAnsiTheme="minorEastAsia" w:eastAsiaTheme="minorEastAsia"/>
          <w:color w:val="auto"/>
          <w:sz w:val="21"/>
          <w:szCs w:val="21"/>
          <w:lang w:val="zh-CN"/>
        </w:rPr>
        <w:t>一个投标人获得中标人推荐资格</w:t>
      </w:r>
      <w:r>
        <w:rPr>
          <w:rFonts w:cs="仿宋_GB2312" w:asciiTheme="minorEastAsia" w:hAnsiTheme="minorEastAsia" w:eastAsiaTheme="minorEastAsia"/>
          <w:color w:val="auto"/>
          <w:sz w:val="21"/>
          <w:szCs w:val="21"/>
          <w:lang w:val="zh-CN"/>
        </w:rPr>
        <w:t>，其他同品牌投标人不作为中标候选人。</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（3）强制采购节能产品和优先采购节能产品、优先采购环保产品</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color w:val="auto"/>
          <w:sz w:val="21"/>
          <w:szCs w:val="21"/>
          <w:lang w:val="zh-CN"/>
        </w:rPr>
        <w:t>1）对《节能产品政府采购品目清单》所列的政府强制采购节能产品</w:t>
      </w:r>
      <w:r>
        <w:rPr>
          <w:rFonts w:hint="eastAsia" w:cs="仿宋_GB2312" w:asciiTheme="minorEastAsia" w:hAnsiTheme="minorEastAsia" w:eastAsiaTheme="minorEastAsia"/>
          <w:color w:val="auto"/>
          <w:sz w:val="21"/>
          <w:szCs w:val="21"/>
        </w:rPr>
        <w:t>，</w:t>
      </w:r>
      <w:r>
        <w:rPr>
          <w:rFonts w:hint="eastAsia" w:cs="仿宋_GB2312" w:asciiTheme="minorEastAsia" w:hAnsiTheme="minorEastAsia" w:eastAsiaTheme="minorEastAsia"/>
          <w:color w:val="auto"/>
          <w:sz w:val="21"/>
          <w:szCs w:val="21"/>
          <w:lang w:val="zh-CN"/>
        </w:rPr>
        <w:t>投标</w:t>
      </w:r>
      <w:r>
        <w:rPr>
          <w:rFonts w:hint="eastAsia" w:cs="仿宋_GB2312" w:asciiTheme="minorEastAsia" w:hAnsiTheme="minorEastAsia" w:eastAsiaTheme="minorEastAsia"/>
          <w:sz w:val="21"/>
          <w:szCs w:val="21"/>
          <w:lang w:val="zh-CN"/>
        </w:rPr>
        <w:t>人投标文件中应提供具有国家确定的认证机构出具的、处于有效期之内的节能产品或环境标志产品认证证书，否则将承担其投标被视为非实质性响应投标的风险。</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3"/>
        <w:tblW w:w="9039" w:type="dxa"/>
        <w:tblInd w:w="0" w:type="dxa"/>
        <w:tblLayout w:type="fixed"/>
        <w:tblCellMar>
          <w:top w:w="0" w:type="dxa"/>
          <w:left w:w="108" w:type="dxa"/>
          <w:bottom w:w="0" w:type="dxa"/>
          <w:right w:w="108" w:type="dxa"/>
        </w:tblCellMar>
      </w:tblPr>
      <w:tblGrid>
        <w:gridCol w:w="1384"/>
        <w:gridCol w:w="1560"/>
        <w:gridCol w:w="6095"/>
      </w:tblGrid>
      <w:tr>
        <w:tblPrEx>
          <w:tblCellMar>
            <w:top w:w="0" w:type="dxa"/>
            <w:left w:w="108" w:type="dxa"/>
            <w:bottom w:w="0" w:type="dxa"/>
            <w:right w:w="108" w:type="dxa"/>
          </w:tblCellMar>
        </w:tblPrEx>
        <w:trPr>
          <w:trHeight w:val="699" w:hRule="atLeast"/>
        </w:trPr>
        <w:tc>
          <w:tcPr>
            <w:tcW w:w="294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Times New Roman"/>
                <w:color w:val="000000"/>
                <w:szCs w:val="21"/>
              </w:rPr>
              <w:t>分值构成</w:t>
            </w:r>
          </w:p>
          <w:p>
            <w:pPr>
              <w:widowControl/>
              <w:spacing w:line="360" w:lineRule="auto"/>
              <w:jc w:val="center"/>
              <w:rPr>
                <w:rFonts w:ascii="宋体" w:hAnsi="宋体" w:eastAsia="宋体" w:cs="宋体"/>
                <w:color w:val="000000"/>
                <w:kern w:val="0"/>
                <w:sz w:val="24"/>
                <w:szCs w:val="24"/>
              </w:rPr>
            </w:pPr>
            <w:r>
              <w:rPr>
                <w:rFonts w:hint="eastAsia" w:ascii="宋体" w:hAnsi="宋体" w:eastAsia="宋体" w:cs="Times New Roman"/>
                <w:color w:val="000000"/>
                <w:szCs w:val="21"/>
              </w:rPr>
              <w:t>(总分100分)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ind w:firstLine="420" w:firstLineChars="200"/>
              <w:jc w:val="left"/>
              <w:rPr>
                <w:rFonts w:ascii="宋体" w:hAnsi="宋体" w:eastAsia="宋体" w:cs="宋体"/>
                <w:color w:val="000000"/>
                <w:kern w:val="0"/>
                <w:sz w:val="24"/>
                <w:szCs w:val="24"/>
              </w:rPr>
            </w:pPr>
            <w:r>
              <w:rPr>
                <w:rFonts w:hint="eastAsia" w:ascii="宋体" w:hAnsi="宋体" w:eastAsia="宋体" w:cs="Times New Roman"/>
                <w:color w:val="000000"/>
                <w:szCs w:val="21"/>
              </w:rPr>
              <w:t>价格分值：</w:t>
            </w:r>
            <w:r>
              <w:rPr>
                <w:rFonts w:hint="eastAsia" w:ascii="宋体" w:hAnsi="宋体" w:eastAsia="宋体" w:cs="宋体"/>
                <w:color w:val="FF0000"/>
                <w:kern w:val="0"/>
                <w:szCs w:val="21"/>
                <w:lang w:val="en-US" w:eastAsia="zh-CN"/>
              </w:rPr>
              <w:t>35</w:t>
            </w:r>
            <w:r>
              <w:rPr>
                <w:rFonts w:hint="eastAsia" w:ascii="宋体" w:hAnsi="宋体" w:eastAsia="宋体" w:cs="Times New Roman"/>
                <w:color w:val="000000"/>
                <w:szCs w:val="21"/>
              </w:rPr>
              <w:t>分</w:t>
            </w:r>
          </w:p>
          <w:p>
            <w:pPr>
              <w:widowControl/>
              <w:spacing w:line="360" w:lineRule="auto"/>
              <w:ind w:firstLine="420" w:firstLineChars="200"/>
              <w:jc w:val="left"/>
              <w:rPr>
                <w:rFonts w:ascii="宋体" w:hAnsi="宋体" w:eastAsia="宋体" w:cs="宋体"/>
                <w:color w:val="000000"/>
                <w:kern w:val="0"/>
                <w:sz w:val="24"/>
                <w:szCs w:val="24"/>
              </w:rPr>
            </w:pPr>
            <w:r>
              <w:rPr>
                <w:rFonts w:hint="eastAsia" w:ascii="宋体" w:hAnsi="宋体" w:eastAsia="宋体" w:cs="Times New Roman"/>
                <w:color w:val="000000"/>
                <w:szCs w:val="21"/>
              </w:rPr>
              <w:t>商务部分：</w:t>
            </w:r>
            <w:r>
              <w:rPr>
                <w:rFonts w:hint="eastAsia" w:ascii="宋体" w:hAnsi="宋体" w:eastAsia="宋体" w:cs="宋体"/>
                <w:color w:val="FF0000"/>
                <w:kern w:val="0"/>
                <w:szCs w:val="21"/>
                <w:lang w:val="en-US" w:eastAsia="zh-CN"/>
              </w:rPr>
              <w:t>7</w:t>
            </w:r>
            <w:r>
              <w:rPr>
                <w:rFonts w:hint="eastAsia" w:ascii="宋体" w:hAnsi="宋体" w:eastAsia="宋体" w:cs="Times New Roman"/>
                <w:color w:val="000000"/>
                <w:szCs w:val="21"/>
              </w:rPr>
              <w:t>分</w:t>
            </w:r>
          </w:p>
          <w:p>
            <w:pPr>
              <w:widowControl/>
              <w:spacing w:line="360" w:lineRule="auto"/>
              <w:ind w:firstLine="420" w:firstLineChars="200"/>
              <w:jc w:val="left"/>
              <w:rPr>
                <w:rFonts w:ascii="宋体" w:hAnsi="宋体" w:eastAsia="宋体" w:cs="宋体"/>
                <w:color w:val="000000"/>
                <w:kern w:val="0"/>
                <w:sz w:val="24"/>
                <w:szCs w:val="24"/>
              </w:rPr>
            </w:pPr>
            <w:r>
              <w:rPr>
                <w:rFonts w:hint="eastAsia" w:ascii="宋体" w:hAnsi="宋体" w:eastAsia="宋体" w:cs="Times New Roman"/>
                <w:color w:val="000000"/>
                <w:szCs w:val="21"/>
              </w:rPr>
              <w:t>技术部分：</w:t>
            </w:r>
            <w:r>
              <w:rPr>
                <w:rFonts w:hint="eastAsia" w:ascii="宋体" w:hAnsi="宋体" w:eastAsia="宋体" w:cs="宋体"/>
                <w:color w:val="FF0000"/>
                <w:kern w:val="0"/>
                <w:szCs w:val="21"/>
                <w:lang w:val="en-US" w:eastAsia="zh-CN"/>
              </w:rPr>
              <w:t>35</w:t>
            </w:r>
            <w:r>
              <w:rPr>
                <w:rFonts w:hint="eastAsia" w:ascii="宋体" w:hAnsi="宋体" w:eastAsia="宋体" w:cs="Times New Roman"/>
                <w:color w:val="000000"/>
                <w:szCs w:val="21"/>
              </w:rPr>
              <w:t>分</w:t>
            </w:r>
          </w:p>
          <w:p>
            <w:pPr>
              <w:widowControl/>
              <w:spacing w:line="360" w:lineRule="auto"/>
              <w:ind w:firstLine="420" w:firstLineChars="200"/>
              <w:jc w:val="left"/>
              <w:rPr>
                <w:rFonts w:ascii="宋体" w:hAnsi="宋体" w:eastAsia="宋体" w:cs="宋体"/>
                <w:color w:val="000000"/>
                <w:kern w:val="0"/>
                <w:sz w:val="24"/>
                <w:szCs w:val="24"/>
              </w:rPr>
            </w:pPr>
            <w:r>
              <w:rPr>
                <w:rFonts w:hint="eastAsia" w:ascii="宋体" w:hAnsi="宋体" w:eastAsia="宋体" w:cs="Times New Roman"/>
                <w:color w:val="000000"/>
                <w:szCs w:val="21"/>
              </w:rPr>
              <w:t>服务部分：</w:t>
            </w:r>
            <w:r>
              <w:rPr>
                <w:rFonts w:hint="eastAsia" w:ascii="宋体" w:hAnsi="宋体" w:eastAsia="宋体" w:cs="宋体"/>
                <w:color w:val="FF0000"/>
                <w:kern w:val="0"/>
                <w:szCs w:val="21"/>
                <w:lang w:val="en-US" w:eastAsia="zh-CN"/>
              </w:rPr>
              <w:t>23</w:t>
            </w:r>
            <w:r>
              <w:rPr>
                <w:rFonts w:hint="eastAsia" w:ascii="宋体" w:hAnsi="宋体" w:eastAsia="宋体" w:cs="Times New Roman"/>
                <w:color w:val="000000"/>
                <w:szCs w:val="21"/>
              </w:rPr>
              <w:t>分</w:t>
            </w:r>
          </w:p>
        </w:tc>
      </w:tr>
      <w:tr>
        <w:tblPrEx>
          <w:tblCellMar>
            <w:top w:w="0" w:type="dxa"/>
            <w:left w:w="108" w:type="dxa"/>
            <w:bottom w:w="0" w:type="dxa"/>
            <w:right w:w="108" w:type="dxa"/>
          </w:tblCellMar>
        </w:tblPrEx>
        <w:trPr>
          <w:trHeight w:val="565"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b/>
                <w:bCs/>
                <w:color w:val="000000"/>
                <w:kern w:val="0"/>
                <w:szCs w:val="21"/>
              </w:rPr>
              <w:t>评审项</w:t>
            </w: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b/>
                <w:bCs/>
                <w:color w:val="000000"/>
                <w:kern w:val="0"/>
                <w:szCs w:val="21"/>
              </w:rPr>
              <w:t>评分因素</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b/>
                <w:bCs/>
                <w:color w:val="000000"/>
                <w:kern w:val="0"/>
                <w:szCs w:val="21"/>
              </w:rPr>
              <w:t>评标标准</w:t>
            </w:r>
          </w:p>
        </w:tc>
      </w:tr>
      <w:tr>
        <w:tblPrEx>
          <w:tblCellMar>
            <w:top w:w="0" w:type="dxa"/>
            <w:left w:w="108" w:type="dxa"/>
            <w:bottom w:w="0" w:type="dxa"/>
            <w:right w:w="108" w:type="dxa"/>
          </w:tblCellMar>
        </w:tblPrEx>
        <w:trPr>
          <w:trHeight w:val="1704"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Chars="-2" w:hanging="4" w:hangingChars="2"/>
              <w:jc w:val="center"/>
              <w:rPr>
                <w:rFonts w:ascii="宋体" w:hAnsi="宋体" w:eastAsia="宋体" w:cs="宋体"/>
                <w:color w:val="000000"/>
                <w:kern w:val="0"/>
                <w:sz w:val="24"/>
                <w:szCs w:val="24"/>
              </w:rPr>
            </w:pPr>
            <w:r>
              <w:rPr>
                <w:rFonts w:hint="eastAsia" w:ascii="宋体" w:hAnsi="宋体" w:eastAsia="宋体" w:cs="宋体"/>
                <w:color w:val="000000"/>
                <w:szCs w:val="21"/>
              </w:rPr>
              <w:t>报价部分</w:t>
            </w:r>
          </w:p>
          <w:p>
            <w:pPr>
              <w:widowControl/>
              <w:spacing w:line="360" w:lineRule="auto"/>
              <w:ind w:leftChars="-2" w:hanging="4" w:hangingChars="2"/>
              <w:jc w:val="center"/>
              <w:rPr>
                <w:rFonts w:ascii="宋体" w:hAnsi="宋体" w:eastAsia="宋体" w:cs="宋体"/>
                <w:color w:val="000000"/>
                <w:kern w:val="0"/>
                <w:sz w:val="24"/>
                <w:szCs w:val="24"/>
              </w:rPr>
            </w:pPr>
            <w:r>
              <w:rPr>
                <w:rFonts w:hint="eastAsia" w:ascii="宋体" w:hAnsi="宋体" w:eastAsia="宋体" w:cs="宋体"/>
                <w:color w:val="000000"/>
                <w:szCs w:val="21"/>
              </w:rPr>
              <w:t>（</w:t>
            </w:r>
            <w:r>
              <w:rPr>
                <w:rFonts w:hint="eastAsia" w:ascii="宋体" w:hAnsi="宋体" w:eastAsia="宋体" w:cs="宋体"/>
                <w:color w:val="FF0000"/>
                <w:kern w:val="0"/>
                <w:szCs w:val="21"/>
                <w:lang w:val="en-US" w:eastAsia="zh-CN"/>
              </w:rPr>
              <w:t>35</w:t>
            </w:r>
            <w:r>
              <w:rPr>
                <w:rFonts w:hint="eastAsia" w:ascii="宋体" w:hAnsi="宋体" w:eastAsia="宋体" w:cs="宋体"/>
                <w:color w:val="000000"/>
                <w:szCs w:val="21"/>
              </w:rPr>
              <w:t>分）</w:t>
            </w: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报价</w:t>
            </w:r>
          </w:p>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35</w:t>
            </w:r>
            <w:r>
              <w:rPr>
                <w:rFonts w:hint="eastAsia" w:ascii="宋体" w:hAnsi="宋体" w:eastAsia="宋体" w:cs="宋体"/>
                <w:color w:val="auto"/>
                <w:szCs w:val="21"/>
              </w:rPr>
              <w:t>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r>
              <w:rPr>
                <w:rFonts w:hint="eastAsia" w:ascii="宋体" w:hAnsi="宋体" w:eastAsia="宋体" w:cs="Times New Roman"/>
                <w:color w:val="000000"/>
                <w:szCs w:val="21"/>
              </w:rPr>
              <w:t>评标基准价：满足招标文件要求的有效投标报价中，最低的投标报价为评标基准价。</w:t>
            </w:r>
          </w:p>
          <w:p>
            <w:pPr>
              <w:widowControl/>
              <w:spacing w:line="360" w:lineRule="auto"/>
              <w:jc w:val="left"/>
              <w:rPr>
                <w:rFonts w:ascii="宋体" w:hAnsi="宋体" w:eastAsia="宋体" w:cs="宋体"/>
                <w:color w:val="000000"/>
                <w:kern w:val="0"/>
                <w:sz w:val="24"/>
                <w:szCs w:val="24"/>
              </w:rPr>
            </w:pPr>
            <w:r>
              <w:rPr>
                <w:rFonts w:hint="eastAsia" w:ascii="宋体" w:hAnsi="宋体" w:eastAsia="宋体" w:cs="Times New Roman"/>
                <w:color w:val="000000"/>
                <w:szCs w:val="21"/>
              </w:rPr>
              <w:t>投标报价得分=（评标基准价/投标报价）×</w:t>
            </w:r>
            <w:r>
              <w:rPr>
                <w:rFonts w:hint="eastAsia" w:ascii="宋体" w:hAnsi="宋体" w:eastAsia="宋体" w:cs="Times New Roman"/>
                <w:color w:val="000000"/>
                <w:szCs w:val="21"/>
                <w:lang w:val="en-US" w:eastAsia="zh-CN"/>
              </w:rPr>
              <w:t>35</w:t>
            </w:r>
            <w:r>
              <w:rPr>
                <w:rFonts w:hint="eastAsia" w:ascii="宋体" w:hAnsi="宋体" w:eastAsia="宋体" w:cs="宋体"/>
                <w:color w:val="FF0000"/>
                <w:kern w:val="0"/>
                <w:szCs w:val="21"/>
              </w:rPr>
              <w:t>   </w:t>
            </w:r>
          </w:p>
        </w:tc>
      </w:tr>
      <w:tr>
        <w:tblPrEx>
          <w:tblCellMar>
            <w:top w:w="0" w:type="dxa"/>
            <w:left w:w="108" w:type="dxa"/>
            <w:bottom w:w="0" w:type="dxa"/>
            <w:right w:w="108" w:type="dxa"/>
          </w:tblCellMar>
        </w:tblPrEx>
        <w:trPr>
          <w:trHeight w:val="907" w:hRule="atLeast"/>
        </w:trPr>
        <w:tc>
          <w:tcPr>
            <w:tcW w:w="1384" w:type="dxa"/>
            <w:vMerge w:val="restart"/>
            <w:tcBorders>
              <w:top w:val="nil"/>
              <w:left w:val="single" w:color="auto" w:sz="4" w:space="0"/>
              <w:bottom w:val="single" w:color="auto" w:sz="4" w:space="0"/>
              <w:right w:val="single" w:color="auto" w:sz="4" w:space="0"/>
            </w:tcBorders>
            <w:vAlign w:val="center"/>
          </w:tcPr>
          <w:p>
            <w:pPr>
              <w:widowControl/>
              <w:spacing w:line="360" w:lineRule="auto"/>
              <w:ind w:leftChars="-2" w:hanging="4" w:hangingChars="2"/>
              <w:jc w:val="center"/>
              <w:rPr>
                <w:rFonts w:ascii="宋体" w:hAnsi="宋体" w:eastAsia="宋体" w:cs="宋体"/>
                <w:color w:val="000000"/>
                <w:kern w:val="0"/>
                <w:sz w:val="24"/>
                <w:szCs w:val="24"/>
              </w:rPr>
            </w:pPr>
            <w:r>
              <w:rPr>
                <w:rFonts w:hint="eastAsia" w:ascii="宋体" w:hAnsi="宋体" w:eastAsia="宋体" w:cs="宋体"/>
                <w:color w:val="000000"/>
                <w:szCs w:val="21"/>
              </w:rPr>
              <w:t>商务部分</w:t>
            </w:r>
          </w:p>
          <w:p>
            <w:pPr>
              <w:widowControl/>
              <w:spacing w:line="360" w:lineRule="auto"/>
              <w:ind w:leftChars="-2" w:hanging="4" w:hangingChars="2"/>
              <w:jc w:val="center"/>
              <w:rPr>
                <w:rFonts w:ascii="宋体" w:hAnsi="宋体" w:eastAsia="宋体" w:cs="宋体"/>
                <w:color w:val="000000"/>
                <w:kern w:val="0"/>
                <w:sz w:val="24"/>
                <w:szCs w:val="24"/>
              </w:rPr>
            </w:pPr>
            <w:r>
              <w:rPr>
                <w:rFonts w:hint="eastAsia" w:ascii="宋体" w:hAnsi="宋体" w:eastAsia="宋体" w:cs="宋体"/>
                <w:color w:val="000000"/>
                <w:szCs w:val="21"/>
              </w:rPr>
              <w:t>（</w:t>
            </w:r>
            <w:r>
              <w:rPr>
                <w:rFonts w:hint="eastAsia" w:ascii="宋体" w:hAnsi="宋体" w:eastAsia="宋体" w:cs="宋体"/>
                <w:color w:val="FF0000"/>
                <w:kern w:val="0"/>
                <w:szCs w:val="21"/>
                <w:lang w:val="en-US" w:eastAsia="zh-CN"/>
              </w:rPr>
              <w:t>7</w:t>
            </w:r>
            <w:r>
              <w:rPr>
                <w:rFonts w:hint="eastAsia" w:ascii="宋体" w:hAnsi="宋体" w:eastAsia="宋体" w:cs="宋体"/>
                <w:color w:val="000000"/>
                <w:szCs w:val="21"/>
              </w:rPr>
              <w:t>分）</w:t>
            </w: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Times New Roman"/>
                <w:color w:val="000000"/>
                <w:szCs w:val="21"/>
              </w:rPr>
            </w:pPr>
            <w:r>
              <w:rPr>
                <w:rFonts w:hint="eastAsia" w:ascii="宋体" w:hAnsi="宋体" w:eastAsia="宋体" w:cs="Times New Roman"/>
                <w:color w:val="000000"/>
                <w:szCs w:val="21"/>
              </w:rPr>
              <w:t>业绩</w:t>
            </w:r>
          </w:p>
          <w:p>
            <w:pPr>
              <w:widowControl/>
              <w:spacing w:line="360" w:lineRule="auto"/>
              <w:jc w:val="center"/>
              <w:rPr>
                <w:rFonts w:hint="eastAsia" w:ascii="宋体" w:hAnsi="宋体" w:eastAsia="宋体" w:cs="Times New Roman"/>
                <w:color w:val="000000"/>
                <w:szCs w:val="21"/>
              </w:rPr>
            </w:pPr>
            <w:r>
              <w:rPr>
                <w:rFonts w:hint="eastAsia" w:ascii="宋体" w:hAnsi="宋体" w:eastAsia="宋体" w:cs="Times New Roman"/>
                <w:color w:val="000000"/>
                <w:szCs w:val="21"/>
              </w:rPr>
              <w:t>（2分）</w:t>
            </w:r>
          </w:p>
        </w:tc>
        <w:tc>
          <w:tcPr>
            <w:tcW w:w="6095" w:type="dxa"/>
            <w:tcBorders>
              <w:top w:val="single" w:color="auto" w:sz="4" w:space="0"/>
              <w:left w:val="nil"/>
              <w:bottom w:val="single" w:color="auto" w:sz="4" w:space="0"/>
              <w:right w:val="single" w:color="auto" w:sz="4" w:space="0"/>
            </w:tcBorders>
            <w:vAlign w:val="center"/>
          </w:tcPr>
          <w:p>
            <w:pPr>
              <w:widowControl/>
              <w:spacing w:line="400" w:lineRule="exact"/>
              <w:rPr>
                <w:rFonts w:ascii="仿宋_GB2312" w:hAnsi="宋体" w:eastAsia="仿宋_GB2312" w:cs="宋体"/>
                <w:color w:val="000000"/>
                <w:kern w:val="0"/>
                <w:sz w:val="24"/>
                <w:szCs w:val="24"/>
              </w:rPr>
            </w:pPr>
            <w:r>
              <w:rPr>
                <w:rFonts w:hint="eastAsia" w:asciiTheme="minorEastAsia" w:hAnsiTheme="minorEastAsia" w:cstheme="minorEastAsia"/>
                <w:color w:val="000000" w:themeColor="text1"/>
                <w:szCs w:val="21"/>
              </w:rPr>
              <w:t>投标人提供2017年1月1日以来类似项目业绩（提供合同），每提供1个得1分，满分2分。</w:t>
            </w:r>
          </w:p>
        </w:tc>
      </w:tr>
      <w:tr>
        <w:tblPrEx>
          <w:tblCellMar>
            <w:top w:w="0" w:type="dxa"/>
            <w:left w:w="108" w:type="dxa"/>
            <w:bottom w:w="0" w:type="dxa"/>
            <w:right w:w="108" w:type="dxa"/>
          </w:tblCellMar>
        </w:tblPrEx>
        <w:trPr>
          <w:trHeight w:val="907" w:hRule="atLeast"/>
        </w:trPr>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Times New Roman"/>
                <w:color w:val="000000"/>
                <w:szCs w:val="21"/>
              </w:rPr>
            </w:pPr>
            <w:r>
              <w:rPr>
                <w:rFonts w:hint="eastAsia" w:ascii="宋体" w:hAnsi="宋体" w:eastAsia="宋体" w:cs="Times New Roman"/>
                <w:color w:val="000000"/>
                <w:szCs w:val="21"/>
              </w:rPr>
              <w:t>管理体系</w:t>
            </w:r>
          </w:p>
          <w:p>
            <w:pPr>
              <w:widowControl/>
              <w:spacing w:line="360" w:lineRule="auto"/>
              <w:jc w:val="center"/>
              <w:rPr>
                <w:rFonts w:hint="eastAsia" w:ascii="宋体" w:hAnsi="宋体" w:eastAsia="宋体" w:cs="Times New Roman"/>
                <w:color w:val="000000"/>
                <w:szCs w:val="21"/>
              </w:rPr>
            </w:pPr>
            <w:r>
              <w:rPr>
                <w:rFonts w:hint="eastAsia" w:ascii="宋体" w:hAnsi="宋体" w:eastAsia="宋体" w:cs="Times New Roman"/>
                <w:color w:val="000000"/>
                <w:szCs w:val="21"/>
              </w:rPr>
              <w:t>（3分）</w:t>
            </w:r>
          </w:p>
        </w:tc>
        <w:tc>
          <w:tcPr>
            <w:tcW w:w="6095"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宋体" w:hAnsi="宋体" w:eastAsia="宋体" w:cs="宋体"/>
                <w:color w:val="000000"/>
                <w:kern w:val="0"/>
                <w:sz w:val="24"/>
                <w:szCs w:val="24"/>
              </w:rPr>
            </w:pPr>
            <w:r>
              <w:rPr>
                <w:rFonts w:hint="eastAsia" w:asciiTheme="minorEastAsia" w:hAnsiTheme="minorEastAsia" w:cstheme="minorEastAsia"/>
                <w:kern w:val="0"/>
                <w:szCs w:val="21"/>
              </w:rPr>
              <w:t>1、投标人具有有效期内ISO9001质量体系认证证书得2分，具有ISO14001环境管理体系认证证书得1分。满分3分。</w:t>
            </w:r>
            <w:r>
              <w:rPr>
                <w:rFonts w:hint="eastAsia" w:ascii="宋体" w:hAnsi="宋体" w:eastAsia="宋体" w:cs="宋体"/>
                <w:color w:val="000000"/>
                <w:kern w:val="0"/>
                <w:szCs w:val="21"/>
              </w:rPr>
              <w:t>（如认证证书注明应进行年度监审，须附监审标识或年审报告等有关证明材料）。</w:t>
            </w:r>
          </w:p>
        </w:tc>
      </w:tr>
      <w:tr>
        <w:tblPrEx>
          <w:tblCellMar>
            <w:top w:w="0" w:type="dxa"/>
            <w:left w:w="108" w:type="dxa"/>
            <w:bottom w:w="0" w:type="dxa"/>
            <w:right w:w="108" w:type="dxa"/>
          </w:tblCellMar>
        </w:tblPrEx>
        <w:trPr>
          <w:trHeight w:val="558" w:hRule="atLeast"/>
        </w:trPr>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Times New Roman"/>
                <w:color w:val="000000"/>
                <w:szCs w:val="21"/>
              </w:rPr>
            </w:pPr>
            <w:r>
              <w:rPr>
                <w:rFonts w:hint="eastAsia" w:ascii="宋体" w:hAnsi="宋体" w:eastAsia="宋体" w:cs="Times New Roman"/>
                <w:color w:val="000000"/>
                <w:szCs w:val="21"/>
              </w:rPr>
              <w:t>节约能源、保护环境政策加分</w:t>
            </w:r>
          </w:p>
          <w:p>
            <w:pPr>
              <w:widowControl/>
              <w:spacing w:line="360" w:lineRule="auto"/>
              <w:jc w:val="center"/>
              <w:rPr>
                <w:rFonts w:hint="eastAsia" w:ascii="宋体" w:hAnsi="宋体" w:eastAsia="宋体" w:cs="Times New Roman"/>
                <w:color w:val="000000"/>
                <w:szCs w:val="21"/>
              </w:rPr>
            </w:pPr>
            <w:r>
              <w:rPr>
                <w:rFonts w:hint="eastAsia" w:ascii="宋体" w:hAnsi="宋体" w:eastAsia="宋体" w:cs="Times New Roman"/>
                <w:color w:val="000000"/>
                <w:szCs w:val="21"/>
              </w:rPr>
              <w:t>（2分）</w:t>
            </w:r>
          </w:p>
          <w:p>
            <w:pPr>
              <w:widowControl/>
              <w:spacing w:line="360" w:lineRule="auto"/>
              <w:jc w:val="center"/>
              <w:rPr>
                <w:rFonts w:hint="eastAsia" w:ascii="宋体" w:hAnsi="宋体" w:eastAsia="宋体" w:cs="Times New Roman"/>
                <w:color w:val="000000"/>
                <w:szCs w:val="21"/>
              </w:rPr>
            </w:pPr>
          </w:p>
        </w:tc>
        <w:tc>
          <w:tcPr>
            <w:tcW w:w="6095"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Theme="minorEastAsia" w:hAnsiTheme="minorEastAsia" w:cstheme="minorEastAsia"/>
              </w:rPr>
            </w:pPr>
            <w:r>
              <w:rPr>
                <w:rFonts w:hint="eastAsia" w:asciiTheme="minorEastAsia" w:hAnsiTheme="minorEastAsia" w:cstheme="minorEastAsia"/>
                <w:color w:val="000000"/>
                <w:kern w:val="0"/>
                <w:szCs w:val="21"/>
              </w:rPr>
              <w:t>1、除政府强制采购的节能产品外，投标人所投产品属于“节能产品政府采购品目清单”优先采购产品，投标文件中提供具有国家确定的认证机构出具的、处于有效期之内的节能产品认证证书。满分1分。</w:t>
            </w:r>
          </w:p>
          <w:p>
            <w:pPr>
              <w:widowControl/>
              <w:spacing w:line="400" w:lineRule="exact"/>
              <w:jc w:val="left"/>
              <w:rPr>
                <w:rFonts w:ascii="宋体" w:hAnsi="宋体" w:eastAsia="宋体" w:cs="宋体"/>
                <w:color w:val="000000"/>
                <w:kern w:val="0"/>
                <w:sz w:val="24"/>
                <w:szCs w:val="24"/>
              </w:rPr>
            </w:pPr>
            <w:r>
              <w:rPr>
                <w:rFonts w:hint="eastAsia" w:asciiTheme="minorEastAsia" w:hAnsiTheme="minorEastAsia" w:cstheme="minorEastAsia"/>
                <w:color w:val="000000"/>
                <w:kern w:val="0"/>
                <w:szCs w:val="21"/>
              </w:rPr>
              <w:t>2、投标人所投产品属于“环境标志产品政府采购品目清单”内产品，投标文件中提供具有国家确定的认证机构出具的、处于有效期之内的环境标志产品认证证书。满分1分。</w:t>
            </w:r>
          </w:p>
        </w:tc>
      </w:tr>
      <w:tr>
        <w:tblPrEx>
          <w:tblCellMar>
            <w:top w:w="0" w:type="dxa"/>
            <w:left w:w="108" w:type="dxa"/>
            <w:bottom w:w="0" w:type="dxa"/>
            <w:right w:w="108" w:type="dxa"/>
          </w:tblCellMar>
        </w:tblPrEx>
        <w:trPr>
          <w:trHeight w:val="907" w:hRule="atLeast"/>
        </w:trPr>
        <w:tc>
          <w:tcPr>
            <w:tcW w:w="138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szCs w:val="21"/>
              </w:rPr>
              <w:t>技术部分</w:t>
            </w:r>
          </w:p>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szCs w:val="21"/>
              </w:rPr>
              <w:t>（</w:t>
            </w:r>
            <w:r>
              <w:rPr>
                <w:rFonts w:hint="eastAsia" w:ascii="宋体" w:hAnsi="宋体" w:eastAsia="宋体" w:cs="宋体"/>
                <w:color w:val="FF0000"/>
                <w:kern w:val="0"/>
                <w:szCs w:val="21"/>
                <w:lang w:val="en-US" w:eastAsia="zh-CN"/>
              </w:rPr>
              <w:t>35</w:t>
            </w:r>
            <w:r>
              <w:rPr>
                <w:rFonts w:hint="eastAsia" w:ascii="宋体" w:hAnsi="宋体" w:eastAsia="宋体" w:cs="宋体"/>
                <w:color w:val="000000"/>
                <w:szCs w:val="21"/>
              </w:rPr>
              <w:t>分）</w:t>
            </w:r>
          </w:p>
        </w:tc>
        <w:tc>
          <w:tcPr>
            <w:tcW w:w="156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cs="Times New Roman"/>
                <w:color w:val="000000"/>
                <w:szCs w:val="21"/>
              </w:rPr>
            </w:pPr>
            <w:r>
              <w:rPr>
                <w:rFonts w:hint="eastAsia" w:ascii="宋体" w:hAnsi="宋体" w:eastAsia="宋体" w:cs="Times New Roman"/>
                <w:color w:val="000000"/>
                <w:szCs w:val="21"/>
              </w:rPr>
              <w:t>货物技术规格、参数与要求响应</w:t>
            </w:r>
          </w:p>
          <w:p>
            <w:pPr>
              <w:widowControl/>
              <w:spacing w:line="360" w:lineRule="auto"/>
              <w:jc w:val="center"/>
              <w:rPr>
                <w:rFonts w:hint="eastAsia" w:ascii="宋体" w:hAnsi="宋体" w:eastAsia="宋体" w:cs="Times New Roman"/>
                <w:color w:val="000000"/>
                <w:szCs w:val="21"/>
              </w:rPr>
            </w:pPr>
            <w:r>
              <w:rPr>
                <w:rFonts w:hint="eastAsia" w:ascii="宋体" w:hAnsi="宋体" w:eastAsia="宋体" w:cs="Times New Roman"/>
                <w:color w:val="000000"/>
                <w:szCs w:val="21"/>
              </w:rPr>
              <w:t>（35分）</w:t>
            </w:r>
          </w:p>
        </w:tc>
        <w:tc>
          <w:tcPr>
            <w:tcW w:w="6095" w:type="dxa"/>
            <w:tcBorders>
              <w:top w:val="single" w:color="auto" w:sz="4" w:space="0"/>
              <w:left w:val="nil"/>
              <w:bottom w:val="single" w:color="auto" w:sz="4" w:space="0"/>
              <w:right w:val="single" w:color="auto" w:sz="4" w:space="0"/>
            </w:tcBorders>
            <w:vAlign w:val="center"/>
          </w:tcPr>
          <w:p>
            <w:pPr>
              <w:snapToGrid w:val="0"/>
              <w:spacing w:line="400" w:lineRule="exact"/>
              <w:rPr>
                <w:rFonts w:ascii="仿宋_GB2312" w:hAnsi="宋体" w:eastAsia="仿宋_GB2312" w:cs="仿宋_GB2312"/>
                <w:color w:val="FF0000"/>
                <w:szCs w:val="21"/>
              </w:rPr>
            </w:pPr>
            <w:r>
              <w:rPr>
                <w:rFonts w:hint="eastAsia" w:asciiTheme="minorEastAsia" w:hAnsiTheme="minorEastAsia" w:cstheme="minorEastAsia"/>
                <w:szCs w:val="21"/>
              </w:rPr>
              <w:t>投标人的投标参数</w:t>
            </w:r>
            <w:r>
              <w:rPr>
                <w:rFonts w:hint="eastAsia" w:asciiTheme="minorEastAsia" w:hAnsiTheme="minorEastAsia" w:cstheme="minorEastAsia"/>
                <w:b/>
                <w:bCs/>
                <w:szCs w:val="21"/>
              </w:rPr>
              <w:t>优于</w:t>
            </w:r>
            <w:r>
              <w:rPr>
                <w:rFonts w:hint="eastAsia" w:asciiTheme="minorEastAsia" w:hAnsiTheme="minorEastAsia" w:cstheme="minorEastAsia"/>
                <w:szCs w:val="21"/>
              </w:rPr>
              <w:t>招标文件采购清单中技术参数的每一项得3分，满分35分</w:t>
            </w:r>
            <w:r>
              <w:rPr>
                <w:rFonts w:hint="eastAsia" w:asciiTheme="minorEastAsia" w:hAnsiTheme="minorEastAsia" w:cstheme="minorEastAsia"/>
              </w:rPr>
              <w:t>。（</w:t>
            </w:r>
            <w:r>
              <w:rPr>
                <w:rFonts w:hint="eastAsia" w:asciiTheme="minorEastAsia" w:hAnsiTheme="minorEastAsia" w:cstheme="minorEastAsia"/>
                <w:szCs w:val="21"/>
              </w:rPr>
              <w:t>提供</w:t>
            </w:r>
            <w:r>
              <w:rPr>
                <w:rFonts w:hint="eastAsia" w:asciiTheme="minorEastAsia" w:hAnsiTheme="minorEastAsia" w:cstheme="minorEastAsia"/>
                <w:b/>
                <w:bCs/>
                <w:szCs w:val="21"/>
                <w:u w:val="single"/>
              </w:rPr>
              <w:t>市场监督管理局</w:t>
            </w:r>
            <w:r>
              <w:rPr>
                <w:rFonts w:hint="eastAsia" w:asciiTheme="minorEastAsia" w:hAnsiTheme="minorEastAsia" w:cstheme="minorEastAsia"/>
                <w:b/>
                <w:bCs/>
                <w:u w:val="single"/>
              </w:rPr>
              <w:t>检验报告或技术手册证明</w:t>
            </w:r>
            <w:r>
              <w:rPr>
                <w:rFonts w:hint="eastAsia" w:asciiTheme="minorEastAsia" w:hAnsiTheme="minorEastAsia" w:cstheme="minorEastAsia"/>
              </w:rPr>
              <w:t>）（注：因</w:t>
            </w:r>
            <w:r>
              <w:rPr>
                <w:rFonts w:hint="eastAsia" w:asciiTheme="minorEastAsia" w:hAnsiTheme="minorEastAsia" w:cstheme="minorEastAsia"/>
                <w:szCs w:val="21"/>
              </w:rPr>
              <w:t>机构改革的原因，原由食品药品监督管理局提供的检验报告与市场监督管理局提供的检验报告同等生效。）</w:t>
            </w:r>
          </w:p>
        </w:tc>
      </w:tr>
      <w:tr>
        <w:tblPrEx>
          <w:tblCellMar>
            <w:top w:w="0" w:type="dxa"/>
            <w:left w:w="108" w:type="dxa"/>
            <w:bottom w:w="0" w:type="dxa"/>
            <w:right w:w="108" w:type="dxa"/>
          </w:tblCellMar>
        </w:tblPrEx>
        <w:trPr>
          <w:trHeight w:val="907" w:hRule="atLeast"/>
        </w:trPr>
        <w:tc>
          <w:tcPr>
            <w:tcW w:w="1384"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szCs w:val="21"/>
              </w:rPr>
              <w:t>服务部分</w:t>
            </w:r>
          </w:p>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szCs w:val="21"/>
              </w:rPr>
              <w:t>（</w:t>
            </w:r>
            <w:r>
              <w:rPr>
                <w:rFonts w:hint="eastAsia" w:ascii="宋体" w:hAnsi="宋体" w:eastAsia="宋体" w:cs="宋体"/>
                <w:color w:val="FF0000"/>
                <w:kern w:val="0"/>
                <w:szCs w:val="21"/>
                <w:lang w:val="en-US" w:eastAsia="zh-CN"/>
              </w:rPr>
              <w:t>23</w:t>
            </w:r>
            <w:r>
              <w:rPr>
                <w:rFonts w:hint="eastAsia" w:ascii="宋体" w:hAnsi="宋体" w:eastAsia="宋体" w:cs="宋体"/>
                <w:color w:val="000000"/>
                <w:szCs w:val="21"/>
              </w:rPr>
              <w:t>分）</w:t>
            </w: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Times New Roman"/>
                <w:color w:val="000000"/>
                <w:szCs w:val="21"/>
              </w:rPr>
            </w:pPr>
            <w:r>
              <w:rPr>
                <w:rFonts w:hint="eastAsia" w:ascii="宋体" w:hAnsi="宋体" w:eastAsia="宋体" w:cs="Times New Roman"/>
                <w:color w:val="000000"/>
                <w:szCs w:val="21"/>
              </w:rPr>
              <w:t>售后服务</w:t>
            </w:r>
          </w:p>
          <w:p>
            <w:pPr>
              <w:widowControl/>
              <w:spacing w:line="360" w:lineRule="auto"/>
              <w:jc w:val="center"/>
              <w:rPr>
                <w:rFonts w:hint="eastAsia" w:ascii="宋体" w:hAnsi="宋体" w:eastAsia="宋体" w:cs="Times New Roman"/>
                <w:color w:val="000000"/>
                <w:szCs w:val="21"/>
              </w:rPr>
            </w:pPr>
            <w:r>
              <w:rPr>
                <w:rFonts w:hint="eastAsia" w:ascii="宋体" w:hAnsi="宋体" w:eastAsia="宋体" w:cs="Times New Roman"/>
                <w:color w:val="000000"/>
                <w:szCs w:val="21"/>
              </w:rPr>
              <w:t>（6分）</w:t>
            </w:r>
          </w:p>
        </w:tc>
        <w:tc>
          <w:tcPr>
            <w:tcW w:w="6095" w:type="dxa"/>
            <w:tcBorders>
              <w:top w:val="single" w:color="auto" w:sz="4" w:space="0"/>
              <w:left w:val="nil"/>
              <w:bottom w:val="single" w:color="auto" w:sz="4" w:space="0"/>
              <w:right w:val="single" w:color="auto" w:sz="4" w:space="0"/>
            </w:tcBorders>
            <w:vAlign w:val="center"/>
          </w:tcPr>
          <w:p>
            <w:pPr>
              <w:widowControl/>
              <w:snapToGrid w:val="0"/>
              <w:spacing w:line="400" w:lineRule="exact"/>
              <w:jc w:val="both"/>
              <w:rPr>
                <w:rFonts w:asciiTheme="minorEastAsia" w:hAnsiTheme="minorEastAsia" w:cstheme="minorEastAsia"/>
              </w:rPr>
            </w:pPr>
            <w:r>
              <w:rPr>
                <w:rFonts w:hint="eastAsia" w:asciiTheme="minorEastAsia" w:hAnsiTheme="minorEastAsia" w:cstheme="minorEastAsia"/>
              </w:rPr>
              <w:t>1、承诺故障响应时间小于2小时，上门时间小于8小时，解决问题时间小于24小时；如24小时未能解决，2天内能更换配件或提供备用机的，得2分，不满足不得分。</w:t>
            </w:r>
          </w:p>
          <w:p>
            <w:pPr>
              <w:widowControl/>
              <w:snapToGrid w:val="0"/>
              <w:spacing w:line="400" w:lineRule="exact"/>
              <w:jc w:val="both"/>
              <w:rPr>
                <w:rFonts w:asciiTheme="minorEastAsia" w:hAnsiTheme="minorEastAsia" w:cstheme="minorEastAsia"/>
              </w:rPr>
            </w:pPr>
            <w:r>
              <w:rPr>
                <w:rFonts w:hint="eastAsia" w:asciiTheme="minorEastAsia" w:hAnsiTheme="minorEastAsia" w:cstheme="minorEastAsia"/>
              </w:rPr>
              <w:t>2、在符合质保期要求的基础上每增加一年加0.5分，最高得1分。</w:t>
            </w:r>
          </w:p>
          <w:p>
            <w:pPr>
              <w:widowControl/>
              <w:snapToGrid w:val="0"/>
              <w:spacing w:line="400" w:lineRule="exact"/>
              <w:jc w:val="both"/>
              <w:rPr>
                <w:rFonts w:asciiTheme="minorEastAsia" w:hAnsiTheme="minorEastAsia" w:cstheme="minorEastAsia"/>
              </w:rPr>
            </w:pPr>
            <w:r>
              <w:rPr>
                <w:rFonts w:hint="eastAsia" w:asciiTheme="minorEastAsia" w:hAnsiTheme="minorEastAsia" w:cstheme="minorEastAsia"/>
              </w:rPr>
              <w:t>3、免费提供投标产品备品备件及耗材的得1分，不提供者不得分.</w:t>
            </w:r>
          </w:p>
          <w:p>
            <w:pPr>
              <w:pStyle w:val="39"/>
              <w:widowControl/>
              <w:numPr>
                <w:ilvl w:val="0"/>
                <w:numId w:val="58"/>
              </w:numPr>
              <w:spacing w:line="400" w:lineRule="exact"/>
              <w:ind w:firstLineChars="0"/>
              <w:jc w:val="both"/>
              <w:rPr>
                <w:rFonts w:asciiTheme="minorEastAsia" w:hAnsiTheme="minorEastAsia" w:cstheme="minorEastAsia"/>
              </w:rPr>
            </w:pPr>
            <w:r>
              <w:rPr>
                <w:rFonts w:hint="eastAsia" w:asciiTheme="minorEastAsia" w:hAnsiTheme="minorEastAsia" w:cstheme="minorEastAsia"/>
              </w:rPr>
              <w:t>投标人提供送货、安装等计划的得1分，不提供者不得分。</w:t>
            </w:r>
          </w:p>
          <w:p>
            <w:pPr>
              <w:pStyle w:val="39"/>
              <w:widowControl/>
              <w:numPr>
                <w:ilvl w:val="0"/>
                <w:numId w:val="58"/>
              </w:numPr>
              <w:snapToGrid w:val="0"/>
              <w:spacing w:line="400" w:lineRule="exact"/>
              <w:ind w:left="360" w:leftChars="0" w:hanging="360" w:firstLineChars="0"/>
              <w:jc w:val="both"/>
              <w:rPr>
                <w:rFonts w:ascii="宋体" w:hAnsi="宋体" w:eastAsia="宋体" w:cs="宋体"/>
                <w:color w:val="000000"/>
                <w:kern w:val="0"/>
                <w:sz w:val="24"/>
                <w:szCs w:val="24"/>
              </w:rPr>
            </w:pPr>
            <w:r>
              <w:rPr>
                <w:rFonts w:hint="eastAsia" w:asciiTheme="minorEastAsia" w:hAnsiTheme="minorEastAsia" w:cstheme="minorEastAsia"/>
                <w:color w:val="000000" w:themeColor="text1"/>
                <w:szCs w:val="21"/>
              </w:rPr>
              <w:t>投标人提供产品供货组织方案的</w:t>
            </w:r>
            <w:r>
              <w:rPr>
                <w:rFonts w:hint="eastAsia" w:asciiTheme="minorEastAsia" w:hAnsiTheme="minorEastAsia" w:cstheme="minorEastAsia"/>
                <w:szCs w:val="21"/>
              </w:rPr>
              <w:t>得1分，</w:t>
            </w:r>
            <w:r>
              <w:rPr>
                <w:rFonts w:hint="eastAsia" w:asciiTheme="minorEastAsia" w:hAnsiTheme="minorEastAsia" w:cstheme="minorEastAsia"/>
                <w:color w:val="000000" w:themeColor="text1"/>
                <w:szCs w:val="21"/>
              </w:rPr>
              <w:t>不提供者不得分。</w:t>
            </w:r>
          </w:p>
        </w:tc>
      </w:tr>
      <w:tr>
        <w:tblPrEx>
          <w:tblCellMar>
            <w:top w:w="0" w:type="dxa"/>
            <w:left w:w="108" w:type="dxa"/>
            <w:bottom w:w="0" w:type="dxa"/>
            <w:right w:w="108" w:type="dxa"/>
          </w:tblCellMar>
        </w:tblPrEx>
        <w:trPr>
          <w:trHeight w:val="907" w:hRule="atLeast"/>
        </w:trPr>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Times New Roman"/>
                <w:color w:val="000000"/>
                <w:szCs w:val="21"/>
              </w:rPr>
            </w:pPr>
            <w:r>
              <w:rPr>
                <w:rFonts w:hint="eastAsia" w:ascii="宋体" w:hAnsi="宋体" w:eastAsia="宋体" w:cs="Times New Roman"/>
                <w:color w:val="000000"/>
                <w:szCs w:val="21"/>
              </w:rPr>
              <w:t>服务方案</w:t>
            </w:r>
          </w:p>
          <w:p>
            <w:pPr>
              <w:widowControl/>
              <w:spacing w:line="360" w:lineRule="auto"/>
              <w:jc w:val="center"/>
              <w:rPr>
                <w:rFonts w:hint="eastAsia" w:ascii="宋体" w:hAnsi="宋体" w:eastAsia="宋体" w:cs="Times New Roman"/>
                <w:color w:val="000000"/>
                <w:szCs w:val="21"/>
              </w:rPr>
            </w:pPr>
            <w:r>
              <w:rPr>
                <w:rFonts w:hint="eastAsia" w:ascii="宋体" w:hAnsi="宋体" w:eastAsia="宋体" w:cs="Times New Roman"/>
                <w:color w:val="000000"/>
                <w:szCs w:val="21"/>
              </w:rPr>
              <w:t>（16分）</w:t>
            </w:r>
          </w:p>
        </w:tc>
        <w:tc>
          <w:tcPr>
            <w:tcW w:w="6095" w:type="dxa"/>
            <w:tcBorders>
              <w:top w:val="single" w:color="auto" w:sz="4" w:space="0"/>
              <w:left w:val="nil"/>
              <w:bottom w:val="single" w:color="auto" w:sz="4" w:space="0"/>
              <w:right w:val="single" w:color="auto" w:sz="4" w:space="0"/>
            </w:tcBorders>
            <w:vAlign w:val="center"/>
          </w:tcPr>
          <w:p>
            <w:pPr>
              <w:spacing w:line="400" w:lineRule="exact"/>
              <w:jc w:val="both"/>
              <w:rPr>
                <w:rFonts w:ascii="仿宋_GB2312" w:hAnsi="宋体" w:eastAsia="仿宋_GB2312" w:cs="仿宋_GB2312"/>
                <w:color w:val="FF0000"/>
                <w:szCs w:val="21"/>
              </w:rPr>
            </w:pPr>
            <w:r>
              <w:rPr>
                <w:rFonts w:hint="eastAsia" w:asciiTheme="minorEastAsia" w:hAnsiTheme="minorEastAsia" w:cstheme="minorEastAsia"/>
                <w:szCs w:val="21"/>
              </w:rPr>
              <w:t>根据本项目实际需求提供的服务方案。①服务内容②服务措施③服务标准④服务流程，内容详实、齐全每项得4分，仅有简单描述的每项得1分，满分16分，不提供不得分。</w:t>
            </w:r>
          </w:p>
        </w:tc>
      </w:tr>
      <w:tr>
        <w:tblPrEx>
          <w:tblCellMar>
            <w:top w:w="0" w:type="dxa"/>
            <w:left w:w="108" w:type="dxa"/>
            <w:bottom w:w="0" w:type="dxa"/>
            <w:right w:w="108" w:type="dxa"/>
          </w:tblCellMar>
        </w:tblPrEx>
        <w:trPr>
          <w:trHeight w:val="907" w:hRule="atLeast"/>
        </w:trPr>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Times New Roman"/>
                <w:color w:val="000000"/>
                <w:szCs w:val="21"/>
              </w:rPr>
            </w:pPr>
            <w:r>
              <w:rPr>
                <w:rFonts w:hint="eastAsia" w:ascii="宋体" w:hAnsi="宋体" w:eastAsia="宋体" w:cs="Times New Roman"/>
                <w:color w:val="000000"/>
                <w:szCs w:val="21"/>
              </w:rPr>
              <w:t>投标文件编制</w:t>
            </w:r>
          </w:p>
          <w:p>
            <w:pPr>
              <w:widowControl/>
              <w:spacing w:line="360" w:lineRule="auto"/>
              <w:jc w:val="center"/>
              <w:rPr>
                <w:rFonts w:hint="eastAsia" w:ascii="宋体" w:hAnsi="宋体" w:eastAsia="宋体" w:cs="Times New Roman"/>
                <w:color w:val="000000"/>
                <w:szCs w:val="21"/>
              </w:rPr>
            </w:pPr>
            <w:r>
              <w:rPr>
                <w:rFonts w:hint="eastAsia" w:ascii="宋体" w:hAnsi="宋体" w:eastAsia="宋体" w:cs="Times New Roman"/>
                <w:color w:val="000000"/>
                <w:szCs w:val="21"/>
              </w:rPr>
              <w:t>（1分）</w:t>
            </w:r>
          </w:p>
        </w:tc>
        <w:tc>
          <w:tcPr>
            <w:tcW w:w="6095" w:type="dxa"/>
            <w:tcBorders>
              <w:top w:val="single" w:color="auto" w:sz="4" w:space="0"/>
              <w:left w:val="nil"/>
              <w:bottom w:val="single" w:color="auto" w:sz="4" w:space="0"/>
              <w:right w:val="single" w:color="auto" w:sz="4" w:space="0"/>
            </w:tcBorders>
            <w:vAlign w:val="center"/>
          </w:tcPr>
          <w:p>
            <w:pPr>
              <w:widowControl/>
              <w:snapToGrid w:val="0"/>
              <w:spacing w:line="400" w:lineRule="exact"/>
              <w:jc w:val="both"/>
              <w:rPr>
                <w:rFonts w:ascii="仿宋_GB2312" w:hAnsi="宋体" w:eastAsia="仿宋_GB2312" w:cs="仿宋_GB2312"/>
                <w:color w:val="FF0000"/>
                <w:szCs w:val="21"/>
              </w:rPr>
            </w:pPr>
            <w:r>
              <w:rPr>
                <w:rFonts w:hint="eastAsia" w:asciiTheme="minorEastAsia" w:hAnsiTheme="minorEastAsia" w:cstheme="minorEastAsia"/>
                <w:szCs w:val="21"/>
              </w:rPr>
              <w:t>投标文件编制</w:t>
            </w:r>
            <w:r>
              <w:rPr>
                <w:rFonts w:hint="eastAsia" w:asciiTheme="minorEastAsia" w:hAnsiTheme="minorEastAsia" w:cstheme="minorEastAsia"/>
                <w:kern w:val="0"/>
                <w:szCs w:val="21"/>
              </w:rPr>
              <w:t>内容详实，编制有序</w:t>
            </w:r>
            <w:r>
              <w:rPr>
                <w:rFonts w:hint="eastAsia" w:asciiTheme="minorEastAsia" w:hAnsiTheme="minorEastAsia" w:cstheme="minorEastAsia"/>
                <w:szCs w:val="21"/>
              </w:rPr>
              <w:t>得1分，否则不得分。</w:t>
            </w:r>
          </w:p>
        </w:tc>
      </w:tr>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auto"/>
                <w:szCs w:val="21"/>
                <w:lang w:val="en-GB"/>
              </w:rPr>
            </w:pPr>
            <w:r>
              <w:rPr>
                <w:rFonts w:hint="eastAsia" w:ascii="宋体" w:hAnsi="宋体"/>
                <w:color w:val="auto"/>
                <w:szCs w:val="21"/>
                <w:lang w:val="en-GB"/>
              </w:rPr>
              <w:t>非联合体投标人</w:t>
            </w:r>
          </w:p>
        </w:tc>
        <w:tc>
          <w:tcPr>
            <w:tcW w:w="2552" w:type="dxa"/>
            <w:vAlign w:val="center"/>
          </w:tcPr>
          <w:p>
            <w:pPr>
              <w:jc w:val="center"/>
              <w:rPr>
                <w:rFonts w:ascii="宋体" w:hAnsi="宋体"/>
                <w:b/>
                <w:color w:val="auto"/>
                <w:szCs w:val="21"/>
                <w:lang w:val="en-GB"/>
              </w:rPr>
            </w:pPr>
            <w:r>
              <w:rPr>
                <w:rFonts w:hint="eastAsia" w:ascii="宋体" w:hAnsi="宋体"/>
                <w:color w:val="auto"/>
                <w:szCs w:val="21"/>
              </w:rPr>
              <w:t>对小型和微型企业产品的价格扣除</w:t>
            </w:r>
            <w:r>
              <w:rPr>
                <w:rFonts w:hint="eastAsia" w:ascii="宋体" w:hAnsi="宋体"/>
                <w:color w:val="auto"/>
                <w:szCs w:val="21"/>
                <w:u w:val="single"/>
              </w:rPr>
              <w:t>10</w:t>
            </w:r>
            <w:r>
              <w:rPr>
                <w:rFonts w:hint="eastAsia" w:ascii="宋体" w:hAnsi="宋体"/>
                <w:color w:val="auto"/>
                <w:szCs w:val="21"/>
              </w:rPr>
              <w:t>%</w:t>
            </w:r>
          </w:p>
        </w:tc>
        <w:tc>
          <w:tcPr>
            <w:tcW w:w="2835" w:type="dxa"/>
            <w:vMerge w:val="restart"/>
            <w:shd w:val="clear" w:color="auto" w:fill="auto"/>
            <w:vAlign w:val="center"/>
          </w:tcPr>
          <w:p>
            <w:pPr>
              <w:jc w:val="center"/>
              <w:rPr>
                <w:color w:val="auto"/>
                <w:szCs w:val="21"/>
                <w:lang w:val="en-GB"/>
              </w:rPr>
            </w:pPr>
            <w:r>
              <w:rPr>
                <w:rFonts w:hint="eastAsia"/>
                <w:color w:val="auto"/>
                <w:szCs w:val="21"/>
                <w:lang w:val="en-GB"/>
              </w:rPr>
              <w:t>评标价格＝投标报价—</w:t>
            </w:r>
            <w:r>
              <w:rPr>
                <w:rFonts w:hint="eastAsia"/>
                <w:color w:val="auto"/>
                <w:szCs w:val="21"/>
              </w:rPr>
              <w:t>小型和微型企业产品的价格</w:t>
            </w:r>
            <w:r>
              <w:rPr>
                <w:rFonts w:hint="eastAsia" w:ascii="宋体" w:hAnsi="宋体"/>
                <w:color w:val="auto"/>
                <w:szCs w:val="21"/>
                <w:lang w:val="en-GB"/>
              </w:rPr>
              <w:t>×</w:t>
            </w:r>
            <w:r>
              <w:rPr>
                <w:rFonts w:hint="eastAsia"/>
                <w:color w:val="auto"/>
                <w:szCs w:val="21"/>
                <w:lang w:val="en-GB"/>
              </w:rPr>
              <w:t>10%</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auto"/>
                <w:szCs w:val="21"/>
              </w:rPr>
            </w:pPr>
            <w:r>
              <w:rPr>
                <w:rFonts w:hint="eastAsia" w:ascii="宋体" w:hAnsi="宋体"/>
                <w:color w:val="auto"/>
                <w:szCs w:val="21"/>
                <w:lang w:val="en-GB"/>
              </w:rPr>
              <w:t>联合体各方均为小型、微型企业</w:t>
            </w:r>
          </w:p>
        </w:tc>
        <w:tc>
          <w:tcPr>
            <w:tcW w:w="2552" w:type="dxa"/>
            <w:vAlign w:val="center"/>
          </w:tcPr>
          <w:p>
            <w:pPr>
              <w:jc w:val="center"/>
              <w:rPr>
                <w:rFonts w:ascii="宋体" w:hAnsi="宋体"/>
                <w:color w:val="auto"/>
                <w:szCs w:val="21"/>
              </w:rPr>
            </w:pPr>
            <w:r>
              <w:rPr>
                <w:rFonts w:hint="eastAsia" w:ascii="宋体" w:hAnsi="宋体"/>
                <w:color w:val="auto"/>
                <w:szCs w:val="21"/>
              </w:rPr>
              <w:t>对小型和微型企业产品的价格扣除</w:t>
            </w:r>
            <w:r>
              <w:rPr>
                <w:rFonts w:hint="eastAsia" w:ascii="宋体" w:hAnsi="宋体"/>
                <w:color w:val="auto"/>
                <w:szCs w:val="21"/>
                <w:u w:val="single"/>
              </w:rPr>
              <w:t>10</w:t>
            </w:r>
            <w:r>
              <w:rPr>
                <w:rFonts w:hint="eastAsia" w:ascii="宋体" w:hAnsi="宋体"/>
                <w:color w:val="auto"/>
                <w:szCs w:val="21"/>
              </w:rPr>
              <w:t>%</w:t>
            </w:r>
          </w:p>
          <w:p>
            <w:pPr>
              <w:jc w:val="center"/>
              <w:rPr>
                <w:rFonts w:ascii="宋体" w:hAnsi="宋体"/>
                <w:b/>
                <w:color w:val="auto"/>
                <w:szCs w:val="21"/>
                <w:lang w:val="en-GB"/>
              </w:rPr>
            </w:pPr>
            <w:r>
              <w:rPr>
                <w:rFonts w:hint="eastAsia" w:ascii="宋体" w:hAnsi="宋体"/>
                <w:color w:val="auto"/>
                <w:szCs w:val="21"/>
              </w:rPr>
              <w:t>（不再享受序号3的价格折扣）</w:t>
            </w:r>
          </w:p>
        </w:tc>
        <w:tc>
          <w:tcPr>
            <w:tcW w:w="2835" w:type="dxa"/>
            <w:vMerge w:val="continue"/>
            <w:shd w:val="clear" w:color="auto" w:fill="auto"/>
          </w:tcPr>
          <w:p>
            <w:pPr>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auto"/>
                <w:szCs w:val="21"/>
                <w:lang w:val="en-GB"/>
              </w:rPr>
            </w:pPr>
            <w:r>
              <w:rPr>
                <w:rFonts w:hint="eastAsia" w:ascii="宋体" w:hAnsi="宋体"/>
                <w:color w:val="auto"/>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对联合体总金额扣除</w:t>
            </w:r>
          </w:p>
          <w:p>
            <w:pPr>
              <w:jc w:val="center"/>
              <w:rPr>
                <w:rFonts w:ascii="宋体" w:hAnsi="宋体"/>
                <w:b/>
                <w:color w:val="auto"/>
                <w:szCs w:val="21"/>
                <w:lang w:val="en-GB"/>
              </w:rPr>
            </w:pPr>
            <w:r>
              <w:rPr>
                <w:rFonts w:hint="eastAsia" w:ascii="宋体" w:hAnsi="宋体"/>
                <w:color w:val="auto"/>
                <w:szCs w:val="21"/>
                <w:u w:val="single"/>
              </w:rPr>
              <w:t xml:space="preserve"> </w:t>
            </w:r>
            <w:r>
              <w:rPr>
                <w:rFonts w:ascii="宋体" w:hAnsi="宋体"/>
                <w:color w:val="auto"/>
                <w:szCs w:val="21"/>
                <w:u w:val="single"/>
              </w:rPr>
              <w:t>2</w:t>
            </w:r>
            <w:r>
              <w:rPr>
                <w:rFonts w:hint="eastAsia" w:ascii="宋体" w:hAnsi="宋体"/>
                <w:color w:val="auto"/>
                <w:szCs w:val="21"/>
                <w:u w:val="single"/>
              </w:rPr>
              <w:t xml:space="preserve"> </w:t>
            </w:r>
            <w:r>
              <w:rPr>
                <w:rFonts w:hint="eastAsia" w:ascii="宋体" w:hAnsi="宋体"/>
                <w:color w:val="auto"/>
                <w:szCs w:val="21"/>
              </w:rPr>
              <w:t>%</w:t>
            </w:r>
          </w:p>
        </w:tc>
        <w:tc>
          <w:tcPr>
            <w:tcW w:w="2835" w:type="dxa"/>
            <w:shd w:val="clear" w:color="auto" w:fill="auto"/>
            <w:vAlign w:val="center"/>
          </w:tcPr>
          <w:p>
            <w:pPr>
              <w:jc w:val="center"/>
              <w:rPr>
                <w:rFonts w:ascii="宋体" w:hAnsi="宋体"/>
                <w:color w:val="auto"/>
                <w:szCs w:val="21"/>
                <w:u w:val="single"/>
              </w:rPr>
            </w:pPr>
            <w:r>
              <w:rPr>
                <w:rFonts w:hint="eastAsia" w:ascii="宋体" w:hAnsi="宋体"/>
                <w:color w:val="auto"/>
                <w:szCs w:val="21"/>
                <w:lang w:val="en-GB"/>
              </w:rPr>
              <w:t>评标价格＝投标报价×</w:t>
            </w:r>
            <w:r>
              <w:rPr>
                <w:rFonts w:hint="eastAsia" w:ascii="宋体" w:hAnsi="宋体"/>
                <w:color w:val="auto"/>
                <w:szCs w:val="21"/>
              </w:rPr>
              <w:t>(1-</w:t>
            </w:r>
            <w:r>
              <w:rPr>
                <w:rFonts w:ascii="宋体" w:hAnsi="宋体"/>
                <w:color w:val="auto"/>
                <w:szCs w:val="21"/>
                <w:u w:val="single"/>
              </w:rPr>
              <w:t>2</w:t>
            </w:r>
            <w:r>
              <w:rPr>
                <w:rFonts w:hint="eastAsia" w:ascii="宋体" w:hAnsi="宋体"/>
                <w:color w:val="auto"/>
                <w:szCs w:val="21"/>
                <w:u w:val="single"/>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auto"/>
                <w:szCs w:val="21"/>
                <w:lang w:val="en-GB"/>
              </w:rPr>
            </w:pPr>
            <w:r>
              <w:rPr>
                <w:rFonts w:hint="eastAsia" w:ascii="宋体" w:hAnsi="宋体"/>
                <w:color w:val="auto"/>
                <w:szCs w:val="21"/>
                <w:lang w:val="en-GB"/>
              </w:rPr>
              <w:t>监狱企业</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对监狱企业产品价格扣除</w:t>
            </w:r>
            <w:r>
              <w:rPr>
                <w:rFonts w:ascii="宋体" w:hAnsi="宋体"/>
                <w:color w:val="auto"/>
                <w:szCs w:val="21"/>
                <w:u w:val="single"/>
              </w:rPr>
              <w:t>6</w:t>
            </w:r>
            <w:r>
              <w:rPr>
                <w:rFonts w:hint="eastAsia" w:ascii="宋体" w:hAnsi="宋体"/>
                <w:color w:val="auto"/>
                <w:szCs w:val="21"/>
              </w:rPr>
              <w:t>%</w:t>
            </w:r>
          </w:p>
        </w:tc>
        <w:tc>
          <w:tcPr>
            <w:tcW w:w="2835" w:type="dxa"/>
            <w:shd w:val="clear" w:color="auto" w:fill="auto"/>
            <w:vAlign w:val="center"/>
          </w:tcPr>
          <w:p>
            <w:pPr>
              <w:jc w:val="center"/>
              <w:rPr>
                <w:rFonts w:ascii="宋体" w:hAnsi="宋体"/>
                <w:color w:val="auto"/>
                <w:szCs w:val="21"/>
                <w:lang w:val="en-GB"/>
              </w:rPr>
            </w:pPr>
            <w:r>
              <w:rPr>
                <w:rFonts w:hint="eastAsia"/>
                <w:color w:val="auto"/>
                <w:szCs w:val="21"/>
                <w:lang w:val="en-GB"/>
              </w:rPr>
              <w:t>评标价格＝投标报价—</w:t>
            </w:r>
            <w:r>
              <w:rPr>
                <w:rFonts w:hint="eastAsia"/>
                <w:color w:val="auto"/>
                <w:szCs w:val="21"/>
              </w:rPr>
              <w:t>监狱企业产品的价格</w:t>
            </w:r>
            <w:r>
              <w:rPr>
                <w:rFonts w:hint="eastAsia" w:ascii="宋体" w:hAnsi="宋体"/>
                <w:color w:val="auto"/>
                <w:szCs w:val="21"/>
                <w:lang w:val="en-GB"/>
              </w:rPr>
              <w:t>×</w:t>
            </w:r>
            <w:r>
              <w:rPr>
                <w:rFonts w:hint="eastAsia"/>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auto"/>
                <w:szCs w:val="21"/>
                <w:lang w:val="en-GB"/>
              </w:rPr>
            </w:pPr>
            <w:r>
              <w:rPr>
                <w:rFonts w:hint="eastAsia" w:ascii="宋体" w:hAnsi="宋体"/>
                <w:color w:val="auto"/>
                <w:szCs w:val="21"/>
                <w:lang w:val="en-GB"/>
              </w:rPr>
              <w:t>残疾人福利性单位</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对残疾人福利性单位产品价格扣除</w:t>
            </w:r>
            <w:r>
              <w:rPr>
                <w:rFonts w:ascii="宋体" w:hAnsi="宋体"/>
                <w:color w:val="auto"/>
                <w:szCs w:val="21"/>
                <w:u w:val="single"/>
              </w:rPr>
              <w:t>6</w:t>
            </w:r>
            <w:r>
              <w:rPr>
                <w:rFonts w:hint="eastAsia" w:ascii="宋体" w:hAnsi="宋体"/>
                <w:color w:val="auto"/>
                <w:szCs w:val="21"/>
              </w:rPr>
              <w:t>%</w:t>
            </w:r>
          </w:p>
        </w:tc>
        <w:tc>
          <w:tcPr>
            <w:tcW w:w="2835" w:type="dxa"/>
            <w:shd w:val="clear" w:color="auto" w:fill="auto"/>
            <w:vAlign w:val="center"/>
          </w:tcPr>
          <w:p>
            <w:pPr>
              <w:jc w:val="center"/>
              <w:rPr>
                <w:color w:val="auto"/>
                <w:szCs w:val="21"/>
                <w:lang w:val="en-GB"/>
              </w:rPr>
            </w:pPr>
            <w:r>
              <w:rPr>
                <w:rFonts w:hint="eastAsia"/>
                <w:color w:val="auto"/>
                <w:szCs w:val="21"/>
                <w:lang w:val="en-GB"/>
              </w:rPr>
              <w:t>评标价格＝投标报价—</w:t>
            </w:r>
            <w:r>
              <w:rPr>
                <w:rFonts w:hint="eastAsia"/>
                <w:color w:val="auto"/>
                <w:szCs w:val="21"/>
              </w:rPr>
              <w:t>残疾人福利性单位产品的价格</w:t>
            </w:r>
            <w:r>
              <w:rPr>
                <w:rFonts w:hint="eastAsia" w:ascii="宋体" w:hAnsi="宋体"/>
                <w:color w:val="auto"/>
                <w:szCs w:val="21"/>
                <w:lang w:val="en-GB"/>
              </w:rPr>
              <w:t>×</w:t>
            </w:r>
            <w:r>
              <w:rPr>
                <w:rFonts w:hint="eastAsia"/>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1"/>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6" w:name="_Toc186274126"/>
      <w:bookmarkStart w:id="7" w:name="_Toc174185203"/>
      <w:bookmarkStart w:id="8" w:name="_Toc184023138"/>
      <w:r>
        <w:rPr>
          <w:rFonts w:hint="eastAsia" w:cs="黑体" w:asciiTheme="minorEastAsia" w:hAnsiTheme="minorEastAsia" w:eastAsiaTheme="minorEastAsia"/>
          <w:color w:val="auto"/>
          <w:kern w:val="2"/>
          <w:sz w:val="28"/>
          <w:szCs w:val="28"/>
          <w:lang w:val="zh-CN"/>
        </w:rPr>
        <w:t>一、投标人应答索引表</w:t>
      </w:r>
      <w:bookmarkEnd w:id="6"/>
      <w:bookmarkEnd w:id="7"/>
      <w:bookmarkEnd w:id="8"/>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致：许昌市政府采购服务中心</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w:t>
      </w:r>
      <w:r>
        <w:rPr>
          <w:rFonts w:asciiTheme="minorEastAsia" w:hAnsiTheme="minorEastAsia" w:eastAsiaTheme="minorEastAsia"/>
          <w:snapToGrid w:val="0"/>
          <w:color w:val="auto"/>
          <w:kern w:val="0"/>
          <w:sz w:val="21"/>
          <w:szCs w:val="21"/>
          <w:u w:val="single"/>
        </w:rPr>
        <w:t xml:space="preserve">  </w:t>
      </w:r>
      <w:r>
        <w:rPr>
          <w:rFonts w:hint="eastAsia" w:asciiTheme="minorEastAsia" w:hAnsiTheme="minorEastAsia" w:eastAsiaTheme="minorEastAsia"/>
          <w:snapToGrid w:val="0"/>
          <w:color w:val="auto"/>
          <w:kern w:val="0"/>
          <w:sz w:val="21"/>
          <w:szCs w:val="21"/>
          <w:u w:val="single"/>
        </w:rPr>
        <w:t xml:space="preserve">           </w:t>
      </w:r>
      <w:r>
        <w:rPr>
          <w:rFonts w:asciiTheme="minorEastAsia" w:hAnsiTheme="minorEastAsia" w:eastAsiaTheme="minorEastAsia"/>
          <w:snapToGrid w:val="0"/>
          <w:color w:val="auto"/>
          <w:kern w:val="0"/>
          <w:sz w:val="21"/>
          <w:szCs w:val="21"/>
          <w:u w:val="single"/>
        </w:rPr>
        <w:t xml:space="preserve">  </w:t>
      </w:r>
      <w:r>
        <w:rPr>
          <w:rFonts w:hint="eastAsia" w:asciiTheme="minorEastAsia" w:hAnsiTheme="minorEastAsia" w:eastAsiaTheme="minorEastAsia"/>
          <w:snapToGrid w:val="0"/>
          <w:color w:val="auto"/>
          <w:kern w:val="0"/>
          <w:sz w:val="21"/>
          <w:szCs w:val="21"/>
        </w:rPr>
        <w:t>（项目名称、招标编号）招标文件的全部内容。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 w:val="21"/>
          <w:szCs w:val="21"/>
        </w:rPr>
        <w:t>已完全理解并接受招标文件的各项规定和要求及资金支付规定，对招标文件的合理性、合法性不再有异议，</w:t>
      </w:r>
      <w:r>
        <w:rPr>
          <w:rFonts w:hint="eastAsia" w:ascii="宋体" w:hAnsi="宋体"/>
          <w:color w:val="auto"/>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color w:val="auto"/>
          <w:szCs w:val="21"/>
        </w:rPr>
        <w:t>二、</w:t>
      </w:r>
      <w:r>
        <w:rPr>
          <w:rFonts w:hint="eastAsia" w:ascii="宋体" w:hAnsi="宋体"/>
          <w:color w:val="auto"/>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color w:val="auto"/>
          <w:szCs w:val="21"/>
        </w:rPr>
        <w:t>如中标，</w:t>
      </w:r>
      <w:r>
        <w:rPr>
          <w:rFonts w:hint="eastAsia" w:cs="Courier New" w:asciiTheme="minorEastAsia" w:hAnsiTheme="minorEastAsia"/>
          <w:szCs w:val="21"/>
        </w:rPr>
        <w:t>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widowControl/>
        <w:jc w:val="left"/>
        <w:rPr>
          <w:rFonts w:asciiTheme="majorEastAsia" w:hAnsiTheme="majorEastAsia" w:eastAsiaTheme="majorEastAsia"/>
          <w:b/>
          <w:bCs/>
          <w:color w:val="000000"/>
          <w:sz w:val="24"/>
          <w:szCs w:val="24"/>
        </w:rPr>
      </w:pPr>
      <w:r>
        <w:rPr>
          <w:rFonts w:asciiTheme="majorEastAsia" w:hAnsiTheme="majorEastAsia" w:eastAsiaTheme="majorEastAsia"/>
          <w:b/>
          <w:bCs/>
          <w:color w:val="000000"/>
          <w:sz w:val="24"/>
          <w:szCs w:val="24"/>
        </w:rPr>
        <w:br w:type="page"/>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1"/>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1"/>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1"/>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1"/>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000000"/>
          <w:sz w:val="21"/>
          <w:szCs w:val="21"/>
        </w:rPr>
        <w:t>本人</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auto"/>
          <w:sz w:val="21"/>
          <w:szCs w:val="21"/>
          <w:u w:val="single"/>
        </w:rPr>
        <w:t xml:space="preserve"> </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公</w:t>
      </w:r>
      <w:r>
        <w:rPr>
          <w:rFonts w:asciiTheme="minorEastAsia" w:hAnsiTheme="minorEastAsia"/>
          <w:color w:val="auto"/>
          <w:sz w:val="21"/>
          <w:szCs w:val="21"/>
        </w:rPr>
        <w:t>开</w:t>
      </w:r>
      <w:r>
        <w:rPr>
          <w:rFonts w:hint="eastAsia" w:asciiTheme="minorEastAsia" w:hAnsiTheme="minorEastAsia"/>
          <w:color w:val="auto"/>
          <w:sz w:val="21"/>
          <w:szCs w:val="21"/>
        </w:rPr>
        <w:t>招</w:t>
      </w:r>
      <w:r>
        <w:rPr>
          <w:rFonts w:asciiTheme="minorEastAsia" w:hAnsiTheme="minorEastAsia"/>
          <w:color w:val="auto"/>
          <w:sz w:val="21"/>
          <w:szCs w:val="21"/>
        </w:rPr>
        <w:t>标项目</w:t>
      </w:r>
      <w:r>
        <w:rPr>
          <w:rFonts w:hint="eastAsia" w:asciiTheme="minorEastAsia" w:hAnsiTheme="minorEastAsia"/>
          <w:color w:val="auto"/>
          <w:sz w:val="21"/>
          <w:szCs w:val="21"/>
        </w:rPr>
        <w:t>的投</w:t>
      </w:r>
      <w:r>
        <w:rPr>
          <w:rFonts w:asciiTheme="minorEastAsia" w:hAnsiTheme="minorEastAsia"/>
          <w:color w:val="auto"/>
          <w:sz w:val="21"/>
          <w:szCs w:val="21"/>
        </w:rPr>
        <w:t>标报价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的投</w:t>
      </w:r>
      <w:r>
        <w:rPr>
          <w:rFonts w:asciiTheme="minorEastAsia" w:hAnsiTheme="minorEastAsia"/>
          <w:color w:val="auto"/>
          <w:sz w:val="21"/>
          <w:szCs w:val="21"/>
        </w:rPr>
        <w:t>标</w:t>
      </w:r>
      <w:r>
        <w:rPr>
          <w:rFonts w:hint="eastAsia" w:asciiTheme="minorEastAsia" w:hAnsiTheme="minorEastAsia"/>
          <w:color w:val="auto"/>
          <w:sz w:val="21"/>
          <w:szCs w:val="21"/>
        </w:rPr>
        <w:t>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41"/>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41"/>
        <w:spacing w:line="480" w:lineRule="auto"/>
        <w:ind w:firstLine="540" w:firstLineChars="225"/>
        <w:jc w:val="left"/>
        <w:rPr>
          <w:rFonts w:asciiTheme="minorEastAsia" w:hAnsiTheme="minorEastAsia"/>
          <w:color w:val="auto"/>
          <w:sz w:val="21"/>
          <w:szCs w:val="21"/>
        </w:rPr>
      </w:pPr>
      <w:r>
        <w:rPr>
          <w:rFonts w:hint="eastAsia" w:asciiTheme="minorEastAsia" w:hAnsiTheme="minorEastAsia"/>
          <w:color w:val="auto"/>
          <w:szCs w:val="21"/>
        </w:rPr>
        <w:t>法定代表人（单位负责人）联系电话（手机）：</w:t>
      </w:r>
    </w:p>
    <w:p>
      <w:pPr>
        <w:pStyle w:val="41"/>
        <w:spacing w:line="480" w:lineRule="auto"/>
        <w:ind w:firstLine="472" w:firstLineChars="225"/>
        <w:jc w:val="left"/>
        <w:rPr>
          <w:rFonts w:asciiTheme="minorEastAsia" w:hAnsiTheme="minorEastAsia"/>
          <w:color w:val="auto"/>
          <w:sz w:val="21"/>
          <w:szCs w:val="21"/>
        </w:rPr>
      </w:pPr>
    </w:p>
    <w:p>
      <w:pPr>
        <w:pStyle w:val="41"/>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w:t>
      </w:r>
      <w:r>
        <w:rPr>
          <w:rFonts w:hint="eastAsia" w:asciiTheme="minorEastAsia" w:hAnsiTheme="minorEastAsia"/>
          <w:bCs/>
          <w:color w:val="000000"/>
          <w:sz w:val="21"/>
          <w:szCs w:val="21"/>
        </w:rPr>
        <w:t>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1"/>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r>
        <w:rPr>
          <w:rFonts w:hint="eastAsia" w:cs="Arial" w:asciiTheme="minorEastAsia" w:hAnsiTheme="minorEastAsia"/>
          <w:color w:val="000000"/>
          <w:szCs w:val="21"/>
          <w:u w:val="single"/>
        </w:rPr>
        <w:t xml:space="preserve">        </w:t>
      </w:r>
      <w:r>
        <w:rPr>
          <w:rFonts w:hint="eastAsia" w:cs="Arial" w:asciiTheme="minorEastAsia" w:hAnsiTheme="minorEastAsia"/>
          <w:color w:val="000000"/>
          <w:szCs w:val="21"/>
        </w:rPr>
        <w:t xml:space="preserve"> </w:t>
      </w:r>
    </w:p>
    <w:p>
      <w:pPr>
        <w:pStyle w:val="44"/>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年 </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月</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 日</w:t>
      </w:r>
    </w:p>
    <w:p>
      <w:pPr>
        <w:pStyle w:val="43"/>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项目编号</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的</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w:t>
      </w:r>
      <w:r>
        <w:rPr>
          <w:rFonts w:hint="eastAsia" w:asciiTheme="minorEastAsia" w:hAnsiTheme="minorEastAsia"/>
          <w:i/>
          <w:color w:val="000000"/>
          <w:szCs w:val="21"/>
          <w:u w:val="single"/>
        </w:rPr>
        <w:t>名</w:t>
      </w:r>
      <w:r>
        <w:rPr>
          <w:rFonts w:asciiTheme="minorEastAsia" w:hAnsiTheme="minorEastAsia"/>
          <w:i/>
          <w:color w:val="000000"/>
          <w:szCs w:val="21"/>
          <w:u w:val="single"/>
        </w:rPr>
        <w:t>称</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cs="Arial" w:asciiTheme="minorEastAsia" w:hAnsiTheme="minorEastAsia"/>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szCs w:val="21"/>
        </w:rPr>
        <w:t>投标人</w:t>
      </w:r>
      <w:r>
        <w:rPr>
          <w:rFonts w:hint="eastAsia" w:asciiTheme="minorEastAsia" w:hAnsiTheme="minorEastAsia"/>
          <w:color w:val="auto"/>
          <w:szCs w:val="21"/>
        </w:rPr>
        <w:t xml:space="preserve">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（加盖单位公章）</w:t>
      </w:r>
    </w:p>
    <w:p>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 xml:space="preserve">法定代表人（单位负责人）： </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（签名或加盖名章）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 xml:space="preserve">授权代表： </w:t>
      </w:r>
      <w:r>
        <w:rPr>
          <w:rFonts w:hint="eastAsia" w:asciiTheme="minorEastAsia" w:hAnsiTheme="minorEastAsia"/>
          <w:color w:val="auto"/>
          <w:szCs w:val="21"/>
          <w:u w:val="single"/>
        </w:rPr>
        <w:t xml:space="preserve">         </w:t>
      </w:r>
      <w:r>
        <w:rPr>
          <w:rFonts w:hint="eastAsia" w:asciiTheme="minorEastAsia" w:hAnsiTheme="minorEastAsia"/>
          <w:color w:val="auto"/>
          <w:szCs w:val="21"/>
        </w:rPr>
        <w:t xml:space="preserve"> （</w:t>
      </w:r>
      <w:r>
        <w:rPr>
          <w:rFonts w:hint="eastAsia" w:cs="Arial" w:asciiTheme="minorEastAsia" w:hAnsiTheme="minorEastAsia"/>
          <w:color w:val="auto"/>
          <w:szCs w:val="21"/>
        </w:rPr>
        <w:t>签名或加盖名章</w:t>
      </w:r>
      <w:r>
        <w:rPr>
          <w:rFonts w:hint="eastAsia" w:asciiTheme="minorEastAsia" w:hAnsiTheme="minorEastAsia"/>
          <w:color w:val="auto"/>
          <w:szCs w:val="21"/>
        </w:rPr>
        <w:t>）</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法定代表人（单位负责人）授权代表联系电话（手机）：</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法定代表人（单位负责人）身份证（正面）</w:t>
            </w:r>
          </w:p>
        </w:tc>
        <w:tc>
          <w:tcPr>
            <w:tcW w:w="4485"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9" w:name="_资格证明文件"/>
            <w:bookmarkEnd w:id="9"/>
            <w:bookmarkStart w:id="10"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10"/>
          </w:p>
        </w:tc>
        <w:tc>
          <w:tcPr>
            <w:tcW w:w="4492" w:type="dxa"/>
            <w:gridSpan w:val="2"/>
            <w:vAlign w:val="center"/>
          </w:tcPr>
          <w:p>
            <w:pPr>
              <w:jc w:val="center"/>
              <w:rPr>
                <w:rFonts w:asciiTheme="minorEastAsia" w:hAnsiTheme="minorEastAsia"/>
                <w:szCs w:val="21"/>
              </w:rPr>
            </w:pPr>
            <w:bookmarkStart w:id="11"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11"/>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许昌市政府采购服务中心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ascii="宋体" w:hAnsi="宋体"/>
          <w:b/>
          <w:bCs/>
          <w:color w:val="000000"/>
          <w:sz w:val="24"/>
          <w:szCs w:val="24"/>
        </w:rPr>
      </w:pPr>
      <w:r>
        <w:rPr>
          <w:rFonts w:hint="eastAsia" w:ascii="宋体" w:hAnsi="宋体"/>
          <w:b/>
          <w:bCs/>
          <w:color w:val="000000"/>
          <w:sz w:val="24"/>
          <w:szCs w:val="24"/>
        </w:rPr>
        <w:t>3.6 投标人提供与参加本项目投标的其他供应商之间，单位负责人不为同一人并且不存在直接控股、管理关系承诺函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spacing w:line="360" w:lineRule="auto"/>
        <w:jc w:val="center"/>
        <w:rPr>
          <w:rFonts w:ascii="宋体" w:hAnsi="宋体"/>
          <w:b/>
          <w:bCs/>
          <w:color w:val="000000"/>
          <w:sz w:val="24"/>
          <w:szCs w:val="24"/>
        </w:rPr>
      </w:pPr>
      <w:r>
        <w:rPr>
          <w:rFonts w:hint="eastAsia" w:ascii="宋体" w:hAnsi="宋体"/>
          <w:b/>
          <w:bCs/>
          <w:color w:val="000000"/>
          <w:sz w:val="24"/>
          <w:szCs w:val="24"/>
        </w:rPr>
        <w:t>3.7.投标人提供未为本项目提供整体设计、规范编制或者项目管理、监理、检测等服务承诺函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3.8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3"/>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3"/>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3"/>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企业名称：</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2" w:name="OLE_LINK14"/>
      <w:bookmarkStart w:id="13" w:name="OLE_LINK13"/>
      <w:r>
        <w:rPr>
          <w:rFonts w:hint="eastAsia" w:ascii="宋体" w:hAnsi="宋体"/>
          <w:b/>
          <w:bCs/>
          <w:color w:val="000000"/>
          <w:sz w:val="24"/>
          <w:szCs w:val="24"/>
        </w:rPr>
        <w:t>4.10 残疾人福利性单位声明函</w:t>
      </w:r>
    </w:p>
    <w:bookmarkEnd w:id="12"/>
    <w:bookmarkEnd w:id="13"/>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p/>
    <w:p>
      <w:pPr>
        <w:pStyle w:val="14"/>
        <w:spacing w:line="360" w:lineRule="auto"/>
        <w:contextualSpacing/>
        <w:jc w:val="center"/>
        <w:rPr>
          <w:rFonts w:cs="宋体" w:asciiTheme="majorEastAsia" w:hAnsiTheme="majorEastAsia" w:eastAsiaTheme="majorEastAsia"/>
          <w:b/>
          <w:kern w:val="0"/>
          <w:sz w:val="36"/>
          <w:szCs w:val="36"/>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80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2B45501"/>
    <w:multiLevelType w:val="multilevel"/>
    <w:tmpl w:val="02B45501"/>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5">
    <w:nsid w:val="0B974D79"/>
    <w:multiLevelType w:val="multilevel"/>
    <w:tmpl w:val="0B974D79"/>
    <w:lvl w:ilvl="0" w:tentative="0">
      <w:start w:val="29"/>
      <w:numFmt w:val="decimal"/>
      <w:lvlText w:val="%1.4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BB54322"/>
    <w:multiLevelType w:val="multilevel"/>
    <w:tmpl w:val="0BB54322"/>
    <w:lvl w:ilvl="0" w:tentative="0">
      <w:start w:val="3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2CA029F"/>
    <w:multiLevelType w:val="multilevel"/>
    <w:tmpl w:val="12CA029F"/>
    <w:lvl w:ilvl="0" w:tentative="0">
      <w:start w:val="2"/>
      <w:numFmt w:val="decimal"/>
      <w:lvlText w:val="32.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9DF2F37"/>
    <w:multiLevelType w:val="multilevel"/>
    <w:tmpl w:val="19DF2F37"/>
    <w:lvl w:ilvl="0" w:tentative="0">
      <w:start w:val="29"/>
      <w:numFmt w:val="decimal"/>
      <w:lvlText w:val="%1.5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C74355F"/>
    <w:multiLevelType w:val="multilevel"/>
    <w:tmpl w:val="1C74355F"/>
    <w:lvl w:ilvl="0" w:tentative="0">
      <w:start w:val="1"/>
      <w:numFmt w:val="decimal"/>
      <w:lvlText w:val="3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1FAE040E"/>
    <w:multiLevelType w:val="multilevel"/>
    <w:tmpl w:val="1FAE040E"/>
    <w:lvl w:ilvl="0" w:tentative="0">
      <w:start w:val="1"/>
      <w:numFmt w:val="decimal"/>
      <w:lvlText w:val="29.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1">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2">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2428530D"/>
    <w:multiLevelType w:val="multilevel"/>
    <w:tmpl w:val="2428530D"/>
    <w:lvl w:ilvl="0" w:tentative="0">
      <w:start w:val="29"/>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5">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27">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7A329CD"/>
    <w:multiLevelType w:val="multilevel"/>
    <w:tmpl w:val="37A329CD"/>
    <w:lvl w:ilvl="0" w:tentative="0">
      <w:start w:val="38"/>
      <w:numFmt w:val="decimal"/>
      <w:lvlText w:val="%1."/>
      <w:lvlJc w:val="left"/>
      <w:pPr>
        <w:ind w:left="420" w:hanging="420"/>
      </w:pPr>
      <w:rPr>
        <w:rFonts w:hint="eastAsia"/>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1">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467D786A"/>
    <w:multiLevelType w:val="multilevel"/>
    <w:tmpl w:val="467D786A"/>
    <w:lvl w:ilvl="0" w:tentative="0">
      <w:start w:val="1"/>
      <w:numFmt w:val="decimal"/>
      <w:lvlText w:val="32.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59F817C2"/>
    <w:multiLevelType w:val="singleLevel"/>
    <w:tmpl w:val="59F817C2"/>
    <w:lvl w:ilvl="0" w:tentative="0">
      <w:start w:val="2"/>
      <w:numFmt w:val="chineseCounting"/>
      <w:suff w:val="space"/>
      <w:lvlText w:val="第%1章"/>
      <w:lvlJc w:val="left"/>
    </w:lvl>
  </w:abstractNum>
  <w:abstractNum w:abstractNumId="35">
    <w:nsid w:val="59F817E8"/>
    <w:multiLevelType w:val="singleLevel"/>
    <w:tmpl w:val="59F817E8"/>
    <w:lvl w:ilvl="0" w:tentative="0">
      <w:start w:val="1"/>
      <w:numFmt w:val="chineseCounting"/>
      <w:pStyle w:val="50"/>
      <w:suff w:val="nothing"/>
      <w:lvlText w:val="%1、"/>
      <w:lvlJc w:val="left"/>
    </w:lvl>
  </w:abstractNum>
  <w:abstractNum w:abstractNumId="36">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5A734122"/>
    <w:multiLevelType w:val="multilevel"/>
    <w:tmpl w:val="5A73412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9">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0">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F9C3ECF"/>
    <w:multiLevelType w:val="multilevel"/>
    <w:tmpl w:val="5F9C3ECF"/>
    <w:lvl w:ilvl="0" w:tentative="0">
      <w:start w:val="29"/>
      <w:numFmt w:val="decimal"/>
      <w:lvlText w:val="%1.6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45">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7">
    <w:nsid w:val="6C664DED"/>
    <w:multiLevelType w:val="multilevel"/>
    <w:tmpl w:val="6C664DED"/>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738573E8"/>
    <w:multiLevelType w:val="multilevel"/>
    <w:tmpl w:val="738573E8"/>
    <w:lvl w:ilvl="0" w:tentative="0">
      <w:start w:val="32"/>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2">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3">
    <w:nsid w:val="740F3425"/>
    <w:multiLevelType w:val="multilevel"/>
    <w:tmpl w:val="740F3425"/>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75517D03"/>
    <w:multiLevelType w:val="multilevel"/>
    <w:tmpl w:val="75517D03"/>
    <w:lvl w:ilvl="0" w:tentative="0">
      <w:start w:val="26"/>
      <w:numFmt w:val="decimal"/>
      <w:lvlText w:val="%1."/>
      <w:lvlJc w:val="left"/>
      <w:pPr>
        <w:ind w:left="420" w:hanging="420"/>
      </w:pPr>
      <w:rPr>
        <w:rFonts w:hint="eastAsia"/>
      </w:rPr>
    </w:lvl>
    <w:lvl w:ilvl="1" w:tentative="0">
      <w:start w:val="1"/>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5">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7A2D5B57"/>
    <w:multiLevelType w:val="multilevel"/>
    <w:tmpl w:val="7A2D5B57"/>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7E7C3341"/>
    <w:multiLevelType w:val="multilevel"/>
    <w:tmpl w:val="7E7C3341"/>
    <w:lvl w:ilvl="0" w:tentative="0">
      <w:start w:val="1"/>
      <w:numFmt w:val="decimal"/>
      <w:lvlText w:val="3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0"/>
  </w:num>
  <w:num w:numId="2">
    <w:abstractNumId w:val="1"/>
  </w:num>
  <w:num w:numId="3">
    <w:abstractNumId w:val="35"/>
  </w:num>
  <w:num w:numId="4">
    <w:abstractNumId w:val="34"/>
  </w:num>
  <w:num w:numId="5">
    <w:abstractNumId w:val="22"/>
  </w:num>
  <w:num w:numId="6">
    <w:abstractNumId w:val="46"/>
  </w:num>
  <w:num w:numId="7">
    <w:abstractNumId w:val="26"/>
  </w:num>
  <w:num w:numId="8">
    <w:abstractNumId w:val="28"/>
  </w:num>
  <w:num w:numId="9">
    <w:abstractNumId w:val="43"/>
  </w:num>
  <w:num w:numId="10">
    <w:abstractNumId w:val="14"/>
  </w:num>
  <w:num w:numId="11">
    <w:abstractNumId w:val="16"/>
  </w:num>
  <w:num w:numId="12">
    <w:abstractNumId w:val="57"/>
  </w:num>
  <w:num w:numId="13">
    <w:abstractNumId w:val="40"/>
  </w:num>
  <w:num w:numId="14">
    <w:abstractNumId w:val="55"/>
  </w:num>
  <w:num w:numId="15">
    <w:abstractNumId w:val="7"/>
  </w:num>
  <w:num w:numId="16">
    <w:abstractNumId w:val="9"/>
  </w:num>
  <w:num w:numId="17">
    <w:abstractNumId w:val="38"/>
  </w:num>
  <w:num w:numId="18">
    <w:abstractNumId w:val="24"/>
  </w:num>
  <w:num w:numId="19">
    <w:abstractNumId w:val="36"/>
  </w:num>
  <w:num w:numId="20">
    <w:abstractNumId w:val="45"/>
  </w:num>
  <w:num w:numId="21">
    <w:abstractNumId w:val="29"/>
  </w:num>
  <w:num w:numId="22">
    <w:abstractNumId w:val="25"/>
  </w:num>
  <w:num w:numId="23">
    <w:abstractNumId w:val="4"/>
  </w:num>
  <w:num w:numId="24">
    <w:abstractNumId w:val="19"/>
  </w:num>
  <w:num w:numId="25">
    <w:abstractNumId w:val="18"/>
  </w:num>
  <w:num w:numId="26">
    <w:abstractNumId w:val="54"/>
  </w:num>
  <w:num w:numId="27">
    <w:abstractNumId w:val="48"/>
  </w:num>
  <w:num w:numId="28">
    <w:abstractNumId w:val="42"/>
  </w:num>
  <w:num w:numId="29">
    <w:abstractNumId w:val="50"/>
  </w:num>
  <w:num w:numId="30">
    <w:abstractNumId w:val="33"/>
  </w:num>
  <w:num w:numId="31">
    <w:abstractNumId w:val="10"/>
  </w:num>
  <w:num w:numId="32">
    <w:abstractNumId w:val="21"/>
  </w:num>
  <w:num w:numId="33">
    <w:abstractNumId w:val="53"/>
  </w:num>
  <w:num w:numId="34">
    <w:abstractNumId w:val="20"/>
  </w:num>
  <w:num w:numId="35">
    <w:abstractNumId w:val="23"/>
  </w:num>
  <w:num w:numId="36">
    <w:abstractNumId w:val="5"/>
  </w:num>
  <w:num w:numId="37">
    <w:abstractNumId w:val="15"/>
  </w:num>
  <w:num w:numId="38">
    <w:abstractNumId w:val="41"/>
  </w:num>
  <w:num w:numId="39">
    <w:abstractNumId w:val="31"/>
  </w:num>
  <w:num w:numId="40">
    <w:abstractNumId w:val="56"/>
  </w:num>
  <w:num w:numId="41">
    <w:abstractNumId w:val="58"/>
  </w:num>
  <w:num w:numId="42">
    <w:abstractNumId w:val="17"/>
  </w:num>
  <w:num w:numId="43">
    <w:abstractNumId w:val="11"/>
  </w:num>
  <w:num w:numId="44">
    <w:abstractNumId w:val="32"/>
  </w:num>
  <w:num w:numId="45">
    <w:abstractNumId w:val="51"/>
  </w:num>
  <w:num w:numId="46">
    <w:abstractNumId w:val="49"/>
  </w:num>
  <w:num w:numId="47">
    <w:abstractNumId w:val="39"/>
  </w:num>
  <w:num w:numId="48">
    <w:abstractNumId w:val="3"/>
  </w:num>
  <w:num w:numId="49">
    <w:abstractNumId w:val="52"/>
  </w:num>
  <w:num w:numId="50">
    <w:abstractNumId w:val="13"/>
  </w:num>
  <w:num w:numId="51">
    <w:abstractNumId w:val="2"/>
  </w:num>
  <w:num w:numId="52">
    <w:abstractNumId w:val="37"/>
  </w:num>
  <w:num w:numId="53">
    <w:abstractNumId w:val="12"/>
  </w:num>
  <w:num w:numId="54">
    <w:abstractNumId w:val="6"/>
  </w:num>
  <w:num w:numId="55">
    <w:abstractNumId w:val="44"/>
  </w:num>
  <w:num w:numId="56">
    <w:abstractNumId w:val="30"/>
  </w:num>
  <w:num w:numId="57">
    <w:abstractNumId w:val="27"/>
  </w:num>
  <w:num w:numId="58">
    <w:abstractNumId w:val="47"/>
  </w:num>
  <w:num w:numId="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4427E"/>
    <w:rsid w:val="0001093E"/>
    <w:rsid w:val="000117E8"/>
    <w:rsid w:val="0001201D"/>
    <w:rsid w:val="00026D3A"/>
    <w:rsid w:val="00033285"/>
    <w:rsid w:val="000362D3"/>
    <w:rsid w:val="00036AB0"/>
    <w:rsid w:val="00037395"/>
    <w:rsid w:val="000456D3"/>
    <w:rsid w:val="00052A3A"/>
    <w:rsid w:val="00054148"/>
    <w:rsid w:val="000617AD"/>
    <w:rsid w:val="00062D93"/>
    <w:rsid w:val="0008047C"/>
    <w:rsid w:val="000813AD"/>
    <w:rsid w:val="00084158"/>
    <w:rsid w:val="0008501E"/>
    <w:rsid w:val="00093699"/>
    <w:rsid w:val="00093B6E"/>
    <w:rsid w:val="000A0ACB"/>
    <w:rsid w:val="000A1C15"/>
    <w:rsid w:val="000A200D"/>
    <w:rsid w:val="000A40AB"/>
    <w:rsid w:val="000A7111"/>
    <w:rsid w:val="000B59E2"/>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42D8D"/>
    <w:rsid w:val="001462B5"/>
    <w:rsid w:val="00183C0B"/>
    <w:rsid w:val="001A2287"/>
    <w:rsid w:val="001A331E"/>
    <w:rsid w:val="001A39CF"/>
    <w:rsid w:val="001B7160"/>
    <w:rsid w:val="001C1E79"/>
    <w:rsid w:val="001C201E"/>
    <w:rsid w:val="001D35E1"/>
    <w:rsid w:val="001D566E"/>
    <w:rsid w:val="001D59AE"/>
    <w:rsid w:val="001E1A28"/>
    <w:rsid w:val="002020EC"/>
    <w:rsid w:val="002035C3"/>
    <w:rsid w:val="00206BF6"/>
    <w:rsid w:val="00211D48"/>
    <w:rsid w:val="00217EB9"/>
    <w:rsid w:val="0022386D"/>
    <w:rsid w:val="002302A9"/>
    <w:rsid w:val="00240975"/>
    <w:rsid w:val="0024156C"/>
    <w:rsid w:val="00241DCF"/>
    <w:rsid w:val="002474B6"/>
    <w:rsid w:val="00251097"/>
    <w:rsid w:val="002646EF"/>
    <w:rsid w:val="002649BD"/>
    <w:rsid w:val="00270351"/>
    <w:rsid w:val="0027624F"/>
    <w:rsid w:val="00277389"/>
    <w:rsid w:val="00281430"/>
    <w:rsid w:val="00282F58"/>
    <w:rsid w:val="002938A6"/>
    <w:rsid w:val="002947DE"/>
    <w:rsid w:val="002A0AA9"/>
    <w:rsid w:val="002A2A03"/>
    <w:rsid w:val="002A59DD"/>
    <w:rsid w:val="002A7854"/>
    <w:rsid w:val="002B5112"/>
    <w:rsid w:val="002B5CC6"/>
    <w:rsid w:val="002B6419"/>
    <w:rsid w:val="002D0ACD"/>
    <w:rsid w:val="002D16C8"/>
    <w:rsid w:val="002E0E5A"/>
    <w:rsid w:val="002E146A"/>
    <w:rsid w:val="002E1953"/>
    <w:rsid w:val="002E19A2"/>
    <w:rsid w:val="002E5834"/>
    <w:rsid w:val="002F0ADE"/>
    <w:rsid w:val="003026E2"/>
    <w:rsid w:val="00315B95"/>
    <w:rsid w:val="003209FF"/>
    <w:rsid w:val="00322CFC"/>
    <w:rsid w:val="00326E53"/>
    <w:rsid w:val="00333D5C"/>
    <w:rsid w:val="00334310"/>
    <w:rsid w:val="00340CF2"/>
    <w:rsid w:val="0034249D"/>
    <w:rsid w:val="003439EC"/>
    <w:rsid w:val="00343C83"/>
    <w:rsid w:val="00343DC6"/>
    <w:rsid w:val="00352120"/>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432B"/>
    <w:rsid w:val="003C446C"/>
    <w:rsid w:val="003E306C"/>
    <w:rsid w:val="003F632A"/>
    <w:rsid w:val="0040687E"/>
    <w:rsid w:val="00420AE3"/>
    <w:rsid w:val="00425C40"/>
    <w:rsid w:val="00427B9A"/>
    <w:rsid w:val="004320F0"/>
    <w:rsid w:val="00432F6C"/>
    <w:rsid w:val="00433675"/>
    <w:rsid w:val="00436F30"/>
    <w:rsid w:val="00444950"/>
    <w:rsid w:val="004476DC"/>
    <w:rsid w:val="0046431C"/>
    <w:rsid w:val="00464B8D"/>
    <w:rsid w:val="004670F0"/>
    <w:rsid w:val="00473635"/>
    <w:rsid w:val="00480323"/>
    <w:rsid w:val="00481D4E"/>
    <w:rsid w:val="0048402A"/>
    <w:rsid w:val="0049371C"/>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254B5"/>
    <w:rsid w:val="0053242C"/>
    <w:rsid w:val="005336BC"/>
    <w:rsid w:val="0054080C"/>
    <w:rsid w:val="00541A67"/>
    <w:rsid w:val="00547E10"/>
    <w:rsid w:val="00552323"/>
    <w:rsid w:val="00556964"/>
    <w:rsid w:val="00556BB5"/>
    <w:rsid w:val="005616AE"/>
    <w:rsid w:val="00563C67"/>
    <w:rsid w:val="00583E58"/>
    <w:rsid w:val="005900E9"/>
    <w:rsid w:val="005965CF"/>
    <w:rsid w:val="005B3264"/>
    <w:rsid w:val="005B3C17"/>
    <w:rsid w:val="005B61CB"/>
    <w:rsid w:val="005C20FE"/>
    <w:rsid w:val="005C4F0F"/>
    <w:rsid w:val="005C6472"/>
    <w:rsid w:val="005D3FE2"/>
    <w:rsid w:val="005E1EEC"/>
    <w:rsid w:val="005E3FAA"/>
    <w:rsid w:val="005E60FE"/>
    <w:rsid w:val="005E781B"/>
    <w:rsid w:val="005F4263"/>
    <w:rsid w:val="005F6BFD"/>
    <w:rsid w:val="0061174C"/>
    <w:rsid w:val="0061264C"/>
    <w:rsid w:val="00620A5F"/>
    <w:rsid w:val="006279FD"/>
    <w:rsid w:val="00627C18"/>
    <w:rsid w:val="00635345"/>
    <w:rsid w:val="00636AAD"/>
    <w:rsid w:val="00637A40"/>
    <w:rsid w:val="006415E8"/>
    <w:rsid w:val="006439CE"/>
    <w:rsid w:val="00645E6B"/>
    <w:rsid w:val="00653850"/>
    <w:rsid w:val="00664179"/>
    <w:rsid w:val="00664BC6"/>
    <w:rsid w:val="006653C8"/>
    <w:rsid w:val="0066558C"/>
    <w:rsid w:val="00670C91"/>
    <w:rsid w:val="00674A35"/>
    <w:rsid w:val="0068518E"/>
    <w:rsid w:val="00685863"/>
    <w:rsid w:val="00687264"/>
    <w:rsid w:val="00690B8E"/>
    <w:rsid w:val="00691436"/>
    <w:rsid w:val="006A3C57"/>
    <w:rsid w:val="006A5E16"/>
    <w:rsid w:val="006B4FF5"/>
    <w:rsid w:val="006E1E91"/>
    <w:rsid w:val="006E67C2"/>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75D0"/>
    <w:rsid w:val="00821065"/>
    <w:rsid w:val="0083105C"/>
    <w:rsid w:val="00831E22"/>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D17"/>
    <w:rsid w:val="008E2018"/>
    <w:rsid w:val="008F3472"/>
    <w:rsid w:val="009019F6"/>
    <w:rsid w:val="00902F27"/>
    <w:rsid w:val="00904A3E"/>
    <w:rsid w:val="00915F4D"/>
    <w:rsid w:val="00931569"/>
    <w:rsid w:val="00932A8B"/>
    <w:rsid w:val="00937421"/>
    <w:rsid w:val="00951B20"/>
    <w:rsid w:val="00957CFA"/>
    <w:rsid w:val="00957E4A"/>
    <w:rsid w:val="009606B7"/>
    <w:rsid w:val="009617D0"/>
    <w:rsid w:val="009638D6"/>
    <w:rsid w:val="00966249"/>
    <w:rsid w:val="00967604"/>
    <w:rsid w:val="00973103"/>
    <w:rsid w:val="00977A5F"/>
    <w:rsid w:val="009830EE"/>
    <w:rsid w:val="009A4D1F"/>
    <w:rsid w:val="009B288B"/>
    <w:rsid w:val="009B41A7"/>
    <w:rsid w:val="009B522B"/>
    <w:rsid w:val="009B544F"/>
    <w:rsid w:val="009C12AB"/>
    <w:rsid w:val="009C5D63"/>
    <w:rsid w:val="009D15E3"/>
    <w:rsid w:val="009D1AF8"/>
    <w:rsid w:val="009D31DE"/>
    <w:rsid w:val="009D4E1C"/>
    <w:rsid w:val="009D6564"/>
    <w:rsid w:val="009E40F5"/>
    <w:rsid w:val="009E7463"/>
    <w:rsid w:val="009F22F0"/>
    <w:rsid w:val="009F739E"/>
    <w:rsid w:val="00A024FB"/>
    <w:rsid w:val="00A43B57"/>
    <w:rsid w:val="00A557C2"/>
    <w:rsid w:val="00A55F0F"/>
    <w:rsid w:val="00A60223"/>
    <w:rsid w:val="00A63B7A"/>
    <w:rsid w:val="00A6401D"/>
    <w:rsid w:val="00A74796"/>
    <w:rsid w:val="00A75B4A"/>
    <w:rsid w:val="00A809F7"/>
    <w:rsid w:val="00A81917"/>
    <w:rsid w:val="00A87C83"/>
    <w:rsid w:val="00A905E6"/>
    <w:rsid w:val="00AB420B"/>
    <w:rsid w:val="00AB6C39"/>
    <w:rsid w:val="00AC70CB"/>
    <w:rsid w:val="00AD0AAF"/>
    <w:rsid w:val="00AD257D"/>
    <w:rsid w:val="00AD2A95"/>
    <w:rsid w:val="00AF64D1"/>
    <w:rsid w:val="00B03982"/>
    <w:rsid w:val="00B102AE"/>
    <w:rsid w:val="00B10A01"/>
    <w:rsid w:val="00B14F3F"/>
    <w:rsid w:val="00B164EA"/>
    <w:rsid w:val="00B22497"/>
    <w:rsid w:val="00B36205"/>
    <w:rsid w:val="00B63605"/>
    <w:rsid w:val="00B927EB"/>
    <w:rsid w:val="00B956BD"/>
    <w:rsid w:val="00B96403"/>
    <w:rsid w:val="00BA3FEA"/>
    <w:rsid w:val="00BA4E24"/>
    <w:rsid w:val="00BA5CDF"/>
    <w:rsid w:val="00BB059A"/>
    <w:rsid w:val="00BB0F5C"/>
    <w:rsid w:val="00BB5DE6"/>
    <w:rsid w:val="00BB6B3D"/>
    <w:rsid w:val="00BC10EF"/>
    <w:rsid w:val="00BC5022"/>
    <w:rsid w:val="00BC77AE"/>
    <w:rsid w:val="00BD17F8"/>
    <w:rsid w:val="00BD2B31"/>
    <w:rsid w:val="00BE279D"/>
    <w:rsid w:val="00C00010"/>
    <w:rsid w:val="00C01D89"/>
    <w:rsid w:val="00C03601"/>
    <w:rsid w:val="00C21892"/>
    <w:rsid w:val="00C221F8"/>
    <w:rsid w:val="00C312B8"/>
    <w:rsid w:val="00C47E9F"/>
    <w:rsid w:val="00C51B18"/>
    <w:rsid w:val="00C55715"/>
    <w:rsid w:val="00C71315"/>
    <w:rsid w:val="00C747C6"/>
    <w:rsid w:val="00C7743B"/>
    <w:rsid w:val="00C77C9B"/>
    <w:rsid w:val="00C82F62"/>
    <w:rsid w:val="00C851B9"/>
    <w:rsid w:val="00C85718"/>
    <w:rsid w:val="00C87F2E"/>
    <w:rsid w:val="00C935E3"/>
    <w:rsid w:val="00CA1A50"/>
    <w:rsid w:val="00CA2FE1"/>
    <w:rsid w:val="00CA43C0"/>
    <w:rsid w:val="00CB493E"/>
    <w:rsid w:val="00CB5B5B"/>
    <w:rsid w:val="00CC1567"/>
    <w:rsid w:val="00CC25D7"/>
    <w:rsid w:val="00CD0235"/>
    <w:rsid w:val="00CD4C7E"/>
    <w:rsid w:val="00CE11AF"/>
    <w:rsid w:val="00CF3C09"/>
    <w:rsid w:val="00D002DB"/>
    <w:rsid w:val="00D0183C"/>
    <w:rsid w:val="00D1257C"/>
    <w:rsid w:val="00D15F10"/>
    <w:rsid w:val="00D20175"/>
    <w:rsid w:val="00D20270"/>
    <w:rsid w:val="00D21DDE"/>
    <w:rsid w:val="00D23B78"/>
    <w:rsid w:val="00D25686"/>
    <w:rsid w:val="00D34E5A"/>
    <w:rsid w:val="00D51A06"/>
    <w:rsid w:val="00D5536F"/>
    <w:rsid w:val="00D55F50"/>
    <w:rsid w:val="00D62F9D"/>
    <w:rsid w:val="00D653B3"/>
    <w:rsid w:val="00D70436"/>
    <w:rsid w:val="00D81DDE"/>
    <w:rsid w:val="00DA56DB"/>
    <w:rsid w:val="00DA6D80"/>
    <w:rsid w:val="00DA7ACF"/>
    <w:rsid w:val="00DB1985"/>
    <w:rsid w:val="00DC6483"/>
    <w:rsid w:val="00DD5D5B"/>
    <w:rsid w:val="00DD5D73"/>
    <w:rsid w:val="00DE3623"/>
    <w:rsid w:val="00DE7350"/>
    <w:rsid w:val="00DF1D7C"/>
    <w:rsid w:val="00DF2D93"/>
    <w:rsid w:val="00DF70CB"/>
    <w:rsid w:val="00E13E62"/>
    <w:rsid w:val="00E16B31"/>
    <w:rsid w:val="00E26481"/>
    <w:rsid w:val="00E3128A"/>
    <w:rsid w:val="00E36D68"/>
    <w:rsid w:val="00E4427E"/>
    <w:rsid w:val="00E547EF"/>
    <w:rsid w:val="00E64FE4"/>
    <w:rsid w:val="00E66A9F"/>
    <w:rsid w:val="00E73667"/>
    <w:rsid w:val="00E75A41"/>
    <w:rsid w:val="00E80F44"/>
    <w:rsid w:val="00E8359E"/>
    <w:rsid w:val="00E90F35"/>
    <w:rsid w:val="00EA0DBE"/>
    <w:rsid w:val="00EA2054"/>
    <w:rsid w:val="00EA280E"/>
    <w:rsid w:val="00EB636D"/>
    <w:rsid w:val="00EC67B7"/>
    <w:rsid w:val="00EC6BD7"/>
    <w:rsid w:val="00EE7096"/>
    <w:rsid w:val="00EF6AB8"/>
    <w:rsid w:val="00EF7B73"/>
    <w:rsid w:val="00F00A91"/>
    <w:rsid w:val="00F0302A"/>
    <w:rsid w:val="00F15BD5"/>
    <w:rsid w:val="00F1770B"/>
    <w:rsid w:val="00F239FF"/>
    <w:rsid w:val="00F2459F"/>
    <w:rsid w:val="00F255D7"/>
    <w:rsid w:val="00F37BF6"/>
    <w:rsid w:val="00F4043C"/>
    <w:rsid w:val="00F4178A"/>
    <w:rsid w:val="00F54EFE"/>
    <w:rsid w:val="00F55D64"/>
    <w:rsid w:val="00F63E36"/>
    <w:rsid w:val="00F900A6"/>
    <w:rsid w:val="00F92C9D"/>
    <w:rsid w:val="00F934D9"/>
    <w:rsid w:val="00F94FEB"/>
    <w:rsid w:val="00F95E5B"/>
    <w:rsid w:val="00F963A6"/>
    <w:rsid w:val="00FA0A74"/>
    <w:rsid w:val="00FA69C2"/>
    <w:rsid w:val="00FB1462"/>
    <w:rsid w:val="00FB1E65"/>
    <w:rsid w:val="00FB4F83"/>
    <w:rsid w:val="00FB5517"/>
    <w:rsid w:val="00FB77B6"/>
    <w:rsid w:val="00FC2484"/>
    <w:rsid w:val="00FD2039"/>
    <w:rsid w:val="00FD631A"/>
    <w:rsid w:val="00FE4DDF"/>
    <w:rsid w:val="00FE553E"/>
    <w:rsid w:val="00FF407A"/>
    <w:rsid w:val="00FF4117"/>
    <w:rsid w:val="022F2C08"/>
    <w:rsid w:val="07F94C6F"/>
    <w:rsid w:val="0AF013C2"/>
    <w:rsid w:val="14C83932"/>
    <w:rsid w:val="1DFA39CD"/>
    <w:rsid w:val="204D626B"/>
    <w:rsid w:val="26865801"/>
    <w:rsid w:val="3950552E"/>
    <w:rsid w:val="540A44A7"/>
    <w:rsid w:val="55D26546"/>
    <w:rsid w:val="5ABB3736"/>
    <w:rsid w:val="601C4EC1"/>
    <w:rsid w:val="6366365F"/>
    <w:rsid w:val="728A7F26"/>
    <w:rsid w:val="73764B5B"/>
    <w:rsid w:val="745A5C72"/>
    <w:rsid w:val="775D09AF"/>
    <w:rsid w:val="77E31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无间隔1"/>
    <w:basedOn w:val="1"/>
    <w:qFormat/>
    <w:uiPriority w:val="0"/>
    <w:pPr>
      <w:spacing w:line="400" w:lineRule="exact"/>
    </w:pPr>
    <w:rPr>
      <w:sz w:val="24"/>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7"/>
    <w:qFormat/>
    <w:uiPriority w:val="0"/>
    <w:rPr>
      <w:rFonts w:ascii="Times New Roman" w:hAnsi="Times New Roman" w:eastAsia="宋体" w:cs="Times New Roman"/>
      <w:color w:val="FF0000"/>
      <w:sz w:val="24"/>
      <w:szCs w:val="24"/>
    </w:rPr>
  </w:style>
  <w:style w:type="paragraph" w:styleId="10">
    <w:name w:val="Body Text"/>
    <w:basedOn w:val="1"/>
    <w:link w:val="51"/>
    <w:semiHidden/>
    <w:unhideWhenUsed/>
    <w:qFormat/>
    <w:uiPriority w:val="99"/>
    <w:pPr>
      <w:spacing w:after="120"/>
    </w:pPr>
  </w:style>
  <w:style w:type="paragraph" w:styleId="11">
    <w:name w:val="Body Text Indent"/>
    <w:basedOn w:val="1"/>
    <w:link w:val="56"/>
    <w:qFormat/>
    <w:uiPriority w:val="0"/>
    <w:pPr>
      <w:adjustRightInd w:val="0"/>
      <w:spacing w:after="120" w:line="360" w:lineRule="atLeast"/>
      <w:ind w:left="420" w:leftChars="200"/>
      <w:jc w:val="left"/>
      <w:textAlignment w:val="baseline"/>
    </w:pPr>
    <w:rPr>
      <w:sz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2"/>
    <w:qFormat/>
    <w:uiPriority w:val="0"/>
    <w:rPr>
      <w:rFonts w:eastAsia="宋体"/>
      <w:sz w:val="24"/>
    </w:rPr>
  </w:style>
  <w:style w:type="paragraph" w:styleId="15">
    <w:name w:val="Date"/>
    <w:basedOn w:val="1"/>
    <w:next w:val="1"/>
    <w:link w:val="33"/>
    <w:unhideWhenUsed/>
    <w:qFormat/>
    <w:uiPriority w:val="99"/>
    <w:pPr>
      <w:ind w:left="100" w:leftChars="2500"/>
    </w:pPr>
  </w:style>
  <w:style w:type="paragraph" w:styleId="16">
    <w:name w:val="Balloon Text"/>
    <w:basedOn w:val="1"/>
    <w:link w:val="58"/>
    <w:semiHidden/>
    <w:unhideWhenUsed/>
    <w:qFormat/>
    <w:uiPriority w:val="99"/>
    <w:rPr>
      <w:sz w:val="18"/>
      <w:szCs w:val="18"/>
    </w:rPr>
  </w:style>
  <w:style w:type="paragraph" w:styleId="17">
    <w:name w:val="footer"/>
    <w:basedOn w:val="1"/>
    <w:link w:val="34"/>
    <w:unhideWhenUsed/>
    <w:qFormat/>
    <w:uiPriority w:val="99"/>
    <w:pPr>
      <w:tabs>
        <w:tab w:val="center" w:pos="4153"/>
        <w:tab w:val="right" w:pos="8306"/>
      </w:tabs>
      <w:snapToGrid w:val="0"/>
      <w:jc w:val="left"/>
    </w:pPr>
    <w:rPr>
      <w:sz w:val="18"/>
      <w:szCs w:val="18"/>
    </w:rPr>
  </w:style>
  <w:style w:type="paragraph" w:styleId="18">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52"/>
    <w:qFormat/>
    <w:uiPriority w:val="0"/>
    <w:pPr>
      <w:ind w:firstLine="420" w:firstLineChars="100"/>
    </w:pPr>
    <w:rPr>
      <w:rFonts w:ascii="宋体" w:hAnsi="Times New Roman" w:eastAsia="宋体" w:cs="Times New Roman"/>
      <w:kern w:val="0"/>
      <w:sz w:val="34"/>
      <w:szCs w:val="20"/>
    </w:r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themeColor="followedHyperlink"/>
      <w:u w:val="single"/>
    </w:rPr>
  </w:style>
  <w:style w:type="character" w:styleId="27">
    <w:name w:val="Hyperlink"/>
    <w:basedOn w:val="24"/>
    <w:unhideWhenUsed/>
    <w:qFormat/>
    <w:uiPriority w:val="99"/>
    <w:rPr>
      <w:color w:val="0000FF"/>
      <w:u w:val="single"/>
    </w:rPr>
  </w:style>
  <w:style w:type="character" w:customStyle="1" w:styleId="28">
    <w:name w:val="标题 1 Char"/>
    <w:basedOn w:val="24"/>
    <w:link w:val="3"/>
    <w:qFormat/>
    <w:uiPriority w:val="0"/>
    <w:rPr>
      <w:rFonts w:ascii="Calibri" w:hAnsi="Calibri" w:eastAsia="宋体" w:cs="Times New Roman"/>
      <w:b/>
      <w:bCs/>
      <w:kern w:val="44"/>
      <w:sz w:val="44"/>
      <w:szCs w:val="44"/>
    </w:rPr>
  </w:style>
  <w:style w:type="character" w:customStyle="1" w:styleId="29">
    <w:name w:val="标题 2 Char"/>
    <w:basedOn w:val="24"/>
    <w:link w:val="4"/>
    <w:qFormat/>
    <w:uiPriority w:val="0"/>
    <w:rPr>
      <w:rFonts w:ascii="Arial" w:hAnsi="Arial" w:eastAsia="黑体" w:cs="Times New Roman"/>
      <w:b/>
      <w:bCs/>
      <w:kern w:val="0"/>
      <w:sz w:val="32"/>
      <w:szCs w:val="32"/>
    </w:rPr>
  </w:style>
  <w:style w:type="character" w:customStyle="1" w:styleId="30">
    <w:name w:val="标题 3 Char"/>
    <w:basedOn w:val="24"/>
    <w:link w:val="5"/>
    <w:qFormat/>
    <w:uiPriority w:val="0"/>
    <w:rPr>
      <w:rFonts w:ascii="宋体" w:hAnsi="宋体" w:eastAsia="宋体" w:cs="Times New Roman"/>
      <w:b/>
      <w:color w:val="000000"/>
      <w:kern w:val="0"/>
      <w:sz w:val="24"/>
      <w:szCs w:val="20"/>
      <w:lang w:val="en-GB"/>
    </w:rPr>
  </w:style>
  <w:style w:type="character" w:customStyle="1" w:styleId="31">
    <w:name w:val="标题 4 Char"/>
    <w:basedOn w:val="24"/>
    <w:link w:val="6"/>
    <w:qFormat/>
    <w:uiPriority w:val="0"/>
    <w:rPr>
      <w:rFonts w:ascii="Arial" w:hAnsi="Arial" w:eastAsia="黑体" w:cs="Times New Roman"/>
      <w:b/>
      <w:bCs/>
      <w:kern w:val="0"/>
      <w:sz w:val="28"/>
      <w:szCs w:val="28"/>
    </w:rPr>
  </w:style>
  <w:style w:type="character" w:customStyle="1" w:styleId="32">
    <w:name w:val="纯文本 Char"/>
    <w:basedOn w:val="24"/>
    <w:link w:val="14"/>
    <w:qFormat/>
    <w:uiPriority w:val="0"/>
    <w:rPr>
      <w:rFonts w:eastAsia="宋体"/>
      <w:sz w:val="24"/>
    </w:rPr>
  </w:style>
  <w:style w:type="character" w:customStyle="1" w:styleId="33">
    <w:name w:val="日期 Char"/>
    <w:basedOn w:val="24"/>
    <w:link w:val="15"/>
    <w:qFormat/>
    <w:uiPriority w:val="99"/>
  </w:style>
  <w:style w:type="character" w:customStyle="1" w:styleId="34">
    <w:name w:val="页脚 Char"/>
    <w:basedOn w:val="24"/>
    <w:link w:val="17"/>
    <w:qFormat/>
    <w:uiPriority w:val="99"/>
    <w:rPr>
      <w:sz w:val="18"/>
      <w:szCs w:val="18"/>
    </w:rPr>
  </w:style>
  <w:style w:type="character" w:customStyle="1" w:styleId="35">
    <w:name w:val="页眉 Char"/>
    <w:basedOn w:val="24"/>
    <w:link w:val="18"/>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8">
    <w:name w:val="列出段落1"/>
    <w:basedOn w:val="1"/>
    <w:qFormat/>
    <w:uiPriority w:val="34"/>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Char"/>
    <w:basedOn w:val="24"/>
    <w:link w:val="9"/>
    <w:qFormat/>
    <w:uiPriority w:val="0"/>
    <w:rPr>
      <w:rFonts w:ascii="Times New Roman" w:hAnsi="Times New Roman" w:eastAsia="宋体" w:cs="Times New Roman"/>
      <w:color w:val="FF0000"/>
      <w:sz w:val="24"/>
      <w:szCs w:val="24"/>
    </w:rPr>
  </w:style>
  <w:style w:type="character" w:customStyle="1" w:styleId="48">
    <w:name w:val="edittexttarea"/>
    <w:basedOn w:val="24"/>
    <w:qFormat/>
    <w:uiPriority w:val="0"/>
  </w:style>
  <w:style w:type="paragraph" w:customStyle="1" w:styleId="49">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Char"/>
    <w:basedOn w:val="24"/>
    <w:link w:val="10"/>
    <w:semiHidden/>
    <w:qFormat/>
    <w:uiPriority w:val="99"/>
  </w:style>
  <w:style w:type="character" w:customStyle="1" w:styleId="52">
    <w:name w:val="正文首行缩进 Char"/>
    <w:basedOn w:val="51"/>
    <w:link w:val="22"/>
    <w:qFormat/>
    <w:uiPriority w:val="0"/>
    <w:rPr>
      <w:rFonts w:ascii="宋体" w:hAnsi="Times New Roman" w:eastAsia="宋体" w:cs="Times New Roman"/>
      <w:kern w:val="0"/>
      <w:sz w:val="34"/>
      <w:szCs w:val="20"/>
    </w:rPr>
  </w:style>
  <w:style w:type="character" w:customStyle="1" w:styleId="53">
    <w:name w:val="HTML 预设格式 Char"/>
    <w:basedOn w:val="24"/>
    <w:link w:val="20"/>
    <w:semiHidden/>
    <w:qFormat/>
    <w:uiPriority w:val="99"/>
    <w:rPr>
      <w:rFonts w:ascii="宋体" w:hAnsi="宋体" w:eastAsia="宋体" w:cs="宋体"/>
      <w:kern w:val="0"/>
      <w:sz w:val="24"/>
      <w:szCs w:val="24"/>
    </w:rPr>
  </w:style>
  <w:style w:type="character" w:customStyle="1" w:styleId="54">
    <w:name w:val="HTML 预设格式 Char1"/>
    <w:basedOn w:val="24"/>
    <w:link w:val="20"/>
    <w:semiHidden/>
    <w:qFormat/>
    <w:uiPriority w:val="99"/>
    <w:rPr>
      <w:rFonts w:ascii="Courier New" w:hAnsi="Courier New" w:cs="Courier New"/>
      <w:sz w:val="20"/>
      <w:szCs w:val="20"/>
    </w:rPr>
  </w:style>
  <w:style w:type="character" w:customStyle="1" w:styleId="55">
    <w:name w:val="正文文本缩进 Char"/>
    <w:link w:val="11"/>
    <w:qFormat/>
    <w:uiPriority w:val="0"/>
    <w:rPr>
      <w:sz w:val="24"/>
    </w:rPr>
  </w:style>
  <w:style w:type="character" w:customStyle="1" w:styleId="56">
    <w:name w:val="正文文本缩进 Char1"/>
    <w:basedOn w:val="24"/>
    <w:link w:val="11"/>
    <w:semiHidden/>
    <w:qFormat/>
    <w:uiPriority w:val="99"/>
  </w:style>
  <w:style w:type="character" w:customStyle="1" w:styleId="57">
    <w:name w:val="批注框文本 Char"/>
    <w:basedOn w:val="24"/>
    <w:link w:val="16"/>
    <w:semiHidden/>
    <w:qFormat/>
    <w:uiPriority w:val="99"/>
    <w:rPr>
      <w:sz w:val="18"/>
      <w:szCs w:val="18"/>
    </w:rPr>
  </w:style>
  <w:style w:type="character" w:customStyle="1" w:styleId="58">
    <w:name w:val="批注框文本 Char1"/>
    <w:basedOn w:val="24"/>
    <w:link w:val="16"/>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5796</Words>
  <Characters>33043</Characters>
  <Lines>275</Lines>
  <Paragraphs>77</Paragraphs>
  <TotalTime>0</TotalTime>
  <ScaleCrop>false</ScaleCrop>
  <LinksUpToDate>false</LinksUpToDate>
  <CharactersWithSpaces>38762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2019-08-05T00:24:00Z</dcterms:created>
  <dc:creator>许昌市公共资源交易中心:孟莉</dc:creator>
  <cp:lastModifiedBy>羊</cp:lastModifiedBy>
  <cp:lastPrinted>2020-03-05T02:20:00Z</cp:lastPrinted>
  <dcterms:modified xsi:type="dcterms:W3CDTF">2020-05-22T02:49:58Z</dcterms:modified>
  <cp:revision>467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