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lang w:val="en-US" w:eastAsia="zh-CN"/>
        </w:rPr>
        <w:t>禹州市财政局选定中介服务机构项目（不见面开标）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微软简隶书" w:eastAsia="微软简隶书"/>
          <w:color w:val="000000"/>
          <w:lang w:eastAsia="zh-CN"/>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采购</w:t>
      </w:r>
      <w:r>
        <w:rPr>
          <w:rFonts w:hint="eastAsia" w:asciiTheme="majorEastAsia" w:hAnsiTheme="majorEastAsia" w:eastAsiaTheme="majorEastAsia" w:cstheme="majorEastAsia"/>
          <w:b/>
          <w:bCs/>
          <w:color w:val="000000"/>
          <w:sz w:val="36"/>
          <w:szCs w:val="36"/>
        </w:rPr>
        <w:t xml:space="preserve">编号： </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CG-G2020</w:t>
      </w:r>
      <w:r>
        <w:rPr>
          <w:rFonts w:hint="eastAsia" w:asciiTheme="majorEastAsia" w:hAnsiTheme="majorEastAsia" w:eastAsiaTheme="majorEastAsia" w:cstheme="majorEastAsia"/>
          <w:b/>
          <w:bCs/>
          <w:color w:val="000000"/>
          <w:sz w:val="36"/>
          <w:szCs w:val="36"/>
          <w:lang w:val="en-US" w:eastAsia="zh-CN"/>
        </w:rPr>
        <w:t>087</w:t>
      </w:r>
    </w:p>
    <w:p>
      <w:pPr>
        <w:ind w:firstLine="1084" w:firstLineChars="300"/>
        <w:rPr>
          <w:rFonts w:hint="default"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val="en-US" w:eastAsia="zh-CN"/>
        </w:rPr>
        <w:t>财政局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val="en-US" w:eastAsia="zh-CN"/>
        </w:rPr>
        <w:t>五</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numPr>
          <w:ilvl w:val="0"/>
          <w:numId w:val="0"/>
        </w:numPr>
        <w:jc w:val="both"/>
        <w:rPr>
          <w:rFonts w:hint="eastAsia" w:cs="宋体" w:asciiTheme="majorEastAsia" w:hAnsiTheme="majorEastAsia" w:eastAsiaTheme="majorEastAsia"/>
          <w:b/>
          <w:kern w:val="0"/>
          <w:sz w:val="32"/>
          <w:szCs w:val="32"/>
        </w:rPr>
      </w:pP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禹州市政府采购中心受禹州市</w:t>
      </w:r>
      <w:r>
        <w:rPr>
          <w:rFonts w:hint="eastAsia"/>
          <w:color w:val="000000"/>
          <w:sz w:val="21"/>
          <w:szCs w:val="21"/>
          <w:shd w:val="clear" w:color="auto" w:fill="FFFFFF"/>
          <w:lang w:val="en-US" w:eastAsia="zh-CN"/>
        </w:rPr>
        <w:t>财政局</w:t>
      </w:r>
      <w:r>
        <w:rPr>
          <w:rFonts w:hint="eastAsia"/>
          <w:color w:val="000000"/>
          <w:sz w:val="21"/>
          <w:szCs w:val="21"/>
          <w:shd w:val="clear" w:color="auto" w:fill="FFFFFF"/>
        </w:rPr>
        <w:t>的委托，就“禹州</w:t>
      </w:r>
      <w:r>
        <w:rPr>
          <w:rFonts w:hint="eastAsia"/>
          <w:color w:val="000000"/>
          <w:sz w:val="21"/>
          <w:szCs w:val="21"/>
          <w:shd w:val="clear" w:color="auto" w:fill="FFFFFF"/>
          <w:lang w:val="en-US" w:eastAsia="zh-CN"/>
        </w:rPr>
        <w:t>市财政局选定中介服务机构</w:t>
      </w:r>
      <w:r>
        <w:rPr>
          <w:rFonts w:hint="eastAsia"/>
          <w:color w:val="000000"/>
          <w:sz w:val="21"/>
          <w:szCs w:val="21"/>
          <w:shd w:val="clear" w:color="auto" w:fill="FFFFFF"/>
        </w:rPr>
        <w:t>项目（不见面开标）”进行</w:t>
      </w:r>
      <w:r>
        <w:rPr>
          <w:rFonts w:hint="eastAsia"/>
          <w:color w:val="000000"/>
          <w:sz w:val="21"/>
          <w:szCs w:val="21"/>
          <w:shd w:val="clear" w:color="auto" w:fill="FFFFFF"/>
          <w:lang w:val="en-US" w:eastAsia="zh-CN"/>
        </w:rPr>
        <w:t>公开招标</w:t>
      </w:r>
      <w:r>
        <w:rPr>
          <w:rFonts w:hint="eastAsia"/>
          <w:color w:val="000000"/>
          <w:sz w:val="21"/>
          <w:szCs w:val="21"/>
          <w:shd w:val="clear" w:color="auto" w:fill="FFFFFF"/>
        </w:rPr>
        <w:t>，欢迎合格的投标人前来投标。</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一、项目基本情况</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1、采购人：禹州市</w:t>
      </w:r>
      <w:r>
        <w:rPr>
          <w:rFonts w:hint="eastAsia"/>
          <w:color w:val="000000"/>
          <w:sz w:val="21"/>
          <w:szCs w:val="21"/>
          <w:shd w:val="clear" w:color="auto" w:fill="FFFFFF"/>
          <w:lang w:val="en-US" w:eastAsia="zh-CN"/>
        </w:rPr>
        <w:t>财政局</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2、项目名称：禹州</w:t>
      </w:r>
      <w:r>
        <w:rPr>
          <w:rFonts w:hint="eastAsia"/>
          <w:color w:val="000000"/>
          <w:sz w:val="21"/>
          <w:szCs w:val="21"/>
          <w:shd w:val="clear" w:color="auto" w:fill="FFFFFF"/>
          <w:lang w:val="en-US" w:eastAsia="zh-CN"/>
        </w:rPr>
        <w:t>市财政局选定中介服务机构</w:t>
      </w:r>
      <w:r>
        <w:rPr>
          <w:rFonts w:hint="eastAsia"/>
          <w:color w:val="000000"/>
          <w:sz w:val="21"/>
          <w:szCs w:val="21"/>
          <w:shd w:val="clear" w:color="auto" w:fill="FFFFFF"/>
        </w:rPr>
        <w:t>项目（不见面开标）</w:t>
      </w:r>
    </w:p>
    <w:p>
      <w:pPr>
        <w:pStyle w:val="22"/>
        <w:widowControl/>
        <w:shd w:val="clear" w:color="auto" w:fill="FFFFFF"/>
        <w:spacing w:line="360" w:lineRule="auto"/>
        <w:ind w:firstLine="420" w:firstLineChars="200"/>
        <w:contextualSpacing/>
        <w:jc w:val="left"/>
        <w:rPr>
          <w:rFonts w:hint="eastAsia" w:eastAsia="宋体"/>
          <w:color w:val="000000"/>
          <w:sz w:val="21"/>
          <w:szCs w:val="21"/>
          <w:shd w:val="clear" w:color="auto" w:fill="FFFFFF"/>
          <w:lang w:val="en-US" w:eastAsia="zh-CN"/>
        </w:rPr>
      </w:pPr>
      <w:r>
        <w:rPr>
          <w:rFonts w:hint="eastAsia"/>
          <w:color w:val="000000"/>
          <w:sz w:val="21"/>
          <w:szCs w:val="21"/>
          <w:shd w:val="clear" w:color="auto" w:fill="FFFFFF"/>
        </w:rPr>
        <w:t>3、采购编号：YZCG-</w:t>
      </w:r>
      <w:r>
        <w:rPr>
          <w:rFonts w:hint="eastAsia"/>
          <w:color w:val="000000"/>
          <w:sz w:val="21"/>
          <w:szCs w:val="21"/>
          <w:shd w:val="clear" w:color="auto" w:fill="FFFFFF"/>
          <w:lang w:val="en-US" w:eastAsia="zh-CN"/>
        </w:rPr>
        <w:t>G</w:t>
      </w:r>
      <w:r>
        <w:rPr>
          <w:rFonts w:hint="eastAsia"/>
          <w:color w:val="000000"/>
          <w:sz w:val="21"/>
          <w:szCs w:val="21"/>
          <w:shd w:val="clear" w:color="auto" w:fill="FFFFFF"/>
        </w:rPr>
        <w:t>202008</w:t>
      </w:r>
      <w:r>
        <w:rPr>
          <w:rFonts w:hint="eastAsia"/>
          <w:color w:val="000000"/>
          <w:sz w:val="21"/>
          <w:szCs w:val="21"/>
          <w:shd w:val="clear" w:color="auto" w:fill="FFFFFF"/>
          <w:lang w:val="en-US" w:eastAsia="zh-CN"/>
        </w:rPr>
        <w:t>7</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4、项目需求：</w:t>
      </w:r>
      <w:r>
        <w:rPr>
          <w:rFonts w:hint="eastAsia"/>
          <w:color w:val="000000"/>
          <w:sz w:val="21"/>
          <w:szCs w:val="21"/>
          <w:shd w:val="clear" w:color="auto" w:fill="FFFFFF"/>
          <w:lang w:val="en-US" w:eastAsia="zh-CN"/>
        </w:rPr>
        <w:t>资产评估服务中介机构1家</w:t>
      </w:r>
      <w:r>
        <w:rPr>
          <w:rFonts w:hint="eastAsia"/>
          <w:color w:val="000000"/>
          <w:sz w:val="21"/>
          <w:szCs w:val="21"/>
          <w:shd w:val="clear" w:color="auto" w:fill="FFFFFF"/>
        </w:rPr>
        <w:t>（详见</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二、需要落实的政府采购政策</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本项目落实节约能源、保护环境、扶持不发达地区和少数民族地区、促进中小企业、监狱企业发展等政府采购政策。</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三、供应商资格要求</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lang w:val="en-US" w:eastAsia="zh-CN"/>
        </w:rPr>
        <w:t>1、符合《政府采购法》第二十二条之规定，具有独立法人资格且具有相应的经营范围（以营业执照为准）；</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lang w:val="en-US" w:eastAsia="zh-CN"/>
        </w:rPr>
        <w:t>2、按《资产评估行业财政监督管理办法》（财政部令第86号）、《财政部关于做好资产评估机构备案管理工作的通知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3</w:t>
      </w:r>
      <w:r>
        <w:rPr>
          <w:rFonts w:hint="eastAsia"/>
          <w:color w:val="000000"/>
          <w:sz w:val="21"/>
          <w:szCs w:val="21"/>
          <w:shd w:val="clear" w:color="auto" w:fill="FFFFFF"/>
        </w:rPr>
        <w:t>、被委托人须是本单位职工，须提供公司为本人缴纳社会保险证明；</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4</w:t>
      </w:r>
      <w:r>
        <w:rPr>
          <w:rFonts w:hint="eastAsia"/>
          <w:color w:val="000000"/>
          <w:sz w:val="21"/>
          <w:szCs w:val="21"/>
          <w:shd w:val="clear" w:color="auto" w:fill="FFFFFF"/>
        </w:rPr>
        <w:t>、本项目不接受联合体投标。</w:t>
      </w:r>
    </w:p>
    <w:p>
      <w:pPr>
        <w:pStyle w:val="22"/>
        <w:widowControl/>
        <w:shd w:val="clear" w:color="auto" w:fill="FFFFFF"/>
        <w:spacing w:line="360" w:lineRule="auto"/>
        <w:ind w:firstLine="420" w:firstLineChars="200"/>
        <w:contextualSpacing/>
        <w:jc w:val="left"/>
        <w:rPr>
          <w:rFonts w:hint="eastAsia" w:eastAsia="宋体"/>
          <w:color w:val="000000"/>
          <w:sz w:val="21"/>
          <w:szCs w:val="21"/>
          <w:shd w:val="clear" w:color="auto" w:fill="FFFFFF"/>
          <w:lang w:eastAsia="zh-CN"/>
        </w:rPr>
      </w:pPr>
      <w:r>
        <w:rPr>
          <w:rFonts w:hint="eastAsia"/>
          <w:color w:val="000000"/>
          <w:sz w:val="21"/>
          <w:szCs w:val="21"/>
          <w:shd w:val="clear" w:color="auto" w:fill="FFFFFF"/>
        </w:rPr>
        <w:t>四、获取</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文件的方式</w:t>
      </w:r>
      <w:r>
        <w:rPr>
          <w:rFonts w:hint="eastAsia"/>
          <w:color w:val="000000"/>
          <w:sz w:val="21"/>
          <w:szCs w:val="21"/>
          <w:shd w:val="clear" w:color="auto" w:fill="FFFFFF"/>
          <w:lang w:eastAsia="zh-CN"/>
        </w:rPr>
        <w:t>：</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2、</w:t>
      </w:r>
      <w:r>
        <w:rPr>
          <w:rFonts w:hint="eastAsia"/>
          <w:color w:val="000000"/>
          <w:sz w:val="21"/>
          <w:szCs w:val="21"/>
          <w:shd w:val="clear" w:color="auto" w:fill="FFFFFF"/>
        </w:rPr>
        <w:t>在投标截止时间前均可登录《全国公共资源交易平台（河南省·许昌市）》“投标人/供应商登录”入口（ggzy.xuchang.gov.cn:8088/ggzy/）自行免费下载招标文件（详见“常见问题解答-交易系统操作手册”）。</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3、</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文件每份售价人民币</w:t>
      </w:r>
      <w:r>
        <w:rPr>
          <w:rFonts w:hint="eastAsia"/>
          <w:color w:val="000000"/>
          <w:sz w:val="21"/>
          <w:szCs w:val="21"/>
          <w:shd w:val="clear" w:color="auto" w:fill="FFFFFF"/>
          <w:lang w:val="en-US" w:eastAsia="zh-CN"/>
        </w:rPr>
        <w:t>5</w:t>
      </w:r>
      <w:r>
        <w:rPr>
          <w:rFonts w:hint="eastAsia"/>
          <w:color w:val="000000"/>
          <w:sz w:val="21"/>
          <w:szCs w:val="21"/>
          <w:shd w:val="clear" w:color="auto" w:fill="FFFFFF"/>
        </w:rPr>
        <w:t>00元，售后不退。</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lang w:val="en-US" w:eastAsia="zh-CN"/>
        </w:rPr>
        <w:t>五</w:t>
      </w:r>
      <w:r>
        <w:rPr>
          <w:rFonts w:hint="eastAsia"/>
          <w:color w:val="000000"/>
          <w:sz w:val="21"/>
          <w:szCs w:val="21"/>
          <w:shd w:val="clear" w:color="auto" w:fill="FFFFFF"/>
        </w:rPr>
        <w:t>、投标截止</w:t>
      </w:r>
      <w:r>
        <w:rPr>
          <w:rFonts w:hint="eastAsia"/>
          <w:color w:val="000000"/>
          <w:sz w:val="21"/>
          <w:szCs w:val="21"/>
          <w:shd w:val="clear" w:color="auto" w:fill="FFFFFF"/>
          <w:lang w:val="en-US" w:eastAsia="zh-CN"/>
        </w:rPr>
        <w:t>时间、</w:t>
      </w:r>
      <w:r>
        <w:rPr>
          <w:rFonts w:hint="eastAsia"/>
          <w:color w:val="000000"/>
          <w:sz w:val="21"/>
          <w:szCs w:val="21"/>
          <w:shd w:val="clear" w:color="auto" w:fill="FFFFFF"/>
        </w:rPr>
        <w:t>开标时间</w:t>
      </w:r>
      <w:r>
        <w:rPr>
          <w:rFonts w:hint="eastAsia"/>
          <w:color w:val="000000"/>
          <w:sz w:val="21"/>
          <w:szCs w:val="21"/>
          <w:shd w:val="clear" w:color="auto" w:fill="FFFFFF"/>
          <w:lang w:val="en-US" w:eastAsia="zh-CN"/>
        </w:rPr>
        <w:t>及地点：</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（一）投标截止及开标时间：2020年</w:t>
      </w:r>
      <w:r>
        <w:rPr>
          <w:rFonts w:hint="eastAsia"/>
          <w:color w:val="000000"/>
          <w:sz w:val="21"/>
          <w:szCs w:val="21"/>
          <w:shd w:val="clear" w:color="auto" w:fill="FFFFFF"/>
          <w:lang w:val="en-US" w:eastAsia="zh-CN"/>
        </w:rPr>
        <w:t>6</w:t>
      </w:r>
      <w:r>
        <w:rPr>
          <w:rFonts w:hint="eastAsia"/>
          <w:color w:val="000000"/>
          <w:sz w:val="21"/>
          <w:szCs w:val="21"/>
          <w:shd w:val="clear" w:color="auto" w:fill="FFFFFF"/>
        </w:rPr>
        <w:t>月</w:t>
      </w:r>
      <w:r>
        <w:rPr>
          <w:rFonts w:hint="eastAsia"/>
          <w:color w:val="000000"/>
          <w:sz w:val="21"/>
          <w:szCs w:val="21"/>
          <w:shd w:val="clear" w:color="auto" w:fill="FFFFFF"/>
          <w:lang w:val="en-US" w:eastAsia="zh-CN"/>
        </w:rPr>
        <w:t>11</w:t>
      </w:r>
      <w:r>
        <w:rPr>
          <w:rFonts w:hint="eastAsia"/>
          <w:color w:val="000000"/>
          <w:sz w:val="21"/>
          <w:szCs w:val="21"/>
          <w:shd w:val="clear" w:color="auto" w:fill="FFFFFF"/>
        </w:rPr>
        <w:t xml:space="preserve">日  </w:t>
      </w:r>
      <w:r>
        <w:rPr>
          <w:rFonts w:hint="eastAsia"/>
          <w:color w:val="000000"/>
          <w:sz w:val="21"/>
          <w:szCs w:val="21"/>
          <w:shd w:val="clear" w:color="auto" w:fill="FFFFFF"/>
          <w:lang w:val="en-US" w:eastAsia="zh-CN"/>
        </w:rPr>
        <w:t>9:00</w:t>
      </w:r>
      <w:r>
        <w:rPr>
          <w:rFonts w:hint="eastAsia"/>
          <w:color w:val="000000"/>
          <w:sz w:val="21"/>
          <w:szCs w:val="21"/>
          <w:shd w:val="clear" w:color="auto" w:fill="FFFFFF"/>
        </w:rPr>
        <w:t>（北京时间），逾期提交或不符合规定的投标文件不予接受。</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（二）开标地点：</w:t>
      </w:r>
      <w:r>
        <w:rPr>
          <w:rFonts w:hint="eastAsia"/>
          <w:color w:val="000000"/>
          <w:sz w:val="21"/>
          <w:szCs w:val="21"/>
          <w:shd w:val="clear" w:color="auto" w:fill="FFFFFF"/>
          <w:lang w:val="en-US" w:eastAsia="zh-CN"/>
        </w:rPr>
        <w:t>禹州市</w:t>
      </w:r>
      <w:r>
        <w:rPr>
          <w:rFonts w:hint="eastAsia"/>
          <w:color w:val="000000"/>
          <w:sz w:val="21"/>
          <w:szCs w:val="21"/>
          <w:shd w:val="clear" w:color="auto" w:fill="FFFFFF"/>
        </w:rPr>
        <w:t>公共资源交易中心</w:t>
      </w:r>
      <w:r>
        <w:rPr>
          <w:rFonts w:hint="eastAsia"/>
          <w:color w:val="000000"/>
          <w:sz w:val="21"/>
          <w:szCs w:val="21"/>
          <w:shd w:val="clear" w:color="auto" w:fill="FFFFFF"/>
          <w:lang w:val="en-US" w:eastAsia="zh-CN"/>
        </w:rPr>
        <w:t>九</w:t>
      </w:r>
      <w:r>
        <w:rPr>
          <w:rFonts w:hint="eastAsia"/>
          <w:color w:val="000000"/>
          <w:sz w:val="21"/>
          <w:szCs w:val="21"/>
          <w:shd w:val="clear" w:color="auto" w:fill="FFFFFF"/>
        </w:rPr>
        <w:t>楼</w:t>
      </w:r>
      <w:r>
        <w:rPr>
          <w:rFonts w:hint="eastAsia"/>
          <w:color w:val="000000"/>
          <w:sz w:val="21"/>
          <w:szCs w:val="21"/>
          <w:shd w:val="clear" w:color="auto" w:fill="FFFFFF"/>
          <w:lang w:val="en-US" w:eastAsia="zh-CN"/>
        </w:rPr>
        <w:t>第二</w:t>
      </w:r>
      <w:r>
        <w:rPr>
          <w:rFonts w:hint="eastAsia"/>
          <w:color w:val="000000"/>
          <w:sz w:val="21"/>
          <w:szCs w:val="21"/>
          <w:shd w:val="clear" w:color="auto" w:fill="FFFFFF"/>
        </w:rPr>
        <w:t>开标室。（本项目采用远程不见面开标，投标人无须到现场）。</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（三） 本项目为全流程电子化交易项目，投标人须提交电子投标文件。</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1、加密电子投标文件（.file格式）须在投标截止时间（开标时间）前通过《全国公共资源交易平台(河南省▪许昌市)》公共资源交易系统成功上传。</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六</w:t>
      </w:r>
      <w:r>
        <w:rPr>
          <w:rFonts w:hint="eastAsia"/>
          <w:color w:val="000000"/>
          <w:sz w:val="21"/>
          <w:szCs w:val="21"/>
          <w:shd w:val="clear" w:color="auto" w:fill="FFFFFF"/>
        </w:rPr>
        <w:t>、本次</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公告同时在《中国政府采购网》、《河南省政府采购网》、《全国公共资源交易平台（河南省·许昌市）》发布等。</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七</w:t>
      </w:r>
      <w:r>
        <w:rPr>
          <w:rFonts w:hint="eastAsia"/>
          <w:color w:val="000000"/>
          <w:sz w:val="21"/>
          <w:szCs w:val="21"/>
          <w:shd w:val="clear" w:color="auto" w:fill="FFFFFF"/>
        </w:rPr>
        <w:t>、代理机构及采购单位地址、联系人、联系电话</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（一）代理机构：禹州市政府采购中心</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地址：禹州市行政服务中心楼917房间</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李</w:t>
      </w:r>
      <w:r>
        <w:rPr>
          <w:rFonts w:hint="eastAsia"/>
          <w:color w:val="000000"/>
          <w:sz w:val="21"/>
          <w:szCs w:val="21"/>
          <w:shd w:val="clear" w:color="auto" w:fill="FFFFFF"/>
        </w:rPr>
        <w:t>女士    联系电话：0374-2077111</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（二）采购单位：禹州市</w:t>
      </w:r>
      <w:r>
        <w:rPr>
          <w:rFonts w:hint="eastAsia"/>
          <w:color w:val="000000"/>
          <w:sz w:val="21"/>
          <w:szCs w:val="21"/>
          <w:shd w:val="clear" w:color="auto" w:fill="FFFFFF"/>
          <w:lang w:val="en-US" w:eastAsia="zh-CN"/>
        </w:rPr>
        <w:t>财政局</w:t>
      </w:r>
    </w:p>
    <w:p>
      <w:pPr>
        <w:pStyle w:val="22"/>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地址：</w:t>
      </w:r>
      <w:r>
        <w:rPr>
          <w:rFonts w:hint="eastAsia"/>
          <w:color w:val="000000"/>
          <w:sz w:val="21"/>
          <w:szCs w:val="21"/>
          <w:shd w:val="clear" w:color="auto" w:fill="FFFFFF"/>
          <w:lang w:eastAsia="zh-CN"/>
        </w:rPr>
        <w:t>禹州市</w:t>
      </w:r>
      <w:r>
        <w:rPr>
          <w:rFonts w:hint="eastAsia"/>
          <w:color w:val="000000"/>
          <w:sz w:val="21"/>
          <w:szCs w:val="21"/>
          <w:shd w:val="clear" w:color="auto" w:fill="FFFFFF"/>
          <w:lang w:val="en-US" w:eastAsia="zh-CN"/>
        </w:rPr>
        <w:t>财税大厦</w:t>
      </w:r>
    </w:p>
    <w:p>
      <w:pPr>
        <w:pStyle w:val="22"/>
        <w:widowControl/>
        <w:shd w:val="clear" w:color="auto" w:fill="FFFFFF"/>
        <w:spacing w:line="360" w:lineRule="auto"/>
        <w:ind w:firstLine="420" w:firstLineChars="200"/>
        <w:contextualSpacing/>
        <w:jc w:val="left"/>
        <w:rPr>
          <w:rFonts w:hint="default" w:eastAsia="宋体"/>
          <w:color w:val="000000"/>
          <w:sz w:val="21"/>
          <w:szCs w:val="21"/>
          <w:shd w:val="clear" w:color="auto" w:fill="FFFFFF"/>
          <w:lang w:val="en-US" w:eastAsia="zh-CN"/>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杨先生</w:t>
      </w:r>
      <w:r>
        <w:rPr>
          <w:rFonts w:hint="eastAsia"/>
          <w:color w:val="000000"/>
          <w:sz w:val="21"/>
          <w:szCs w:val="21"/>
          <w:shd w:val="clear" w:color="auto" w:fill="FFFFFF"/>
        </w:rPr>
        <w:t xml:space="preserve">  联系电话：</w:t>
      </w:r>
      <w:r>
        <w:rPr>
          <w:rFonts w:hint="eastAsia"/>
          <w:color w:val="000000"/>
          <w:sz w:val="21"/>
          <w:szCs w:val="21"/>
          <w:shd w:val="clear" w:color="auto" w:fill="FFFFFF"/>
          <w:lang w:val="en-US" w:eastAsia="zh-CN"/>
        </w:rPr>
        <w:t>15617285688</w:t>
      </w:r>
    </w:p>
    <w:p>
      <w:pPr>
        <w:spacing w:line="360" w:lineRule="auto"/>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 xml:space="preserve">   </w:t>
      </w:r>
    </w:p>
    <w:p>
      <w:pPr>
        <w:spacing w:line="360" w:lineRule="auto"/>
        <w:rPr>
          <w:rFonts w:hint="eastAsia" w:ascii="黑体" w:hAnsi="黑体" w:eastAsia="黑体" w:cs="黑体"/>
          <w:bCs/>
          <w:color w:val="000000"/>
          <w:sz w:val="21"/>
          <w:szCs w:val="21"/>
          <w:shd w:val="clear" w:color="auto" w:fill="FFFFFF"/>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28"/>
          <w:rFonts w:hAnsi="宋体"/>
          <w:color w:val="FF0000"/>
          <w:szCs w:val="21"/>
        </w:rPr>
        <w:t>http://221.14.6.70:8088/ggzy/</w:t>
      </w:r>
      <w:r>
        <w:rPr>
          <w:rStyle w:val="28"/>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hAnsi="宋体"/>
          <w:color w:val="000000"/>
          <w:szCs w:val="21"/>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hAnsi="宋体"/>
          <w:color w:val="000000"/>
          <w:szCs w:val="21"/>
          <w:lang w:eastAsia="zh-CN"/>
        </w:rPr>
        <w:t>承担委托项目资产评估及其相关工作。</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w:t>
      </w:r>
      <w:r>
        <w:rPr>
          <w:rFonts w:hint="eastAsia" w:cs="黑体" w:asciiTheme="minorEastAsia" w:hAnsiTheme="minorEastAsia"/>
          <w:b/>
          <w:bCs/>
          <w:color w:val="000000"/>
          <w:sz w:val="24"/>
          <w:szCs w:val="24"/>
          <w:shd w:val="clear" w:color="auto" w:fill="FFFFFF"/>
          <w:lang w:val="en-US" w:eastAsia="zh-CN"/>
        </w:rPr>
        <w:t>内容</w:t>
      </w:r>
      <w:r>
        <w:rPr>
          <w:rFonts w:hint="eastAsia" w:cs="黑体" w:asciiTheme="minorEastAsia" w:hAnsiTheme="minorEastAsia"/>
          <w:b/>
          <w:bCs/>
          <w:color w:val="000000"/>
          <w:sz w:val="24"/>
          <w:szCs w:val="24"/>
          <w:shd w:val="clear" w:color="auto" w:fill="FFFFFF"/>
          <w:lang w:eastAsia="zh-CN"/>
        </w:rPr>
        <w:t>：</w:t>
      </w:r>
    </w:p>
    <w:p>
      <w:pPr>
        <w:spacing w:line="360" w:lineRule="auto"/>
        <w:ind w:left="479" w:leftChars="228" w:firstLine="0" w:firstLineChars="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承担委托项目资产评估及其相关工作，对以下内容进行处置前的资产评估服务：1、全市行政事业单位闲置办公用房对外出租事项；</w:t>
      </w:r>
    </w:p>
    <w:p>
      <w:pPr>
        <w:numPr>
          <w:ilvl w:val="0"/>
          <w:numId w:val="6"/>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执法部门收缴并移交的赃物、罚没物；</w:t>
      </w:r>
    </w:p>
    <w:p>
      <w:pPr>
        <w:numPr>
          <w:ilvl w:val="0"/>
          <w:numId w:val="0"/>
        </w:num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3、纪委收到并移交的上交礼品。</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收费标准：《</w:t>
      </w:r>
      <w:r>
        <w:rPr>
          <w:rFonts w:hint="eastAsia" w:cs="黑体" w:asciiTheme="minorEastAsia" w:hAnsiTheme="minorEastAsia"/>
          <w:b/>
          <w:bCs/>
          <w:color w:val="000000"/>
          <w:sz w:val="24"/>
          <w:szCs w:val="24"/>
          <w:shd w:val="clear" w:color="auto" w:fill="FFFFFF"/>
          <w:lang w:val="en-US" w:eastAsia="zh-CN"/>
        </w:rPr>
        <w:t>国家发展改革委、财政部关于发布&lt;资产评估收费管理办法&gt;的通知</w:t>
      </w:r>
      <w:r>
        <w:rPr>
          <w:rFonts w:hint="eastAsia" w:cs="黑体" w:asciiTheme="minorEastAsia" w:hAnsiTheme="minorEastAsia"/>
          <w:b/>
          <w:bCs/>
          <w:color w:val="000000"/>
          <w:sz w:val="24"/>
          <w:szCs w:val="24"/>
          <w:shd w:val="clear" w:color="auto" w:fill="FFFFFF"/>
          <w:lang w:val="zh-CN"/>
        </w:rPr>
        <w:t>》（</w:t>
      </w:r>
      <w:r>
        <w:rPr>
          <w:rFonts w:hint="eastAsia" w:cs="黑体" w:asciiTheme="minorEastAsia" w:hAnsiTheme="minorEastAsia"/>
          <w:b/>
          <w:bCs/>
          <w:color w:val="000000"/>
          <w:sz w:val="24"/>
          <w:szCs w:val="24"/>
          <w:shd w:val="clear" w:color="auto" w:fill="FFFFFF"/>
          <w:lang w:val="en-US" w:eastAsia="zh-CN"/>
        </w:rPr>
        <w:t>发改价格〔2009〕2914号</w:t>
      </w:r>
      <w:r>
        <w:rPr>
          <w:rFonts w:hint="eastAsia" w:cs="黑体" w:asciiTheme="minorEastAsia" w:hAnsiTheme="minorEastAsia"/>
          <w:b/>
          <w:bCs/>
          <w:color w:val="000000"/>
          <w:sz w:val="24"/>
          <w:szCs w:val="24"/>
          <w:shd w:val="clear" w:color="auto" w:fill="FFFFFF"/>
          <w:lang w:val="zh-CN"/>
        </w:rPr>
        <w:t xml:space="preserve">） </w:t>
      </w:r>
    </w:p>
    <w:tbl>
      <w:tblPr>
        <w:tblStyle w:val="24"/>
        <w:tblW w:w="8145" w:type="dxa"/>
        <w:jc w:val="center"/>
        <w:tblLayout w:type="fixed"/>
        <w:tblCellMar>
          <w:top w:w="0" w:type="dxa"/>
          <w:left w:w="108" w:type="dxa"/>
          <w:bottom w:w="0" w:type="dxa"/>
          <w:right w:w="108" w:type="dxa"/>
        </w:tblCellMar>
      </w:tblPr>
      <w:tblGrid>
        <w:gridCol w:w="915"/>
        <w:gridCol w:w="4820"/>
        <w:gridCol w:w="2410"/>
      </w:tblGrid>
      <w:tr>
        <w:tblPrEx>
          <w:tblCellMar>
            <w:top w:w="0" w:type="dxa"/>
            <w:left w:w="108" w:type="dxa"/>
            <w:bottom w:w="0" w:type="dxa"/>
            <w:right w:w="108" w:type="dxa"/>
          </w:tblCellMar>
        </w:tblPrEx>
        <w:trPr>
          <w:trHeight w:val="442"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档次</w:t>
            </w:r>
          </w:p>
        </w:tc>
        <w:tc>
          <w:tcPr>
            <w:tcW w:w="482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计费额度（万元）</w:t>
            </w:r>
          </w:p>
        </w:tc>
        <w:tc>
          <w:tcPr>
            <w:tcW w:w="241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差额计</w:t>
            </w:r>
          </w:p>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费率（‰）</w:t>
            </w:r>
          </w:p>
        </w:tc>
      </w:tr>
      <w:tr>
        <w:tblPrEx>
          <w:tblCellMar>
            <w:top w:w="0" w:type="dxa"/>
            <w:left w:w="108" w:type="dxa"/>
            <w:bottom w:w="0" w:type="dxa"/>
            <w:right w:w="108" w:type="dxa"/>
          </w:tblCellMar>
        </w:tblPrEx>
        <w:trPr>
          <w:trHeight w:val="42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1</w:t>
            </w:r>
          </w:p>
        </w:tc>
        <w:tc>
          <w:tcPr>
            <w:tcW w:w="482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100以下（含100）</w:t>
            </w:r>
          </w:p>
        </w:tc>
        <w:tc>
          <w:tcPr>
            <w:tcW w:w="241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9-15</w:t>
            </w:r>
          </w:p>
        </w:tc>
      </w:tr>
      <w:tr>
        <w:tblPrEx>
          <w:tblCellMar>
            <w:top w:w="0" w:type="dxa"/>
            <w:left w:w="108" w:type="dxa"/>
            <w:bottom w:w="0" w:type="dxa"/>
            <w:right w:w="108" w:type="dxa"/>
          </w:tblCellMar>
        </w:tblPrEx>
        <w:trPr>
          <w:trHeight w:val="42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2</w:t>
            </w:r>
          </w:p>
        </w:tc>
        <w:tc>
          <w:tcPr>
            <w:tcW w:w="482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100以上-1000万元（含1000）</w:t>
            </w:r>
          </w:p>
        </w:tc>
        <w:tc>
          <w:tcPr>
            <w:tcW w:w="241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3.75-6.25</w:t>
            </w:r>
          </w:p>
        </w:tc>
      </w:tr>
      <w:tr>
        <w:tblPrEx>
          <w:tblCellMar>
            <w:top w:w="0" w:type="dxa"/>
            <w:left w:w="108" w:type="dxa"/>
            <w:bottom w:w="0" w:type="dxa"/>
            <w:right w:w="108" w:type="dxa"/>
          </w:tblCellMar>
        </w:tblPrEx>
        <w:trPr>
          <w:trHeight w:val="42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3</w:t>
            </w:r>
          </w:p>
        </w:tc>
        <w:tc>
          <w:tcPr>
            <w:tcW w:w="482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1000以上-5000（含5000）</w:t>
            </w:r>
          </w:p>
        </w:tc>
        <w:tc>
          <w:tcPr>
            <w:tcW w:w="241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1.2-2</w:t>
            </w:r>
          </w:p>
        </w:tc>
      </w:tr>
      <w:tr>
        <w:tblPrEx>
          <w:tblCellMar>
            <w:top w:w="0" w:type="dxa"/>
            <w:left w:w="108" w:type="dxa"/>
            <w:bottom w:w="0" w:type="dxa"/>
            <w:right w:w="108" w:type="dxa"/>
          </w:tblCellMar>
        </w:tblPrEx>
        <w:trPr>
          <w:trHeight w:val="42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4</w:t>
            </w:r>
          </w:p>
        </w:tc>
        <w:tc>
          <w:tcPr>
            <w:tcW w:w="482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5000以上-10000（含10000）</w:t>
            </w:r>
          </w:p>
        </w:tc>
        <w:tc>
          <w:tcPr>
            <w:tcW w:w="241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0.75-1.25</w:t>
            </w:r>
          </w:p>
        </w:tc>
      </w:tr>
      <w:tr>
        <w:tblPrEx>
          <w:tblCellMar>
            <w:top w:w="0" w:type="dxa"/>
            <w:left w:w="108" w:type="dxa"/>
            <w:bottom w:w="0" w:type="dxa"/>
            <w:right w:w="108" w:type="dxa"/>
          </w:tblCellMar>
        </w:tblPrEx>
        <w:trPr>
          <w:trHeight w:val="43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5</w:t>
            </w:r>
          </w:p>
        </w:tc>
        <w:tc>
          <w:tcPr>
            <w:tcW w:w="482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10000以上-100000（含100000）</w:t>
            </w:r>
          </w:p>
        </w:tc>
        <w:tc>
          <w:tcPr>
            <w:tcW w:w="241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0.15-0.25</w:t>
            </w:r>
          </w:p>
        </w:tc>
      </w:tr>
      <w:tr>
        <w:tblPrEx>
          <w:tblCellMar>
            <w:top w:w="0" w:type="dxa"/>
            <w:left w:w="108" w:type="dxa"/>
            <w:bottom w:w="0" w:type="dxa"/>
            <w:right w:w="108" w:type="dxa"/>
          </w:tblCellMar>
        </w:tblPrEx>
        <w:trPr>
          <w:trHeight w:val="43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6</w:t>
            </w:r>
          </w:p>
        </w:tc>
        <w:tc>
          <w:tcPr>
            <w:tcW w:w="482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1000000以上</w:t>
            </w:r>
          </w:p>
        </w:tc>
        <w:tc>
          <w:tcPr>
            <w:tcW w:w="2410" w:type="dxa"/>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0.1-0.2</w:t>
            </w:r>
          </w:p>
        </w:tc>
      </w:tr>
    </w:tbl>
    <w:p>
      <w:pPr>
        <w:widowControl/>
        <w:shd w:val="clear" w:color="auto" w:fill="FFFFFF"/>
        <w:spacing w:line="360" w:lineRule="auto"/>
        <w:contextualSpacing/>
        <w:jc w:val="left"/>
        <w:rPr>
          <w:rFonts w:hint="default"/>
          <w:lang w:val="en-US" w:eastAsia="zh-CN"/>
        </w:rPr>
      </w:pPr>
      <w:r>
        <w:rPr>
          <w:rFonts w:hint="eastAsia" w:cs="黑体" w:asciiTheme="minorEastAsia" w:hAnsiTheme="minorEastAsia"/>
          <w:b/>
          <w:bCs/>
          <w:color w:val="000000"/>
          <w:sz w:val="24"/>
          <w:szCs w:val="24"/>
          <w:shd w:val="clear" w:color="auto" w:fill="FFFFFF"/>
          <w:lang w:val="en-US" w:eastAsia="zh-CN"/>
        </w:rPr>
        <w:t xml:space="preserve">   注：根据发改价格〔2009〕2914号文件规定最低计费率50%为投标上限。</w:t>
      </w:r>
    </w:p>
    <w:p>
      <w:pPr>
        <w:numPr>
          <w:ilvl w:val="0"/>
          <w:numId w:val="7"/>
        </w:numPr>
        <w:spacing w:line="360" w:lineRule="auto"/>
        <w:ind w:firstLine="482"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color w:val="000000"/>
          <w:kern w:val="0"/>
          <w:sz w:val="24"/>
          <w:szCs w:val="24"/>
          <w:lang w:val="zh-CN"/>
        </w:rPr>
        <w:t>采购标的执行标准：</w:t>
      </w:r>
      <w:r>
        <w:rPr>
          <w:rFonts w:hint="eastAsia"/>
          <w:lang w:val="zh-CN"/>
        </w:rPr>
        <w:t>执法国家相关标准及地方相关标准。</w:t>
      </w:r>
    </w:p>
    <w:p>
      <w:pPr>
        <w:numPr>
          <w:ilvl w:val="0"/>
          <w:numId w:val="7"/>
        </w:numPr>
        <w:spacing w:line="360" w:lineRule="auto"/>
        <w:ind w:firstLine="482"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color w:val="000000"/>
          <w:kern w:val="0"/>
          <w:sz w:val="24"/>
          <w:szCs w:val="24"/>
          <w:lang w:val="zh-CN"/>
        </w:rPr>
        <w:t>服务标准、期限、效率等要求：</w:t>
      </w:r>
      <w:r>
        <w:rPr>
          <w:rFonts w:hint="eastAsia" w:cs="宋体" w:asciiTheme="minorEastAsia" w:hAnsiTheme="minorEastAsia"/>
          <w:b w:val="0"/>
          <w:bCs/>
          <w:color w:val="000000"/>
          <w:kern w:val="0"/>
          <w:sz w:val="24"/>
          <w:szCs w:val="24"/>
          <w:lang w:val="zh-CN"/>
        </w:rPr>
        <w:t>完全按照业主要求完成评估工作。</w:t>
      </w:r>
    </w:p>
    <w:p>
      <w:pPr>
        <w:numPr>
          <w:ilvl w:val="0"/>
          <w:numId w:val="7"/>
        </w:numPr>
        <w:spacing w:line="360" w:lineRule="auto"/>
        <w:ind w:left="0" w:leftChars="0"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en-US" w:eastAsia="zh-CN"/>
        </w:rPr>
        <w:t>采购标的其他技术、服务等要求</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1、投标人应就本项目完整投标（报价含税费等综合费用），否则为无效投标。</w:t>
      </w:r>
    </w:p>
    <w:p>
      <w:pPr>
        <w:wordWrap w:val="0"/>
        <w:topLinePunct/>
        <w:spacing w:line="360" w:lineRule="auto"/>
        <w:ind w:firstLine="480" w:firstLineChars="200"/>
        <w:rPr>
          <w:rFonts w:hint="default" w:ascii="宋体" w:cs="宋体"/>
          <w:sz w:val="24"/>
          <w:lang w:val="en-US" w:eastAsia="zh-CN"/>
        </w:rPr>
      </w:pPr>
      <w:r>
        <w:rPr>
          <w:rFonts w:hint="eastAsia" w:ascii="宋体" w:cs="宋体"/>
          <w:sz w:val="24"/>
          <w:lang w:val="en-US" w:eastAsia="zh-CN"/>
        </w:rPr>
        <w:t>2、投标文件中须有详细的实施（技术）方案，否则为无效投标。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en-US" w:eastAsia="zh-CN"/>
        </w:rPr>
        <w:t>六</w:t>
      </w:r>
      <w:r>
        <w:rPr>
          <w:rFonts w:hint="eastAsia" w:cs="宋体" w:asciiTheme="minorEastAsia" w:hAnsiTheme="minorEastAsia"/>
          <w:b/>
          <w:color w:val="000000"/>
          <w:kern w:val="0"/>
          <w:sz w:val="24"/>
          <w:szCs w:val="24"/>
          <w:lang w:val="zh-CN"/>
        </w:rPr>
        <w:t>、验收标准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根据《许昌市市级政府购买中介机构服务管理暂行办法（试行）》规定的“谁使用、谁付费、谁评价”的原则，委托人在服务项目结束后一周内，按照合同约定的服务项目及标准，对受托中介机构服务质量进行履约验收评价，填写《服务质量评价表》送交禹州市财政局政府采购监督管理办公室备案。</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wordWrap w:val="0"/>
        <w:topLinePunct/>
        <w:spacing w:line="360" w:lineRule="auto"/>
        <w:ind w:firstLine="480" w:firstLineChars="200"/>
        <w:rPr>
          <w:rFonts w:ascii="仿宋" w:hAnsi="仿宋" w:eastAsia="仿宋" w:cs="宋体"/>
          <w:color w:val="000000"/>
          <w:kern w:val="0"/>
          <w:sz w:val="24"/>
          <w:szCs w:val="24"/>
          <w:lang w:val="zh-CN"/>
        </w:rPr>
      </w:pPr>
      <w:r>
        <w:rPr>
          <w:rFonts w:hint="eastAsia" w:ascii="宋体" w:cs="宋体"/>
          <w:sz w:val="24"/>
          <w:lang w:val="zh-CN"/>
        </w:rPr>
        <w:t xml:space="preserve">3、符合国家的法律、法规和评估的行业规范以及评估有关的制度、规章和规定等。 </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en-US" w:eastAsia="zh-CN"/>
        </w:rPr>
        <w:t>七</w:t>
      </w:r>
      <w:r>
        <w:rPr>
          <w:rFonts w:hint="eastAsia" w:cs="宋体" w:asciiTheme="minorEastAsia" w:hAnsiTheme="minorEastAsia"/>
          <w:b/>
          <w:color w:val="000000"/>
          <w:kern w:val="0"/>
          <w:sz w:val="24"/>
          <w:szCs w:val="24"/>
          <w:lang w:val="zh-CN"/>
        </w:rPr>
        <w:t>、资金支付</w:t>
      </w:r>
    </w:p>
    <w:p>
      <w:pPr>
        <w:widowControl/>
        <w:shd w:val="clear" w:color="auto" w:fill="FFFFFF"/>
        <w:spacing w:line="360" w:lineRule="auto"/>
        <w:ind w:firstLine="480" w:firstLineChars="200"/>
        <w:contextualSpacing/>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en-US" w:eastAsia="zh-CN"/>
        </w:rPr>
        <w:t>财政支付。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en-US" w:eastAsia="zh-CN"/>
        </w:rPr>
        <w:t>以签订合同为准</w:t>
      </w:r>
      <w:r>
        <w:rPr>
          <w:rFonts w:hint="eastAsia" w:cs="宋体" w:asciiTheme="minorEastAsia" w:hAnsiTheme="minorEastAsia"/>
          <w:color w:val="000000"/>
          <w:kern w:val="0"/>
          <w:sz w:val="24"/>
          <w:szCs w:val="24"/>
          <w:lang w:val="zh-CN"/>
        </w:rPr>
        <w:t>。</w:t>
      </w:r>
    </w:p>
    <w:p>
      <w:pPr>
        <w:widowControl/>
        <w:jc w:val="left"/>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w:t>
            </w:r>
            <w:r>
              <w:rPr>
                <w:rFonts w:hint="eastAsia" w:cs="仿宋_GB2312" w:asciiTheme="minorEastAsia" w:hAnsiTheme="minorEastAsia"/>
                <w:szCs w:val="21"/>
                <w:lang w:val="en-US" w:eastAsia="zh-CN"/>
              </w:rPr>
              <w:t>市财政局选定中介服务机构</w:t>
            </w:r>
            <w:r>
              <w:rPr>
                <w:rFonts w:hint="eastAsia" w:cs="仿宋_GB2312" w:asciiTheme="minorEastAsia" w:hAnsiTheme="minorEastAsia"/>
                <w:szCs w:val="21"/>
              </w:rPr>
              <w:t>项目（不见面开标）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采购</w:t>
            </w:r>
            <w:r>
              <w:rPr>
                <w:rFonts w:hint="eastAsia" w:cs="仿宋_GB2312" w:asciiTheme="minorEastAsia" w:hAnsiTheme="minorEastAsia"/>
                <w:szCs w:val="21"/>
              </w:rPr>
              <w:t>编号：</w:t>
            </w:r>
            <w:r>
              <w:rPr>
                <w:rFonts w:hint="eastAsia"/>
                <w:color w:val="000000"/>
                <w:sz w:val="21"/>
                <w:szCs w:val="21"/>
                <w:shd w:val="clear" w:color="auto" w:fill="FFFFFF"/>
              </w:rPr>
              <w:t>YZCG-</w:t>
            </w:r>
            <w:r>
              <w:rPr>
                <w:rFonts w:hint="eastAsia"/>
                <w:color w:val="000000"/>
                <w:sz w:val="21"/>
                <w:szCs w:val="21"/>
                <w:shd w:val="clear" w:color="auto" w:fill="FFFFFF"/>
                <w:lang w:val="en-US" w:eastAsia="zh-CN"/>
              </w:rPr>
              <w:t>G</w:t>
            </w:r>
            <w:r>
              <w:rPr>
                <w:rFonts w:hint="eastAsia"/>
                <w:color w:val="000000"/>
                <w:sz w:val="21"/>
                <w:szCs w:val="21"/>
                <w:shd w:val="clear" w:color="auto" w:fill="FFFFFF"/>
              </w:rPr>
              <w:t>20</w:t>
            </w:r>
            <w:r>
              <w:rPr>
                <w:rFonts w:hint="eastAsia"/>
                <w:color w:val="000000"/>
                <w:sz w:val="21"/>
                <w:szCs w:val="21"/>
                <w:shd w:val="clear" w:color="auto" w:fill="FFFFFF"/>
                <w:lang w:val="en-US" w:eastAsia="zh-CN"/>
              </w:rPr>
              <w:t>20087</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交付（服务、完工）时间：服务履约期限为一年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2"/>
              <w:widowControl/>
              <w:shd w:val="clear" w:color="auto" w:fill="FFFFFF"/>
              <w:spacing w:line="360" w:lineRule="auto"/>
              <w:contextualSpacing/>
              <w:jc w:val="left"/>
              <w:rPr>
                <w:rFonts w:hint="eastAsia"/>
                <w:color w:val="000000"/>
                <w:sz w:val="21"/>
                <w:szCs w:val="21"/>
                <w:shd w:val="clear" w:color="auto" w:fill="FFFFFF"/>
              </w:rPr>
            </w:pPr>
            <w:r>
              <w:rPr>
                <w:rFonts w:hint="eastAsia"/>
                <w:color w:val="000000"/>
                <w:sz w:val="21"/>
                <w:szCs w:val="21"/>
                <w:shd w:val="clear" w:color="auto" w:fill="FFFFFF"/>
              </w:rPr>
              <w:t>采购</w:t>
            </w:r>
            <w:r>
              <w:rPr>
                <w:rFonts w:hint="eastAsia"/>
                <w:color w:val="000000"/>
                <w:sz w:val="21"/>
                <w:szCs w:val="21"/>
                <w:shd w:val="clear" w:color="auto" w:fill="FFFFFF"/>
                <w:lang w:val="en-US" w:eastAsia="zh-CN"/>
              </w:rPr>
              <w:t>人</w:t>
            </w:r>
            <w:r>
              <w:rPr>
                <w:rFonts w:hint="eastAsia"/>
                <w:color w:val="000000"/>
                <w:sz w:val="21"/>
                <w:szCs w:val="21"/>
                <w:shd w:val="clear" w:color="auto" w:fill="FFFFFF"/>
              </w:rPr>
              <w:t>：禹州市</w:t>
            </w:r>
            <w:r>
              <w:rPr>
                <w:rFonts w:hint="eastAsia"/>
                <w:color w:val="000000"/>
                <w:sz w:val="21"/>
                <w:szCs w:val="21"/>
                <w:shd w:val="clear" w:color="auto" w:fill="FFFFFF"/>
                <w:lang w:val="en-US" w:eastAsia="zh-CN"/>
              </w:rPr>
              <w:t>财政局</w:t>
            </w:r>
          </w:p>
          <w:p>
            <w:pPr>
              <w:pStyle w:val="22"/>
              <w:widowControl/>
              <w:shd w:val="clear" w:color="auto" w:fill="FFFFFF"/>
              <w:spacing w:line="360" w:lineRule="auto"/>
              <w:contextualSpacing/>
              <w:jc w:val="left"/>
              <w:rPr>
                <w:rFonts w:hint="eastAsia"/>
                <w:color w:val="000000"/>
                <w:sz w:val="21"/>
                <w:szCs w:val="21"/>
                <w:shd w:val="clear" w:color="auto" w:fill="FFFFFF"/>
              </w:rPr>
            </w:pPr>
            <w:r>
              <w:rPr>
                <w:rFonts w:hint="eastAsia"/>
                <w:color w:val="000000"/>
                <w:sz w:val="21"/>
                <w:szCs w:val="21"/>
                <w:shd w:val="clear" w:color="auto" w:fill="FFFFFF"/>
              </w:rPr>
              <w:t>地址：</w:t>
            </w:r>
            <w:r>
              <w:rPr>
                <w:rFonts w:hint="eastAsia"/>
                <w:color w:val="000000"/>
                <w:sz w:val="21"/>
                <w:szCs w:val="21"/>
                <w:shd w:val="clear" w:color="auto" w:fill="FFFFFF"/>
                <w:lang w:eastAsia="zh-CN"/>
              </w:rPr>
              <w:t>禹州市</w:t>
            </w:r>
            <w:r>
              <w:rPr>
                <w:rFonts w:hint="eastAsia"/>
                <w:color w:val="000000"/>
                <w:sz w:val="21"/>
                <w:szCs w:val="21"/>
                <w:shd w:val="clear" w:color="auto" w:fill="FFFFFF"/>
                <w:lang w:val="en-US" w:eastAsia="zh-CN"/>
              </w:rPr>
              <w:t>财税大厦</w:t>
            </w:r>
          </w:p>
          <w:p>
            <w:pPr>
              <w:pStyle w:val="22"/>
              <w:widowControl/>
              <w:shd w:val="clear" w:color="auto" w:fill="FFFFFF"/>
              <w:spacing w:line="360" w:lineRule="auto"/>
              <w:contextualSpacing/>
              <w:jc w:val="left"/>
              <w:rPr>
                <w:rFonts w:cs="仿宋_GB2312" w:asciiTheme="minorEastAsia" w:hAnsiTheme="minorEastAsia"/>
                <w:szCs w:val="21"/>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杨先生</w:t>
            </w:r>
            <w:r>
              <w:rPr>
                <w:rFonts w:hint="eastAsia"/>
                <w:color w:val="000000"/>
                <w:sz w:val="21"/>
                <w:szCs w:val="21"/>
                <w:shd w:val="clear" w:color="auto" w:fill="FFFFFF"/>
              </w:rPr>
              <w:t xml:space="preserve">  联系电话：</w:t>
            </w:r>
            <w:r>
              <w:rPr>
                <w:rFonts w:hint="eastAsia"/>
                <w:color w:val="000000"/>
                <w:sz w:val="21"/>
                <w:szCs w:val="21"/>
                <w:shd w:val="clear" w:color="auto" w:fill="FFFFFF"/>
                <w:lang w:val="en-US" w:eastAsia="zh-CN"/>
              </w:rPr>
              <w:t>15617285688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w:t>
            </w:r>
            <w:r>
              <w:rPr>
                <w:rFonts w:hint="eastAsia" w:cs="仿宋_GB2312" w:asciiTheme="minorEastAsia" w:hAnsiTheme="minorEastAsia"/>
                <w:szCs w:val="21"/>
              </w:rPr>
              <w:t>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仿宋_GB2312" w:asciiTheme="minorEastAsia" w:hAnsiTheme="minorEastAsia"/>
                <w:b/>
                <w:color w:val="000000"/>
                <w:szCs w:val="21"/>
                <w:shd w:val="clear" w:color="auto" w:fill="FFFFFF"/>
                <w:lang w:val="en-US" w:eastAsia="zh-CN"/>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11</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9：00</w:t>
            </w:r>
            <w:r>
              <w:rPr>
                <w:rFonts w:hint="eastAsia" w:cs="宋体" w:asciiTheme="minorEastAsia" w:hAnsiTheme="minorEastAsia"/>
                <w:bCs/>
                <w:szCs w:val="21"/>
                <w:lang w:val="zh-CN"/>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val="en-US" w:eastAsia="zh-CN"/>
              </w:rPr>
              <w:t>招标</w:t>
            </w:r>
            <w:r>
              <w:rPr>
                <w:rFonts w:hint="eastAsia" w:cs="仿宋_GB2312" w:asciiTheme="minorEastAsia" w:hAnsiTheme="minorEastAsia"/>
                <w:szCs w:val="21"/>
                <w:lang w:eastAsia="zh-CN"/>
              </w:rPr>
              <w:t>文件费用</w:t>
            </w:r>
          </w:p>
          <w:p>
            <w:pPr>
              <w:autoSpaceDE w:val="0"/>
              <w:autoSpaceDN w:val="0"/>
              <w:adjustRightInd w:val="0"/>
              <w:spacing w:line="276" w:lineRule="auto"/>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eastAsia="zh-CN"/>
              </w:rPr>
              <w:t>缴纳方式</w:t>
            </w:r>
          </w:p>
        </w:tc>
        <w:tc>
          <w:tcPr>
            <w:tcW w:w="694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0"/>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0"/>
              <w:rPr>
                <w:rFonts w:hint="eastAsia"/>
                <w:lang w:val="en-US" w:eastAsia="zh-CN"/>
              </w:rPr>
            </w:pPr>
            <w:r>
              <w:rPr>
                <w:rFonts w:hint="eastAsia"/>
                <w:lang w:val="en-US" w:eastAsia="zh-CN"/>
              </w:rPr>
              <w:t>（投标人须从本公司基本帐户转入且须注明项目名称或采购编号，缴纳回执单复印件附投标文件。）</w:t>
            </w:r>
          </w:p>
          <w:p>
            <w:pPr>
              <w:pStyle w:val="10"/>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eastAsiaTheme="minorEastAsia"/>
                <w:kern w:val="2"/>
                <w:sz w:val="21"/>
                <w:szCs w:val="21"/>
                <w:lang w:val="en-US" w:eastAsia="zh-CN" w:bidi="ar-SA"/>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w:t>
            </w:r>
            <w:r>
              <w:rPr>
                <w:rFonts w:hint="eastAsia" w:ascii="新宋体" w:hAnsi="新宋体" w:eastAsia="新宋体"/>
                <w:szCs w:val="21"/>
                <w:lang w:val="en-US" w:eastAsia="zh-CN"/>
              </w:rPr>
              <w:t>禹州</w:t>
            </w:r>
            <w:r>
              <w:rPr>
                <w:rFonts w:hint="eastAsia" w:ascii="新宋体" w:hAnsi="新宋体" w:eastAsia="新宋体"/>
                <w:szCs w:val="21"/>
              </w:rPr>
              <w:t>市公共资源交易中心交易见证</w:t>
            </w:r>
            <w:r>
              <w:rPr>
                <w:rFonts w:hint="eastAsia" w:ascii="新宋体" w:hAnsi="新宋体" w:eastAsia="新宋体"/>
                <w:szCs w:val="21"/>
                <w:lang w:val="en-US" w:eastAsia="zh-CN"/>
              </w:rPr>
              <w:t>部</w:t>
            </w:r>
            <w:r>
              <w:rPr>
                <w:rFonts w:hint="eastAsia" w:ascii="新宋体" w:hAnsi="新宋体" w:eastAsia="新宋体"/>
                <w:szCs w:val="21"/>
              </w:rPr>
              <w:t>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lang w:val="en-US" w:eastAsia="zh-CN"/>
              </w:rPr>
              <w:t>部</w:t>
            </w:r>
            <w:r>
              <w:rPr>
                <w:rFonts w:hint="eastAsia" w:cs="宋体" w:asciiTheme="minorEastAsia" w:hAnsiTheme="minorEastAsia"/>
                <w:bCs/>
                <w:szCs w:val="21"/>
                <w:lang w:val="zh-CN"/>
              </w:rPr>
              <w:t>。联系电话：0374-</w:t>
            </w:r>
            <w:r>
              <w:rPr>
                <w:rFonts w:hint="eastAsia" w:cs="宋体" w:asciiTheme="minorEastAsia" w:hAnsiTheme="minorEastAsia"/>
                <w:bCs/>
                <w:szCs w:val="21"/>
                <w:lang w:val="en-US" w:eastAsia="zh-CN"/>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0" w:leftChars="0"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9"/>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8"/>
          <w:rFonts w:cs="宋体" w:asciiTheme="minorEastAsia" w:hAnsiTheme="minorEastAsia"/>
          <w:kern w:val="0"/>
          <w:szCs w:val="21"/>
        </w:rPr>
        <w:t>www.chinanpo.gov.cn</w:t>
      </w:r>
      <w:r>
        <w:rPr>
          <w:rStyle w:val="28"/>
          <w:rFonts w:cs="宋体" w:asciiTheme="minorEastAsia" w:hAnsiTheme="minorEastAsia"/>
          <w:kern w:val="0"/>
          <w:szCs w:val="21"/>
        </w:rPr>
        <w:fldChar w:fldCharType="end"/>
      </w:r>
      <w:r>
        <w:rPr>
          <w:rFonts w:hint="eastAsia" w:cs="宋体" w:asciiTheme="minorEastAsia" w:hAnsiTheme="minorEastAsia"/>
          <w:kern w:val="0"/>
          <w:szCs w:val="21"/>
        </w:rPr>
        <w:t>）；</w:t>
      </w:r>
    </w:p>
    <w:p>
      <w:pPr>
        <w:pStyle w:val="39"/>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9"/>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9"/>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9"/>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9"/>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9"/>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9"/>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9"/>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9"/>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9"/>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9"/>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3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5"/>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5"/>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6"/>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3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39"/>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39"/>
        <w:numPr>
          <w:ilvl w:val="1"/>
          <w:numId w:val="19"/>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39"/>
        <w:numPr>
          <w:ilvl w:val="1"/>
          <w:numId w:val="20"/>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39"/>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21"/>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39"/>
        <w:numPr>
          <w:ilvl w:val="1"/>
          <w:numId w:val="21"/>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9"/>
        <w:numPr>
          <w:ilvl w:val="1"/>
          <w:numId w:val="21"/>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9"/>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39"/>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39"/>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39"/>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39"/>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39"/>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39"/>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39"/>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39"/>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3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9"/>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9"/>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9"/>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9"/>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9"/>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9"/>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9"/>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9"/>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9"/>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9"/>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9"/>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9"/>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9"/>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9"/>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9"/>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9"/>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9"/>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9"/>
        <w:numPr>
          <w:ilvl w:val="1"/>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9"/>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9"/>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9"/>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9"/>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9"/>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9"/>
        <w:numPr>
          <w:ilvl w:val="1"/>
          <w:numId w:val="5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9"/>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9"/>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FF0000"/>
          <w:sz w:val="21"/>
          <w:szCs w:val="21"/>
          <w:lang w:val="zh-CN"/>
        </w:rPr>
      </w:pPr>
      <w:r>
        <w:rPr>
          <w:rFonts w:hint="eastAsia" w:cs="仿宋_GB2312" w:asciiTheme="minorEastAsia" w:hAnsiTheme="minorEastAsia" w:eastAsiaTheme="minor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4"/>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966" w:type="dxa"/>
            <w:gridSpan w:val="3"/>
            <w:vAlign w:val="center"/>
          </w:tcPr>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价格部分（满分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41" w:type="dxa"/>
            <w:vAlign w:val="center"/>
          </w:tcPr>
          <w:p>
            <w:pPr>
              <w:jc w:val="center"/>
              <w:rPr>
                <w:rFonts w:hint="eastAsia" w:ascii="宋体" w:hAnsi="宋体"/>
                <w:color w:val="000000"/>
                <w:szCs w:val="21"/>
                <w:lang w:val="zh-CN"/>
              </w:rPr>
            </w:pPr>
            <w:r>
              <w:rPr>
                <w:rFonts w:hint="eastAsia" w:ascii="宋体" w:hAnsi="宋体"/>
                <w:color w:val="000000"/>
                <w:szCs w:val="21"/>
                <w:lang w:val="zh-CN"/>
              </w:rPr>
              <w:t>评分</w:t>
            </w:r>
          </w:p>
          <w:p>
            <w:pPr>
              <w:jc w:val="center"/>
              <w:rPr>
                <w:rFonts w:hint="eastAsia" w:ascii="宋体" w:hAnsi="宋体"/>
                <w:color w:val="000000"/>
                <w:szCs w:val="21"/>
                <w:lang w:val="zh-CN"/>
              </w:rPr>
            </w:pPr>
            <w:r>
              <w:rPr>
                <w:rFonts w:hint="eastAsia" w:ascii="宋体" w:hAnsi="宋体"/>
                <w:color w:val="000000"/>
                <w:szCs w:val="21"/>
                <w:lang w:val="zh-CN"/>
              </w:rPr>
              <w:t>因素</w:t>
            </w:r>
          </w:p>
        </w:tc>
        <w:tc>
          <w:tcPr>
            <w:tcW w:w="6558" w:type="dxa"/>
            <w:vAlign w:val="center"/>
          </w:tcPr>
          <w:p>
            <w:pPr>
              <w:jc w:val="center"/>
              <w:rPr>
                <w:rFonts w:hint="eastAsia" w:ascii="宋体" w:hAnsi="宋体"/>
                <w:color w:val="000000"/>
                <w:szCs w:val="21"/>
                <w:lang w:val="zh-CN"/>
              </w:rPr>
            </w:pPr>
            <w:r>
              <w:rPr>
                <w:rFonts w:hint="eastAsia" w:ascii="宋体" w:hAnsi="宋体"/>
                <w:color w:val="000000"/>
                <w:szCs w:val="21"/>
                <w:lang w:val="zh-CN"/>
              </w:rPr>
              <w:t>评标标准</w:t>
            </w:r>
          </w:p>
        </w:tc>
        <w:tc>
          <w:tcPr>
            <w:tcW w:w="967" w:type="dxa"/>
            <w:vAlign w:val="center"/>
          </w:tcPr>
          <w:p>
            <w:pPr>
              <w:jc w:val="center"/>
              <w:rPr>
                <w:rFonts w:hint="eastAsia" w:ascii="宋体" w:hAnsi="宋体"/>
                <w:color w:val="000000"/>
                <w:szCs w:val="21"/>
                <w:lang w:val="zh-CN"/>
              </w:rPr>
            </w:pPr>
            <w:r>
              <w:rPr>
                <w:rFonts w:hint="eastAsia" w:ascii="宋体" w:hAnsi="宋体"/>
                <w:color w:val="000000"/>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441" w:type="dxa"/>
            <w:vAlign w:val="center"/>
          </w:tcPr>
          <w:p>
            <w:pPr>
              <w:jc w:val="center"/>
              <w:rPr>
                <w:rFonts w:hint="eastAsia" w:ascii="宋体" w:hAnsi="宋体"/>
                <w:color w:val="000000"/>
                <w:szCs w:val="21"/>
                <w:lang w:val="zh-CN"/>
              </w:rPr>
            </w:pPr>
            <w:r>
              <w:rPr>
                <w:rFonts w:hint="eastAsia" w:ascii="宋体" w:hAnsi="宋体"/>
                <w:color w:val="000000"/>
                <w:szCs w:val="21"/>
                <w:lang w:val="zh-CN"/>
              </w:rPr>
              <w:t>投标报价</w:t>
            </w:r>
          </w:p>
          <w:p>
            <w:pPr>
              <w:jc w:val="center"/>
              <w:rPr>
                <w:rFonts w:hint="eastAsia" w:ascii="宋体" w:hAnsi="宋体"/>
                <w:color w:val="000000"/>
                <w:szCs w:val="21"/>
                <w:lang w:val="zh-CN"/>
              </w:rPr>
            </w:pPr>
          </w:p>
        </w:tc>
        <w:tc>
          <w:tcPr>
            <w:tcW w:w="6558" w:type="dxa"/>
            <w:vAlign w:val="center"/>
          </w:tcPr>
          <w:p>
            <w:pPr>
              <w:jc w:val="left"/>
              <w:rPr>
                <w:rFonts w:hint="default"/>
                <w:lang w:val="en-US" w:eastAsia="zh-CN"/>
              </w:rPr>
            </w:pPr>
            <w:r>
              <w:rPr>
                <w:rFonts w:hint="eastAsia"/>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hint="eastAsia"/>
                <w:lang w:val="en-US" w:eastAsia="zh-CN"/>
              </w:rPr>
              <w:t>20</w:t>
            </w:r>
          </w:p>
          <w:p>
            <w:pPr>
              <w:jc w:val="left"/>
              <w:rPr>
                <w:rFonts w:hint="eastAsia"/>
                <w:lang w:val="zh-CN"/>
              </w:rPr>
            </w:pPr>
            <w:r>
              <w:rPr>
                <w:rFonts w:hint="eastAsia"/>
                <w:lang w:val="zh-CN"/>
              </w:rPr>
              <w:t>计算按四舍五入法则,保留小数点后两位。</w:t>
            </w:r>
          </w:p>
          <w:p>
            <w:pPr>
              <w:pStyle w:val="2"/>
              <w:ind w:left="0" w:leftChars="0" w:firstLine="0" w:firstLineChars="0"/>
              <w:jc w:val="both"/>
              <w:rPr>
                <w:rFonts w:hint="eastAsia" w:eastAsiaTheme="minorEastAsia"/>
                <w:lang w:val="en-US" w:eastAsia="zh-CN"/>
              </w:rPr>
            </w:pPr>
            <w:r>
              <w:rPr>
                <w:rFonts w:hint="eastAsia" w:ascii="宋体" w:hAnsi="宋体"/>
                <w:color w:val="000000"/>
                <w:szCs w:val="21"/>
                <w:lang w:val="en-US" w:eastAsia="zh-CN"/>
              </w:rPr>
              <w:t>注：根据发改价格〔2009〕2914号文件规定最低计费率50%为投标上限。</w:t>
            </w:r>
          </w:p>
        </w:tc>
        <w:tc>
          <w:tcPr>
            <w:tcW w:w="967" w:type="dxa"/>
            <w:vAlign w:val="center"/>
          </w:tcPr>
          <w:p>
            <w:pPr>
              <w:jc w:val="center"/>
              <w:rPr>
                <w:rFonts w:hint="eastAsia" w:ascii="宋体" w:hAnsi="宋体"/>
                <w:color w:val="000000"/>
                <w:szCs w:val="21"/>
                <w:lang w:val="zh-CN"/>
              </w:rPr>
            </w:pPr>
            <w:r>
              <w:rPr>
                <w:rFonts w:hint="eastAsia" w:ascii="宋体" w:hAnsi="宋体"/>
                <w:color w:val="000000"/>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66" w:type="dxa"/>
            <w:gridSpan w:val="3"/>
            <w:vAlign w:val="center"/>
          </w:tcPr>
          <w:p>
            <w:pPr>
              <w:jc w:val="center"/>
              <w:rPr>
                <w:rFonts w:hint="eastAsia" w:ascii="宋体" w:hAnsi="宋体"/>
                <w:color w:val="000000"/>
                <w:szCs w:val="21"/>
                <w:lang w:val="zh-CN"/>
              </w:rPr>
            </w:pPr>
            <w:r>
              <w:rPr>
                <w:rFonts w:hint="eastAsia" w:ascii="宋体" w:hAnsi="宋体"/>
                <w:color w:val="000000"/>
                <w:szCs w:val="21"/>
                <w:lang w:val="zh-CN"/>
              </w:rPr>
              <w:t>商务部分（满分 60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41" w:type="dxa"/>
            <w:vAlign w:val="center"/>
          </w:tcPr>
          <w:p>
            <w:pPr>
              <w:jc w:val="center"/>
              <w:rPr>
                <w:rFonts w:hint="eastAsia" w:ascii="宋体" w:hAnsi="宋体"/>
                <w:color w:val="000000"/>
                <w:szCs w:val="21"/>
                <w:lang w:val="zh-CN"/>
              </w:rPr>
            </w:pPr>
            <w:r>
              <w:rPr>
                <w:rFonts w:hint="eastAsia" w:ascii="宋体" w:hAnsi="宋体"/>
                <w:color w:val="000000"/>
                <w:szCs w:val="21"/>
                <w:lang w:val="zh-CN"/>
              </w:rPr>
              <w:t>评分</w:t>
            </w:r>
          </w:p>
          <w:p>
            <w:pPr>
              <w:jc w:val="center"/>
              <w:rPr>
                <w:rFonts w:hint="eastAsia" w:ascii="宋体" w:hAnsi="宋体"/>
                <w:color w:val="000000"/>
                <w:szCs w:val="21"/>
                <w:lang w:val="zh-CN"/>
              </w:rPr>
            </w:pPr>
            <w:r>
              <w:rPr>
                <w:rFonts w:hint="eastAsia" w:ascii="宋体" w:hAnsi="宋体"/>
                <w:color w:val="000000"/>
                <w:szCs w:val="21"/>
                <w:lang w:val="zh-CN"/>
              </w:rPr>
              <w:t>因素</w:t>
            </w:r>
          </w:p>
        </w:tc>
        <w:tc>
          <w:tcPr>
            <w:tcW w:w="6558" w:type="dxa"/>
            <w:vAlign w:val="center"/>
          </w:tcPr>
          <w:p>
            <w:pPr>
              <w:jc w:val="center"/>
              <w:rPr>
                <w:rFonts w:hint="eastAsia" w:ascii="宋体" w:hAnsi="宋体"/>
                <w:color w:val="000000"/>
                <w:szCs w:val="21"/>
                <w:lang w:val="zh-CN"/>
              </w:rPr>
            </w:pPr>
            <w:r>
              <w:rPr>
                <w:rFonts w:hint="eastAsia" w:ascii="宋体" w:hAnsi="宋体"/>
                <w:color w:val="000000"/>
                <w:szCs w:val="21"/>
                <w:lang w:val="zh-CN"/>
              </w:rPr>
              <w:t>评标标准</w:t>
            </w:r>
          </w:p>
        </w:tc>
        <w:tc>
          <w:tcPr>
            <w:tcW w:w="967" w:type="dxa"/>
            <w:vAlign w:val="center"/>
          </w:tcPr>
          <w:p>
            <w:pPr>
              <w:jc w:val="center"/>
              <w:rPr>
                <w:rFonts w:hint="eastAsia" w:ascii="宋体" w:hAnsi="宋体"/>
                <w:color w:val="000000"/>
                <w:szCs w:val="21"/>
                <w:lang w:val="zh-CN"/>
              </w:rPr>
            </w:pPr>
            <w:r>
              <w:rPr>
                <w:rFonts w:hint="eastAsia" w:ascii="宋体" w:hAnsi="宋体"/>
                <w:color w:val="000000"/>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441" w:type="dxa"/>
            <w:vAlign w:val="center"/>
          </w:tcPr>
          <w:p>
            <w:pPr>
              <w:jc w:val="center"/>
              <w:rPr>
                <w:rFonts w:hint="eastAsia" w:ascii="宋体" w:hAnsi="宋体"/>
                <w:color w:val="000000"/>
                <w:szCs w:val="21"/>
                <w:lang w:val="zh-CN"/>
              </w:rPr>
            </w:pPr>
            <w:r>
              <w:rPr>
                <w:rFonts w:hint="eastAsia" w:ascii="宋体" w:hAnsi="宋体"/>
                <w:color w:val="000000"/>
                <w:szCs w:val="21"/>
                <w:lang w:val="zh-CN"/>
              </w:rPr>
              <w:t>信誉</w:t>
            </w:r>
          </w:p>
        </w:tc>
        <w:tc>
          <w:tcPr>
            <w:tcW w:w="6558" w:type="dxa"/>
            <w:vAlign w:val="center"/>
          </w:tcPr>
          <w:p>
            <w:pPr>
              <w:jc w:val="left"/>
              <w:rPr>
                <w:rFonts w:hint="eastAsia" w:ascii="宋体" w:hAnsi="宋体"/>
                <w:color w:val="000000"/>
                <w:szCs w:val="21"/>
                <w:lang w:val="zh-CN"/>
              </w:rPr>
            </w:pPr>
            <w:r>
              <w:rPr>
                <w:rFonts w:hint="eastAsia" w:ascii="宋体" w:hAnsi="宋体"/>
                <w:color w:val="000000"/>
                <w:szCs w:val="21"/>
                <w:lang w:val="zh-CN"/>
              </w:rPr>
              <w:t>1、供应商提供2015年1月1日以来注册地市级（不包括县级市）及以上经社会信用体系建设主管部门认可的信用评级机构出具的有效的企业信用报告，等级为AAA级的得6分；AA级的得4分；A级的得2分。【供应商还需在投标文件中提供：河南省信用建设促进会-信用河南网（www.xyhnw.com）或其他省、市信用网上公布的信用等级评级机构名单，截图证明或查询网址。】</w:t>
            </w:r>
          </w:p>
          <w:p>
            <w:pPr>
              <w:jc w:val="left"/>
              <w:rPr>
                <w:rFonts w:hint="eastAsia" w:ascii="宋体" w:hAnsi="宋体"/>
                <w:color w:val="000000"/>
                <w:szCs w:val="21"/>
                <w:lang w:val="zh-CN"/>
              </w:rPr>
            </w:pPr>
            <w:r>
              <w:rPr>
                <w:rFonts w:hint="eastAsia" w:ascii="宋体" w:hAnsi="宋体"/>
                <w:color w:val="000000"/>
                <w:szCs w:val="21"/>
                <w:lang w:val="zh-CN"/>
              </w:rPr>
              <w:t>2、投标人提供有效的ISO9001认证证书和中国认证认可监督管理委员会网站上查询的截图证明，得5分。</w:t>
            </w:r>
          </w:p>
          <w:p>
            <w:pPr>
              <w:jc w:val="left"/>
              <w:rPr>
                <w:rFonts w:hint="eastAsia" w:ascii="宋体" w:hAnsi="宋体"/>
                <w:color w:val="000000"/>
                <w:szCs w:val="21"/>
                <w:lang w:val="zh-CN"/>
              </w:rPr>
            </w:pPr>
            <w:r>
              <w:rPr>
                <w:rFonts w:hint="eastAsia" w:ascii="宋体" w:hAnsi="宋体"/>
                <w:color w:val="000000"/>
                <w:szCs w:val="21"/>
                <w:lang w:val="zh-CN"/>
              </w:rPr>
              <w:t>（评标时需提供以上报告、证书。投标文件中附需提供的原件及材料的扫描件、复印件且加盖投标人印章）</w:t>
            </w:r>
          </w:p>
        </w:tc>
        <w:tc>
          <w:tcPr>
            <w:tcW w:w="967" w:type="dxa"/>
            <w:vAlign w:val="center"/>
          </w:tcPr>
          <w:p>
            <w:pPr>
              <w:jc w:val="center"/>
              <w:rPr>
                <w:rFonts w:hint="eastAsia" w:ascii="宋体" w:hAnsi="宋体"/>
                <w:color w:val="000000"/>
                <w:szCs w:val="21"/>
                <w:lang w:val="zh-CN"/>
              </w:rPr>
            </w:pPr>
            <w:r>
              <w:rPr>
                <w:rFonts w:hint="eastAsia" w:ascii="宋体" w:hAnsi="宋体"/>
                <w:color w:val="000000"/>
                <w:szCs w:val="21"/>
                <w:lang w:val="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1" w:type="dxa"/>
            <w:vAlign w:val="center"/>
          </w:tcPr>
          <w:p>
            <w:pPr>
              <w:jc w:val="center"/>
              <w:rPr>
                <w:rFonts w:hint="eastAsia" w:ascii="宋体" w:hAnsi="宋体"/>
                <w:color w:val="000000"/>
                <w:szCs w:val="21"/>
                <w:lang w:val="zh-CN"/>
              </w:rPr>
            </w:pPr>
            <w:r>
              <w:rPr>
                <w:rFonts w:hint="eastAsia" w:ascii="宋体" w:hAnsi="宋体"/>
                <w:color w:val="000000"/>
                <w:szCs w:val="21"/>
                <w:lang w:val="zh-CN"/>
              </w:rPr>
              <w:t>机构</w:t>
            </w:r>
          </w:p>
          <w:p>
            <w:pPr>
              <w:jc w:val="center"/>
              <w:rPr>
                <w:rFonts w:hint="eastAsia" w:ascii="宋体" w:hAnsi="宋体"/>
                <w:color w:val="000000"/>
                <w:szCs w:val="21"/>
                <w:lang w:val="zh-CN"/>
              </w:rPr>
            </w:pPr>
            <w:r>
              <w:rPr>
                <w:rFonts w:hint="eastAsia" w:ascii="宋体" w:hAnsi="宋体"/>
                <w:color w:val="000000"/>
                <w:szCs w:val="21"/>
                <w:lang w:val="zh-CN"/>
              </w:rPr>
              <w:t>设置</w:t>
            </w:r>
          </w:p>
        </w:tc>
        <w:tc>
          <w:tcPr>
            <w:tcW w:w="6558" w:type="dxa"/>
            <w:vAlign w:val="center"/>
          </w:tcPr>
          <w:p>
            <w:pPr>
              <w:jc w:val="left"/>
              <w:rPr>
                <w:rFonts w:hint="eastAsia" w:ascii="宋体" w:hAnsi="宋体"/>
                <w:color w:val="000000"/>
                <w:szCs w:val="21"/>
                <w:lang w:val="zh-CN"/>
              </w:rPr>
            </w:pPr>
            <w:r>
              <w:rPr>
                <w:rFonts w:hint="eastAsia" w:ascii="宋体" w:hAnsi="宋体"/>
                <w:color w:val="000000"/>
                <w:szCs w:val="21"/>
                <w:lang w:val="zh-CN"/>
              </w:rPr>
              <w:t>评标委员会根据各投标人内部机构设置、权责分工、各个环节等是否设置有相应的机构等比较打分：</w:t>
            </w:r>
          </w:p>
          <w:p>
            <w:pPr>
              <w:jc w:val="left"/>
              <w:rPr>
                <w:rFonts w:hint="eastAsia" w:ascii="宋体" w:hAnsi="宋体"/>
                <w:color w:val="000000"/>
                <w:szCs w:val="21"/>
                <w:lang w:val="zh-CN"/>
              </w:rPr>
            </w:pPr>
            <w:r>
              <w:rPr>
                <w:rFonts w:hint="eastAsia" w:ascii="宋体" w:hAnsi="宋体"/>
                <w:color w:val="000000"/>
                <w:szCs w:val="21"/>
                <w:lang w:val="zh-CN"/>
              </w:rPr>
              <w:t>1、内部机构设置：有规范的法人治理结构和内部管理制度，组织架构设计适当，结构层次科学，组织机构工作程序化、标准化，机构设置科学、合理的，得5分，仅简单描述概括的1分，没有不得分；</w:t>
            </w:r>
          </w:p>
          <w:p>
            <w:pPr>
              <w:jc w:val="left"/>
              <w:rPr>
                <w:rFonts w:hint="eastAsia" w:ascii="宋体" w:hAnsi="宋体"/>
                <w:color w:val="000000"/>
                <w:szCs w:val="21"/>
                <w:lang w:val="zh-CN"/>
              </w:rPr>
            </w:pPr>
            <w:r>
              <w:rPr>
                <w:rFonts w:hint="eastAsia" w:ascii="宋体" w:hAnsi="宋体"/>
                <w:color w:val="000000"/>
                <w:szCs w:val="21"/>
                <w:lang w:val="zh-CN"/>
              </w:rPr>
              <w:t>2、权责分工：对权责分工合理、明确规定高级管理人员、各职能部门和分支机构、以及基层作业单位的职责权限的，得5分，仅简单描述概括的1分，没有不得分；</w:t>
            </w:r>
          </w:p>
          <w:p>
            <w:pPr>
              <w:jc w:val="left"/>
              <w:rPr>
                <w:rFonts w:hint="eastAsia" w:ascii="宋体" w:hAnsi="宋体"/>
                <w:color w:val="000000"/>
                <w:szCs w:val="21"/>
                <w:lang w:val="zh-CN"/>
              </w:rPr>
            </w:pPr>
            <w:r>
              <w:rPr>
                <w:rFonts w:hint="eastAsia" w:ascii="宋体" w:hAnsi="宋体"/>
                <w:color w:val="000000"/>
                <w:szCs w:val="21"/>
                <w:lang w:val="zh-CN"/>
              </w:rPr>
              <w:t>3、各个环节设置的机构健全，工作开展流程，得5分，仅为简单概括描述的得1分，缺少不得分；</w:t>
            </w:r>
          </w:p>
          <w:p>
            <w:pPr>
              <w:jc w:val="left"/>
              <w:rPr>
                <w:rFonts w:hint="eastAsia" w:ascii="宋体" w:hAnsi="宋体"/>
                <w:color w:val="000000"/>
                <w:szCs w:val="21"/>
                <w:lang w:val="zh-CN"/>
              </w:rPr>
            </w:pPr>
            <w:r>
              <w:rPr>
                <w:rFonts w:hint="eastAsia" w:ascii="宋体" w:hAnsi="宋体"/>
                <w:color w:val="000000"/>
                <w:szCs w:val="21"/>
                <w:lang w:val="zh-CN"/>
              </w:rPr>
              <w:t>4、投标人有关机构设置的其他方面补充的，得2分。</w:t>
            </w:r>
          </w:p>
        </w:tc>
        <w:tc>
          <w:tcPr>
            <w:tcW w:w="967" w:type="dxa"/>
            <w:vAlign w:val="center"/>
          </w:tcPr>
          <w:p>
            <w:pPr>
              <w:jc w:val="center"/>
              <w:rPr>
                <w:rFonts w:hint="eastAsia" w:ascii="宋体" w:hAnsi="宋体"/>
                <w:color w:val="000000"/>
                <w:szCs w:val="21"/>
                <w:lang w:val="zh-CN"/>
              </w:rPr>
            </w:pPr>
            <w:r>
              <w:rPr>
                <w:rFonts w:hint="eastAsia" w:ascii="宋体" w:hAnsi="宋体"/>
                <w:color w:val="000000"/>
                <w:szCs w:val="21"/>
                <w:lang w:val="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41" w:type="dxa"/>
            <w:vAlign w:val="center"/>
          </w:tcPr>
          <w:p>
            <w:pPr>
              <w:jc w:val="center"/>
              <w:rPr>
                <w:rFonts w:hint="eastAsia" w:ascii="宋体" w:hAnsi="宋体"/>
                <w:color w:val="000000"/>
                <w:szCs w:val="21"/>
                <w:lang w:val="zh-CN"/>
              </w:rPr>
            </w:pPr>
            <w:r>
              <w:rPr>
                <w:rFonts w:hint="eastAsia" w:ascii="宋体" w:hAnsi="宋体"/>
                <w:color w:val="000000"/>
                <w:szCs w:val="21"/>
                <w:lang w:val="zh-CN"/>
              </w:rPr>
              <w:t>投标人业绩</w:t>
            </w:r>
          </w:p>
        </w:tc>
        <w:tc>
          <w:tcPr>
            <w:tcW w:w="6558" w:type="dxa"/>
            <w:vAlign w:val="center"/>
          </w:tcPr>
          <w:p>
            <w:pPr>
              <w:jc w:val="left"/>
              <w:rPr>
                <w:rFonts w:hint="eastAsia"/>
                <w:lang w:val="zh-CN"/>
              </w:rPr>
            </w:pPr>
            <w:r>
              <w:rPr>
                <w:rFonts w:hint="eastAsia"/>
                <w:lang w:val="zh-CN"/>
              </w:rPr>
              <w:t>2015年1月1日以来承担过委托的资产评估、土地评估、征收补偿、司法鉴定拍卖评估任务，每完成一项（包括同一委托人委托的资产包组合）业务评估标的金额1000万元(含1000万)以上的项目加3分，最多得12分；每完成一项（包括同一委托人委托的资产包组合）业务评估标的金额500万元（含500万）以上的项目加2分，最多得10分；每完成一项（包括同一委托人委托的资产包组合）业务评估标的金额100万元以上至499万的项目加1.5分，最多得12分。同一业绩不重复计分。</w:t>
            </w:r>
          </w:p>
          <w:p>
            <w:pPr>
              <w:jc w:val="left"/>
              <w:rPr>
                <w:rFonts w:hint="eastAsia"/>
                <w:lang w:val="zh-CN"/>
              </w:rPr>
            </w:pPr>
            <w:r>
              <w:rPr>
                <w:rFonts w:hint="eastAsia"/>
                <w:lang w:val="zh-CN"/>
              </w:rPr>
              <w:t>评审时以上投标人业绩时间以合同或评估报告出具的时间为准，需提供委托合同原件或委托方单位签章的能证明其资产评估、土地评估、征收补偿、司法评估任务标的金额、项目名称及出具日期的评估报告原件。电子标书中为原件扫描件，且加盖投标人印章。</w:t>
            </w:r>
          </w:p>
          <w:p>
            <w:pPr>
              <w:pStyle w:val="2"/>
              <w:ind w:left="0" w:leftChars="0" w:firstLine="0" w:firstLineChars="0"/>
              <w:rPr>
                <w:rFonts w:hint="eastAsia"/>
                <w:lang w:val="zh-CN"/>
              </w:rPr>
            </w:pPr>
            <w:r>
              <w:rPr>
                <w:rFonts w:hint="eastAsia"/>
                <w:lang w:val="zh-CN"/>
              </w:rPr>
              <w:t>注：业绩时间以合同或评估报告出具的时间为准；同一个项目不得重复得分。</w:t>
            </w:r>
          </w:p>
        </w:tc>
        <w:tc>
          <w:tcPr>
            <w:tcW w:w="967" w:type="dxa"/>
            <w:vAlign w:val="center"/>
          </w:tcPr>
          <w:p>
            <w:pPr>
              <w:jc w:val="center"/>
              <w:rPr>
                <w:rFonts w:hint="eastAsia" w:ascii="宋体" w:hAnsi="宋体"/>
                <w:color w:val="000000"/>
                <w:szCs w:val="21"/>
                <w:lang w:val="zh-CN"/>
              </w:rPr>
            </w:pPr>
            <w:r>
              <w:rPr>
                <w:rFonts w:hint="eastAsia" w:ascii="宋体" w:hAnsi="宋体"/>
                <w:color w:val="000000"/>
                <w:szCs w:val="21"/>
                <w:lang w:val="zh-CN"/>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color w:val="000000"/>
                <w:szCs w:val="21"/>
                <w:lang w:val="zh-CN"/>
              </w:rPr>
            </w:pPr>
            <w:r>
              <w:rPr>
                <w:rFonts w:hint="eastAsia" w:ascii="宋体" w:hAnsi="宋体"/>
                <w:color w:val="000000"/>
                <w:szCs w:val="21"/>
                <w:lang w:val="zh-CN"/>
              </w:rPr>
              <w:t>技术部分（满分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1" w:type="dxa"/>
            <w:vAlign w:val="center"/>
          </w:tcPr>
          <w:p>
            <w:pPr>
              <w:jc w:val="center"/>
              <w:rPr>
                <w:rFonts w:hint="eastAsia" w:ascii="宋体" w:hAnsi="宋体"/>
                <w:color w:val="000000"/>
                <w:szCs w:val="21"/>
                <w:lang w:val="zh-CN"/>
              </w:rPr>
            </w:pPr>
            <w:r>
              <w:rPr>
                <w:rFonts w:hint="eastAsia" w:ascii="宋体" w:hAnsi="宋体"/>
                <w:color w:val="000000"/>
                <w:szCs w:val="21"/>
                <w:lang w:val="zh-CN"/>
              </w:rPr>
              <w:t>评分</w:t>
            </w:r>
          </w:p>
          <w:p>
            <w:pPr>
              <w:jc w:val="center"/>
              <w:rPr>
                <w:rFonts w:hint="eastAsia" w:ascii="宋体" w:hAnsi="宋体"/>
                <w:color w:val="000000"/>
                <w:szCs w:val="21"/>
                <w:lang w:val="zh-CN"/>
              </w:rPr>
            </w:pPr>
            <w:r>
              <w:rPr>
                <w:rFonts w:hint="eastAsia" w:ascii="宋体" w:hAnsi="宋体"/>
                <w:color w:val="000000"/>
                <w:szCs w:val="21"/>
                <w:lang w:val="zh-CN"/>
              </w:rPr>
              <w:t>因素</w:t>
            </w:r>
          </w:p>
        </w:tc>
        <w:tc>
          <w:tcPr>
            <w:tcW w:w="6558" w:type="dxa"/>
            <w:vAlign w:val="center"/>
          </w:tcPr>
          <w:p>
            <w:pPr>
              <w:jc w:val="center"/>
              <w:rPr>
                <w:rFonts w:hint="eastAsia" w:ascii="宋体" w:hAnsi="宋体"/>
                <w:color w:val="000000"/>
                <w:szCs w:val="21"/>
                <w:lang w:val="zh-CN"/>
              </w:rPr>
            </w:pPr>
            <w:r>
              <w:rPr>
                <w:rFonts w:hint="eastAsia" w:ascii="宋体" w:hAnsi="宋体"/>
                <w:color w:val="000000"/>
                <w:szCs w:val="21"/>
                <w:lang w:val="zh-CN"/>
              </w:rPr>
              <w:t>评标标准</w:t>
            </w:r>
          </w:p>
        </w:tc>
        <w:tc>
          <w:tcPr>
            <w:tcW w:w="967" w:type="dxa"/>
            <w:vAlign w:val="center"/>
          </w:tcPr>
          <w:p>
            <w:pPr>
              <w:jc w:val="center"/>
              <w:rPr>
                <w:rFonts w:hint="eastAsia" w:ascii="宋体" w:hAnsi="宋体"/>
                <w:color w:val="000000"/>
                <w:szCs w:val="21"/>
                <w:lang w:val="zh-CN"/>
              </w:rPr>
            </w:pPr>
            <w:r>
              <w:rPr>
                <w:rFonts w:hint="eastAsia" w:ascii="宋体" w:hAnsi="宋体"/>
                <w:color w:val="000000"/>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1" w:type="dxa"/>
            <w:vAlign w:val="center"/>
          </w:tcPr>
          <w:p>
            <w:pPr>
              <w:jc w:val="center"/>
              <w:rPr>
                <w:rFonts w:hint="eastAsia" w:ascii="宋体" w:hAnsi="宋体"/>
                <w:color w:val="000000"/>
                <w:szCs w:val="21"/>
                <w:lang w:val="zh-CN"/>
              </w:rPr>
            </w:pPr>
            <w:r>
              <w:rPr>
                <w:rFonts w:hint="eastAsia" w:ascii="宋体" w:hAnsi="宋体"/>
                <w:color w:val="000000"/>
                <w:szCs w:val="21"/>
                <w:lang w:val="zh-CN"/>
              </w:rPr>
              <w:t>服务方案</w:t>
            </w:r>
          </w:p>
        </w:tc>
        <w:tc>
          <w:tcPr>
            <w:tcW w:w="6558" w:type="dxa"/>
            <w:vAlign w:val="center"/>
          </w:tcPr>
          <w:p>
            <w:pPr>
              <w:jc w:val="left"/>
              <w:rPr>
                <w:rFonts w:hint="eastAsia" w:ascii="宋体" w:hAnsi="宋体"/>
                <w:color w:val="000000"/>
                <w:szCs w:val="21"/>
                <w:lang w:val="zh-CN"/>
              </w:rPr>
            </w:pPr>
            <w:r>
              <w:rPr>
                <w:rFonts w:hint="eastAsia" w:ascii="宋体" w:hAnsi="宋体"/>
                <w:color w:val="000000"/>
                <w:szCs w:val="21"/>
                <w:lang w:val="zh-CN"/>
              </w:rPr>
              <w:t>评标委员会根据各投标人服务方案的内容是否详实完整可行，至少应包括：质量控制、保障措施、技术档案管理制度、风险控制制度。</w:t>
            </w:r>
          </w:p>
          <w:p>
            <w:pPr>
              <w:jc w:val="left"/>
              <w:rPr>
                <w:rFonts w:hint="eastAsia" w:ascii="宋体" w:hAnsi="宋体"/>
                <w:color w:val="000000"/>
                <w:szCs w:val="21"/>
                <w:lang w:val="zh-CN"/>
              </w:rPr>
            </w:pPr>
            <w:r>
              <w:rPr>
                <w:rFonts w:hint="eastAsia" w:ascii="宋体" w:hAnsi="宋体"/>
                <w:color w:val="000000"/>
                <w:szCs w:val="21"/>
                <w:lang w:val="zh-CN"/>
              </w:rPr>
              <w:t>1、总体服务方案的内容详实完整、实际可行，思路清楚，各服务要求齐全，制定的服务方案能够保证项目的顺利完成，得2分，仅为简单概括描述的得1分，缺少不得分；</w:t>
            </w:r>
          </w:p>
          <w:p>
            <w:pPr>
              <w:jc w:val="left"/>
              <w:rPr>
                <w:rFonts w:hint="eastAsia" w:ascii="宋体" w:hAnsi="宋体"/>
                <w:color w:val="000000"/>
                <w:szCs w:val="21"/>
                <w:lang w:val="zh-CN"/>
              </w:rPr>
            </w:pPr>
            <w:r>
              <w:rPr>
                <w:rFonts w:hint="eastAsia" w:ascii="宋体" w:hAnsi="宋体"/>
                <w:color w:val="000000"/>
                <w:szCs w:val="21"/>
                <w:lang w:val="zh-CN"/>
              </w:rPr>
              <w:t>2、质量控制：针对本项目质量要求，制定出实现质量目标的具体保证措施，并根据工作内容、重点和难点，进行分析并制定出相应的处理方法科学合理得2分，仅为简单概括描述的得1分，缺少不得分；</w:t>
            </w:r>
          </w:p>
          <w:p>
            <w:pPr>
              <w:jc w:val="left"/>
              <w:rPr>
                <w:rFonts w:hint="eastAsia" w:ascii="宋体" w:hAnsi="宋体"/>
                <w:color w:val="000000"/>
                <w:szCs w:val="21"/>
                <w:lang w:val="zh-CN"/>
              </w:rPr>
            </w:pPr>
            <w:r>
              <w:rPr>
                <w:rFonts w:hint="eastAsia" w:ascii="宋体" w:hAnsi="宋体"/>
                <w:color w:val="000000"/>
                <w:szCs w:val="21"/>
                <w:lang w:val="zh-CN"/>
              </w:rPr>
              <w:t>3、服务保障措施：对资产评估工作进度计划措施及编制审核工作流程、工作质量保证措施、时间进度管理措施、组织保障措施科学合理切实可行的，得2分，仅为简单概括描述的得1分，缺少不得分；</w:t>
            </w:r>
          </w:p>
          <w:p>
            <w:pPr>
              <w:jc w:val="left"/>
              <w:rPr>
                <w:rFonts w:hint="eastAsia" w:ascii="宋体" w:hAnsi="宋体"/>
                <w:color w:val="000000"/>
                <w:szCs w:val="21"/>
                <w:lang w:val="zh-CN"/>
              </w:rPr>
            </w:pPr>
            <w:r>
              <w:rPr>
                <w:rFonts w:hint="eastAsia" w:ascii="宋体" w:hAnsi="宋体"/>
                <w:color w:val="000000"/>
                <w:szCs w:val="21"/>
                <w:lang w:val="zh-CN"/>
              </w:rPr>
              <w:t>4、技术档案管理制度：有完善档案的收集、整理、保管、利用和鉴定销毁等管理制度，并采取可靠的安全防护技术和措施，保证档案的真实、完整、可用、安全的管理制度合理完整得2分，仅为简单概括描述的得1分，缺少不得分；</w:t>
            </w:r>
          </w:p>
          <w:p>
            <w:pPr>
              <w:jc w:val="left"/>
              <w:rPr>
                <w:rFonts w:hint="eastAsia" w:ascii="宋体" w:hAnsi="宋体"/>
                <w:color w:val="000000"/>
                <w:szCs w:val="21"/>
                <w:lang w:val="zh-CN"/>
              </w:rPr>
            </w:pPr>
            <w:r>
              <w:rPr>
                <w:rFonts w:hint="eastAsia" w:ascii="宋体" w:hAnsi="宋体"/>
                <w:color w:val="000000"/>
                <w:szCs w:val="21"/>
                <w:lang w:val="zh-CN"/>
              </w:rPr>
              <w:t>5、风险控制制度：对项目风险的识别及应对有详细方案和措施切实可行得2分，仅为简单概括描述的得1分，缺少不得分；</w:t>
            </w:r>
          </w:p>
          <w:p>
            <w:pPr>
              <w:jc w:val="left"/>
              <w:rPr>
                <w:rFonts w:hint="eastAsia" w:ascii="宋体" w:hAnsi="宋体"/>
                <w:color w:val="000000"/>
                <w:szCs w:val="21"/>
                <w:lang w:val="zh-CN"/>
              </w:rPr>
            </w:pPr>
            <w:r>
              <w:rPr>
                <w:rFonts w:hint="eastAsia" w:ascii="宋体" w:hAnsi="宋体"/>
                <w:color w:val="000000"/>
                <w:szCs w:val="21"/>
                <w:lang w:val="zh-CN"/>
              </w:rPr>
              <w:t>6、提供后续服务及其它优化服务方案、违约责任、经济赔偿方案的，得2分，仅为简单概括描述的得1分，缺少不得分。</w:t>
            </w:r>
          </w:p>
        </w:tc>
        <w:tc>
          <w:tcPr>
            <w:tcW w:w="967" w:type="dxa"/>
            <w:vAlign w:val="center"/>
          </w:tcPr>
          <w:p>
            <w:pPr>
              <w:jc w:val="center"/>
              <w:rPr>
                <w:rFonts w:hint="eastAsia" w:ascii="宋体" w:hAnsi="宋体"/>
                <w:color w:val="000000"/>
                <w:szCs w:val="21"/>
                <w:lang w:val="zh-CN"/>
              </w:rPr>
            </w:pPr>
            <w:r>
              <w:rPr>
                <w:rFonts w:hint="eastAsia" w:ascii="宋体" w:hAnsi="宋体"/>
                <w:color w:val="000000"/>
                <w:szCs w:val="21"/>
                <w:lang w:val="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441" w:type="dxa"/>
            <w:vAlign w:val="center"/>
          </w:tcPr>
          <w:p>
            <w:pPr>
              <w:jc w:val="center"/>
              <w:rPr>
                <w:rFonts w:hint="eastAsia" w:ascii="宋体" w:hAnsi="宋体"/>
                <w:color w:val="000000"/>
                <w:szCs w:val="21"/>
                <w:lang w:val="zh-CN"/>
              </w:rPr>
            </w:pPr>
            <w:r>
              <w:rPr>
                <w:rFonts w:hint="eastAsia" w:ascii="宋体" w:hAnsi="宋体"/>
                <w:color w:val="000000"/>
                <w:szCs w:val="21"/>
                <w:lang w:val="zh-CN"/>
              </w:rPr>
              <w:t>技术支持和本地化全方位服务响应</w:t>
            </w:r>
          </w:p>
        </w:tc>
        <w:tc>
          <w:tcPr>
            <w:tcW w:w="6558" w:type="dxa"/>
            <w:vAlign w:val="center"/>
          </w:tcPr>
          <w:p>
            <w:pPr>
              <w:jc w:val="left"/>
              <w:rPr>
                <w:rFonts w:hint="eastAsia" w:ascii="宋体" w:hAnsi="宋体"/>
                <w:color w:val="000000"/>
                <w:szCs w:val="21"/>
                <w:lang w:val="zh-CN"/>
              </w:rPr>
            </w:pPr>
            <w:r>
              <w:rPr>
                <w:rFonts w:hint="eastAsia" w:ascii="宋体" w:hAnsi="宋体"/>
                <w:color w:val="000000"/>
                <w:szCs w:val="21"/>
                <w:lang w:val="zh-CN"/>
              </w:rPr>
              <w:t>投标人在方案中是否承诺，中标并签订服务合同后，能够按照禹州市财政局的要求提供专业人员并保障评估服务时间。在用户提出服务需求后，是否能够及时做出响应迅速到达现场（即响应时间）并有具体措施等进行打分。</w:t>
            </w:r>
          </w:p>
          <w:p>
            <w:pPr>
              <w:jc w:val="left"/>
              <w:rPr>
                <w:rFonts w:hint="eastAsia" w:ascii="宋体" w:hAnsi="宋体"/>
                <w:color w:val="000000"/>
                <w:szCs w:val="21"/>
                <w:lang w:val="zh-CN"/>
              </w:rPr>
            </w:pPr>
            <w:r>
              <w:rPr>
                <w:rFonts w:hint="eastAsia" w:ascii="宋体" w:hAnsi="宋体"/>
                <w:color w:val="000000"/>
                <w:szCs w:val="21"/>
                <w:lang w:val="zh-CN"/>
              </w:rPr>
              <w:t>（“响应时间”是指在项目委托人提出服务需求后，投标人从接到需求做出响应时至到达现场时的时间）</w:t>
            </w:r>
          </w:p>
        </w:tc>
        <w:tc>
          <w:tcPr>
            <w:tcW w:w="967" w:type="dxa"/>
            <w:vAlign w:val="center"/>
          </w:tcPr>
          <w:p>
            <w:pPr>
              <w:jc w:val="center"/>
              <w:rPr>
                <w:rFonts w:hint="eastAsia" w:ascii="宋体" w:hAnsi="宋体"/>
                <w:color w:val="000000"/>
                <w:szCs w:val="21"/>
                <w:lang w:val="zh-CN"/>
              </w:rPr>
            </w:pPr>
            <w:r>
              <w:rPr>
                <w:rFonts w:hint="eastAsia" w:ascii="宋体" w:hAnsi="宋体"/>
                <w:color w:val="000000"/>
                <w:szCs w:val="21"/>
                <w:lang w:val="zh-CN"/>
              </w:rPr>
              <w:t>8分</w:t>
            </w:r>
          </w:p>
        </w:tc>
      </w:tr>
    </w:tbl>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FF0000"/>
                <w:szCs w:val="21"/>
                <w:lang w:val="en-GB"/>
              </w:rPr>
            </w:pPr>
            <w:r>
              <w:rPr>
                <w:rFonts w:hint="eastAsia" w:ascii="宋体" w:hAnsi="宋体"/>
                <w:color w:val="FF0000"/>
                <w:szCs w:val="21"/>
              </w:rPr>
              <w:t>对小型和微型企业产品的价格扣除</w:t>
            </w:r>
            <w:r>
              <w:rPr>
                <w:rFonts w:hint="eastAsia" w:ascii="宋体" w:hAnsi="宋体"/>
                <w:color w:val="FF0000"/>
                <w:szCs w:val="21"/>
                <w:u w:val="single"/>
              </w:rPr>
              <w:t>10</w:t>
            </w:r>
            <w:r>
              <w:rPr>
                <w:rFonts w:hint="eastAsia" w:ascii="宋体" w:hAnsi="宋体"/>
                <w:color w:val="FF0000"/>
                <w:szCs w:val="21"/>
              </w:rPr>
              <w:t>%</w:t>
            </w:r>
          </w:p>
        </w:tc>
        <w:tc>
          <w:tcPr>
            <w:tcW w:w="2835" w:type="dxa"/>
            <w:vMerge w:val="restart"/>
            <w:shd w:val="clear" w:color="auto" w:fill="auto"/>
            <w:vAlign w:val="center"/>
          </w:tcPr>
          <w:p>
            <w:pPr>
              <w:jc w:val="center"/>
              <w:rPr>
                <w:color w:val="FF0000"/>
                <w:szCs w:val="21"/>
                <w:lang w:val="en-GB"/>
              </w:rPr>
            </w:pPr>
            <w:r>
              <w:rPr>
                <w:rFonts w:hint="eastAsia"/>
                <w:color w:val="FF0000"/>
                <w:szCs w:val="21"/>
                <w:lang w:val="en-GB"/>
              </w:rPr>
              <w:t>评标价格＝投标报价—</w:t>
            </w:r>
            <w:r>
              <w:rPr>
                <w:rFonts w:hint="eastAsia"/>
                <w:color w:val="FF0000"/>
                <w:szCs w:val="21"/>
              </w:rPr>
              <w:t>小型和微型企业产品的价格</w:t>
            </w:r>
            <w:r>
              <w:rPr>
                <w:rFonts w:hint="eastAsia" w:ascii="宋体" w:hAnsi="宋体"/>
                <w:color w:val="FF0000"/>
                <w:szCs w:val="21"/>
                <w:lang w:val="en-GB"/>
              </w:rPr>
              <w:t>×</w:t>
            </w:r>
            <w:r>
              <w:rPr>
                <w:rFonts w:hint="eastAsia"/>
                <w:color w:val="FF0000"/>
                <w:szCs w:val="21"/>
                <w:lang w:val="en-GB"/>
              </w:rPr>
              <w:t>10%</w:t>
            </w:r>
          </w:p>
          <w:p>
            <w:pPr>
              <w:jc w:val="center"/>
              <w:rPr>
                <w:rFonts w:ascii="宋体" w:hAnsi="宋体"/>
                <w:b/>
                <w:color w:val="FF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FF0000"/>
                <w:szCs w:val="21"/>
              </w:rPr>
            </w:pPr>
            <w:r>
              <w:rPr>
                <w:rFonts w:hint="eastAsia" w:ascii="宋体" w:hAnsi="宋体"/>
                <w:color w:val="FF0000"/>
                <w:szCs w:val="21"/>
              </w:rPr>
              <w:t>对小型和微型企业产品的价格扣除</w:t>
            </w:r>
            <w:r>
              <w:rPr>
                <w:rFonts w:hint="eastAsia" w:ascii="宋体" w:hAnsi="宋体"/>
                <w:color w:val="FF0000"/>
                <w:szCs w:val="21"/>
                <w:u w:val="single"/>
              </w:rPr>
              <w:t>10</w:t>
            </w:r>
            <w:r>
              <w:rPr>
                <w:rFonts w:hint="eastAsia" w:ascii="宋体" w:hAnsi="宋体"/>
                <w:color w:val="FF0000"/>
                <w:szCs w:val="21"/>
              </w:rPr>
              <w:t>%</w:t>
            </w:r>
          </w:p>
          <w:p>
            <w:pPr>
              <w:jc w:val="center"/>
              <w:rPr>
                <w:rFonts w:ascii="宋体" w:hAnsi="宋体"/>
                <w:b/>
                <w:color w:val="FF0000"/>
                <w:szCs w:val="21"/>
                <w:lang w:val="en-GB"/>
              </w:rPr>
            </w:pPr>
            <w:r>
              <w:rPr>
                <w:rFonts w:hint="eastAsia" w:ascii="宋体" w:hAnsi="宋体"/>
                <w:color w:val="FF0000"/>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2"/>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jc w:val="both"/>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86274126"/>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both"/>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hint="eastAsia" w:asciiTheme="minorEastAsia" w:hAnsiTheme="minorEastAsia" w:eastAsiaTheme="minorEastAsia"/>
          <w:color w:val="000000"/>
          <w:szCs w:val="21"/>
          <w:lang w:eastAsia="zh-CN"/>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w:t>
      </w:r>
      <w:r>
        <w:rPr>
          <w:rFonts w:hint="eastAsia" w:cs="Arial" w:asciiTheme="minorEastAsia" w:hAnsiTheme="minorEastAsia"/>
          <w:szCs w:val="21"/>
          <w:lang w:val="en-US" w:eastAsia="zh-CN"/>
        </w:rPr>
        <w:t>%</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2、投标报价为投标人中标后的</w:t>
      </w:r>
      <w:bookmarkStart w:id="12" w:name="_GoBack"/>
      <w:bookmarkEnd w:id="12"/>
      <w:r>
        <w:rPr>
          <w:rFonts w:hint="eastAsia" w:cs="宋体" w:asciiTheme="minorEastAsia" w:hAnsiTheme="minorEastAsia"/>
          <w:szCs w:val="21"/>
          <w:lang w:val="en-US" w:eastAsia="zh-CN"/>
        </w:rPr>
        <w:t>服务收费费率。</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val="en-US" w:eastAsia="zh-CN"/>
        </w:rPr>
        <w:t>禹州</w:t>
      </w:r>
      <w:r>
        <w:rPr>
          <w:rFonts w:hint="eastAsia" w:asciiTheme="minorEastAsia" w:hAnsiTheme="minorEastAsia"/>
          <w:snapToGrid w:val="0"/>
          <w:kern w:val="0"/>
          <w:szCs w:val="21"/>
        </w:rPr>
        <w:t>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1"/>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1"/>
        <w:spacing w:line="480" w:lineRule="auto"/>
        <w:ind w:firstLine="472" w:firstLineChars="225"/>
        <w:jc w:val="left"/>
        <w:rPr>
          <w:rFonts w:asciiTheme="minorEastAsia" w:hAnsiTheme="minorEastAsia"/>
          <w:color w:val="000000"/>
          <w:sz w:val="21"/>
          <w:szCs w:val="21"/>
        </w:rPr>
      </w:pPr>
    </w:p>
    <w:p>
      <w:pPr>
        <w:pStyle w:val="4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en-US" w:eastAsia="zh-CN"/>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DFA27FF2"/>
    <w:multiLevelType w:val="singleLevel"/>
    <w:tmpl w:val="DFA27FF2"/>
    <w:lvl w:ilvl="0" w:tentative="0">
      <w:start w:val="3"/>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9F817C2"/>
    <w:multiLevelType w:val="singleLevel"/>
    <w:tmpl w:val="59F817C2"/>
    <w:lvl w:ilvl="0" w:tentative="0">
      <w:start w:val="2"/>
      <w:numFmt w:val="chineseCounting"/>
      <w:suff w:val="space"/>
      <w:lvlText w:val="第%1章"/>
      <w:lvlJc w:val="left"/>
    </w:lvl>
  </w:abstractNum>
  <w:abstractNum w:abstractNumId="37">
    <w:nsid w:val="59F817E8"/>
    <w:multiLevelType w:val="singleLevel"/>
    <w:tmpl w:val="59F817E8"/>
    <w:lvl w:ilvl="0" w:tentative="0">
      <w:start w:val="1"/>
      <w:numFmt w:val="chineseCounting"/>
      <w:pStyle w:val="50"/>
      <w:suff w:val="nothing"/>
      <w:lvlText w:val="%1、"/>
      <w:lvlJc w:val="left"/>
    </w:lvl>
  </w:abstractNum>
  <w:abstractNum w:abstractNumId="38">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633C1CA"/>
    <w:multiLevelType w:val="singleLevel"/>
    <w:tmpl w:val="6633C1CA"/>
    <w:lvl w:ilvl="0" w:tentative="0">
      <w:start w:val="2"/>
      <w:numFmt w:val="decimal"/>
      <w:suff w:val="nothing"/>
      <w:lvlText w:val="%1、"/>
      <w:lvlJc w:val="left"/>
    </w:lvl>
  </w:abstractNum>
  <w:abstractNum w:abstractNumId="47">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8">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37"/>
  </w:num>
  <w:num w:numId="4">
    <w:abstractNumId w:val="0"/>
  </w:num>
  <w:num w:numId="5">
    <w:abstractNumId w:val="36"/>
  </w:num>
  <w:num w:numId="6">
    <w:abstractNumId w:val="46"/>
  </w:num>
  <w:num w:numId="7">
    <w:abstractNumId w:val="1"/>
  </w:num>
  <w:num w:numId="8">
    <w:abstractNumId w:val="24"/>
  </w:num>
  <w:num w:numId="9">
    <w:abstractNumId w:val="49"/>
  </w:num>
  <w:num w:numId="10">
    <w:abstractNumId w:val="28"/>
  </w:num>
  <w:num w:numId="11">
    <w:abstractNumId w:val="30"/>
  </w:num>
  <w:num w:numId="12">
    <w:abstractNumId w:val="45"/>
  </w:num>
  <w:num w:numId="13">
    <w:abstractNumId w:val="16"/>
  </w:num>
  <w:num w:numId="14">
    <w:abstractNumId w:val="18"/>
  </w:num>
  <w:num w:numId="15">
    <w:abstractNumId w:val="59"/>
  </w:num>
  <w:num w:numId="16">
    <w:abstractNumId w:val="42"/>
  </w:num>
  <w:num w:numId="17">
    <w:abstractNumId w:val="57"/>
  </w:num>
  <w:num w:numId="18">
    <w:abstractNumId w:val="9"/>
  </w:num>
  <w:num w:numId="19">
    <w:abstractNumId w:val="11"/>
  </w:num>
  <w:num w:numId="20">
    <w:abstractNumId w:val="40"/>
  </w:num>
  <w:num w:numId="21">
    <w:abstractNumId w:val="26"/>
  </w:num>
  <w:num w:numId="22">
    <w:abstractNumId w:val="38"/>
  </w:num>
  <w:num w:numId="23">
    <w:abstractNumId w:val="48"/>
  </w:num>
  <w:num w:numId="24">
    <w:abstractNumId w:val="31"/>
  </w:num>
  <w:num w:numId="25">
    <w:abstractNumId w:val="27"/>
  </w:num>
  <w:num w:numId="26">
    <w:abstractNumId w:val="6"/>
  </w:num>
  <w:num w:numId="27">
    <w:abstractNumId w:val="21"/>
  </w:num>
  <w:num w:numId="28">
    <w:abstractNumId w:val="20"/>
  </w:num>
  <w:num w:numId="29">
    <w:abstractNumId w:val="56"/>
  </w:num>
  <w:num w:numId="30">
    <w:abstractNumId w:val="50"/>
  </w:num>
  <w:num w:numId="31">
    <w:abstractNumId w:val="44"/>
  </w:num>
  <w:num w:numId="32">
    <w:abstractNumId w:val="52"/>
  </w:num>
  <w:num w:numId="33">
    <w:abstractNumId w:val="35"/>
  </w:num>
  <w:num w:numId="34">
    <w:abstractNumId w:val="12"/>
  </w:num>
  <w:num w:numId="35">
    <w:abstractNumId w:val="23"/>
  </w:num>
  <w:num w:numId="36">
    <w:abstractNumId w:val="55"/>
  </w:num>
  <w:num w:numId="37">
    <w:abstractNumId w:val="22"/>
  </w:num>
  <w:num w:numId="38">
    <w:abstractNumId w:val="25"/>
  </w:num>
  <w:num w:numId="39">
    <w:abstractNumId w:val="7"/>
  </w:num>
  <w:num w:numId="40">
    <w:abstractNumId w:val="17"/>
  </w:num>
  <w:num w:numId="41">
    <w:abstractNumId w:val="43"/>
  </w:num>
  <w:num w:numId="42">
    <w:abstractNumId w:val="33"/>
  </w:num>
  <w:num w:numId="43">
    <w:abstractNumId w:val="58"/>
  </w:num>
  <w:num w:numId="44">
    <w:abstractNumId w:val="60"/>
  </w:num>
  <w:num w:numId="45">
    <w:abstractNumId w:val="19"/>
  </w:num>
  <w:num w:numId="46">
    <w:abstractNumId w:val="13"/>
  </w:num>
  <w:num w:numId="47">
    <w:abstractNumId w:val="34"/>
  </w:num>
  <w:num w:numId="48">
    <w:abstractNumId w:val="53"/>
  </w:num>
  <w:num w:numId="49">
    <w:abstractNumId w:val="51"/>
  </w:num>
  <w:num w:numId="50">
    <w:abstractNumId w:val="41"/>
  </w:num>
  <w:num w:numId="51">
    <w:abstractNumId w:val="5"/>
  </w:num>
  <w:num w:numId="52">
    <w:abstractNumId w:val="54"/>
  </w:num>
  <w:num w:numId="53">
    <w:abstractNumId w:val="15"/>
  </w:num>
  <w:num w:numId="54">
    <w:abstractNumId w:val="4"/>
  </w:num>
  <w:num w:numId="55">
    <w:abstractNumId w:val="39"/>
  </w:num>
  <w:num w:numId="56">
    <w:abstractNumId w:val="14"/>
  </w:num>
  <w:num w:numId="57">
    <w:abstractNumId w:val="8"/>
  </w:num>
  <w:num w:numId="58">
    <w:abstractNumId w:val="47"/>
  </w:num>
  <w:num w:numId="59">
    <w:abstractNumId w:val="32"/>
  </w:num>
  <w:num w:numId="60">
    <w:abstractNumId w:val="29"/>
  </w:num>
  <w:num w:numId="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4B536B0"/>
    <w:rsid w:val="07291F8F"/>
    <w:rsid w:val="091F5496"/>
    <w:rsid w:val="096B55F2"/>
    <w:rsid w:val="0ABA3A82"/>
    <w:rsid w:val="0C0C43B3"/>
    <w:rsid w:val="0C84298E"/>
    <w:rsid w:val="0D472878"/>
    <w:rsid w:val="0FD16A2D"/>
    <w:rsid w:val="13CD6C7C"/>
    <w:rsid w:val="156F0174"/>
    <w:rsid w:val="19703EDA"/>
    <w:rsid w:val="1C304AD0"/>
    <w:rsid w:val="26766A30"/>
    <w:rsid w:val="2BB27A8A"/>
    <w:rsid w:val="344F3478"/>
    <w:rsid w:val="37CC6881"/>
    <w:rsid w:val="384F6D8D"/>
    <w:rsid w:val="38A3480A"/>
    <w:rsid w:val="393B0401"/>
    <w:rsid w:val="3A5917D4"/>
    <w:rsid w:val="3B4B178D"/>
    <w:rsid w:val="3BEE5D66"/>
    <w:rsid w:val="3C4B0E70"/>
    <w:rsid w:val="3CA53C4D"/>
    <w:rsid w:val="3DC24271"/>
    <w:rsid w:val="3EDA51CB"/>
    <w:rsid w:val="42B57E53"/>
    <w:rsid w:val="43520359"/>
    <w:rsid w:val="484057AE"/>
    <w:rsid w:val="48A4337C"/>
    <w:rsid w:val="496D648B"/>
    <w:rsid w:val="4B9D3CA0"/>
    <w:rsid w:val="4BD8452D"/>
    <w:rsid w:val="4E0E7C0A"/>
    <w:rsid w:val="4ED60D41"/>
    <w:rsid w:val="4EE8449A"/>
    <w:rsid w:val="50345020"/>
    <w:rsid w:val="526D4588"/>
    <w:rsid w:val="52AC5C88"/>
    <w:rsid w:val="543C203B"/>
    <w:rsid w:val="56E61EE4"/>
    <w:rsid w:val="57372FF6"/>
    <w:rsid w:val="576B28B1"/>
    <w:rsid w:val="5BA64CE7"/>
    <w:rsid w:val="5C085522"/>
    <w:rsid w:val="5E591922"/>
    <w:rsid w:val="5EEF4844"/>
    <w:rsid w:val="5FEC7A38"/>
    <w:rsid w:val="63D13E41"/>
    <w:rsid w:val="66C02337"/>
    <w:rsid w:val="6ACE1BDF"/>
    <w:rsid w:val="6D9269EF"/>
    <w:rsid w:val="71794DF5"/>
    <w:rsid w:val="73370906"/>
    <w:rsid w:val="735206BD"/>
    <w:rsid w:val="753A57F2"/>
    <w:rsid w:val="7895749D"/>
    <w:rsid w:val="78D20391"/>
    <w:rsid w:val="7A960213"/>
    <w:rsid w:val="7ABB1F4B"/>
    <w:rsid w:val="7C0461C8"/>
    <w:rsid w:val="7C31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footnote text"/>
    <w:semiHidden/>
    <w:qFormat/>
    <w:uiPriority w:val="99"/>
    <w:pPr>
      <w:widowControl w:val="0"/>
      <w:snapToGrid w:val="0"/>
      <w:jc w:val="left"/>
    </w:pPr>
    <w:rPr>
      <w:rFonts w:ascii="Book Antiqua" w:hAnsi="Book Antiqua" w:eastAsia="宋体" w:cs="Times New Roman"/>
      <w:kern w:val="2"/>
      <w:sz w:val="18"/>
      <w:szCs w:val="18"/>
      <w:lang w:val="en-US" w:eastAsia="zh-CN" w:bidi="ar-SA"/>
    </w:r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qFormat/>
    <w:uiPriority w:val="99"/>
    <w:rPr>
      <w:color w:val="0000FF"/>
      <w:u w:val="single"/>
    </w:rPr>
  </w:style>
  <w:style w:type="character" w:customStyle="1" w:styleId="29">
    <w:name w:val="标题 1 Char"/>
    <w:basedOn w:val="25"/>
    <w:link w:val="3"/>
    <w:qFormat/>
    <w:uiPriority w:val="0"/>
    <w:rPr>
      <w:rFonts w:ascii="Calibri" w:hAnsi="Calibri" w:eastAsia="宋体" w:cs="Times New Roman"/>
      <w:b/>
      <w:bCs/>
      <w:kern w:val="44"/>
      <w:sz w:val="44"/>
      <w:szCs w:val="44"/>
    </w:rPr>
  </w:style>
  <w:style w:type="character" w:customStyle="1" w:styleId="30">
    <w:name w:val="标题 2 Char"/>
    <w:basedOn w:val="25"/>
    <w:link w:val="4"/>
    <w:qFormat/>
    <w:uiPriority w:val="0"/>
    <w:rPr>
      <w:rFonts w:ascii="Arial" w:hAnsi="Arial" w:eastAsia="黑体" w:cs="Times New Roman"/>
      <w:b/>
      <w:bCs/>
      <w:kern w:val="0"/>
      <w:sz w:val="32"/>
      <w:szCs w:val="32"/>
    </w:rPr>
  </w:style>
  <w:style w:type="character" w:customStyle="1" w:styleId="31">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6"/>
    <w:qFormat/>
    <w:uiPriority w:val="0"/>
    <w:rPr>
      <w:rFonts w:ascii="Arial" w:hAnsi="Arial" w:eastAsia="黑体" w:cs="Times New Roman"/>
      <w:b/>
      <w:bCs/>
      <w:kern w:val="0"/>
      <w:sz w:val="28"/>
      <w:szCs w:val="28"/>
    </w:rPr>
  </w:style>
  <w:style w:type="character" w:customStyle="1" w:styleId="33">
    <w:name w:val="纯文本 Char"/>
    <w:basedOn w:val="25"/>
    <w:link w:val="14"/>
    <w:qFormat/>
    <w:uiPriority w:val="0"/>
    <w:rPr>
      <w:rFonts w:eastAsia="宋体"/>
      <w:sz w:val="24"/>
    </w:rPr>
  </w:style>
  <w:style w:type="character" w:customStyle="1" w:styleId="34">
    <w:name w:val="日期 Char"/>
    <w:basedOn w:val="25"/>
    <w:link w:val="15"/>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5"/>
    <w:link w:val="9"/>
    <w:qFormat/>
    <w:uiPriority w:val="0"/>
    <w:rPr>
      <w:rFonts w:ascii="Times New Roman" w:hAnsi="Times New Roman" w:eastAsia="宋体" w:cs="Times New Roman"/>
      <w:color w:val="FF0000"/>
      <w:sz w:val="24"/>
      <w:szCs w:val="24"/>
    </w:rPr>
  </w:style>
  <w:style w:type="character" w:customStyle="1" w:styleId="48">
    <w:name w:val="edittexttarea"/>
    <w:basedOn w:val="25"/>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5"/>
    <w:link w:val="10"/>
    <w:semiHidden/>
    <w:qFormat/>
    <w:uiPriority w:val="99"/>
  </w:style>
  <w:style w:type="character" w:customStyle="1" w:styleId="52">
    <w:name w:val="正文首行缩进 Char"/>
    <w:basedOn w:val="51"/>
    <w:link w:val="23"/>
    <w:qFormat/>
    <w:uiPriority w:val="0"/>
    <w:rPr>
      <w:rFonts w:ascii="宋体" w:hAnsi="Times New Roman" w:eastAsia="宋体" w:cs="Times New Roman"/>
      <w:kern w:val="0"/>
      <w:sz w:val="34"/>
      <w:szCs w:val="20"/>
    </w:rPr>
  </w:style>
  <w:style w:type="character" w:customStyle="1" w:styleId="53">
    <w:name w:val="HTML 预设格式 Char"/>
    <w:basedOn w:val="25"/>
    <w:link w:val="21"/>
    <w:semiHidden/>
    <w:qFormat/>
    <w:uiPriority w:val="99"/>
    <w:rPr>
      <w:rFonts w:ascii="宋体" w:hAnsi="宋体" w:eastAsia="宋体" w:cs="宋体"/>
      <w:kern w:val="0"/>
      <w:sz w:val="24"/>
      <w:szCs w:val="24"/>
    </w:rPr>
  </w:style>
  <w:style w:type="character" w:customStyle="1" w:styleId="54">
    <w:name w:val="HTML 预设格式 Char1"/>
    <w:basedOn w:val="25"/>
    <w:link w:val="21"/>
    <w:semiHidden/>
    <w:qFormat/>
    <w:uiPriority w:val="99"/>
    <w:rPr>
      <w:rFonts w:ascii="Courier New" w:hAnsi="Courier New" w:cs="Courier New"/>
      <w:sz w:val="20"/>
      <w:szCs w:val="20"/>
    </w:rPr>
  </w:style>
  <w:style w:type="character" w:customStyle="1" w:styleId="55">
    <w:name w:val="正文文本缩进 Char"/>
    <w:link w:val="11"/>
    <w:qFormat/>
    <w:uiPriority w:val="0"/>
    <w:rPr>
      <w:sz w:val="24"/>
    </w:rPr>
  </w:style>
  <w:style w:type="character" w:customStyle="1" w:styleId="56">
    <w:name w:val="正文文本缩进 Char1"/>
    <w:basedOn w:val="25"/>
    <w:link w:val="11"/>
    <w:semiHidden/>
    <w:qFormat/>
    <w:uiPriority w:val="99"/>
  </w:style>
  <w:style w:type="character" w:customStyle="1" w:styleId="57">
    <w:name w:val="批注框文本 Char"/>
    <w:basedOn w:val="25"/>
    <w:link w:val="16"/>
    <w:semiHidden/>
    <w:qFormat/>
    <w:uiPriority w:val="99"/>
    <w:rPr>
      <w:sz w:val="18"/>
      <w:szCs w:val="18"/>
    </w:rPr>
  </w:style>
  <w:style w:type="character" w:customStyle="1" w:styleId="58">
    <w:name w:val="批注框文本 Char1"/>
    <w:basedOn w:val="25"/>
    <w:link w:val="16"/>
    <w:semiHidden/>
    <w:qFormat/>
    <w:uiPriority w:val="99"/>
    <w:rPr>
      <w:sz w:val="18"/>
      <w:szCs w:val="18"/>
    </w:rPr>
  </w:style>
  <w:style w:type="paragraph" w:customStyle="1" w:styleId="59">
    <w:name w:val="style4"/>
    <w:basedOn w:val="1"/>
    <w:next w:val="60"/>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60">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11</TotalTime>
  <ScaleCrop>false</ScaleCrop>
  <LinksUpToDate>false</LinksUpToDate>
  <CharactersWithSpaces>38762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禹州市公共资源交易中心:艾明辉</cp:lastModifiedBy>
  <cp:lastPrinted>2020-03-05T02:20:00Z</cp:lastPrinted>
  <dcterms:modified xsi:type="dcterms:W3CDTF">2020-05-21T03:29:53Z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