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160" w:firstLineChars="300"/>
        <w:jc w:val="both"/>
        <w:rPr>
          <w:rFonts w:ascii="仿宋" w:hAnsi="仿宋" w:eastAsia="仿宋" w:cs="仿宋"/>
          <w:b/>
          <w:bCs/>
          <w:sz w:val="72"/>
          <w:szCs w:val="72"/>
        </w:rPr>
      </w:pPr>
      <w:r>
        <w:rPr>
          <w:rFonts w:hint="eastAsia" w:ascii="仿宋" w:hAnsi="仿宋" w:eastAsia="仿宋" w:cs="仿宋"/>
          <w:b/>
          <w:bCs/>
          <w:sz w:val="72"/>
          <w:szCs w:val="72"/>
        </w:rPr>
        <w:t>建安区建设工程</w:t>
      </w:r>
    </w:p>
    <w:p>
      <w:pPr>
        <w:rPr>
          <w:rFonts w:ascii="仿宋" w:hAnsi="仿宋" w:eastAsia="仿宋" w:cs="仿宋"/>
          <w:b/>
          <w:bCs/>
          <w:sz w:val="84"/>
          <w:szCs w:val="84"/>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招标文件</w:t>
      </w:r>
    </w:p>
    <w:p>
      <w:pPr>
        <w:pStyle w:val="2"/>
        <w:rPr>
          <w:rFonts w:hint="eastAsia" w:ascii="仿宋" w:hAnsi="仿宋" w:eastAsia="仿宋" w:cs="仿宋"/>
          <w:b/>
          <w:bCs/>
          <w:sz w:val="72"/>
          <w:szCs w:val="72"/>
        </w:rPr>
      </w:pPr>
    </w:p>
    <w:p>
      <w:pPr>
        <w:pStyle w:val="4"/>
        <w:rPr>
          <w:rFonts w:hint="default" w:eastAsia="宋体"/>
          <w:lang w:val="en-US" w:eastAsia="zh-CN"/>
        </w:rPr>
      </w:pPr>
      <w:r>
        <w:rPr>
          <w:rFonts w:hint="eastAsia"/>
          <w:lang w:val="en-US" w:eastAsia="zh-CN"/>
        </w:rPr>
        <w:t xml:space="preserve">                                                                                                                                                     </w:t>
      </w:r>
    </w:p>
    <w:p>
      <w:pPr>
        <w:rPr>
          <w:rFonts w:ascii="仿宋" w:hAnsi="仿宋" w:eastAsia="仿宋" w:cs="仿宋"/>
          <w:sz w:val="44"/>
          <w:szCs w:val="44"/>
        </w:rPr>
      </w:pPr>
      <w:r>
        <w:rPr>
          <w:rFonts w:hint="eastAsia" w:ascii="仿宋" w:hAnsi="仿宋" w:eastAsia="仿宋" w:cs="仿宋"/>
          <w:b/>
          <w:bCs/>
          <w:sz w:val="44"/>
          <w:szCs w:val="44"/>
          <w:lang w:val="en-US" w:eastAsia="zh-CN"/>
        </w:rPr>
        <w:t xml:space="preserve">             </w:t>
      </w:r>
      <w:r>
        <w:rPr>
          <w:rFonts w:hint="eastAsia" w:ascii="仿宋" w:hAnsi="仿宋" w:eastAsia="仿宋" w:cs="仿宋"/>
          <w:sz w:val="44"/>
          <w:szCs w:val="44"/>
          <w:lang w:eastAsia="zh-CN"/>
        </w:rPr>
        <w:drawing>
          <wp:inline distT="0" distB="0" distL="114300" distR="114300">
            <wp:extent cx="2273300" cy="2216150"/>
            <wp:effectExtent l="0" t="0" r="12700" b="1270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273300" cy="2216150"/>
                    </a:xfrm>
                    <a:prstGeom prst="rect">
                      <a:avLst/>
                    </a:prstGeom>
                  </pic:spPr>
                </pic:pic>
              </a:graphicData>
            </a:graphic>
          </wp:inline>
        </w:drawing>
      </w:r>
    </w:p>
    <w:p>
      <w:pPr>
        <w:pStyle w:val="2"/>
        <w:ind w:firstLine="210"/>
      </w:pPr>
    </w:p>
    <w:p>
      <w:pPr>
        <w:pStyle w:val="2"/>
        <w:ind w:left="0" w:leftChars="0" w:firstLine="0" w:firstLineChars="0"/>
      </w:pPr>
    </w:p>
    <w:p/>
    <w:p>
      <w:pPr>
        <w:spacing w:line="360" w:lineRule="auto"/>
        <w:jc w:val="left"/>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建安建工公字〔2020〕</w:t>
      </w:r>
      <w:r>
        <w:rPr>
          <w:rFonts w:hint="eastAsia" w:ascii="仿宋" w:hAnsi="仿宋" w:eastAsia="仿宋" w:cs="仿宋"/>
          <w:b/>
          <w:bCs/>
          <w:sz w:val="32"/>
          <w:szCs w:val="32"/>
          <w:lang w:val="en-US" w:eastAsia="zh-CN"/>
        </w:rPr>
        <w:t>67</w:t>
      </w:r>
      <w:r>
        <w:rPr>
          <w:rFonts w:hint="eastAsia" w:ascii="仿宋" w:hAnsi="仿宋" w:eastAsia="仿宋" w:cs="仿宋"/>
          <w:b/>
          <w:bCs/>
          <w:sz w:val="32"/>
          <w:szCs w:val="32"/>
          <w:lang w:eastAsia="zh-CN"/>
        </w:rPr>
        <w:t>号</w:t>
      </w:r>
    </w:p>
    <w:p>
      <w:pPr>
        <w:spacing w:line="360" w:lineRule="auto"/>
        <w:jc w:val="left"/>
        <w:rPr>
          <w:rFonts w:hint="eastAsia" w:ascii="仿宋" w:hAnsi="仿宋" w:eastAsia="仿宋" w:cs="仿宋"/>
          <w:b/>
          <w:bCs/>
          <w:sz w:val="32"/>
          <w:szCs w:val="32"/>
          <w:lang w:eastAsia="zh-CN"/>
        </w:rPr>
      </w:pPr>
      <w:r>
        <w:rPr>
          <w:rFonts w:hint="eastAsia" w:ascii="仿宋" w:hAnsi="仿宋" w:eastAsia="仿宋" w:cs="仿宋"/>
          <w:b/>
          <w:bCs/>
          <w:sz w:val="32"/>
          <w:szCs w:val="32"/>
        </w:rPr>
        <w:t>项目名称：</w:t>
      </w:r>
      <w:r>
        <w:rPr>
          <w:rFonts w:hint="eastAsia" w:ascii="仿宋" w:hAnsi="仿宋" w:eastAsia="仿宋" w:cs="仿宋"/>
          <w:b/>
          <w:bCs/>
          <w:sz w:val="32"/>
          <w:szCs w:val="32"/>
          <w:lang w:eastAsia="zh-CN"/>
        </w:rPr>
        <w:t>许昌市建安区新增农村饮水安全水厂水源井项目</w:t>
      </w:r>
    </w:p>
    <w:p>
      <w:pPr>
        <w:spacing w:line="360" w:lineRule="auto"/>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招标人：</w:t>
      </w:r>
      <w:r>
        <w:rPr>
          <w:rFonts w:hint="eastAsia" w:ascii="仿宋" w:hAnsi="仿宋" w:eastAsia="仿宋" w:cs="仿宋"/>
          <w:b/>
          <w:bCs/>
          <w:sz w:val="32"/>
          <w:szCs w:val="32"/>
          <w:lang w:eastAsia="zh-CN"/>
        </w:rPr>
        <w:t>许昌市建安区农村饮水安全项目建设管理局</w:t>
      </w: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代理机构：</w:t>
      </w:r>
      <w:r>
        <w:rPr>
          <w:rFonts w:hint="eastAsia" w:ascii="仿宋" w:hAnsi="仿宋" w:eastAsia="仿宋" w:cs="仿宋"/>
          <w:b/>
          <w:bCs/>
          <w:sz w:val="32"/>
          <w:szCs w:val="32"/>
          <w:lang w:val="zh-CN"/>
        </w:rPr>
        <w:t>北京东方华太工程咨询有限公司</w:t>
      </w:r>
    </w:p>
    <w:p>
      <w:pPr>
        <w:spacing w:line="580" w:lineRule="exact"/>
        <w:ind w:firstLine="2880" w:firstLineChars="900"/>
        <w:jc w:val="left"/>
        <w:rPr>
          <w:rFonts w:ascii="黑体" w:hAnsi="宋体" w:eastAsia="黑体"/>
          <w:b/>
          <w:bCs/>
          <w:sz w:val="32"/>
          <w:szCs w:val="32"/>
        </w:rPr>
      </w:pPr>
      <w:r>
        <w:rPr>
          <w:rFonts w:hint="eastAsia" w:ascii="仿宋" w:hAnsi="仿宋" w:eastAsia="仿宋" w:cs="仿宋"/>
          <w:b/>
          <w:bCs/>
          <w:sz w:val="32"/>
          <w:szCs w:val="32"/>
        </w:rPr>
        <w:t>二〇二〇年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p>
    <w:p>
      <w:pPr>
        <w:jc w:val="center"/>
        <w:rPr>
          <w:rFonts w:hint="eastAsia" w:ascii="黑体" w:hAnsi="宋体" w:eastAsia="黑体"/>
          <w:b/>
          <w:sz w:val="44"/>
        </w:rPr>
      </w:pPr>
    </w:p>
    <w:p>
      <w:pPr>
        <w:jc w:val="cente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48"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0" w:firstLineChars="200"/>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ind w:firstLine="560" w:firstLineChars="200"/>
        <w:rPr>
          <w:rFonts w:ascii="宋体" w:hAnsi="宋体"/>
          <w:b/>
          <w:sz w:val="32"/>
        </w:rPr>
      </w:pPr>
      <w:r>
        <w:rPr>
          <w:rFonts w:hint="eastAsia" w:ascii="黑体" w:hAnsi="宋体" w:eastAsia="黑体"/>
          <w:b/>
          <w:sz w:val="28"/>
        </w:rPr>
        <w:t>第八章  投标文件格式</w:t>
      </w:r>
      <w:r>
        <w:rPr>
          <w:rFonts w:hint="eastAsia" w:ascii="仿宋" w:hAnsi="仿宋" w:eastAsia="仿宋" w:cs="仿宋"/>
          <w:bCs/>
          <w:sz w:val="28"/>
        </w:rPr>
        <w:t>--------------------------------</w:t>
      </w:r>
      <w:r>
        <w:rPr>
          <w:rFonts w:hint="eastAsia" w:ascii="仿宋" w:hAnsi="仿宋" w:eastAsia="仿宋" w:cs="仿宋"/>
          <w:bCs/>
          <w:sz w:val="28"/>
        </w:rPr>
        <w:tab/>
      </w:r>
    </w:p>
    <w:p>
      <w:pPr>
        <w:tabs>
          <w:tab w:val="left" w:leader="hyphen" w:pos="7919"/>
        </w:tabs>
        <w:snapToGrid w:val="0"/>
        <w:spacing w:line="480" w:lineRule="auto"/>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2"/>
        <w:ind w:firstLine="321"/>
        <w:rPr>
          <w:rFonts w:ascii="黑体" w:hAnsi="宋体" w:eastAsia="黑体"/>
          <w:b/>
          <w:sz w:val="32"/>
        </w:rPr>
      </w:pPr>
    </w:p>
    <w:p>
      <w:pPr>
        <w:pStyle w:val="34"/>
        <w:widowControl/>
        <w:numPr>
          <w:ilvl w:val="0"/>
          <w:numId w:val="1"/>
        </w:numPr>
        <w:shd w:val="clear" w:color="060000" w:fill="auto"/>
        <w:spacing w:before="0" w:beforeAutospacing="0" w:after="0" w:afterAutospacing="0" w:line="288" w:lineRule="auto"/>
        <w:jc w:val="center"/>
        <w:outlineLvl w:val="0"/>
        <w:rPr>
          <w:rFonts w:hint="eastAsia" w:hAnsi="宋体" w:cs="黑体" w:asciiTheme="minorHAnsi" w:eastAsiaTheme="minorEastAsia"/>
          <w:b/>
          <w:kern w:val="2"/>
          <w:sz w:val="36"/>
          <w:szCs w:val="36"/>
          <w:lang w:val="en-US" w:eastAsia="zh-CN" w:bidi="ar-SA"/>
        </w:rPr>
      </w:pPr>
      <w:bookmarkStart w:id="0" w:name="_Toc405406287"/>
      <w:bookmarkStart w:id="1" w:name="_Toc13242"/>
      <w:bookmarkStart w:id="2" w:name="_Toc517940854"/>
      <w:r>
        <w:rPr>
          <w:rFonts w:hint="eastAsia" w:hAnsi="宋体" w:cs="黑体" w:asciiTheme="minorHAnsi" w:eastAsiaTheme="minorEastAsia"/>
          <w:b/>
          <w:kern w:val="2"/>
          <w:sz w:val="36"/>
          <w:szCs w:val="36"/>
          <w:lang w:val="en-US" w:eastAsia="zh-CN" w:bidi="ar-SA"/>
        </w:rPr>
        <w:t>招 标 公 告</w:t>
      </w:r>
      <w:bookmarkEnd w:id="0"/>
      <w:bookmarkEnd w:id="1"/>
      <w:bookmarkEnd w:id="2"/>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建安建工公字〔2020〕</w:t>
      </w:r>
      <w:r>
        <w:rPr>
          <w:rFonts w:hint="eastAsia" w:ascii="仿宋" w:hAnsi="仿宋" w:eastAsia="仿宋" w:cs="宋体"/>
          <w:b/>
          <w:sz w:val="32"/>
          <w:szCs w:val="32"/>
          <w:lang w:val="en-US" w:eastAsia="zh-CN"/>
        </w:rPr>
        <w:t>67</w:t>
      </w:r>
      <w:r>
        <w:rPr>
          <w:rFonts w:hint="eastAsia" w:ascii="仿宋" w:hAnsi="仿宋" w:eastAsia="仿宋" w:cs="宋体"/>
          <w:b/>
          <w:sz w:val="32"/>
          <w:szCs w:val="32"/>
          <w:lang w:eastAsia="zh-CN"/>
        </w:rPr>
        <w:t>号</w:t>
      </w:r>
    </w:p>
    <w:p>
      <w:pPr>
        <w:autoSpaceDE w:val="0"/>
        <w:autoSpaceDN w:val="0"/>
        <w:adjustRightInd w:val="0"/>
        <w:spacing w:line="560" w:lineRule="exact"/>
        <w:jc w:val="center"/>
        <w:outlineLvl w:val="0"/>
        <w:rPr>
          <w:rFonts w:hint="eastAsia" w:ascii="仿宋" w:hAnsi="仿宋" w:eastAsia="仿宋" w:cs="宋体"/>
          <w:b/>
          <w:sz w:val="32"/>
          <w:szCs w:val="32"/>
          <w:lang w:val="en-US" w:eastAsia="zh-CN"/>
        </w:rPr>
      </w:pPr>
      <w:r>
        <w:rPr>
          <w:rFonts w:hint="eastAsia" w:ascii="仿宋" w:hAnsi="仿宋" w:eastAsia="仿宋" w:cs="宋体"/>
          <w:b/>
          <w:sz w:val="32"/>
          <w:szCs w:val="32"/>
          <w:lang w:eastAsia="zh-CN"/>
        </w:rPr>
        <w:t>许昌市建安区农村饮水安全项目建设管理局</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许昌市建安区新增农村饮水安全水厂水源井项目</w:t>
      </w:r>
    </w:p>
    <w:p>
      <w:pPr>
        <w:autoSpaceDE w:val="0"/>
        <w:autoSpaceDN w:val="0"/>
        <w:adjustRightInd w:val="0"/>
        <w:spacing w:line="560" w:lineRule="exact"/>
        <w:jc w:val="center"/>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公开招标公告</w:t>
      </w:r>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一、项目概况</w:t>
      </w:r>
    </w:p>
    <w:p>
      <w:pPr>
        <w:spacing w:line="46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eastAsia="zh-CN"/>
        </w:rPr>
        <w:t>建安建工公字〔2020〕</w:t>
      </w:r>
      <w:r>
        <w:rPr>
          <w:rFonts w:hint="eastAsia" w:asciiTheme="minorEastAsia" w:hAnsiTheme="minorEastAsia" w:eastAsiaTheme="minorEastAsia"/>
          <w:sz w:val="24"/>
          <w:lang w:val="en-US" w:eastAsia="zh-CN"/>
        </w:rPr>
        <w:t>67</w:t>
      </w:r>
      <w:r>
        <w:rPr>
          <w:rFonts w:hint="eastAsia" w:asciiTheme="minorEastAsia" w:hAnsiTheme="minorEastAsia" w:eastAsiaTheme="minorEastAsia"/>
          <w:sz w:val="24"/>
          <w:lang w:eastAsia="zh-CN"/>
        </w:rPr>
        <w:t>号</w:t>
      </w:r>
    </w:p>
    <w:p>
      <w:pPr>
        <w:spacing w:line="46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sz w:val="24"/>
          <w:lang w:eastAsia="zh-CN"/>
        </w:rPr>
        <w:t>许昌市建安区新增农村饮水安全水厂水源井项目</w:t>
      </w:r>
    </w:p>
    <w:p>
      <w:pPr>
        <w:spacing w:line="46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eastAsia="zh-CN"/>
        </w:rPr>
        <w:t>许昌市建安区农村饮水安全项目建设管理局</w:t>
      </w:r>
    </w:p>
    <w:p>
      <w:pPr>
        <w:spacing w:line="46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4、工程概况：本工程</w:t>
      </w:r>
      <w:r>
        <w:rPr>
          <w:rFonts w:hint="eastAsia" w:asciiTheme="minorEastAsia" w:hAnsiTheme="minorEastAsia" w:eastAsiaTheme="minorEastAsia"/>
          <w:sz w:val="24"/>
          <w:lang w:val="en-US" w:eastAsia="zh-CN"/>
        </w:rPr>
        <w:t>为许昌市建安区新增农村饮水安全水厂水源井项目包括：小召乡、艾庄乡、灵井镇、五女店镇、新元办事处、桂村乡、榆林乡等所包含建设17座水厂的16口水源井。</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5、招标范围：为招标文件、工程量清单、施工图纸、设计变更（如有）及答疑纪要（如有）范围内的所有工程内容。</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6、标段划分：本工程共划分</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个标段</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7、资金预算：</w:t>
      </w:r>
      <w:r>
        <w:rPr>
          <w:rFonts w:hint="eastAsia" w:asciiTheme="minorEastAsia" w:hAnsiTheme="minorEastAsia" w:eastAsiaTheme="minorEastAsia"/>
          <w:sz w:val="24"/>
          <w:lang w:val="en-US" w:eastAsia="zh-CN"/>
        </w:rPr>
        <w:t>5773159.75</w:t>
      </w:r>
      <w:r>
        <w:rPr>
          <w:rFonts w:hint="eastAsia" w:asciiTheme="minorEastAsia" w:hAnsiTheme="minorEastAsia" w:eastAsiaTheme="minorEastAsia"/>
          <w:sz w:val="24"/>
        </w:rPr>
        <w:t>元；</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8、计划工期:</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日历天/标段；</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9、质量要求：合格</w:t>
      </w:r>
      <w:r>
        <w:rPr>
          <w:rFonts w:hint="eastAsia" w:hAnsi="宋体" w:cs="黑体"/>
          <w:sz w:val="24"/>
        </w:rPr>
        <w:t>（符合国家现行的验收规范和标准）</w:t>
      </w:r>
    </w:p>
    <w:p>
      <w:pPr>
        <w:spacing w:line="360" w:lineRule="auto"/>
      </w:pPr>
      <w:bookmarkStart w:id="3" w:name="_Toc511666594"/>
      <w:r>
        <w:rPr>
          <w:rFonts w:hint="eastAsia" w:asciiTheme="minorEastAsia" w:hAnsiTheme="minorEastAsia" w:eastAsiaTheme="minorEastAsia"/>
          <w:b/>
          <w:bCs/>
          <w:sz w:val="24"/>
        </w:rPr>
        <w:t>二、投标人资格要求</w:t>
      </w:r>
      <w:bookmarkEnd w:id="3"/>
    </w:p>
    <w:p>
      <w:pPr>
        <w:adjustRightInd w:val="0"/>
        <w:snapToGrid w:val="0"/>
        <w:spacing w:line="360" w:lineRule="auto"/>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1、投</w:t>
      </w:r>
      <w:r>
        <w:rPr>
          <w:rFonts w:hint="eastAsia" w:asciiTheme="minorEastAsia" w:hAnsiTheme="minorEastAsia" w:eastAsiaTheme="minorEastAsia"/>
          <w:sz w:val="24"/>
        </w:rPr>
        <w:t>标人具有独立企业法人资格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有效的营业执照。</w:t>
      </w:r>
      <w:r>
        <w:rPr>
          <w:rFonts w:hint="eastAsia" w:asciiTheme="minorEastAsia" w:hAnsiTheme="minorEastAsia" w:eastAsiaTheme="minorEastAsia"/>
          <w:sz w:val="24"/>
        </w:rPr>
        <w:t>具备水利水电工程施工总承包</w:t>
      </w:r>
      <w:r>
        <w:rPr>
          <w:rFonts w:hint="eastAsia" w:asciiTheme="minorEastAsia" w:hAnsiTheme="minorEastAsia" w:eastAsiaTheme="minorEastAsia"/>
          <w:sz w:val="24"/>
          <w:lang w:val="en-US" w:eastAsia="zh-CN"/>
        </w:rPr>
        <w:t>叁</w:t>
      </w:r>
      <w:r>
        <w:rPr>
          <w:rFonts w:hint="eastAsia" w:asciiTheme="minorEastAsia" w:hAnsiTheme="minorEastAsia" w:eastAsiaTheme="minorEastAsia"/>
          <w:sz w:val="24"/>
        </w:rPr>
        <w:t>级及以上资质且具有有效的安全生产许可证；并在人员、设备、资金等方面具有相应的施工能力。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拟派项目负责人必须具备水利水电</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专业二级以上（含二级）注册建造师资格（不含临时），具有水利水电工程相关专业中级及以上技术职称，且无在建工程（出具加盖公章的无在建工程承诺书）。技术负责人应具有水利水电工程相关专业中级及以上技术职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拟派项目负责人和专职安全员应取得水行政主管部门核发的安全生产考核合格证。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、未被列入“信用中国”网站（www.creditchina.gov.cn）</w:t>
      </w:r>
      <w:r>
        <w:rPr>
          <w:rFonts w:hint="eastAsia" w:asciiTheme="minorEastAsia" w:hAnsiTheme="minorEastAsia" w:eastAsiaTheme="minorEastAsia"/>
          <w:sz w:val="24"/>
          <w:lang w:val="en-US" w:eastAsia="zh-CN"/>
        </w:rPr>
        <w:t>经营异常名录或</w:t>
      </w:r>
      <w:r>
        <w:rPr>
          <w:rFonts w:hint="eastAsia" w:asciiTheme="minorEastAsia" w:hAnsiTheme="minorEastAsia" w:eastAsiaTheme="minorEastAsia"/>
          <w:sz w:val="24"/>
        </w:rPr>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p>
    <w:p>
      <w:pPr>
        <w:adjustRightInd w:val="0"/>
        <w:snapToGrid w:val="0"/>
        <w:spacing w:line="360" w:lineRule="auto"/>
        <w:ind w:firstLine="480" w:firstLineChars="200"/>
        <w:rPr>
          <w:rFonts w:asciiTheme="minorEastAsia" w:hAnsiTheme="minorEastAsia" w:eastAsiaTheme="minorEastAsia"/>
          <w:sz w:val="24"/>
        </w:rPr>
      </w:pPr>
      <w:bookmarkStart w:id="4" w:name="_Toc511666617"/>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、本次招标不接受联合体投标。</w:t>
      </w:r>
      <w:bookmarkEnd w:id="4"/>
    </w:p>
    <w:p>
      <w:pPr>
        <w:autoSpaceDE w:val="0"/>
        <w:autoSpaceDN w:val="0"/>
        <w:adjustRightInd w:val="0"/>
        <w:spacing w:line="360" w:lineRule="auto"/>
        <w:jc w:val="left"/>
        <w:outlineLvl w:val="0"/>
        <w:rPr>
          <w:rFonts w:ascii="宋体" w:hAnsi="宋体" w:cs="宋体"/>
          <w:b/>
          <w:bCs/>
          <w:sz w:val="24"/>
        </w:rPr>
      </w:pPr>
      <w:r>
        <w:rPr>
          <w:rFonts w:hint="eastAsia" w:ascii="宋体" w:hAnsi="宋体" w:cs="宋体"/>
          <w:b/>
          <w:bCs/>
          <w:sz w:val="24"/>
        </w:rPr>
        <w:t>三、投标报名方式</w:t>
      </w:r>
    </w:p>
    <w:p>
      <w:pPr>
        <w:autoSpaceDE w:val="0"/>
        <w:autoSpaceDN w:val="0"/>
        <w:adjustRightInd w:val="0"/>
        <w:spacing w:line="360" w:lineRule="auto"/>
        <w:ind w:firstLine="480" w:firstLineChars="200"/>
        <w:jc w:val="left"/>
        <w:outlineLvl w:val="0"/>
        <w:rPr>
          <w:rFonts w:ascii="宋体" w:hAnsi="宋体" w:cs="宋体"/>
          <w:sz w:val="24"/>
        </w:rPr>
      </w:pPr>
      <w:r>
        <w:rPr>
          <w:rFonts w:hint="eastAsia" w:ascii="宋体" w:hAnsi="宋体" w:cs="宋体"/>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outlineLvl w:val="0"/>
        <w:rPr>
          <w:rFonts w:ascii="宋体" w:hAnsi="宋体" w:cs="宋体"/>
          <w:sz w:val="24"/>
        </w:rPr>
      </w:pPr>
      <w:r>
        <w:rPr>
          <w:rFonts w:hint="eastAsia" w:ascii="宋体" w:hAnsi="宋体" w:cs="宋体"/>
          <w:sz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asciiTheme="minorEastAsia" w:hAnsiTheme="minorEastAsia" w:eastAsiaTheme="minorEastAsia"/>
          <w:b/>
          <w:bCs/>
          <w:sz w:val="24"/>
        </w:rPr>
        <w:t xml:space="preserve">四、招标文件和施工图纸的获取 </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1、招标文件和工程量清单的获取：投标人投标文件递交截止时间前均可登录《全国公共资源交易平台(河南省▪许昌市)》（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sz w:val="24"/>
        </w:rPr>
        <w:t>http://ggzy.xuchang.gov.cn/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），通过“投标人/供应商登录” 入口自行下载。</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2、施工图纸下载：按照招标文件中第二章投标人须知前附表第2.1项所给的网址自行下载。</w:t>
      </w:r>
    </w:p>
    <w:p>
      <w:pPr>
        <w:spacing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3、招标文件售价100元/标段，于递交投标文件时缴纳给招标代理机构，售后不退。</w:t>
      </w:r>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五、投标文件的递交</w:t>
      </w:r>
    </w:p>
    <w:p>
      <w:pPr>
        <w:spacing w:line="460" w:lineRule="exact"/>
        <w:ind w:firstLine="480" w:firstLineChars="200"/>
        <w:rPr>
          <w:rFonts w:asciiTheme="minorEastAsia" w:hAnsiTheme="minorEastAsia" w:eastAsiaTheme="minorEastAsia"/>
          <w:sz w:val="24"/>
        </w:rPr>
      </w:pPr>
      <w:bookmarkStart w:id="5" w:name="_Toc511666618"/>
      <w:r>
        <w:rPr>
          <w:rFonts w:hint="eastAsia" w:asciiTheme="minorEastAsia" w:hAnsiTheme="minorEastAsia" w:eastAsiaTheme="minorEastAsia"/>
          <w:sz w:val="24"/>
        </w:rPr>
        <w:t>1、投标文件递交的截止时间及开标时间：2020年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日09时30分（北京时间）。</w:t>
      </w:r>
      <w:bookmarkEnd w:id="5"/>
    </w:p>
    <w:p>
      <w:pPr>
        <w:spacing w:line="460" w:lineRule="exact"/>
        <w:ind w:firstLine="480" w:firstLineChars="200"/>
        <w:rPr>
          <w:rFonts w:asciiTheme="minorEastAsia" w:hAnsiTheme="minorEastAsia" w:eastAsiaTheme="minorEastAsia"/>
          <w:sz w:val="24"/>
        </w:rPr>
      </w:pPr>
      <w:bookmarkStart w:id="6" w:name="_Toc511666619"/>
      <w:r>
        <w:rPr>
          <w:rFonts w:hint="eastAsia" w:asciiTheme="minorEastAsia" w:hAnsiTheme="minorEastAsia" w:eastAsiaTheme="minorEastAsia"/>
          <w:sz w:val="24"/>
        </w:rPr>
        <w:t>2、投标文件递交地点：</w:t>
      </w:r>
      <w:bookmarkEnd w:id="6"/>
      <w:r>
        <w:rPr>
          <w:rFonts w:hint="eastAsia" w:asciiTheme="minorEastAsia" w:hAnsiTheme="minorEastAsia" w:eastAsiaTheme="minorEastAsia"/>
          <w:sz w:val="24"/>
        </w:rPr>
        <w:t>许昌市建安区新元大道兴业大厦4楼开标</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室。</w:t>
      </w:r>
    </w:p>
    <w:p>
      <w:pPr>
        <w:spacing w:line="460" w:lineRule="exact"/>
        <w:ind w:firstLine="480" w:firstLineChars="200"/>
        <w:rPr>
          <w:rFonts w:asciiTheme="minorEastAsia" w:hAnsiTheme="minorEastAsia" w:eastAsiaTheme="minorEastAsia"/>
          <w:sz w:val="24"/>
        </w:rPr>
      </w:pPr>
      <w:bookmarkStart w:id="7" w:name="_Toc511666620"/>
      <w:r>
        <w:rPr>
          <w:rFonts w:hint="eastAsia" w:asciiTheme="minorEastAsia" w:hAnsiTheme="minorEastAsia" w:eastAsiaTheme="minorEastAsia"/>
          <w:sz w:val="24"/>
        </w:rPr>
        <w:t>3、逾期送达的或者未送达指定地点的投标文件，招标人不予受理。</w:t>
      </w:r>
      <w:bookmarkEnd w:id="7"/>
    </w:p>
    <w:p>
      <w:pPr>
        <w:spacing w:line="460" w:lineRule="exact"/>
        <w:rPr>
          <w:rFonts w:asciiTheme="minorEastAsia" w:hAnsiTheme="minorEastAsia" w:eastAsiaTheme="minorEastAsia"/>
          <w:b/>
          <w:bCs/>
          <w:sz w:val="24"/>
        </w:rPr>
      </w:pPr>
      <w:r>
        <w:rPr>
          <w:rFonts w:hint="eastAsia" w:asciiTheme="minorEastAsia" w:hAnsiTheme="minorEastAsia" w:eastAsiaTheme="minorEastAsia"/>
          <w:b/>
          <w:bCs/>
          <w:sz w:val="24"/>
        </w:rPr>
        <w:t>六、发布公告的媒介</w:t>
      </w:r>
    </w:p>
    <w:p>
      <w:pPr>
        <w:spacing w:line="46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本公告同时在《全国公共资源交易平台（河南省•许昌市）》、《河南省电子招标投标公共服务平台》上发布。</w:t>
      </w:r>
    </w:p>
    <w:p>
      <w:pPr>
        <w:autoSpaceDE w:val="0"/>
        <w:autoSpaceDN w:val="0"/>
        <w:adjustRightInd w:val="0"/>
        <w:spacing w:line="360" w:lineRule="auto"/>
        <w:jc w:val="left"/>
        <w:outlineLvl w:val="0"/>
        <w:rPr>
          <w:rFonts w:cs="宋体" w:asciiTheme="minorEastAsia" w:hAnsiTheme="minorEastAsia"/>
          <w:b/>
          <w:bCs/>
          <w:sz w:val="24"/>
          <w:szCs w:val="24"/>
        </w:rPr>
      </w:pPr>
      <w:r>
        <w:rPr>
          <w:rFonts w:hint="eastAsia" w:cs="宋体" w:asciiTheme="minorEastAsia" w:hAnsiTheme="minorEastAsia"/>
          <w:b/>
          <w:bCs/>
          <w:sz w:val="24"/>
          <w:szCs w:val="24"/>
        </w:rPr>
        <w:t>七、联系方式</w:t>
      </w:r>
    </w:p>
    <w:p>
      <w:pPr>
        <w:spacing w:line="360" w:lineRule="auto"/>
        <w:ind w:firstLine="480"/>
        <w:rPr>
          <w:rFonts w:hint="eastAsia" w:asciiTheme="minorEastAsia" w:hAnsiTheme="minorEastAsia"/>
          <w:sz w:val="24"/>
          <w:szCs w:val="24"/>
          <w:lang w:eastAsia="zh-CN"/>
        </w:rPr>
      </w:pPr>
      <w:r>
        <w:rPr>
          <w:rFonts w:hint="eastAsia" w:asciiTheme="minorEastAsia" w:hAnsiTheme="minorEastAsia"/>
          <w:sz w:val="24"/>
          <w:szCs w:val="24"/>
        </w:rPr>
        <w:t>招  标  人：</w:t>
      </w:r>
      <w:r>
        <w:rPr>
          <w:rFonts w:hint="eastAsia" w:asciiTheme="minorEastAsia" w:hAnsiTheme="minorEastAsia"/>
          <w:sz w:val="24"/>
          <w:szCs w:val="24"/>
          <w:lang w:eastAsia="zh-CN"/>
        </w:rPr>
        <w:t>许昌市建安区农村饮水安全项目建设管理局</w:t>
      </w:r>
    </w:p>
    <w:p>
      <w:pPr>
        <w:spacing w:line="360" w:lineRule="auto"/>
        <w:ind w:firstLine="480"/>
        <w:rPr>
          <w:rFonts w:asciiTheme="minorEastAsia" w:hAnsiTheme="minorEastAsia"/>
          <w:sz w:val="24"/>
          <w:szCs w:val="24"/>
        </w:rPr>
      </w:pPr>
      <w:r>
        <w:rPr>
          <w:rFonts w:hint="eastAsia" w:asciiTheme="minorEastAsia" w:hAnsiTheme="minorEastAsia"/>
          <w:sz w:val="24"/>
          <w:szCs w:val="24"/>
        </w:rPr>
        <w:t>项目负责人：冯先生</w:t>
      </w:r>
    </w:p>
    <w:p>
      <w:pPr>
        <w:spacing w:line="440" w:lineRule="exact"/>
        <w:ind w:firstLine="480" w:firstLineChars="200"/>
        <w:rPr>
          <w:rFonts w:hint="eastAsia" w:ascii="宋体" w:hAnsi="宋体" w:cs="宋体"/>
          <w:bCs/>
          <w:sz w:val="24"/>
          <w:szCs w:val="24"/>
        </w:rPr>
      </w:pPr>
      <w:r>
        <w:rPr>
          <w:rFonts w:hint="eastAsia" w:asciiTheme="minorEastAsia" w:hAnsiTheme="minorEastAsia"/>
          <w:sz w:val="24"/>
          <w:szCs w:val="24"/>
        </w:rPr>
        <w:t>电      话：17703996366</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代理  机构：</w:t>
      </w:r>
      <w:r>
        <w:rPr>
          <w:rFonts w:hint="eastAsia" w:asciiTheme="minorEastAsia" w:hAnsiTheme="minorEastAsia"/>
          <w:sz w:val="24"/>
          <w:szCs w:val="24"/>
          <w:lang w:eastAsia="zh-CN"/>
        </w:rPr>
        <w:t>北京东方华太工程咨询有限公司</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val="en-US" w:eastAsia="zh-CN"/>
        </w:rPr>
        <w:t>陈女士</w:t>
      </w:r>
    </w:p>
    <w:p>
      <w:pPr>
        <w:spacing w:line="360" w:lineRule="auto"/>
        <w:ind w:firstLine="48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电    话：</w:t>
      </w:r>
      <w:r>
        <w:rPr>
          <w:rFonts w:hint="eastAsia" w:asciiTheme="minorEastAsia" w:hAnsiTheme="minorEastAsia"/>
          <w:sz w:val="24"/>
          <w:szCs w:val="24"/>
          <w:lang w:val="en-US" w:eastAsia="zh-CN"/>
        </w:rPr>
        <w:t>13703741655</w:t>
      </w:r>
    </w:p>
    <w:p>
      <w:pPr>
        <w:spacing w:line="360" w:lineRule="auto"/>
        <w:ind w:firstLine="480"/>
        <w:jc w:val="right"/>
        <w:rPr>
          <w:rFonts w:asciiTheme="minorEastAsia" w:hAnsi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北京东方华太工程咨询有限公司</w:t>
      </w:r>
    </w:p>
    <w:p>
      <w:pPr>
        <w:pStyle w:val="2"/>
        <w:spacing w:line="360" w:lineRule="auto"/>
        <w:ind w:firstLine="960" w:firstLineChars="400"/>
        <w:jc w:val="right"/>
        <w:rPr>
          <w:rFonts w:asciiTheme="minorEastAsia" w:hAnsiTheme="minorEastAsia" w:eastAsiaTheme="minorEastAsia" w:cstheme="minorBidi"/>
          <w:sz w:val="24"/>
        </w:rPr>
      </w:pPr>
      <w:r>
        <w:rPr>
          <w:rFonts w:hint="eastAsia" w:asciiTheme="minorEastAsia" w:hAnsiTheme="minorEastAsia" w:eastAsiaTheme="minorEastAsia" w:cstheme="minorBidi"/>
          <w:sz w:val="24"/>
        </w:rPr>
        <w:t>2020年</w:t>
      </w:r>
      <w:r>
        <w:rPr>
          <w:rFonts w:hint="eastAsia" w:asciiTheme="minorEastAsia" w:hAnsiTheme="minorEastAsia" w:eastAsiaTheme="minorEastAsia" w:cstheme="minorBidi"/>
          <w:sz w:val="24"/>
          <w:lang w:val="en-US" w:eastAsia="zh-CN"/>
        </w:rPr>
        <w:t>5</w:t>
      </w:r>
      <w:r>
        <w:rPr>
          <w:rFonts w:hint="eastAsia" w:asciiTheme="minorEastAsia" w:hAnsiTheme="minorEastAsia" w:eastAsiaTheme="minorEastAsia" w:cstheme="minorBidi"/>
          <w:sz w:val="24"/>
        </w:rPr>
        <w:t>月</w:t>
      </w:r>
      <w:r>
        <w:rPr>
          <w:rFonts w:hint="eastAsia" w:asciiTheme="minorEastAsia" w:hAnsiTheme="minorEastAsia" w:eastAsiaTheme="minorEastAsia" w:cstheme="minorBidi"/>
          <w:sz w:val="24"/>
          <w:lang w:val="en-US" w:eastAsia="zh-CN"/>
        </w:rPr>
        <w:t xml:space="preserve"> 20 </w:t>
      </w:r>
      <w:r>
        <w:rPr>
          <w:rFonts w:hint="eastAsia" w:asciiTheme="minorEastAsia" w:hAnsiTheme="minorEastAsia" w:eastAsiaTheme="minorEastAsia" w:cstheme="minorBidi"/>
          <w:sz w:val="24"/>
        </w:rPr>
        <w:t>日</w:t>
      </w:r>
    </w:p>
    <w:p>
      <w:pPr>
        <w:pStyle w:val="2"/>
        <w:ind w:firstLine="210"/>
      </w:pPr>
    </w:p>
    <w:p>
      <w:pPr>
        <w:pStyle w:val="4"/>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本项目为全流程电子化交易项目，请认真阅读招标文件，并注意以下事项。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1.投标人应按招标文件规定下载、编制、提交电子投标文件。开、评标现场不接受投标人递交的电子投标文件以外的其他资料。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2.电子文件下载、制作、提交期间和开标（电子投标文件的解密）环节，投标人须使用CA数字证书。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rFonts w:hint="eastAsia" w:ascii="宋体" w:hAnsi="宋体" w:eastAsia="宋体" w:cs="宋体"/>
          <w:b/>
          <w:i w:val="0"/>
          <w:color w:val="000000"/>
          <w:kern w:val="0"/>
          <w:sz w:val="24"/>
          <w:szCs w:val="24"/>
          <w:u w:val="none"/>
          <w:shd w:val="clear" w:fill="FFFFFF"/>
          <w:lang w:val="en-US" w:eastAsia="zh-CN" w:bidi="ar"/>
        </w:rPr>
      </w:pPr>
      <w:r>
        <w:rPr>
          <w:rFonts w:hint="eastAsia" w:ascii="宋体" w:hAnsi="宋体" w:eastAsia="宋体" w:cs="宋体"/>
          <w:b/>
          <w:i w:val="0"/>
          <w:color w:val="000000"/>
          <w:kern w:val="0"/>
          <w:sz w:val="24"/>
          <w:szCs w:val="24"/>
          <w:u w:val="none"/>
          <w:shd w:val="clear" w:fill="FFFFFF"/>
          <w:lang w:val="en-US" w:eastAsia="zh-CN" w:bidi="ar"/>
        </w:rPr>
        <w:t>3.电子投标文件的制作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3.1 </w:t>
      </w:r>
      <w:r>
        <w:rPr>
          <w:rFonts w:hint="eastAsia" w:ascii="宋体" w:hAnsi="宋体" w:eastAsia="宋体" w:cs="宋体"/>
          <w:b w:val="0"/>
          <w:i w:val="0"/>
          <w:color w:val="000000"/>
          <w:kern w:val="0"/>
          <w:sz w:val="24"/>
          <w:szCs w:val="24"/>
          <w:u w:val="none"/>
          <w:shd w:val="clear" w:fill="FFFFFF"/>
          <w:lang w:val="en-US" w:eastAsia="zh-CN" w:bidi="ar"/>
        </w:rPr>
        <w:t>投标人登录《全国公共资源交易平台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begin"/>
      </w:r>
      <w:r>
        <w:rPr>
          <w:rFonts w:hint="eastAsia" w:ascii="微软雅黑" w:hAnsi="微软雅黑" w:eastAsia="微软雅黑" w:cs="微软雅黑"/>
          <w:b w:val="0"/>
          <w:i w:val="0"/>
          <w:color w:val="000000"/>
          <w:kern w:val="0"/>
          <w:sz w:val="24"/>
          <w:szCs w:val="24"/>
          <w:u w:val="none"/>
          <w:shd w:val="clear" w:fill="FFFFFF"/>
          <w:lang w:val="en-US" w:eastAsia="zh-CN" w:bidi="ar"/>
        </w:rPr>
        <w:instrText xml:space="preserve"> HYPERLINK "http://221.14.6.70:8088/ggzy/" </w:instrTex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separate"/>
      </w:r>
      <w:r>
        <w:rPr>
          <w:rStyle w:val="42"/>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）下载“许昌投标文件制作系统</w:t>
      </w:r>
      <w:r>
        <w:rPr>
          <w:rFonts w:hint="eastAsia" w:ascii="微软雅黑" w:hAnsi="微软雅黑" w:eastAsia="微软雅黑" w:cs="微软雅黑"/>
          <w:b w:val="0"/>
          <w:i w:val="0"/>
          <w:color w:val="000000"/>
          <w:kern w:val="0"/>
          <w:sz w:val="24"/>
          <w:szCs w:val="24"/>
          <w:u w:val="none"/>
          <w:shd w:val="clear" w:fill="FFFFFF"/>
          <w:lang w:val="en-US" w:eastAsia="zh-CN" w:bidi="ar"/>
        </w:rPr>
        <w:t>SEARUN V1.1</w:t>
      </w:r>
      <w:r>
        <w:rPr>
          <w:rFonts w:hint="eastAsia" w:ascii="宋体" w:hAnsi="宋体" w:eastAsia="宋体" w:cs="宋体"/>
          <w:b w:val="0"/>
          <w:i w:val="0"/>
          <w:color w:val="000000"/>
          <w:kern w:val="0"/>
          <w:sz w:val="24"/>
          <w:szCs w:val="24"/>
          <w:u w:val="none"/>
          <w:shd w:val="clear" w:fill="FFFFFF"/>
          <w:lang w:val="en-US" w:eastAsia="zh-CN" w:bidi="ar"/>
        </w:rPr>
        <w:t>”，按招标文件要求制作电子投标文件。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电子投标文件的制作，参考《全国公共资源交易平台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hint="default"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》公共资源交易系统——组件下载——交易系统操作手册（投标人、供应商）。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3.2 </w:t>
      </w:r>
      <w:r>
        <w:rPr>
          <w:rFonts w:hint="eastAsia" w:ascii="宋体" w:hAnsi="宋体" w:eastAsia="宋体" w:cs="宋体"/>
          <w:b w:val="0"/>
          <w:i w:val="0"/>
          <w:color w:val="000000"/>
          <w:kern w:val="0"/>
          <w:sz w:val="24"/>
          <w:szCs w:val="24"/>
          <w:u w:val="none"/>
          <w:shd w:val="clear" w:fill="FFFFFF"/>
          <w:lang w:val="en-US" w:eastAsia="zh-CN" w:bidi="ar"/>
        </w:rPr>
        <w:t>投标人须将招标文件要求的资质、业绩、荣誉及相关人员证明材料等资料原件扫描件（或图片）制作到所提交的电子投标文件中。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3.3</w:t>
      </w:r>
      <w:r>
        <w:rPr>
          <w:rFonts w:hint="eastAsia" w:ascii="宋体" w:hAnsi="宋体" w:eastAsia="宋体" w:cs="宋体"/>
          <w:b w:val="0"/>
          <w:i w:val="0"/>
          <w:color w:val="000000"/>
          <w:kern w:val="0"/>
          <w:sz w:val="24"/>
          <w:szCs w:val="24"/>
          <w:u w:val="none"/>
          <w:shd w:val="clear" w:fill="FFFFFF"/>
          <w:lang w:val="en-US" w:eastAsia="zh-CN" w:bidi="ar"/>
        </w:rPr>
        <w:t>投标人对同一项目多个标段进行投标的，应分别下载所投标段的招标文件，按标段制作电子投标文件，并按招标文件要求在相应位置加盖投标人电子印章和法人电子印章。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一个标段对应生成一个文件夹（</w:t>
      </w:r>
      <w:r>
        <w:rPr>
          <w:rFonts w:hint="eastAsia" w:ascii="微软雅黑" w:hAnsi="微软雅黑" w:eastAsia="微软雅黑" w:cs="微软雅黑"/>
          <w:b w:val="0"/>
          <w:i w:val="0"/>
          <w:color w:val="000000"/>
          <w:kern w:val="0"/>
          <w:sz w:val="24"/>
          <w:szCs w:val="24"/>
          <w:u w:val="none"/>
          <w:shd w:val="clear" w:fill="FFFFFF"/>
          <w:lang w:val="en-US" w:eastAsia="zh-CN" w:bidi="ar"/>
        </w:rPr>
        <w:t>xxxx</w:t>
      </w:r>
      <w:r>
        <w:rPr>
          <w:rFonts w:hint="eastAsia" w:ascii="宋体" w:hAnsi="宋体" w:eastAsia="宋体" w:cs="宋体"/>
          <w:b w:val="0"/>
          <w:i w:val="0"/>
          <w:color w:val="000000"/>
          <w:kern w:val="0"/>
          <w:sz w:val="24"/>
          <w:szCs w:val="24"/>
          <w:u w:val="none"/>
          <w:shd w:val="clear" w:fill="FFFFFF"/>
          <w:lang w:val="en-US" w:eastAsia="zh-CN" w:bidi="ar"/>
        </w:rPr>
        <w:t>项目</w:t>
      </w:r>
      <w:r>
        <w:rPr>
          <w:rFonts w:hint="eastAsia" w:ascii="微软雅黑" w:hAnsi="微软雅黑" w:eastAsia="微软雅黑" w:cs="微软雅黑"/>
          <w:b w:val="0"/>
          <w:i w:val="0"/>
          <w:color w:val="000000"/>
          <w:kern w:val="0"/>
          <w:sz w:val="24"/>
          <w:szCs w:val="24"/>
          <w:u w:val="none"/>
          <w:shd w:val="clear" w:fill="FFFFFF"/>
          <w:lang w:val="en-US" w:eastAsia="zh-CN" w:bidi="ar"/>
        </w:rPr>
        <w:t>xx</w:t>
      </w:r>
      <w:r>
        <w:rPr>
          <w:rFonts w:hint="eastAsia" w:ascii="宋体" w:hAnsi="宋体" w:eastAsia="宋体" w:cs="宋体"/>
          <w:b w:val="0"/>
          <w:i w:val="0"/>
          <w:color w:val="000000"/>
          <w:kern w:val="0"/>
          <w:sz w:val="24"/>
          <w:szCs w:val="24"/>
          <w:u w:val="none"/>
          <w:shd w:val="clear" w:fill="FFFFFF"/>
          <w:lang w:val="en-US" w:eastAsia="zh-CN" w:bidi="ar"/>
        </w:rPr>
        <w:t>标段）</w:t>
      </w: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 </w:t>
      </w:r>
      <w:r>
        <w:rPr>
          <w:rFonts w:hint="eastAsia" w:ascii="宋体" w:hAnsi="宋体" w:eastAsia="宋体" w:cs="宋体"/>
          <w:b w:val="0"/>
          <w:i w:val="0"/>
          <w:color w:val="000000"/>
          <w:kern w:val="0"/>
          <w:sz w:val="24"/>
          <w:szCs w:val="24"/>
          <w:u w:val="none"/>
          <w:shd w:val="clear" w:fill="FFFFFF"/>
          <w:lang w:val="en-US" w:eastAsia="zh-CN" w:bidi="ar"/>
        </w:rPr>
        <w:t>其中包含</w:t>
      </w:r>
      <w:r>
        <w:rPr>
          <w:rFonts w:hint="eastAsia" w:ascii="微软雅黑" w:hAnsi="微软雅黑" w:eastAsia="微软雅黑" w:cs="微软雅黑"/>
          <w:b w:val="0"/>
          <w:i w:val="0"/>
          <w:color w:val="000000"/>
          <w:kern w:val="0"/>
          <w:sz w:val="24"/>
          <w:szCs w:val="24"/>
          <w:u w:val="none"/>
          <w:shd w:val="clear" w:fill="FFFFFF"/>
          <w:lang w:val="en-US" w:eastAsia="zh-CN" w:bidi="ar"/>
        </w:rPr>
        <w:t>2</w:t>
      </w:r>
      <w:r>
        <w:rPr>
          <w:rFonts w:hint="eastAsia" w:ascii="宋体" w:hAnsi="宋体" w:eastAsia="宋体" w:cs="宋体"/>
          <w:b w:val="0"/>
          <w:i w:val="0"/>
          <w:color w:val="000000"/>
          <w:kern w:val="0"/>
          <w:sz w:val="24"/>
          <w:szCs w:val="24"/>
          <w:u w:val="none"/>
          <w:shd w:val="clear" w:fill="FFFFFF"/>
          <w:lang w:val="en-US" w:eastAsia="zh-CN" w:bidi="ar"/>
        </w:rPr>
        <w:t>个文件和</w:t>
      </w:r>
      <w:r>
        <w:rPr>
          <w:rFonts w:hint="eastAsia" w:ascii="微软雅黑" w:hAnsi="微软雅黑" w:eastAsia="微软雅黑" w:cs="微软雅黑"/>
          <w:b w:val="0"/>
          <w:i w:val="0"/>
          <w:color w:val="000000"/>
          <w:kern w:val="0"/>
          <w:sz w:val="24"/>
          <w:szCs w:val="24"/>
          <w:u w:val="none"/>
          <w:shd w:val="clear" w:fill="FFFFFF"/>
          <w:lang w:val="en-US" w:eastAsia="zh-CN" w:bidi="ar"/>
        </w:rPr>
        <w:t>1</w:t>
      </w:r>
      <w:r>
        <w:rPr>
          <w:rFonts w:hint="eastAsia" w:ascii="宋体" w:hAnsi="宋体" w:eastAsia="宋体" w:cs="宋体"/>
          <w:b w:val="0"/>
          <w:i w:val="0"/>
          <w:color w:val="000000"/>
          <w:kern w:val="0"/>
          <w:sz w:val="24"/>
          <w:szCs w:val="24"/>
          <w:u w:val="none"/>
          <w:shd w:val="clear" w:fill="FFFFFF"/>
          <w:lang w:val="en-US" w:eastAsia="zh-CN" w:bidi="ar"/>
        </w:rPr>
        <w:t>个文件夹。后缀名为“</w:t>
      </w:r>
      <w:r>
        <w:rPr>
          <w:rFonts w:hint="eastAsia" w:ascii="微软雅黑" w:hAnsi="微软雅黑" w:eastAsia="微软雅黑" w:cs="微软雅黑"/>
          <w:b w:val="0"/>
          <w:i w:val="0"/>
          <w:color w:val="000000"/>
          <w:kern w:val="0"/>
          <w:sz w:val="24"/>
          <w:szCs w:val="24"/>
          <w:u w:val="none"/>
          <w:shd w:val="clear" w:fill="FFFFFF"/>
          <w:lang w:val="en-US" w:eastAsia="zh-CN" w:bidi="ar"/>
        </w:rPr>
        <w:t>.file</w:t>
      </w:r>
      <w:r>
        <w:rPr>
          <w:rFonts w:hint="eastAsia" w:ascii="宋体" w:hAnsi="宋体" w:eastAsia="宋体" w:cs="宋体"/>
          <w:b w:val="0"/>
          <w:i w:val="0"/>
          <w:color w:val="000000"/>
          <w:kern w:val="0"/>
          <w:sz w:val="24"/>
          <w:szCs w:val="24"/>
          <w:u w:val="none"/>
          <w:shd w:val="clear" w:fill="FFFFFF"/>
          <w:lang w:val="en-US" w:eastAsia="zh-CN" w:bidi="ar"/>
        </w:rPr>
        <w:t>”的文件用于电子投标使用，“备份文件夹”使用电子介质存储，供开标现场备用。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4.</w:t>
      </w:r>
      <w:r>
        <w:rPr>
          <w:rFonts w:hint="eastAsia" w:ascii="宋体" w:hAnsi="宋体" w:eastAsia="宋体" w:cs="宋体"/>
          <w:b/>
          <w:i w:val="0"/>
          <w:color w:val="000000"/>
          <w:kern w:val="0"/>
          <w:sz w:val="24"/>
          <w:szCs w:val="24"/>
          <w:u w:val="none"/>
          <w:shd w:val="clear" w:fill="FFFFFF"/>
          <w:lang w:val="en-US" w:eastAsia="zh-CN" w:bidi="ar"/>
        </w:rPr>
        <w:t>投标保证金的提交</w:t>
      </w:r>
    </w:p>
    <w:p>
      <w:pPr>
        <w:pStyle w:val="2"/>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4.1使用银行转帐方式提交的，投标人通过基本账户将款项一次足额递交、成功绑定，以收款人到账时间为准。</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4.1.1投标人网上下载招标文件并根据每个标段的缴纳说明单在开标截止时间前提交。每个投标人每个项目每个标段只有唯一缴纳账号，切勿重复缴纳或错误缴纳。</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4.1.2提交后再次登录http://221.14.6.70:8088/ggzy系统，依次点击“会员向导”→“参与投标”→“保证金绑定”→“绑定”进行投标保证金绑定，前述系统显示“许昌市建安区公共资源交易中心保证金缴纳回执”表示投标保证金提交完成。未绑定标段的投标保证金，视为未按规定提交。</w:t>
      </w:r>
    </w:p>
    <w:p>
      <w:pPr>
        <w:pStyle w:val="2"/>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4.1.3投标人按照所投项目及标段将缴纳凭证“许昌市建安区公共资源交易中心保证金缴纳回执”附于投标文件中。</w:t>
      </w:r>
    </w:p>
    <w:p>
      <w:pPr>
        <w:pStyle w:val="2"/>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5.</w:t>
      </w:r>
      <w:r>
        <w:rPr>
          <w:rFonts w:hint="eastAsia" w:ascii="宋体" w:hAnsi="宋体" w:eastAsia="宋体" w:cs="宋体"/>
          <w:b/>
          <w:i w:val="0"/>
          <w:color w:val="000000"/>
          <w:kern w:val="0"/>
          <w:sz w:val="24"/>
          <w:szCs w:val="24"/>
          <w:u w:val="none"/>
          <w:shd w:val="clear" w:fill="FFFFFF"/>
          <w:lang w:val="en-US" w:eastAsia="zh-CN" w:bidi="ar"/>
        </w:rPr>
        <w:t>加密电子投标文件的提交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5.1</w:t>
      </w:r>
      <w:r>
        <w:rPr>
          <w:rFonts w:hint="eastAsia" w:ascii="宋体" w:hAnsi="宋体" w:eastAsia="宋体" w:cs="宋体"/>
          <w:b w:val="0"/>
          <w:i w:val="0"/>
          <w:color w:val="000000"/>
          <w:kern w:val="0"/>
          <w:sz w:val="24"/>
          <w:szCs w:val="24"/>
          <w:u w:val="none"/>
          <w:shd w:val="clear" w:fill="FFFFFF"/>
          <w:lang w:val="en-US" w:eastAsia="zh-CN" w:bidi="ar"/>
        </w:rPr>
        <w:t>电子投标文件应在招标文件规定的投标文件提交截止时间（开标时间）之前成功提交至《全国公共资源交易平台</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河南省</w:t>
      </w:r>
      <w:r>
        <w:rPr>
          <w:rFonts w:hint="default" w:ascii="MS Mincho" w:hAnsi="MS Mincho" w:eastAsia="MS Mincho" w:cs="MS Mincho"/>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许昌市</w:t>
      </w:r>
      <w:r>
        <w:rPr>
          <w:rFonts w:hint="eastAsia" w:ascii="微软雅黑" w:hAnsi="微软雅黑" w:eastAsia="微软雅黑" w:cs="微软雅黑"/>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》公共资源交易系统（</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begin"/>
      </w:r>
      <w:r>
        <w:rPr>
          <w:rFonts w:hint="eastAsia" w:ascii="微软雅黑" w:hAnsi="微软雅黑" w:eastAsia="微软雅黑" w:cs="微软雅黑"/>
          <w:b w:val="0"/>
          <w:i w:val="0"/>
          <w:color w:val="000000"/>
          <w:kern w:val="0"/>
          <w:sz w:val="24"/>
          <w:szCs w:val="24"/>
          <w:u w:val="none"/>
          <w:shd w:val="clear" w:fill="FFFFFF"/>
          <w:lang w:val="en-US" w:eastAsia="zh-CN" w:bidi="ar"/>
        </w:rPr>
        <w:instrText xml:space="preserve"> HYPERLINK "http://221.14.6.70:8088/ggzy/" </w:instrTex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separate"/>
      </w:r>
      <w:r>
        <w:rPr>
          <w:rStyle w:val="42"/>
          <w:rFonts w:hint="eastAsia" w:ascii="微软雅黑" w:hAnsi="微软雅黑" w:eastAsia="微软雅黑" w:cs="微软雅黑"/>
          <w:b w:val="0"/>
          <w:i w:val="0"/>
          <w:color w:val="000000"/>
          <w:sz w:val="24"/>
          <w:szCs w:val="24"/>
          <w:u w:val="none"/>
          <w:shd w:val="clear" w:fill="FFFFFF"/>
          <w:lang w:val="en-US"/>
        </w:rPr>
        <w:t>http://221.14.6.70:8088/ggzy/</w:t>
      </w:r>
      <w:r>
        <w:rPr>
          <w:rFonts w:hint="eastAsia" w:ascii="微软雅黑" w:hAnsi="微软雅黑" w:eastAsia="微软雅黑" w:cs="微软雅黑"/>
          <w:b w:val="0"/>
          <w:i w:val="0"/>
          <w:color w:val="000000"/>
          <w:kern w:val="0"/>
          <w:sz w:val="24"/>
          <w:szCs w:val="24"/>
          <w:u w:val="none"/>
          <w:shd w:val="clear" w:fill="FFFFFF"/>
          <w:lang w:val="en-US" w:eastAsia="zh-CN" w:bidi="ar"/>
        </w:rPr>
        <w:fldChar w:fldCharType="end"/>
      </w:r>
      <w:r>
        <w:rPr>
          <w:rFonts w:hint="eastAsia" w:ascii="宋体" w:hAnsi="宋体" w:eastAsia="宋体" w:cs="宋体"/>
          <w:b w:val="0"/>
          <w:i w:val="0"/>
          <w:color w:val="000000"/>
          <w:kern w:val="0"/>
          <w:sz w:val="24"/>
          <w:szCs w:val="24"/>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投标人应充分考虑并预留技术处理和上传数据所需时间。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5.2 </w:t>
      </w:r>
      <w:r>
        <w:rPr>
          <w:rFonts w:hint="eastAsia" w:ascii="宋体" w:hAnsi="宋体" w:eastAsia="宋体" w:cs="宋体"/>
          <w:b w:val="0"/>
          <w:i w:val="0"/>
          <w:color w:val="000000"/>
          <w:kern w:val="0"/>
          <w:sz w:val="24"/>
          <w:szCs w:val="24"/>
          <w:u w:val="none"/>
          <w:shd w:val="clear" w:fill="FFFFFF"/>
          <w:lang w:val="en-US" w:eastAsia="zh-CN" w:bidi="ar"/>
        </w:rPr>
        <w:t>投标人对同一项目多个标段进行投标的，电子投标文件应按标段分别提交。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5.3 </w:t>
      </w:r>
      <w:r>
        <w:rPr>
          <w:rFonts w:hint="eastAsia" w:ascii="宋体" w:hAnsi="宋体" w:eastAsia="宋体" w:cs="宋体"/>
          <w:b w:val="0"/>
          <w:i w:val="0"/>
          <w:color w:val="000000"/>
          <w:kern w:val="0"/>
          <w:sz w:val="24"/>
          <w:szCs w:val="24"/>
          <w:u w:val="none"/>
          <w:shd w:val="clear" w:fill="FFFFFF"/>
          <w:lang w:val="en-US" w:eastAsia="zh-CN" w:bidi="ar"/>
        </w:rPr>
        <w:t>电子投标文件成功提交后，投标人应打印“投标文件提交回执单”，供开标现场备查。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2"/>
        <w:jc w:val="left"/>
        <w:rPr>
          <w:b w:val="0"/>
          <w:i w:val="0"/>
        </w:rPr>
      </w:pPr>
      <w:r>
        <w:rPr>
          <w:rFonts w:hint="eastAsia" w:ascii="微软雅黑" w:hAnsi="微软雅黑" w:eastAsia="微软雅黑" w:cs="微软雅黑"/>
          <w:b/>
          <w:i w:val="0"/>
          <w:color w:val="000000"/>
          <w:kern w:val="0"/>
          <w:sz w:val="24"/>
          <w:szCs w:val="24"/>
          <w:u w:val="none"/>
          <w:shd w:val="clear" w:fill="FFFFFF"/>
          <w:lang w:val="en-US" w:eastAsia="zh-CN" w:bidi="ar"/>
        </w:rPr>
        <w:t>6.</w:t>
      </w:r>
      <w:r>
        <w:rPr>
          <w:rFonts w:hint="eastAsia" w:ascii="宋体" w:hAnsi="宋体" w:eastAsia="宋体" w:cs="宋体"/>
          <w:b/>
          <w:i w:val="0"/>
          <w:color w:val="000000"/>
          <w:kern w:val="0"/>
          <w:sz w:val="24"/>
          <w:szCs w:val="24"/>
          <w:u w:val="none"/>
          <w:shd w:val="clear" w:fill="FFFFFF"/>
          <w:lang w:val="en-US" w:eastAsia="zh-CN" w:bidi="ar"/>
        </w:rPr>
        <w:t>评标依据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6.1</w:t>
      </w:r>
      <w:r>
        <w:rPr>
          <w:rFonts w:hint="eastAsia" w:ascii="宋体" w:hAnsi="宋体" w:eastAsia="宋体" w:cs="宋体"/>
          <w:b w:val="0"/>
          <w:i w:val="0"/>
          <w:color w:val="000000"/>
          <w:kern w:val="0"/>
          <w:sz w:val="24"/>
          <w:szCs w:val="24"/>
          <w:u w:val="none"/>
          <w:shd w:val="clear" w:fill="FFFFFF"/>
          <w:lang w:val="en-US" w:eastAsia="zh-CN" w:bidi="ar"/>
        </w:rPr>
        <w:t>采用全流程电子化交易评标时，评标委员会以电子投标文件为依据评标。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06" w:firstLine="480"/>
        <w:jc w:val="left"/>
        <w:rPr>
          <w:b w:val="0"/>
          <w:i w:val="0"/>
        </w:rPr>
      </w:pPr>
      <w:r>
        <w:rPr>
          <w:rFonts w:hint="eastAsia" w:ascii="微软雅黑" w:hAnsi="微软雅黑" w:eastAsia="微软雅黑" w:cs="微软雅黑"/>
          <w:b w:val="0"/>
          <w:i w:val="0"/>
          <w:color w:val="000000"/>
          <w:kern w:val="0"/>
          <w:sz w:val="24"/>
          <w:szCs w:val="24"/>
          <w:u w:val="none"/>
          <w:shd w:val="clear" w:fill="FFFFFF"/>
          <w:lang w:val="en-US" w:eastAsia="zh-CN" w:bidi="ar"/>
        </w:rPr>
        <w:t>6.2</w:t>
      </w:r>
      <w:r>
        <w:rPr>
          <w:rFonts w:hint="eastAsia" w:ascii="宋体" w:hAnsi="宋体" w:eastAsia="宋体" w:cs="宋体"/>
          <w:b w:val="0"/>
          <w:i w:val="0"/>
          <w:color w:val="000000"/>
          <w:kern w:val="0"/>
          <w:sz w:val="24"/>
          <w:szCs w:val="24"/>
          <w:u w:val="none"/>
          <w:shd w:val="clear" w:fill="FFFFFF"/>
          <w:lang w:val="en-US" w:eastAsia="zh-CN" w:bidi="ar"/>
        </w:rPr>
        <w:t>全流程电子化交易如因系统异常情况无法完成，将以人工方式进行。评标委员会以存储有备份文件的电子介质为依据评标。</w:t>
      </w:r>
    </w:p>
    <w:p>
      <w:pPr>
        <w:pStyle w:val="2"/>
        <w:ind w:firstLine="210"/>
      </w:pPr>
    </w:p>
    <w:p>
      <w:pPr>
        <w:autoSpaceDE w:val="0"/>
        <w:autoSpaceDN w:val="0"/>
        <w:adjustRightInd w:val="0"/>
        <w:spacing w:afterLines="50" w:line="400" w:lineRule="exact"/>
        <w:jc w:val="both"/>
        <w:outlineLvl w:val="0"/>
        <w:rPr>
          <w:rFonts w:hint="eastAsia" w:ascii="宋体" w:hAnsi="宋体" w:eastAsia="宋体" w:cs="宋体"/>
          <w:b/>
          <w:bCs/>
          <w:sz w:val="36"/>
          <w:szCs w:val="36"/>
        </w:rPr>
      </w:pPr>
    </w:p>
    <w:p>
      <w:pPr>
        <w:rPr>
          <w:rFonts w:hint="eastAsia" w:ascii="宋体" w:hAnsi="宋体" w:cs="宋体"/>
          <w:b/>
          <w:bCs/>
          <w:sz w:val="44"/>
          <w:szCs w:val="44"/>
        </w:rPr>
      </w:pPr>
      <w:bookmarkStart w:id="8" w:name="_Toc17593"/>
      <w:bookmarkStart w:id="9" w:name="_Toc19466"/>
      <w:bookmarkStart w:id="10" w:name="_Toc15029"/>
      <w:bookmarkStart w:id="11" w:name="_Toc18374"/>
      <w:r>
        <w:rPr>
          <w:rFonts w:hint="eastAsia" w:ascii="宋体" w:hAnsi="宋体" w:cs="宋体"/>
          <w:b/>
          <w:bCs/>
          <w:sz w:val="44"/>
          <w:szCs w:val="44"/>
        </w:rPr>
        <w:br w:type="page"/>
      </w:r>
    </w:p>
    <w:p>
      <w:pPr>
        <w:pStyle w:val="2"/>
        <w:ind w:left="0" w:leftChars="0" w:firstLine="2640" w:firstLineChars="600"/>
        <w:rPr>
          <w:rFonts w:ascii="宋体" w:hAnsi="宋体" w:cs="宋体"/>
          <w:b/>
          <w:bCs/>
          <w:sz w:val="44"/>
          <w:szCs w:val="44"/>
        </w:rPr>
      </w:pPr>
      <w:r>
        <w:rPr>
          <w:rFonts w:hint="eastAsia" w:ascii="宋体" w:hAnsi="宋体" w:cs="宋体"/>
          <w:b/>
          <w:bCs/>
          <w:sz w:val="44"/>
          <w:szCs w:val="44"/>
        </w:rPr>
        <w:t>第二章 投标人须知</w:t>
      </w:r>
      <w:bookmarkEnd w:id="8"/>
      <w:bookmarkEnd w:id="9"/>
      <w:bookmarkEnd w:id="10"/>
      <w:bookmarkEnd w:id="11"/>
      <w:bookmarkStart w:id="12" w:name="_Toc1802"/>
    </w:p>
    <w:p>
      <w:pPr>
        <w:pStyle w:val="34"/>
        <w:widowControl/>
        <w:shd w:val="clear" w:color="060000" w:fill="auto"/>
        <w:spacing w:before="0" w:beforeAutospacing="0" w:after="0" w:afterAutospacing="0" w:line="288" w:lineRule="auto"/>
        <w:outlineLvl w:val="1"/>
        <w:rPr>
          <w:rFonts w:ascii="宋体" w:hAnsi="宋体" w:cs="宋体"/>
          <w:b/>
        </w:rPr>
      </w:pPr>
      <w:bookmarkStart w:id="13" w:name="_Toc21334"/>
      <w:bookmarkStart w:id="14" w:name="_Toc517940855"/>
      <w:r>
        <w:rPr>
          <w:rFonts w:hint="eastAsia" w:ascii="宋体" w:hAnsi="宋体" w:cs="宋体"/>
          <w:b/>
        </w:rPr>
        <w:t>投标人须知前附表</w:t>
      </w:r>
      <w:bookmarkEnd w:id="12"/>
      <w:bookmarkEnd w:id="13"/>
      <w:bookmarkEnd w:id="14"/>
    </w:p>
    <w:tbl>
      <w:tblPr>
        <w:tblStyle w:val="36"/>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305"/>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3"/>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441" w:type="dxa"/>
            <w:vAlign w:val="center"/>
          </w:tcPr>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招标人：</w:t>
            </w:r>
            <w:r>
              <w:rPr>
                <w:rFonts w:hint="eastAsia" w:ascii="宋体" w:hAnsi="宋体" w:cs="宋体"/>
                <w:szCs w:val="24"/>
                <w:lang w:eastAsia="zh-CN"/>
              </w:rPr>
              <w:t>许昌市建安区农村饮水安全项目建设管理局</w:t>
            </w:r>
            <w:r>
              <w:rPr>
                <w:rFonts w:hint="eastAsia" w:ascii="宋体" w:hAnsi="宋体" w:cs="宋体"/>
                <w:szCs w:val="24"/>
              </w:rPr>
              <w:t xml:space="preserve">  </w:t>
            </w:r>
          </w:p>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地  址：许昌市建安区兴业大厦</w:t>
            </w:r>
          </w:p>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联系人：</w:t>
            </w:r>
            <w:r>
              <w:rPr>
                <w:rFonts w:hint="eastAsia" w:cs="宋体"/>
                <w:szCs w:val="24"/>
              </w:rPr>
              <w:t xml:space="preserve">冯洋洋   </w:t>
            </w:r>
          </w:p>
          <w:p>
            <w:pPr>
              <w:pStyle w:val="84"/>
              <w:rPr>
                <w:rFonts w:cs="宋体" w:asciiTheme="minorEastAsia" w:hAnsiTheme="minorEastAsia" w:eastAsiaTheme="minorEastAsia"/>
                <w:sz w:val="24"/>
                <w:szCs w:val="24"/>
              </w:rPr>
            </w:pPr>
            <w:r>
              <w:rPr>
                <w:rFonts w:hint="eastAsia" w:ascii="宋体" w:hAnsi="宋体" w:cs="宋体"/>
                <w:sz w:val="24"/>
                <w:szCs w:val="24"/>
              </w:rPr>
              <w:t>电  话：17703996366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441" w:type="dxa"/>
            <w:vAlign w:val="center"/>
          </w:tcPr>
          <w:p>
            <w:pPr>
              <w:pStyle w:val="34"/>
              <w:widowControl/>
              <w:shd w:val="clear" w:color="060000" w:fill="auto"/>
              <w:spacing w:before="0" w:beforeAutospacing="0" w:after="0" w:afterAutospacing="0" w:line="400" w:lineRule="exact"/>
              <w:rPr>
                <w:rFonts w:ascii="宋体" w:hAnsi="宋体" w:cs="宋体"/>
                <w:szCs w:val="24"/>
              </w:rPr>
            </w:pPr>
            <w:r>
              <w:rPr>
                <w:rFonts w:hint="eastAsia" w:ascii="宋体" w:hAnsi="宋体" w:cs="宋体"/>
                <w:szCs w:val="24"/>
              </w:rPr>
              <w:t>代理机构：</w:t>
            </w:r>
            <w:r>
              <w:rPr>
                <w:rFonts w:hint="eastAsia" w:ascii="宋体" w:hAnsi="宋体" w:cs="宋体"/>
                <w:szCs w:val="24"/>
                <w:lang w:eastAsia="zh-CN"/>
              </w:rPr>
              <w:t>北京东方华太工程咨询有限公司</w:t>
            </w:r>
            <w:r>
              <w:rPr>
                <w:rFonts w:hint="eastAsia" w:ascii="宋体" w:hAnsi="宋体" w:cs="宋体"/>
                <w:szCs w:val="24"/>
              </w:rPr>
              <w:t xml:space="preserve">        </w:t>
            </w:r>
          </w:p>
          <w:p>
            <w:pPr>
              <w:pStyle w:val="34"/>
              <w:widowControl/>
              <w:shd w:val="clear" w:color="060000" w:fill="auto"/>
              <w:spacing w:before="0" w:beforeAutospacing="0" w:after="0" w:afterAutospacing="0" w:line="400" w:lineRule="exact"/>
              <w:rPr>
                <w:rFonts w:hint="default" w:ascii="宋体" w:hAnsi="宋体" w:eastAsia="宋体" w:cs="宋体"/>
                <w:szCs w:val="24"/>
                <w:lang w:val="en-US" w:eastAsia="zh-CN"/>
              </w:rPr>
            </w:pPr>
            <w:r>
              <w:rPr>
                <w:rFonts w:hint="eastAsia" w:ascii="宋体" w:hAnsi="宋体" w:cs="宋体"/>
                <w:szCs w:val="24"/>
              </w:rPr>
              <w:t>地    址：</w:t>
            </w:r>
            <w:r>
              <w:rPr>
                <w:rFonts w:hint="eastAsia" w:ascii="宋体" w:hAnsi="宋体" w:cs="宋体"/>
                <w:szCs w:val="24"/>
                <w:lang w:val="zh-CN"/>
              </w:rPr>
              <w:t>许昌市</w:t>
            </w:r>
            <w:r>
              <w:rPr>
                <w:rFonts w:hint="eastAsia" w:ascii="宋体" w:hAnsi="宋体" w:cs="宋体"/>
                <w:szCs w:val="24"/>
                <w:lang w:val="en-US" w:eastAsia="zh-CN"/>
              </w:rPr>
              <w:t>万象春天1号楼</w:t>
            </w:r>
          </w:p>
          <w:p>
            <w:pPr>
              <w:pStyle w:val="34"/>
              <w:widowControl/>
              <w:shd w:val="clear" w:color="060000" w:fill="auto"/>
              <w:spacing w:before="0" w:beforeAutospacing="0" w:after="0" w:afterAutospacing="0" w:line="400" w:lineRule="exact"/>
              <w:rPr>
                <w:rFonts w:hint="eastAsia" w:eastAsia="宋体" w:cs="宋体"/>
                <w:szCs w:val="24"/>
                <w:lang w:eastAsia="zh-CN"/>
              </w:rPr>
            </w:pPr>
            <w:r>
              <w:rPr>
                <w:rFonts w:hint="eastAsia" w:ascii="宋体" w:hAnsi="宋体" w:cs="宋体"/>
                <w:szCs w:val="24"/>
              </w:rPr>
              <w:t>项目负责人：</w:t>
            </w:r>
            <w:r>
              <w:rPr>
                <w:rFonts w:hint="eastAsia" w:cs="宋体"/>
                <w:szCs w:val="24"/>
                <w:lang w:val="en-US" w:eastAsia="zh-CN"/>
              </w:rPr>
              <w:t>陈帅</w:t>
            </w:r>
          </w:p>
          <w:p>
            <w:pPr>
              <w:pStyle w:val="34"/>
              <w:widowControl/>
              <w:shd w:val="clear" w:color="060000" w:fill="auto"/>
              <w:spacing w:before="0" w:beforeAutospacing="0" w:after="0" w:afterAutospacing="0" w:line="400" w:lineRule="exact"/>
              <w:rPr>
                <w:rFonts w:hint="default" w:eastAsia="宋体" w:cs="宋体" w:asciiTheme="minorEastAsia" w:hAnsiTheme="minorEastAsia"/>
                <w:szCs w:val="24"/>
                <w:lang w:val="en-US" w:eastAsia="zh-CN"/>
              </w:rPr>
            </w:pPr>
            <w:r>
              <w:rPr>
                <w:rFonts w:hint="eastAsia" w:cs="宋体"/>
                <w:szCs w:val="24"/>
              </w:rPr>
              <w:t>电    话：</w:t>
            </w:r>
            <w:r>
              <w:rPr>
                <w:rFonts w:hint="eastAsia" w:ascii="宋体" w:hAnsi="宋体" w:cs="宋体"/>
                <w:szCs w:val="24"/>
                <w:lang w:val="en-US" w:eastAsia="zh-CN"/>
              </w:rPr>
              <w:t>136703741655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384" w:type="dxa"/>
            <w:gridSpan w:val="3"/>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ascii="宋体" w:hAnsi="宋体" w:cs="宋体"/>
                <w:kern w:val="0"/>
                <w:sz w:val="24"/>
                <w:szCs w:val="24"/>
                <w:lang w:val="en-US" w:eastAsia="zh-CN" w:bidi="ar-SA"/>
              </w:rPr>
              <w:t>许昌市建安区新增农村饮水安全水厂水源井项目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asciiTheme="minorEastAsia" w:hAnsiTheme="minorEastAsia" w:eastAsiaTheme="minorEastAsia"/>
                <w:sz w:val="24"/>
              </w:rPr>
              <w:t>本工程</w:t>
            </w:r>
            <w:r>
              <w:rPr>
                <w:rFonts w:hint="eastAsia" w:asciiTheme="minorEastAsia" w:hAnsiTheme="minorEastAsia" w:eastAsiaTheme="minorEastAsia"/>
                <w:sz w:val="24"/>
                <w:lang w:val="en-US" w:eastAsia="zh-CN"/>
              </w:rPr>
              <w:t>位于许昌市建安区桂村乡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本项目共划分</w:t>
            </w: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441" w:type="dxa"/>
            <w:vAlign w:val="center"/>
          </w:tcPr>
          <w:p>
            <w:pPr>
              <w:spacing w:line="400" w:lineRule="exact"/>
              <w:rPr>
                <w:rFonts w:cs="宋体" w:asciiTheme="minorEastAsia" w:hAnsiTheme="minorEastAsia"/>
                <w:kern w:val="0"/>
                <w:sz w:val="24"/>
              </w:rPr>
            </w:pPr>
            <w:r>
              <w:rPr>
                <w:rFonts w:hint="eastAsia" w:ascii="宋体" w:hAnsi="宋体"/>
                <w:sz w:val="24"/>
              </w:rPr>
              <w:t>为招标文件、工程量清单、施工图纸、设计变更（如有）及答疑纪要（如有）范围内的所有工程内容。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投标人资格要求</w:t>
            </w:r>
          </w:p>
        </w:tc>
        <w:tc>
          <w:tcPr>
            <w:tcW w:w="6441" w:type="dxa"/>
            <w:vAlign w:val="center"/>
          </w:tcPr>
          <w:p>
            <w:pPr>
              <w:adjustRightInd w:val="0"/>
              <w:snapToGrid w:val="0"/>
              <w:spacing w:line="360" w:lineRule="auto"/>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1、投</w:t>
            </w:r>
            <w:r>
              <w:rPr>
                <w:rFonts w:hint="eastAsia" w:asciiTheme="minorEastAsia" w:hAnsiTheme="minorEastAsia" w:eastAsiaTheme="minorEastAsia"/>
                <w:sz w:val="24"/>
              </w:rPr>
              <w:t>标人具有独立企业法人资格</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有效的营业执照。</w:t>
            </w:r>
            <w:r>
              <w:rPr>
                <w:rFonts w:hint="eastAsia" w:asciiTheme="minorEastAsia" w:hAnsiTheme="minorEastAsia" w:eastAsiaTheme="minorEastAsia"/>
                <w:sz w:val="24"/>
              </w:rPr>
              <w:t>具备水利水电工程施工总承包</w:t>
            </w:r>
            <w:r>
              <w:rPr>
                <w:rFonts w:hint="eastAsia" w:asciiTheme="minorEastAsia" w:hAnsiTheme="minorEastAsia" w:eastAsiaTheme="minorEastAsia"/>
                <w:sz w:val="24"/>
                <w:lang w:val="en-US" w:eastAsia="zh-CN"/>
              </w:rPr>
              <w:t>叁</w:t>
            </w:r>
            <w:r>
              <w:rPr>
                <w:rFonts w:hint="eastAsia" w:asciiTheme="minorEastAsia" w:hAnsiTheme="minorEastAsia" w:eastAsiaTheme="minorEastAsia"/>
                <w:sz w:val="24"/>
              </w:rPr>
              <w:t>级及以上资质且具有有效的安全生产许可证；并在人员、设备、资金等方面具有相应的施工能力。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拟派项目负责人必须具备水利水电</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专业二级以上（含二级）注册建造师资格（不含临时），具有水利水电工程相关专业中级及以上技术职称，且无在建工程（出具加盖公章的无在建工程承诺书）。技术负责人应具有水利水电工程相关专业中级及以上技术职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拟派项目负责人和专职安全员应取得水行政主管部门核发的安全生产考核合格证。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、未被列入“信用中国”网站（www.creditchina.gov.cn）</w:t>
            </w:r>
            <w:r>
              <w:rPr>
                <w:rFonts w:hint="eastAsia" w:asciiTheme="minorEastAsia" w:hAnsiTheme="minorEastAsia" w:eastAsiaTheme="minorEastAsia"/>
                <w:sz w:val="24"/>
                <w:lang w:val="en-US" w:eastAsia="zh-CN"/>
              </w:rPr>
              <w:t>经营异常名录或</w:t>
            </w:r>
            <w:r>
              <w:rPr>
                <w:rFonts w:hint="eastAsia" w:asciiTheme="minorEastAsia" w:hAnsiTheme="minorEastAsia" w:eastAsiaTheme="minorEastAsia"/>
                <w:sz w:val="24"/>
              </w:rPr>
              <w:t>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r>
              <w:rPr>
                <w:rFonts w:ascii="宋体" w:hAnsi="宋体" w:cs="宋体"/>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384" w:type="dxa"/>
            <w:gridSpan w:val="3"/>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441" w:type="dxa"/>
            <w:vAlign w:val="center"/>
          </w:tcPr>
          <w:p>
            <w:pPr>
              <w:spacing w:line="400" w:lineRule="exact"/>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384" w:type="dxa"/>
            <w:gridSpan w:val="3"/>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384" w:type="dxa"/>
            <w:gridSpan w:val="3"/>
            <w:vAlign w:val="center"/>
          </w:tcPr>
          <w:p>
            <w:pPr>
              <w:spacing w:line="400" w:lineRule="exact"/>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招标文件及图纸的下载</w:t>
            </w:r>
          </w:p>
        </w:tc>
        <w:tc>
          <w:tcPr>
            <w:tcW w:w="6441" w:type="dxa"/>
          </w:tcPr>
          <w:p>
            <w:pPr>
              <w:autoSpaceDE w:val="0"/>
              <w:autoSpaceDN w:val="0"/>
              <w:adjustRightInd w:val="0"/>
              <w:spacing w:line="400" w:lineRule="exact"/>
              <w:rPr>
                <w:rFonts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招标文件的获取：投标人于投标文件递交截止时间前均可登录《全国公共资源交易平台(河南省▪许昌市)》，通过“投标人/供应商登录”后自行下载。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441" w:type="dxa"/>
            <w:vAlign w:val="center"/>
          </w:tcPr>
          <w:p>
            <w:pPr>
              <w:spacing w:line="400" w:lineRule="exact"/>
              <w:rPr>
                <w:rFonts w:cs="宋体" w:asciiTheme="minorEastAsia" w:hAnsiTheme="minorEastAsia" w:eastAsiaTheme="minorEastAsia"/>
                <w:color w:val="FF0000"/>
                <w:sz w:val="24"/>
              </w:rPr>
            </w:pPr>
            <w:r>
              <w:rPr>
                <w:rFonts w:hint="eastAsia" w:asciiTheme="minorEastAsia" w:hAnsiTheme="minorEastAsia" w:eastAsiaTheme="minorEastAsia"/>
                <w:sz w:val="24"/>
              </w:rPr>
              <w:t>2020年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日09时30分</w:t>
            </w:r>
            <w:r>
              <w:rPr>
                <w:rFonts w:hint="eastAsia" w:cs="宋体"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38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384" w:type="dxa"/>
            <w:gridSpan w:val="3"/>
            <w:vAlign w:val="center"/>
          </w:tcPr>
          <w:p>
            <w:pPr>
              <w:autoSpaceDE w:val="0"/>
              <w:autoSpaceDN w:val="0"/>
              <w:adjustRightInd w:val="0"/>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41" w:type="dxa"/>
            <w:vAlign w:val="center"/>
          </w:tcPr>
          <w:p>
            <w:pPr>
              <w:autoSpaceDE w:val="0"/>
              <w:autoSpaceDN w:val="0"/>
              <w:adjustRightInd w:val="0"/>
              <w:spacing w:line="400" w:lineRule="exact"/>
              <w:jc w:val="left"/>
              <w:rPr>
                <w:rFonts w:asciiTheme="minorEastAsia" w:hAnsiTheme="minorEastAsia"/>
                <w:sz w:val="24"/>
              </w:rPr>
            </w:pPr>
            <w:r>
              <w:rPr>
                <w:rFonts w:hint="eastAsia" w:hAnsi="宋体" w:cs="仿宋_GB2312"/>
                <w:sz w:val="24"/>
              </w:rPr>
              <w:t>详见附表三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年、201</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年、201</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384" w:type="dxa"/>
            <w:gridSpan w:val="3"/>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441" w:type="dxa"/>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spacing w:line="400" w:lineRule="exact"/>
              <w:rPr>
                <w:rFonts w:cs="宋体" w:asciiTheme="minorEastAsia" w:hAnsiTheme="minorEastAsia" w:eastAsiaTheme="minorEastAsia"/>
                <w:kern w:val="0"/>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384" w:type="dxa"/>
            <w:gridSpan w:val="3"/>
            <w:vAlign w:val="center"/>
          </w:tcPr>
          <w:p>
            <w:pPr>
              <w:autoSpaceDE w:val="0"/>
              <w:autoSpaceDN w:val="0"/>
              <w:adjustRightInd w:val="0"/>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装订要求</w:t>
            </w:r>
          </w:p>
        </w:tc>
        <w:tc>
          <w:tcPr>
            <w:tcW w:w="6441" w:type="dxa"/>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招标人地址：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项目名称） (标段名称)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投标人名称：（盖章）</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441" w:type="dxa"/>
            <w:vAlign w:val="center"/>
          </w:tcPr>
          <w:p>
            <w:pPr>
              <w:spacing w:line="400" w:lineRule="exact"/>
              <w:rPr>
                <w:rFonts w:cs="宋体" w:asciiTheme="minorEastAsia" w:hAnsiTheme="minorEastAsia" w:eastAsiaTheme="minorEastAsia"/>
                <w:kern w:val="0"/>
                <w:sz w:val="24"/>
              </w:rPr>
            </w:pPr>
            <w:r>
              <w:rPr>
                <w:rFonts w:hint="eastAsia" w:hAnsi="宋体" w:cs="宋体"/>
                <w:sz w:val="24"/>
                <w:szCs w:val="22"/>
              </w:rPr>
              <w:t>许昌市建安区新元大道兴业大厦4楼开标</w:t>
            </w:r>
            <w:r>
              <w:rPr>
                <w:rFonts w:hint="eastAsia" w:hAnsi="宋体" w:cs="宋体"/>
                <w:sz w:val="24"/>
                <w:szCs w:val="22"/>
                <w:lang w:val="en-US" w:eastAsia="zh-CN"/>
              </w:rPr>
              <w:t>一</w:t>
            </w:r>
            <w:r>
              <w:rPr>
                <w:rFonts w:hint="eastAsia" w:hAnsi="宋体" w:cs="宋体"/>
                <w:sz w:val="24"/>
                <w:szCs w:val="22"/>
              </w:rPr>
              <w:t>室</w:t>
            </w:r>
            <w:r>
              <w:rPr>
                <w:rFonts w:hint="eastAsia" w:hAnsi="宋体"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密封情况检查：由投标人代表对密封情况进行检查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384"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评标委员会构成：从河南省综合评标专家库中随机抽取相关经济、技术</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人和招标人代表</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名，其中含造价专业</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人。</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384" w:type="dxa"/>
            <w:gridSpan w:val="3"/>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w:t>
            </w:r>
          </w:p>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确定中标人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5"/>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5"/>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305"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441" w:type="dxa"/>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年1月1日以来承建过的水利水电工程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305"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400" w:lineRule="exact"/>
              <w:rPr>
                <w:rFonts w:cs="宋体" w:asciiTheme="minorEastAsia" w:hAnsiTheme="minorEastAsia" w:eastAsiaTheme="minorEastAsia"/>
                <w:kern w:val="0"/>
                <w:sz w:val="24"/>
              </w:rPr>
            </w:pP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本工程设招标控制价： </w:t>
            </w:r>
          </w:p>
          <w:p>
            <w:pPr>
              <w:keepNext/>
              <w:spacing w:line="400" w:lineRule="exact"/>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伍佰柒拾柒万叁仟壹佰伍拾玖元柒角伍分</w:t>
            </w:r>
          </w:p>
          <w:p>
            <w:pPr>
              <w:keepNext/>
              <w:spacing w:line="400" w:lineRule="exac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cs="宋体" w:asciiTheme="minorEastAsia" w:hAnsiTheme="minorEastAsia" w:eastAsiaTheme="minorEastAsia"/>
                <w:b/>
                <w:bCs/>
                <w:kern w:val="0"/>
                <w:sz w:val="24"/>
                <w:lang w:val="en-US" w:eastAsia="zh-CN"/>
              </w:rPr>
              <w:t>5773159.75</w:t>
            </w:r>
            <w:r>
              <w:rPr>
                <w:rFonts w:hint="eastAsia" w:cs="宋体" w:asciiTheme="minorEastAsia" w:hAnsiTheme="minorEastAsia" w:eastAsiaTheme="minorEastAsia"/>
                <w:b/>
                <w:bCs/>
                <w:kern w:val="0"/>
                <w:sz w:val="24"/>
              </w:rPr>
              <w:t>元</w:t>
            </w:r>
          </w:p>
          <w:p>
            <w:pPr>
              <w:spacing w:line="400" w:lineRule="exac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10.2.2</w:t>
            </w:r>
          </w:p>
        </w:tc>
        <w:tc>
          <w:tcPr>
            <w:tcW w:w="2305" w:type="dxa"/>
            <w:vAlign w:val="center"/>
          </w:tcPr>
          <w:p>
            <w:pPr>
              <w:spacing w:line="340" w:lineRule="exact"/>
              <w:ind w:firstLine="480" w:firstLineChars="200"/>
              <w:rPr>
                <w:rFonts w:hAnsi="宋体" w:cs="宋体"/>
                <w:sz w:val="24"/>
              </w:rPr>
            </w:pPr>
            <w:r>
              <w:rPr>
                <w:rFonts w:hint="eastAsia" w:hAnsi="宋体" w:cs="宋体"/>
                <w:sz w:val="24"/>
              </w:rPr>
              <w:t>履约保证金</w:t>
            </w:r>
          </w:p>
        </w:tc>
        <w:tc>
          <w:tcPr>
            <w:tcW w:w="6441" w:type="dxa"/>
            <w:vAlign w:val="center"/>
          </w:tcPr>
          <w:p>
            <w:pPr>
              <w:spacing w:line="340" w:lineRule="exact"/>
              <w:rPr>
                <w:rFonts w:hAnsi="宋体" w:cs="宋体"/>
                <w:sz w:val="24"/>
              </w:rPr>
            </w:pPr>
            <w:r>
              <w:rPr>
                <w:rFonts w:hint="eastAsia" w:hAnsi="宋体" w:cs="宋体"/>
                <w:sz w:val="24"/>
              </w:rPr>
              <w:t>不超过中标合同金额的</w:t>
            </w:r>
            <w:r>
              <w:rPr>
                <w:rFonts w:hint="eastAsia" w:hAnsi="宋体" w:cs="宋体"/>
                <w:sz w:val="24"/>
                <w:lang w:val="en-US" w:eastAsia="zh-CN"/>
              </w:rPr>
              <w:t>5</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ind w:firstLine="352" w:firstLineChars="147"/>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在中标通知书发出前，招标人将中标候选人的情况在《全国公共资源交易平台(河南省</w:t>
            </w:r>
            <w:r>
              <w:rPr>
                <w:rFonts w:hint="eastAsia" w:hAnsi="MS Mincho" w:eastAsia="MS Mincho" w:cs="MS Mincho" w:asciiTheme="minorEastAsia"/>
                <w:sz w:val="24"/>
              </w:rPr>
              <w:t>▪</w:t>
            </w:r>
            <w:r>
              <w:rPr>
                <w:rFonts w:hint="eastAsia" w:cs="宋体" w:asciiTheme="minorEastAsia" w:hAnsiTheme="minorEastAsia" w:eastAsiaTheme="minorEastAsia"/>
                <w:sz w:val="24"/>
              </w:rPr>
              <w:t>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kern w:val="0"/>
                <w:sz w:val="24"/>
              </w:rPr>
            </w:pPr>
          </w:p>
        </w:tc>
        <w:tc>
          <w:tcPr>
            <w:tcW w:w="8765"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1、投标文件逾期送达或未送达指定地点的；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2、未按招标文件要求密封和标识的；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仿宋_GB2312" w:asciiTheme="minorEastAsia" w:hAnsiTheme="minorEastAsia" w:eastAsiaTheme="minorEastAsia"/>
                <w:sz w:val="24"/>
              </w:rPr>
              <w:t>未按招标文件要求缴纳投标保证金的；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4、开标时授权委托人（须持有效的授权委托书）未携带本人身份证到开标现场并签到的；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5、未按规定支付招标文件费用的；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5"/>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招标文件及有关资料费：100元/标段，售后不退。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投标人在递交投标文件时向代理公司缴纳招标文件费用。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5"/>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2、潜在投标人如对招标文件有异议，请在规定时间内在《全国公共资源交易平台（河南省·许昌市）》公共资源交易系统中提出，以其他方式递交的异议不予接受。</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4、本项目试行全流程电子化交易，如因交易系统异常情况无法完成，将以人工方式进行。</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5、投标文件依据最终的招标文件进行编制。如果招标文件发生变更，投标人应以招标人最终发出的电子招标文件为准，编制投标文件，务请投标人随时关注项目变更信息。</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6、投标人电子投标文件成功提交后，应打印“投标文件提交回执单”，供开标现场备查。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7、商务标投标文件制作注意事项：</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7.1 投标人登录《全国公共资源交易平台（河南省·许昌市）》公共资源交易系统下载“许昌投标文件制作系统SEARUN V1.1” 和操作手册（工程项目），按招标文件要求制作商务标投标文件。</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 商务标投标文件制作技术咨询：0374-2961598。</w:t>
            </w:r>
          </w:p>
          <w:p>
            <w:pPr>
              <w:spacing w:line="400" w:lineRule="exact"/>
            </w:pPr>
            <w:r>
              <w:rPr>
                <w:rFonts w:hint="eastAsia" w:cs="宋体" w:asciiTheme="minorEastAsia" w:hAnsiTheme="minorEastAsia" w:eastAsiaTheme="minorEastAsia"/>
                <w:b/>
                <w:bCs/>
                <w:kern w:val="0"/>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7"/>
        <w:spacing w:before="0" w:after="0" w:line="440" w:lineRule="exact"/>
        <w:rPr>
          <w:rFonts w:hint="eastAsia" w:ascii="宋体" w:hAnsi="宋体" w:eastAsia="宋体" w:cs="宋体"/>
          <w:bCs w:val="0"/>
          <w:sz w:val="24"/>
          <w:szCs w:val="24"/>
        </w:rPr>
      </w:pPr>
      <w:bookmarkStart w:id="15" w:name="_Toc1059"/>
      <w:bookmarkStart w:id="16" w:name="_Toc215282127"/>
      <w:bookmarkStart w:id="17" w:name="_Toc517940866"/>
      <w:bookmarkStart w:id="18" w:name="_Toc215282133"/>
    </w:p>
    <w:p>
      <w:pPr>
        <w:pStyle w:val="7"/>
        <w:spacing w:before="0" w:after="0" w:line="440" w:lineRule="exact"/>
        <w:rPr>
          <w:rFonts w:hint="eastAsia" w:ascii="宋体" w:hAnsi="宋体" w:eastAsia="宋体" w:cs="宋体"/>
          <w:bCs w:val="0"/>
          <w:sz w:val="24"/>
          <w:szCs w:val="24"/>
        </w:rPr>
      </w:pPr>
    </w:p>
    <w:p>
      <w:pPr>
        <w:pStyle w:val="7"/>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1. 总则</w:t>
      </w:r>
      <w:bookmarkEnd w:id="15"/>
      <w:bookmarkEnd w:id="16"/>
      <w:bookmarkEnd w:id="17"/>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19" w:name="_Toc152042306"/>
      <w:bookmarkStart w:id="20" w:name="_Toc152045530"/>
      <w:bookmarkStart w:id="21" w:name="_Toc179632547"/>
      <w:bookmarkStart w:id="22" w:name="_Toc144974498"/>
      <w:r>
        <w:rPr>
          <w:rFonts w:hint="eastAsia" w:cs="宋体" w:asciiTheme="minorEastAsia" w:hAnsiTheme="minorEastAsia" w:eastAsiaTheme="minorEastAsia"/>
          <w:b/>
          <w:bCs/>
          <w:sz w:val="24"/>
        </w:rPr>
        <w:t>1.1 项目概况</w:t>
      </w:r>
      <w:bookmarkEnd w:id="19"/>
      <w:bookmarkEnd w:id="20"/>
      <w:bookmarkEnd w:id="21"/>
      <w:bookmarkEnd w:id="22"/>
      <w:r>
        <w:rPr>
          <w:rFonts w:hint="eastAsia" w:cs="宋体" w:asciiTheme="minorEastAsia" w:hAnsiTheme="minorEastAsia" w:eastAsiaTheme="minorEastAsia"/>
          <w:b/>
          <w:bCs/>
          <w:sz w:val="24"/>
        </w:rPr>
        <w:tab/>
      </w:r>
    </w:p>
    <w:p>
      <w:pPr>
        <w:pStyle w:val="84"/>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 本招标项目招标人：见投标人须知前附表。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1.1.4 本招标项目地点：见投标人须知前附表。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23" w:name="_Toc152042307"/>
      <w:bookmarkStart w:id="24" w:name="_Toc144974499"/>
      <w:bookmarkStart w:id="25" w:name="_Toc179632548"/>
      <w:bookmarkStart w:id="26" w:name="_Toc152045531"/>
      <w:r>
        <w:rPr>
          <w:rFonts w:hint="eastAsia" w:cs="宋体" w:asciiTheme="minorEastAsia" w:hAnsiTheme="minorEastAsia" w:eastAsiaTheme="minorEastAsia"/>
          <w:b/>
          <w:bCs/>
          <w:sz w:val="24"/>
        </w:rPr>
        <w:t>1.2 资金来源和落实情况</w:t>
      </w:r>
      <w:bookmarkEnd w:id="23"/>
      <w:bookmarkEnd w:id="24"/>
      <w:bookmarkEnd w:id="25"/>
      <w:bookmarkEnd w:id="26"/>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1.2.1 本招标项目的资金来源及出资比例：见投标人须知前附表。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1.2.2本招标项目的资金落实情况：见投标人须知前附表。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27" w:name="_Toc144974500"/>
      <w:bookmarkStart w:id="28" w:name="_Toc179632549"/>
      <w:bookmarkStart w:id="29" w:name="_Toc152045532"/>
      <w:bookmarkStart w:id="30" w:name="_Toc152042308"/>
      <w:r>
        <w:rPr>
          <w:rFonts w:hint="eastAsia" w:cs="宋体" w:asciiTheme="minorEastAsia" w:hAnsiTheme="minorEastAsia" w:eastAsiaTheme="minorEastAsia"/>
          <w:b/>
          <w:bCs/>
          <w:sz w:val="24"/>
        </w:rPr>
        <w:t>1.3 标段划分、招标范围、工期和质量要求</w:t>
      </w:r>
      <w:bookmarkEnd w:id="27"/>
      <w:bookmarkEnd w:id="28"/>
      <w:bookmarkEnd w:id="29"/>
      <w:bookmarkEnd w:id="3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1.3.1 标段划分：见投标人须知前附表。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1.3.2本招标项目的招标范围：见投标人须知前附表。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1.3.3 本招标项目的计划工期要求：见投标人须知前附表。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1.3.4 本招标项目的质量要求：见投标人须知前附表。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bCs/>
          <w:sz w:val="24"/>
        </w:rPr>
      </w:pPr>
      <w:bookmarkStart w:id="31" w:name="_Toc179632550"/>
      <w:bookmarkStart w:id="32" w:name="_Toc152042309"/>
      <w:bookmarkStart w:id="33" w:name="_Toc144974501"/>
      <w:bookmarkStart w:id="34" w:name="_Toc152045533"/>
      <w:r>
        <w:rPr>
          <w:rFonts w:hint="eastAsia" w:cs="宋体" w:asciiTheme="minorEastAsia" w:hAnsiTheme="minorEastAsia" w:eastAsiaTheme="minorEastAsia"/>
          <w:b/>
          <w:bCs/>
          <w:sz w:val="24"/>
        </w:rPr>
        <w:t>1.4 投标人及技术负责人资格要求</w:t>
      </w:r>
      <w:bookmarkEnd w:id="31"/>
      <w:bookmarkEnd w:id="32"/>
      <w:bookmarkEnd w:id="33"/>
      <w:bookmarkEnd w:id="34"/>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1.4.1投标人资格要求：见投标人须知前附表。</w:t>
      </w:r>
      <w:bookmarkStart w:id="35" w:name="_Toc152045534"/>
      <w:bookmarkStart w:id="36" w:name="_Toc144974502"/>
      <w:bookmarkStart w:id="37" w:name="_Toc270513360"/>
      <w:bookmarkStart w:id="38" w:name="_Toc15204231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1.4.2本项目不接受联合体投标。</w:t>
      </w:r>
      <w:bookmarkEnd w:id="35"/>
      <w:bookmarkEnd w:id="36"/>
      <w:bookmarkEnd w:id="37"/>
      <w:bookmarkEnd w:id="38"/>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1.4.3投标人不得存在下列情形之一：</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（1）为招标人不具有独立法人资格的附属机构（单位）；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（2）为本标段前期准备提供设计或咨询服务的；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（3）为本标段的监理人；</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（4）为本标段的代建人；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（5）为本标段提供招标代理服务的；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（6）与本标段的监理人或代建人或招标代理机构同为一个法定代表人的；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（7）与本标段的监理人或代建人或招标代理机构相互控股或参股的；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（8）与本标段的监理人或代建人或招标代理机构相互任职或工作的；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（9）被责令停业的；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（10）被暂停或取消投标资格的； </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（11）财产被接管或冻结的。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（12）在最近三年内有骗取中标或严重违约或重大工程质量问题的。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1.5 费用承担</w:t>
      </w:r>
      <w:bookmarkEnd w:id="18"/>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投标人准备和参加投标活动发生的费用自理。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39" w:name="_Toc215282134"/>
      <w:r>
        <w:rPr>
          <w:rFonts w:hint="eastAsia" w:cs="宋体" w:asciiTheme="minorEastAsia" w:hAnsiTheme="minorEastAsia" w:eastAsiaTheme="minorEastAsia"/>
          <w:b/>
          <w:sz w:val="24"/>
        </w:rPr>
        <w:t>1.6 保密</w:t>
      </w:r>
      <w:bookmarkEnd w:id="3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0" w:name="_Toc215282135"/>
      <w:r>
        <w:rPr>
          <w:rFonts w:hint="eastAsia" w:cs="宋体" w:asciiTheme="minorEastAsia" w:hAnsiTheme="minorEastAsia" w:eastAsiaTheme="minorEastAsia"/>
          <w:b/>
          <w:sz w:val="24"/>
        </w:rPr>
        <w:t>1.7 语言文字</w:t>
      </w:r>
      <w:bookmarkEnd w:id="4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除专用术语外，与招标投标有关的语言均使用中文。必要时专用术语应附有中文注释。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1" w:name="_Toc215282136"/>
      <w:r>
        <w:rPr>
          <w:rFonts w:hint="eastAsia" w:cs="宋体" w:asciiTheme="minorEastAsia" w:hAnsiTheme="minorEastAsia" w:eastAsiaTheme="minorEastAsia"/>
          <w:b/>
          <w:sz w:val="24"/>
        </w:rPr>
        <w:t>1.8 计量单位</w:t>
      </w:r>
      <w:bookmarkEnd w:id="41"/>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所有计量均采用中华人民共和国法定计量单位。</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2" w:name="_Toc215282137"/>
      <w:r>
        <w:rPr>
          <w:rFonts w:hint="eastAsia" w:cs="宋体" w:asciiTheme="minorEastAsia" w:hAnsiTheme="minorEastAsia" w:eastAsiaTheme="minorEastAsia"/>
          <w:b/>
          <w:sz w:val="24"/>
        </w:rPr>
        <w:t>1.9 踏勘现场</w:t>
      </w:r>
      <w:bookmarkEnd w:id="42"/>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1.9.1招标人不组织踏勘现场，投标人可自行踏勘现场。</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1.9.2 投标人踏勘现场发生的费用自理。</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1.9.3 除招标人的原因外，投标人自行负责在踏勘现场中所发生的人员伤亡和财产损失。</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3" w:name="_Toc215282138"/>
      <w:r>
        <w:rPr>
          <w:rFonts w:hint="eastAsia" w:cs="宋体" w:asciiTheme="minorEastAsia" w:hAnsiTheme="minorEastAsia" w:eastAsiaTheme="minorEastAsia"/>
          <w:b/>
          <w:sz w:val="24"/>
        </w:rPr>
        <w:t>1.10 投标预备会</w:t>
      </w:r>
      <w:bookmarkEnd w:id="43"/>
      <w:r>
        <w:rPr>
          <w:rFonts w:hint="eastAsia" w:cs="宋体" w:asciiTheme="minorEastAsia" w:hAnsiTheme="minorEastAsia" w:eastAsiaTheme="minorEastAsia"/>
          <w:b/>
          <w:sz w:val="24"/>
        </w:rPr>
        <w:t>（无）</w:t>
      </w:r>
      <w:bookmarkStart w:id="44" w:name="_Toc21528213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1.11 分包</w:t>
      </w:r>
      <w:bookmarkEnd w:id="44"/>
      <w:r>
        <w:rPr>
          <w:rFonts w:hint="eastAsia" w:cs="宋体" w:asciiTheme="minorEastAsia" w:hAnsiTheme="minorEastAsia" w:eastAsiaTheme="minorEastAsia"/>
          <w:b/>
          <w:sz w:val="24"/>
        </w:rPr>
        <w:t>（见投标人须知前附表）</w:t>
      </w:r>
      <w:bookmarkStart w:id="45" w:name="_Toc215282140"/>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1.12 偏离</w:t>
      </w:r>
      <w:bookmarkEnd w:id="45"/>
      <w:r>
        <w:rPr>
          <w:rFonts w:hint="eastAsia" w:cs="宋体" w:asciiTheme="minorEastAsia" w:hAnsiTheme="minorEastAsia" w:eastAsiaTheme="minorEastAsia"/>
          <w:b/>
          <w:sz w:val="24"/>
        </w:rPr>
        <w:t>（不允许）</w:t>
      </w:r>
      <w:bookmarkStart w:id="46" w:name="_Toc215282141"/>
    </w:p>
    <w:p>
      <w:pPr>
        <w:pStyle w:val="7"/>
        <w:spacing w:before="0" w:after="0" w:line="420" w:lineRule="exact"/>
        <w:ind w:firstLine="480" w:firstLineChars="200"/>
        <w:rPr>
          <w:rFonts w:asciiTheme="minorEastAsia" w:hAnsiTheme="minorEastAsia" w:eastAsiaTheme="minorEastAsia"/>
          <w:bCs w:val="0"/>
          <w:sz w:val="24"/>
          <w:szCs w:val="24"/>
        </w:rPr>
      </w:pPr>
      <w:bookmarkStart w:id="47" w:name="_Toc517940867"/>
      <w:bookmarkStart w:id="48" w:name="_Toc14209"/>
      <w:r>
        <w:rPr>
          <w:rFonts w:hint="eastAsia" w:asciiTheme="minorEastAsia" w:hAnsiTheme="minorEastAsia" w:eastAsiaTheme="minorEastAsia"/>
          <w:bCs w:val="0"/>
          <w:sz w:val="24"/>
          <w:szCs w:val="24"/>
        </w:rPr>
        <w:t>2. 招标文件</w:t>
      </w:r>
      <w:bookmarkEnd w:id="46"/>
      <w:bookmarkEnd w:id="47"/>
      <w:bookmarkEnd w:id="48"/>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49" w:name="_Toc215282142"/>
      <w:r>
        <w:rPr>
          <w:rFonts w:hint="eastAsia" w:cs="宋体" w:asciiTheme="minorEastAsia" w:hAnsiTheme="minorEastAsia" w:eastAsiaTheme="minorEastAsia"/>
          <w:b/>
          <w:sz w:val="24"/>
        </w:rPr>
        <w:t>2.1 招标文件的组成</w:t>
      </w:r>
      <w:bookmarkEnd w:id="4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本招标文件包括：</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（1）招标公告；</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（2）投标人须知；</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（3）评标办法；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（4）合同条款及格式；</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（5）工程量清单；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（6）图纸；</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（7）技术标准和要求；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（8）投标文件格式；</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（9）投标人须知前附表规定的其他材料。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根据本章第2.2 款和第2.3款对招标文件所作的澄清、修改，构成招标文件的组成部分。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0" w:name="_Toc215282143"/>
      <w:r>
        <w:rPr>
          <w:rFonts w:hint="eastAsia" w:cs="宋体" w:asciiTheme="minorEastAsia" w:hAnsiTheme="minorEastAsia" w:eastAsiaTheme="minorEastAsia"/>
          <w:b/>
          <w:sz w:val="24"/>
        </w:rPr>
        <w:t>2.2 招标文件的澄清</w:t>
      </w:r>
      <w:bookmarkEnd w:id="5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cs="宋体" w:asciiTheme="minorEastAsia" w:hAnsiTheme="minorEastAsia" w:eastAsiaTheme="minorEastAsia"/>
          <w:b/>
          <w:bCs/>
          <w:sz w:val="24"/>
        </w:rPr>
        <w:t>如未提出异议，视为全面接受。</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2.2.3 所有澄清、答疑全部以公共资源交易系统电子平台发出的为准，不再接受书面形式的递交。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2.3 招标文件的修改</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 当招标文件（含评标、定标办法）、补充通知、答疑纪要，内容相互矛盾时，以最后发出的通知（或纪要）为准。</w:t>
      </w:r>
    </w:p>
    <w:p>
      <w:pPr>
        <w:pStyle w:val="7"/>
        <w:spacing w:before="0" w:after="0" w:line="420" w:lineRule="exact"/>
        <w:ind w:firstLine="480" w:firstLineChars="200"/>
        <w:rPr>
          <w:rFonts w:cs="宋体" w:asciiTheme="minorEastAsia" w:hAnsiTheme="minorEastAsia" w:eastAsiaTheme="minorEastAsia"/>
          <w:sz w:val="24"/>
          <w:szCs w:val="24"/>
        </w:rPr>
      </w:pPr>
      <w:bookmarkStart w:id="51" w:name="_Toc215282145"/>
      <w:bookmarkStart w:id="52" w:name="_Toc30979"/>
      <w:bookmarkStart w:id="53" w:name="_Toc517940868"/>
      <w:r>
        <w:rPr>
          <w:rFonts w:hint="eastAsia" w:asciiTheme="minorEastAsia" w:hAnsiTheme="minorEastAsia" w:eastAsiaTheme="minorEastAsia"/>
          <w:bCs w:val="0"/>
          <w:sz w:val="24"/>
          <w:szCs w:val="24"/>
        </w:rPr>
        <w:t>3. 投标文件</w:t>
      </w:r>
      <w:bookmarkEnd w:id="51"/>
      <w:bookmarkEnd w:id="52"/>
      <w:bookmarkEnd w:id="5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4" w:name="_Toc215282146"/>
      <w:r>
        <w:rPr>
          <w:rFonts w:hint="eastAsia" w:cs="宋体" w:asciiTheme="minorEastAsia" w:hAnsiTheme="minorEastAsia" w:eastAsiaTheme="minorEastAsia"/>
          <w:b/>
          <w:sz w:val="24"/>
        </w:rPr>
        <w:t>3.1 投标文件的组成</w:t>
      </w:r>
      <w:bookmarkEnd w:id="54"/>
    </w:p>
    <w:p>
      <w:pPr>
        <w:adjustRightInd w:val="0"/>
        <w:snapToGrid w:val="0"/>
        <w:spacing w:line="420" w:lineRule="exact"/>
        <w:ind w:firstLine="480" w:firstLineChars="200"/>
        <w:rPr>
          <w:rFonts w:cs="宋体" w:asciiTheme="minorEastAsia" w:hAnsiTheme="minorEastAsia" w:eastAsiaTheme="minorEastAsia"/>
          <w:sz w:val="24"/>
        </w:rPr>
      </w:pPr>
      <w:bookmarkStart w:id="55" w:name="_Toc215282147"/>
      <w:r>
        <w:rPr>
          <w:rFonts w:hint="eastAsia" w:cs="宋体" w:asciiTheme="minorEastAsia" w:hAnsiTheme="minorEastAsia" w:eastAsiaTheme="minorEastAsia"/>
          <w:sz w:val="24"/>
        </w:rPr>
        <w:t xml:space="preserve"> 投标文件包括但不限于以下内容：</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（一）投标函及投标函附录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（二）法定代表人身份证明及授权委托书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（三）投标保证金</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（四）已标价工程量清单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（五）施工组织设计</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（六）项目管理机构</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（七）资格证明文件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（八）近年财务状况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（九）近年完成的类似项目情况表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（十）正在施工的和新承接的项目情况表</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（十一）承诺书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（十二）投标人须知前附表规定的其它材料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3.2 投标报价</w:t>
      </w:r>
      <w:bookmarkEnd w:id="55"/>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56" w:name="_Toc215282148"/>
      <w:r>
        <w:rPr>
          <w:rFonts w:hint="eastAsia" w:cs="宋体" w:asciiTheme="minorEastAsia" w:hAnsiTheme="minorEastAsia" w:eastAsiaTheme="minorEastAsia"/>
          <w:bCs/>
          <w:sz w:val="24"/>
        </w:rPr>
        <w:t>3.2.1 投标人应按第五章“工程量清单”的要求填写相应表格。</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3.2.2 投标人在投标截止时间前修改投标函中的投标报价总额，应同时修改“已标价工程量清单”中的相应报价，投标报价总额为各分项金额之和。此修改须符合本章第4.3款的有关要求。</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3.2.3 招标人设有招标控制价的，投标人的投标报价不得超过招标控制价，招标控制价或其计算方法在投标人须知前附表中载明。</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3.3 投标有效期</w:t>
      </w:r>
      <w:bookmarkEnd w:id="56"/>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 在投标人须知前附表规定的投标有效期内，投标人不得要求撤销或修改其投标文件。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7" w:name="_Toc282436964"/>
      <w:r>
        <w:rPr>
          <w:rFonts w:hint="eastAsia" w:cs="宋体" w:asciiTheme="minorEastAsia" w:hAnsiTheme="minorEastAsia" w:eastAsiaTheme="minorEastAsia"/>
          <w:b/>
          <w:sz w:val="24"/>
        </w:rPr>
        <w:t>3.4 投标保证金</w:t>
      </w:r>
      <w:bookmarkEnd w:id="57"/>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3.4.1投标人应按投标人须知前附表后规定缴纳投标保证金，详见附件</w:t>
      </w:r>
      <w:r>
        <w:rPr>
          <w:rFonts w:hint="eastAsia" w:hAnsi="宋体" w:cs="宋体"/>
          <w:sz w:val="24"/>
          <w:lang w:val="en-US" w:eastAsia="zh-CN"/>
        </w:rPr>
        <w:t>三</w:t>
      </w:r>
      <w:r>
        <w:rPr>
          <w:rFonts w:hint="eastAsia" w:hAnsi="宋体" w:cs="宋体"/>
          <w:sz w:val="24"/>
        </w:rPr>
        <w:t>。</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合同原件、履约保证金转账凭证</w:t>
      </w:r>
      <w:r>
        <w:rPr>
          <w:rFonts w:hint="eastAsia" w:hAnsi="宋体" w:cs="宋体"/>
          <w:sz w:val="24"/>
          <w:szCs w:val="24"/>
        </w:rPr>
        <w:t>到中心业务部室办理退款手续，中心在5个工作日内向中标人和其他中标候选人退还投标保证金及银行同期活期存款利息。</w:t>
      </w:r>
    </w:p>
    <w:p>
      <w:pPr>
        <w:pStyle w:val="18"/>
        <w:spacing w:line="360" w:lineRule="auto"/>
        <w:ind w:firstLine="480" w:firstLineChars="200"/>
        <w:rPr>
          <w:rFonts w:hAnsi="宋体" w:cs="宋体"/>
          <w:sz w:val="24"/>
          <w:szCs w:val="24"/>
        </w:rPr>
      </w:pPr>
      <w:r>
        <w:rPr>
          <w:rFonts w:hint="eastAsia" w:hAnsi="宋体" w:cs="宋体"/>
          <w:sz w:val="24"/>
          <w:szCs w:val="24"/>
        </w:rPr>
        <w:t>（3）项目废标或招标人终止招标的，在此后5个工作日内退还投标保证金及银行同期活期存利息。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3.5 资格审查资料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3.5.1“投标人基本情况表”应附投标人资格要求中涉及材料的原件扫描件或图片。</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3.5.2“近年财务状况表”应附经会计师事务所或审计机构审计的财务会计报表，包括资产负债表、现金流量表、利润表和财务情况说明书</w:t>
      </w:r>
      <w:r>
        <w:rPr>
          <w:rFonts w:hint="eastAsia" w:hAnsi="宋体" w:cs="宋体"/>
          <w:sz w:val="24"/>
        </w:rPr>
        <w:t>（或会计报表附注）</w:t>
      </w:r>
      <w:r>
        <w:rPr>
          <w:rFonts w:hint="eastAsia" w:cs="宋体" w:asciiTheme="minorEastAsia" w:hAnsiTheme="minorEastAsia" w:eastAsiaTheme="minorEastAsia"/>
          <w:sz w:val="24"/>
        </w:rPr>
        <w:t>的原件扫描件或图片，具体年份要求见投标人须知前附表。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3.5.3 “近年完成类似工程的情况”应附</w:t>
      </w:r>
      <w:r>
        <w:rPr>
          <w:rFonts w:hint="eastAsia" w:cs="宋体" w:asciiTheme="minorEastAsia" w:hAnsiTheme="minorEastAsia" w:eastAsiaTheme="minorEastAsia"/>
          <w:b/>
          <w:bCs/>
          <w:sz w:val="24"/>
          <w:lang w:val="en-US" w:eastAsia="zh-CN"/>
        </w:rPr>
        <w:t>合同协议书</w:t>
      </w:r>
      <w:r>
        <w:rPr>
          <w:rFonts w:hint="eastAsia" w:cs="宋体" w:asciiTheme="minorEastAsia" w:hAnsiTheme="minorEastAsia" w:eastAsiaTheme="minorEastAsia"/>
          <w:b/>
          <w:bCs/>
          <w:sz w:val="24"/>
        </w:rPr>
        <w:t>、中标通知书，具体年份要求见投标人要求前附表。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3.5.4“正在施工的和新承接的工程情况” 应附中标通知书或合同协议书。</w:t>
      </w:r>
    </w:p>
    <w:p>
      <w:pPr>
        <w:adjustRightInd w:val="0"/>
        <w:snapToGrid w:val="0"/>
        <w:spacing w:line="420" w:lineRule="exact"/>
        <w:ind w:firstLine="480" w:firstLineChars="200"/>
      </w:pPr>
      <w:r>
        <w:rPr>
          <w:rFonts w:hint="eastAsia" w:cs="宋体" w:asciiTheme="minorEastAsia" w:hAnsiTheme="minorEastAsia" w:eastAsiaTheme="minorEastAsia"/>
          <w:sz w:val="24"/>
        </w:rPr>
        <w:t>3.5.5中标单位负责在项目建设中涉及地方关系等方面的协调,并承担由此产生的费用；同时对施工过程中的一切安全问题负责，投标人应对此项作出承诺，否则按废标处理。</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8" w:name="_Toc215282150"/>
      <w:r>
        <w:rPr>
          <w:rFonts w:hint="eastAsia" w:cs="宋体" w:asciiTheme="minorEastAsia" w:hAnsiTheme="minorEastAsia" w:eastAsiaTheme="minorEastAsia"/>
          <w:b/>
          <w:sz w:val="24"/>
        </w:rPr>
        <w:t>3.</w:t>
      </w:r>
      <w:bookmarkEnd w:id="58"/>
      <w:r>
        <w:rPr>
          <w:rFonts w:hint="eastAsia" w:cs="宋体" w:asciiTheme="minorEastAsia" w:hAnsiTheme="minorEastAsia" w:eastAsiaTheme="minorEastAsia"/>
          <w:b/>
          <w:sz w:val="24"/>
        </w:rPr>
        <w:t>6备选投标方案（不需要）</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9" w:name="_Toc215282152"/>
      <w:r>
        <w:rPr>
          <w:rFonts w:hint="eastAsia" w:cs="宋体" w:asciiTheme="minorEastAsia" w:hAnsiTheme="minorEastAsia" w:eastAsiaTheme="minorEastAsia"/>
          <w:b/>
          <w:sz w:val="24"/>
        </w:rPr>
        <w:t>3.7 投标文件的编制</w:t>
      </w:r>
      <w:bookmarkEnd w:id="59"/>
    </w:p>
    <w:p>
      <w:pPr>
        <w:adjustRightInd w:val="0"/>
        <w:snapToGrid w:val="0"/>
        <w:spacing w:line="420" w:lineRule="exact"/>
        <w:ind w:firstLine="480" w:firstLineChars="200"/>
        <w:rPr>
          <w:rFonts w:cs="宋体" w:asciiTheme="minorEastAsia" w:hAnsiTheme="minorEastAsia" w:eastAsiaTheme="minorEastAsia"/>
          <w:sz w:val="24"/>
        </w:rPr>
      </w:pPr>
      <w:bookmarkStart w:id="60" w:name="_Toc23256"/>
      <w:bookmarkStart w:id="61" w:name="_Toc215282153"/>
      <w:bookmarkStart w:id="62" w:name="_Toc215282154"/>
      <w:r>
        <w:rPr>
          <w:rFonts w:hint="eastAsia" w:cs="宋体" w:asciiTheme="minorEastAsia" w:hAnsiTheme="minorEastAsia" w:eastAsiaTheme="minorEastAsia"/>
          <w:sz w:val="24"/>
        </w:rPr>
        <w:t>3.7.1 投标文件应参照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3.7.2 投标文件应当对招标文件有关工期、投标有效期、质量要求、支付及招标范围作出响应。</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3.7.3 投标人登录许昌公共资源交易系统下载“许昌投标文件制作系统SEARUN V1.1”，按招标文件要求制作电子投标文件。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3.7.4 使用电子介质存储的投标文件2份（文件格式为：xxx公司XXX（项目编号）XXX标段.bin）。</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3.7.5</w:t>
      </w:r>
      <w:r>
        <w:rPr>
          <w:rFonts w:hint="eastAsia" w:hAnsi="宋体" w:cs="宋体"/>
          <w:sz w:val="24"/>
        </w:rPr>
        <w:t>同时生成与电子投标文件内容、水印码、电子签章一致的PDF文件,用于监督部门、招标人及代理机构存档。</w:t>
      </w:r>
    </w:p>
    <w:p>
      <w:pPr>
        <w:adjustRightInd w:val="0"/>
        <w:snapToGrid w:val="0"/>
        <w:spacing w:line="4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3.7.6投标文件制作技术咨询：0374-2961598。</w:t>
      </w:r>
    </w:p>
    <w:p>
      <w:pPr>
        <w:pStyle w:val="7"/>
        <w:spacing w:before="0" w:after="0" w:line="420" w:lineRule="exact"/>
        <w:ind w:firstLine="480" w:firstLineChars="200"/>
        <w:rPr>
          <w:rFonts w:cs="宋体" w:asciiTheme="minorEastAsia" w:hAnsiTheme="minorEastAsia" w:eastAsiaTheme="minorEastAsia"/>
          <w:sz w:val="24"/>
          <w:szCs w:val="24"/>
        </w:rPr>
      </w:pPr>
      <w:bookmarkStart w:id="63" w:name="_Toc517940869"/>
      <w:r>
        <w:rPr>
          <w:rFonts w:hint="eastAsia" w:cs="宋体" w:asciiTheme="minorEastAsia" w:hAnsiTheme="minorEastAsia" w:eastAsiaTheme="minorEastAsia"/>
          <w:sz w:val="24"/>
          <w:szCs w:val="24"/>
        </w:rPr>
        <w:t>4. 投标</w:t>
      </w:r>
      <w:bookmarkEnd w:id="60"/>
      <w:bookmarkEnd w:id="61"/>
      <w:bookmarkEnd w:id="6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4.1 投标文件的密封和标记</w:t>
      </w:r>
      <w:bookmarkEnd w:id="62"/>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64" w:name="_Toc215282155"/>
      <w:r>
        <w:rPr>
          <w:rFonts w:hint="eastAsia" w:cs="宋体" w:asciiTheme="minorEastAsia" w:hAnsiTheme="minorEastAsia" w:eastAsiaTheme="minor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4.1.2 未按本章第4.1.1项要求密封和加写标记的投标文件，招标人不予受理。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4.2 投标文件的递交</w:t>
      </w:r>
      <w:bookmarkEnd w:id="64"/>
    </w:p>
    <w:p>
      <w:pPr>
        <w:autoSpaceDE w:val="0"/>
        <w:autoSpaceDN w:val="0"/>
        <w:spacing w:line="440" w:lineRule="exact"/>
        <w:ind w:firstLine="480" w:firstLineChars="200"/>
        <w:jc w:val="left"/>
        <w:outlineLvl w:val="0"/>
        <w:rPr>
          <w:rFonts w:hAnsi="宋体" w:cs="宋体"/>
          <w:sz w:val="24"/>
        </w:rPr>
      </w:pPr>
      <w:bookmarkStart w:id="65" w:name="_Toc215282156"/>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rPr>
      </w:pPr>
      <w:r>
        <w:rPr>
          <w:rFonts w:hint="eastAsia" w:hAnsi="宋体" w:cs="宋体"/>
          <w:sz w:val="24"/>
        </w:rPr>
        <w:t>4.2.4 逾期送达的或者未送达指定地点的电子介质存储的投标文件，招标人不予受理。</w:t>
      </w:r>
    </w:p>
    <w:p>
      <w:pPr>
        <w:spacing w:line="42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4.3 投标文件的修改与撤回</w:t>
      </w:r>
      <w:bookmarkEnd w:id="65"/>
      <w:bookmarkStart w:id="66" w:name="_Toc215282157"/>
      <w:bookmarkStart w:id="67" w:name="_Toc2220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spacing w:line="420" w:lineRule="exact"/>
        <w:ind w:firstLine="480" w:firstLineChars="200"/>
        <w:rPr>
          <w:rFonts w:cs="宋体" w:asciiTheme="minorEastAsia" w:hAnsiTheme="minorEastAsia" w:eastAsiaTheme="minorEastAsia"/>
          <w:sz w:val="24"/>
        </w:rPr>
      </w:pPr>
    </w:p>
    <w:p>
      <w:pPr>
        <w:pStyle w:val="7"/>
        <w:spacing w:before="0" w:after="0" w:line="420" w:lineRule="exact"/>
        <w:ind w:firstLine="480" w:firstLineChars="200"/>
        <w:rPr>
          <w:rFonts w:cs="宋体" w:asciiTheme="minorEastAsia" w:hAnsiTheme="minorEastAsia" w:eastAsiaTheme="minorEastAsia"/>
          <w:sz w:val="24"/>
          <w:szCs w:val="24"/>
        </w:rPr>
      </w:pPr>
      <w:bookmarkStart w:id="68" w:name="_Toc517940870"/>
      <w:r>
        <w:rPr>
          <w:rFonts w:hint="eastAsia" w:cs="宋体" w:asciiTheme="minorEastAsia" w:hAnsiTheme="minorEastAsia" w:eastAsiaTheme="minorEastAsia"/>
          <w:sz w:val="24"/>
          <w:szCs w:val="24"/>
        </w:rPr>
        <w:t>5. 开标</w:t>
      </w:r>
      <w:bookmarkEnd w:id="66"/>
      <w:bookmarkEnd w:id="67"/>
      <w:bookmarkEnd w:id="68"/>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69" w:name="_Toc215282158"/>
      <w:r>
        <w:rPr>
          <w:rFonts w:hint="eastAsia" w:cs="宋体" w:asciiTheme="minorEastAsia" w:hAnsiTheme="minorEastAsia" w:eastAsiaTheme="minorEastAsia"/>
          <w:b/>
          <w:sz w:val="24"/>
        </w:rPr>
        <w:t>5.1 开标时间和地点</w:t>
      </w:r>
      <w:bookmarkEnd w:id="69"/>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70" w:name="_Toc215282159"/>
      <w:r>
        <w:rPr>
          <w:rFonts w:hint="eastAsia" w:cs="宋体" w:asciiTheme="minorEastAsia" w:hAnsiTheme="minorEastAsia" w:eastAsiaTheme="minorEastAsia"/>
          <w:b/>
          <w:sz w:val="24"/>
        </w:rPr>
        <w:t>5.2开标程序</w:t>
      </w:r>
      <w:bookmarkEnd w:id="7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主持人按下列程序进行开标：</w:t>
      </w:r>
    </w:p>
    <w:p>
      <w:pPr>
        <w:spacing w:line="400" w:lineRule="exact"/>
        <w:ind w:firstLine="480" w:firstLineChars="200"/>
        <w:rPr>
          <w:rFonts w:hAnsi="宋体" w:cs="宋体"/>
          <w:sz w:val="24"/>
        </w:rPr>
      </w:pPr>
      <w:bookmarkStart w:id="71" w:name="_Toc215282160"/>
      <w:bookmarkStart w:id="72" w:name="_Toc517940871"/>
      <w:bookmarkStart w:id="73" w:name="_Toc419"/>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）现场抽取调整系数并宣布，同时公布招标控制价；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
        <w:spacing w:before="0" w:after="0"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 评标</w:t>
      </w:r>
      <w:bookmarkEnd w:id="71"/>
      <w:bookmarkEnd w:id="72"/>
      <w:bookmarkEnd w:id="73"/>
      <w:bookmarkStart w:id="74" w:name="_Toc215282161"/>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6.1 评标委员会</w:t>
      </w:r>
      <w:bookmarkEnd w:id="74"/>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6.1.1 评标由招标人依法组建的评标委员会负责。评标委员成员人数的确定方式见投标人须知前附表。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6.1.2 评标委员会成员有下列情形之一的，应当回避：</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（1）招标人或投标人的主要负责人的近亲属；</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（2）项目主管部门或者行政监督部门的人员；</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（3）与投标人有经济利益关系，可能影响对投标公正评审的；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（4）曾因在招标、评标以及其他与招标投标有关活动中从事违法行为而受过行政处罚或刑事处罚的。</w:t>
      </w:r>
    </w:p>
    <w:p>
      <w:pPr>
        <w:spacing w:line="360" w:lineRule="auto"/>
        <w:ind w:firstLine="480" w:firstLineChars="200"/>
        <w:rPr>
          <w:rFonts w:hAnsi="宋体" w:cs="宋体"/>
          <w:sz w:val="24"/>
        </w:rPr>
      </w:pPr>
      <w:bookmarkStart w:id="75" w:name="_Toc215282162"/>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6.2 评标原则</w:t>
      </w:r>
      <w:bookmarkEnd w:id="75"/>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评标活动遵循公平、公正、科学和择优的原则。</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76" w:name="_Toc215282163"/>
      <w:r>
        <w:rPr>
          <w:rFonts w:hint="eastAsia" w:cs="宋体" w:asciiTheme="minorEastAsia" w:hAnsiTheme="minorEastAsia" w:eastAsiaTheme="minorEastAsia"/>
          <w:b/>
          <w:sz w:val="24"/>
        </w:rPr>
        <w:t>6.3 评标</w:t>
      </w:r>
      <w:bookmarkEnd w:id="76"/>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评标委员会按照第三章“评标办法”规定的方法、评审因素、标准和程序对投标文件进行评审。第三章“评标办法”没有规定的方法、评审因素和标准，不作为评标依据。</w:t>
      </w:r>
    </w:p>
    <w:p>
      <w:pPr>
        <w:pStyle w:val="7"/>
        <w:spacing w:before="0" w:after="0" w:line="420" w:lineRule="exact"/>
        <w:ind w:firstLine="480" w:firstLineChars="200"/>
        <w:rPr>
          <w:rFonts w:cs="宋体" w:asciiTheme="minorEastAsia" w:hAnsiTheme="minorEastAsia" w:eastAsiaTheme="minorEastAsia"/>
          <w:sz w:val="24"/>
          <w:szCs w:val="24"/>
        </w:rPr>
      </w:pPr>
      <w:bookmarkStart w:id="77" w:name="_Toc215282164"/>
      <w:bookmarkStart w:id="78" w:name="_Toc517940872"/>
      <w:bookmarkStart w:id="79" w:name="_Toc23856"/>
      <w:r>
        <w:rPr>
          <w:rFonts w:hint="eastAsia" w:cs="宋体" w:asciiTheme="minorEastAsia" w:hAnsiTheme="minorEastAsia" w:eastAsiaTheme="minorEastAsia"/>
          <w:sz w:val="24"/>
          <w:szCs w:val="24"/>
        </w:rPr>
        <w:t>7. 合同授予</w:t>
      </w:r>
      <w:bookmarkEnd w:id="77"/>
      <w:bookmarkEnd w:id="78"/>
      <w:bookmarkEnd w:id="7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80" w:name="_Toc215282165"/>
      <w:r>
        <w:rPr>
          <w:rFonts w:hint="eastAsia" w:cs="宋体" w:asciiTheme="minorEastAsia" w:hAnsiTheme="minorEastAsia" w:eastAsiaTheme="minorEastAsia"/>
          <w:b/>
          <w:sz w:val="24"/>
        </w:rPr>
        <w:t>7.1 定标方式</w:t>
      </w:r>
      <w:bookmarkEnd w:id="80"/>
    </w:p>
    <w:p>
      <w:pPr>
        <w:adjustRightInd w:val="0"/>
        <w:snapToGrid w:val="0"/>
        <w:spacing w:line="420" w:lineRule="exact"/>
        <w:ind w:firstLine="480" w:firstLineChars="200"/>
        <w:rPr>
          <w:rFonts w:cs="宋体" w:asciiTheme="minorEastAsia" w:hAnsiTheme="minorEastAsia" w:eastAsiaTheme="minorEastAsia"/>
          <w:sz w:val="24"/>
        </w:rPr>
      </w:pPr>
      <w:bookmarkStart w:id="81" w:name="_Toc215282166"/>
      <w:r>
        <w:rPr>
          <w:rFonts w:hint="eastAsia" w:cs="宋体" w:asciiTheme="minorEastAsia" w:hAnsiTheme="minorEastAsia" w:eastAsia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7.2 中标通知</w:t>
      </w:r>
      <w:bookmarkEnd w:id="8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在本章第3.3 款规定的投标有效期内，招标人以书面形式向中标人发出中标通知书，同时将中标结果通知未中标的投标人。</w:t>
      </w:r>
    </w:p>
    <w:p>
      <w:pPr>
        <w:autoSpaceDE w:val="0"/>
        <w:autoSpaceDN w:val="0"/>
        <w:adjustRightInd w:val="0"/>
        <w:snapToGrid w:val="0"/>
        <w:spacing w:line="420" w:lineRule="exact"/>
        <w:ind w:firstLine="480" w:firstLineChars="200"/>
        <w:jc w:val="left"/>
        <w:rPr>
          <w:rFonts w:hint="eastAsia" w:cs="宋体" w:asciiTheme="minorEastAsia" w:hAnsiTheme="minorEastAsia" w:eastAsiaTheme="minorEastAsia"/>
          <w:b/>
          <w:sz w:val="24"/>
          <w:lang w:eastAsia="zh-CN"/>
        </w:rPr>
      </w:pPr>
      <w:bookmarkStart w:id="82" w:name="_Toc152042345"/>
      <w:bookmarkStart w:id="83" w:name="_Toc152045569"/>
      <w:bookmarkStart w:id="84" w:name="_Toc179632587"/>
      <w:bookmarkStart w:id="85" w:name="_Toc144974537"/>
      <w:bookmarkStart w:id="86" w:name="_Toc215282169"/>
      <w:r>
        <w:rPr>
          <w:rFonts w:hint="eastAsia" w:cs="宋体" w:asciiTheme="minorEastAsia" w:hAnsiTheme="minorEastAsia" w:eastAsiaTheme="minorEastAsia"/>
          <w:b/>
          <w:sz w:val="24"/>
        </w:rPr>
        <w:t>7.3</w:t>
      </w:r>
      <w:bookmarkEnd w:id="82"/>
      <w:bookmarkEnd w:id="83"/>
      <w:bookmarkEnd w:id="84"/>
      <w:bookmarkEnd w:id="85"/>
      <w:r>
        <w:rPr>
          <w:rFonts w:hint="eastAsia" w:cs="宋体" w:asciiTheme="minorEastAsia" w:hAnsiTheme="minorEastAsia" w:eastAsiaTheme="minorEastAsia"/>
          <w:b/>
          <w:sz w:val="24"/>
        </w:rPr>
        <w:t xml:space="preserve"> 履约</w:t>
      </w:r>
      <w:r>
        <w:rPr>
          <w:rFonts w:hint="eastAsia" w:cs="宋体" w:asciiTheme="minorEastAsia" w:hAnsiTheme="minorEastAsia" w:eastAsiaTheme="minorEastAsia"/>
          <w:b/>
          <w:sz w:val="24"/>
          <w:lang w:val="en-US" w:eastAsia="zh-CN"/>
        </w:rPr>
        <w:t>保证金</w:t>
      </w:r>
    </w:p>
    <w:p>
      <w:pPr>
        <w:adjustRightInd w:val="0"/>
        <w:snapToGrid w:val="0"/>
        <w:spacing w:line="420" w:lineRule="exact"/>
        <w:ind w:left="239" w:leftChars="114" w:firstLine="240" w:firstLineChars="100"/>
        <w:rPr>
          <w:rFonts w:hint="eastAsia" w:cs="宋体" w:asciiTheme="minorEastAsia" w:hAnsiTheme="minorEastAsia" w:eastAsiaTheme="minorEastAsia"/>
          <w:sz w:val="24"/>
        </w:rPr>
      </w:pPr>
      <w:bookmarkStart w:id="87" w:name="_Toc152045570"/>
      <w:bookmarkStart w:id="88" w:name="_Toc179632588"/>
      <w:bookmarkStart w:id="89" w:name="_Toc152042346"/>
      <w:bookmarkStart w:id="90" w:name="_Toc144974538"/>
      <w:r>
        <w:rPr>
          <w:rFonts w:hint="eastAsia" w:cs="宋体" w:asciiTheme="minorEastAsia" w:hAnsiTheme="minorEastAsia" w:eastAsiaTheme="minorEastAsia"/>
          <w:sz w:val="24"/>
        </w:rPr>
        <w:t>7.3.1履约保证金提交方式及注意事项</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（1）以网银、银行转账、银行电汇、银行保函方式提交。</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（2）现金支票和现金不得作为履约保证金提交方式。</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（3）中标人必须通过其公司账户按照规定的方式提交，其名称应与中标单位的名称一致。</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（4）中标人在缴纳履约保证金时，必须在附言、备注和用途栏注明“项目编号及标段”，否则可能造成延迟退还。</w:t>
      </w:r>
    </w:p>
    <w:p>
      <w:pPr>
        <w:adjustRightInd w:val="0"/>
        <w:snapToGrid w:val="0"/>
        <w:spacing w:line="4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7.3.2履约保证金提交比例和数额</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履约保证金数额不得超过中标合同金额的5%。</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 7.3.3履约保证金的退还</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7.4 签订合同</w:t>
      </w:r>
      <w:bookmarkEnd w:id="87"/>
      <w:bookmarkEnd w:id="88"/>
      <w:bookmarkEnd w:id="89"/>
      <w:bookmarkEnd w:id="9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91" w:name="_Toc221950219"/>
      <w:r>
        <w:rPr>
          <w:rFonts w:hint="eastAsia" w:cs="宋体" w:asciiTheme="minorEastAsia" w:hAnsiTheme="minorEastAsia" w:eastAsiaTheme="minorEastAsia"/>
          <w:sz w:val="24"/>
        </w:rPr>
        <w:t>7.4.2 发出中标通知书后，招标人无正当理由拒签合同的，招标人向中标人退还投标保证金，并按投标保证金双倍的金额赔偿投标人损失。</w:t>
      </w:r>
      <w:bookmarkEnd w:id="91"/>
    </w:p>
    <w:p>
      <w:pPr>
        <w:pStyle w:val="7"/>
        <w:spacing w:before="0" w:after="0" w:line="420" w:lineRule="exact"/>
        <w:ind w:firstLine="480" w:firstLineChars="200"/>
        <w:rPr>
          <w:rFonts w:cs="宋体" w:asciiTheme="minorEastAsia" w:hAnsiTheme="minorEastAsia" w:eastAsiaTheme="minorEastAsia"/>
          <w:sz w:val="24"/>
          <w:szCs w:val="24"/>
        </w:rPr>
      </w:pPr>
      <w:bookmarkStart w:id="92" w:name="_Toc517940873"/>
      <w:bookmarkStart w:id="93" w:name="_Toc19935"/>
      <w:r>
        <w:rPr>
          <w:rFonts w:hint="eastAsia" w:cs="宋体" w:asciiTheme="minorEastAsia" w:hAnsiTheme="minorEastAsia" w:eastAsiaTheme="minorEastAsia"/>
          <w:sz w:val="24"/>
          <w:szCs w:val="24"/>
        </w:rPr>
        <w:t>8. 重新招标和不再招标</w:t>
      </w:r>
      <w:bookmarkEnd w:id="86"/>
      <w:bookmarkEnd w:id="92"/>
      <w:bookmarkEnd w:id="93"/>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94" w:name="_Toc215282170"/>
      <w:r>
        <w:rPr>
          <w:rFonts w:hint="eastAsia" w:cs="宋体" w:asciiTheme="minorEastAsia" w:hAnsiTheme="minorEastAsia" w:eastAsiaTheme="minorEastAsia"/>
          <w:b/>
          <w:sz w:val="24"/>
        </w:rPr>
        <w:t>8.1 重新招标</w:t>
      </w:r>
      <w:bookmarkEnd w:id="94"/>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有下列情形之一的，招标人将重新招标：</w:t>
      </w:r>
    </w:p>
    <w:p>
      <w:pPr>
        <w:numPr>
          <w:ilvl w:val="0"/>
          <w:numId w:val="3"/>
        </w:num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投标截止时间止，投标人少于3个的；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（2）经评标委员会评审后否决所有投标的。</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95" w:name="_Toc215282171"/>
      <w:r>
        <w:rPr>
          <w:rFonts w:hint="eastAsia" w:cs="宋体" w:asciiTheme="minorEastAsia" w:hAnsiTheme="minorEastAsia" w:eastAsiaTheme="minorEastAsia"/>
          <w:b/>
          <w:sz w:val="24"/>
        </w:rPr>
        <w:t>8.2 不再招标</w:t>
      </w:r>
      <w:bookmarkEnd w:id="95"/>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重新招标后投标人仍少于3个或者所有投标被否决的，属于必须审批或核准的工程建设项目，经原审批或核准部门批准后不再进行招标。</w:t>
      </w:r>
    </w:p>
    <w:p>
      <w:pPr>
        <w:pStyle w:val="7"/>
        <w:spacing w:before="0" w:after="0" w:line="420" w:lineRule="exact"/>
        <w:ind w:firstLine="480" w:firstLineChars="200"/>
        <w:rPr>
          <w:rFonts w:cs="宋体" w:asciiTheme="minorEastAsia" w:hAnsiTheme="minorEastAsia" w:eastAsiaTheme="minorEastAsia"/>
          <w:sz w:val="24"/>
          <w:szCs w:val="24"/>
        </w:rPr>
      </w:pPr>
      <w:bookmarkStart w:id="96" w:name="_Toc26940"/>
      <w:bookmarkStart w:id="97" w:name="_Toc517940874"/>
      <w:bookmarkStart w:id="98" w:name="_Toc215282172"/>
      <w:r>
        <w:rPr>
          <w:rFonts w:hint="eastAsia" w:cs="宋体" w:asciiTheme="minorEastAsia" w:hAnsiTheme="minorEastAsia" w:eastAsiaTheme="minorEastAsia"/>
          <w:sz w:val="24"/>
          <w:szCs w:val="24"/>
        </w:rPr>
        <w:t>9. 纪律和监督</w:t>
      </w:r>
      <w:bookmarkEnd w:id="96"/>
      <w:bookmarkEnd w:id="97"/>
      <w:bookmarkEnd w:id="98"/>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99" w:name="_Toc215282173"/>
      <w:r>
        <w:rPr>
          <w:rFonts w:hint="eastAsia" w:cs="宋体" w:asciiTheme="minorEastAsia" w:hAnsiTheme="minorEastAsia" w:eastAsiaTheme="minorEastAsia"/>
          <w:sz w:val="24"/>
        </w:rPr>
        <w:t>9.1 对招标人的纪律要求</w:t>
      </w:r>
      <w:bookmarkEnd w:id="99"/>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0" w:name="_Toc215282174"/>
      <w:r>
        <w:rPr>
          <w:rFonts w:hint="eastAsia" w:cs="宋体" w:asciiTheme="minorEastAsia" w:hAnsiTheme="minorEastAsia" w:eastAsiaTheme="minorEastAsia"/>
          <w:sz w:val="24"/>
        </w:rPr>
        <w:t>9.2 对投标人的纪律要求</w:t>
      </w:r>
      <w:bookmarkEnd w:id="100"/>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1" w:name="_Toc215282175"/>
      <w:r>
        <w:rPr>
          <w:rFonts w:hint="eastAsia" w:cs="宋体" w:asciiTheme="minorEastAsia" w:hAnsiTheme="minorEastAsia" w:eastAsiaTheme="minorEastAsia"/>
          <w:sz w:val="24"/>
        </w:rPr>
        <w:t>9.3 对评标委员会成员的纪律要求</w:t>
      </w:r>
      <w:bookmarkEnd w:id="10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2" w:name="_Toc215282176"/>
      <w:r>
        <w:rPr>
          <w:rFonts w:hint="eastAsia" w:cs="宋体" w:asciiTheme="minorEastAsia" w:hAnsiTheme="minorEastAsia" w:eastAsiaTheme="minorEastAsia"/>
          <w:sz w:val="24"/>
        </w:rPr>
        <w:t>9.4 对与评标活动有关的工作人员的纪律要求</w:t>
      </w:r>
      <w:bookmarkEnd w:id="102"/>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bookmarkStart w:id="103" w:name="_Toc215282177"/>
      <w:r>
        <w:rPr>
          <w:rFonts w:hint="eastAsia" w:cs="宋体" w:asciiTheme="minorEastAsia" w:hAnsiTheme="minorEastAsia" w:eastAsia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9.5 投诉</w:t>
      </w:r>
      <w:bookmarkEnd w:id="103"/>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投标人和其他利害关系人认为本次招标活动违反法律、法规和规章规定的，有权向有关行政监督部门投诉。</w:t>
      </w:r>
    </w:p>
    <w:p>
      <w:pPr>
        <w:pStyle w:val="7"/>
        <w:spacing w:before="0" w:after="0" w:line="420" w:lineRule="exact"/>
        <w:ind w:firstLine="480" w:firstLineChars="200"/>
        <w:rPr>
          <w:rFonts w:cs="宋体" w:asciiTheme="minorEastAsia" w:hAnsiTheme="minorEastAsia" w:eastAsiaTheme="minorEastAsia"/>
          <w:sz w:val="24"/>
          <w:szCs w:val="24"/>
        </w:rPr>
      </w:pPr>
      <w:bookmarkStart w:id="104" w:name="_Toc10389"/>
      <w:bookmarkStart w:id="105" w:name="_Toc517940875"/>
      <w:r>
        <w:rPr>
          <w:rFonts w:hint="eastAsia" w:cs="宋体" w:asciiTheme="minorEastAsia" w:hAnsiTheme="minorEastAsia" w:eastAsiaTheme="minorEastAsia"/>
          <w:sz w:val="24"/>
          <w:szCs w:val="24"/>
        </w:rPr>
        <w:t>10.需要补充的其他内容</w:t>
      </w:r>
      <w:bookmarkEnd w:id="104"/>
      <w:bookmarkEnd w:id="105"/>
    </w:p>
    <w:p>
      <w:pPr>
        <w:autoSpaceDE w:val="0"/>
        <w:autoSpaceDN w:val="0"/>
        <w:adjustRightInd w:val="0"/>
        <w:snapToGrid w:val="0"/>
        <w:spacing w:line="420" w:lineRule="exact"/>
        <w:ind w:firstLine="480" w:firstLineChars="200"/>
        <w:jc w:val="left"/>
        <w:rPr>
          <w:rFonts w:ascii="宋体" w:hAnsi="宋体" w:cs="宋体"/>
          <w:sz w:val="24"/>
        </w:rPr>
      </w:pPr>
      <w:r>
        <w:rPr>
          <w:rFonts w:hint="eastAsia" w:cs="宋体" w:asciiTheme="minorEastAsia" w:hAnsiTheme="minorEastAsia" w:eastAsiaTheme="minorEastAsia"/>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pStyle w:val="7"/>
        <w:rPr>
          <w:rFonts w:hint="eastAsia" w:ascii="宋体" w:hAnsi="宋体" w:cs="宋体"/>
          <w:b w:val="0"/>
          <w:sz w:val="24"/>
        </w:rPr>
      </w:pPr>
      <w:bookmarkStart w:id="106" w:name="_Toc22712"/>
      <w:bookmarkStart w:id="107" w:name="_Toc20265"/>
      <w:bookmarkStart w:id="108" w:name="_Toc5248"/>
      <w:bookmarkStart w:id="109" w:name="_Toc26838"/>
      <w:bookmarkStart w:id="110" w:name="_Toc517940876"/>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ascii="宋体" w:hAnsi="宋体" w:cs="宋体"/>
          <w:b w:val="0"/>
          <w:sz w:val="24"/>
        </w:rPr>
      </w:pPr>
    </w:p>
    <w:p>
      <w:pPr>
        <w:pStyle w:val="2"/>
        <w:rPr>
          <w:rFonts w:hint="eastAsia" w:ascii="宋体" w:hAnsi="宋体" w:cs="宋体"/>
          <w:b w:val="0"/>
          <w:sz w:val="24"/>
        </w:rPr>
      </w:pPr>
    </w:p>
    <w:p>
      <w:pPr>
        <w:pStyle w:val="4"/>
        <w:rPr>
          <w:rFonts w:hint="eastAsia" w:ascii="宋体" w:hAnsi="宋体" w:cs="宋体"/>
          <w:b w:val="0"/>
          <w:sz w:val="24"/>
        </w:rPr>
      </w:pPr>
    </w:p>
    <w:p>
      <w:pPr>
        <w:rPr>
          <w:rFonts w:hint="eastAsia"/>
        </w:rPr>
      </w:pPr>
    </w:p>
    <w:p>
      <w:pPr>
        <w:rPr>
          <w:rFonts w:hint="eastAsia"/>
        </w:rPr>
      </w:pPr>
    </w:p>
    <w:p>
      <w:pPr>
        <w:pStyle w:val="7"/>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附表一：</w:t>
      </w:r>
      <w:bookmarkEnd w:id="106"/>
      <w:bookmarkEnd w:id="107"/>
      <w:bookmarkEnd w:id="108"/>
      <w:bookmarkEnd w:id="109"/>
      <w:bookmarkStart w:id="111" w:name="_Toc32640"/>
      <w:r>
        <w:rPr>
          <w:rFonts w:hint="eastAsia" w:cs="宋体" w:asciiTheme="minorEastAsia" w:hAnsiTheme="minorEastAsia" w:eastAsiaTheme="minorEastAsia"/>
          <w:b w:val="0"/>
          <w:bCs w:val="0"/>
          <w:kern w:val="2"/>
          <w:sz w:val="24"/>
          <w:szCs w:val="24"/>
          <w:lang w:val="en-US" w:eastAsia="zh-CN" w:bidi="ar-SA"/>
        </w:rPr>
        <w:t>问题澄清通知</w:t>
      </w:r>
      <w:bookmarkEnd w:id="110"/>
      <w:bookmarkEnd w:id="111"/>
    </w:p>
    <w:p>
      <w:pPr>
        <w:spacing w:beforeLines="100" w:afterLines="100" w:line="312" w:lineRule="auto"/>
        <w:jc w:val="center"/>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问题澄清通知</w:t>
      </w:r>
    </w:p>
    <w:p>
      <w:pPr>
        <w:spacing w:line="312" w:lineRule="auto"/>
        <w:ind w:firstLine="6120" w:firstLineChars="255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编号：</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（投标人名称）：</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请将上述问题的澄清、说明或者补正于年月日时前密封递交至（详细地址）或传真至（传真号码）。采用传真方式的，应在年月日</w:t>
      </w: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时前将原件递交至 （详细地址）。</w:t>
      </w:r>
    </w:p>
    <w:p>
      <w:pPr>
        <w:spacing w:line="312" w:lineRule="auto"/>
        <w:rPr>
          <w:rFonts w:hint="eastAsia" w:cs="宋体" w:asciiTheme="minorEastAsia" w:hAnsiTheme="minorEastAsia" w:eastAsiaTheme="minorEastAsia"/>
          <w:b w:val="0"/>
          <w:bCs w:val="0"/>
          <w:kern w:val="2"/>
          <w:sz w:val="24"/>
          <w:szCs w:val="24"/>
          <w:lang w:val="en-US" w:eastAsia="zh-CN" w:bidi="ar-SA"/>
        </w:rPr>
      </w:pP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附件：质疑问卷</w:t>
      </w:r>
    </w:p>
    <w:p>
      <w:pPr>
        <w:spacing w:line="312" w:lineRule="auto"/>
        <w:ind w:left="3360" w:leftChars="1600" w:firstLine="360" w:firstLineChars="150"/>
        <w:rPr>
          <w:rFonts w:hint="eastAsia" w:cs="宋体" w:asciiTheme="minorEastAsia" w:hAnsiTheme="minorEastAsia" w:eastAsiaTheme="minorEastAsia"/>
          <w:b w:val="0"/>
          <w:bCs w:val="0"/>
          <w:kern w:val="2"/>
          <w:sz w:val="24"/>
          <w:szCs w:val="24"/>
          <w:lang w:val="en-US" w:eastAsia="zh-CN" w:bidi="ar-SA"/>
        </w:rPr>
      </w:pPr>
      <w:bookmarkStart w:id="112" w:name="_Toc425"/>
      <w:bookmarkStart w:id="113" w:name="_Toc13289"/>
      <w:bookmarkStart w:id="114" w:name="_Toc22729"/>
      <w:bookmarkStart w:id="115" w:name="_Toc18603"/>
      <w:bookmarkStart w:id="116" w:name="_Toc30339"/>
      <w:r>
        <w:rPr>
          <w:rFonts w:hint="eastAsia" w:cs="宋体" w:asciiTheme="minorEastAsia" w:hAnsiTheme="minorEastAsia" w:eastAsiaTheme="minorEastAsia"/>
          <w:b w:val="0"/>
          <w:bCs w:val="0"/>
          <w:kern w:val="2"/>
          <w:sz w:val="24"/>
          <w:szCs w:val="24"/>
          <w:lang w:val="en-US" w:eastAsia="zh-CN" w:bidi="ar-SA"/>
        </w:rPr>
        <w:t>（项目名称）施工招标评标委员</w:t>
      </w:r>
    </w:p>
    <w:p>
      <w:pPr>
        <w:spacing w:line="312" w:lineRule="auto"/>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（经评标委员会授权的招标人代表签字或招标人加盖单位章）</w:t>
      </w:r>
      <w:bookmarkEnd w:id="112"/>
      <w:bookmarkEnd w:id="113"/>
      <w:bookmarkEnd w:id="114"/>
      <w:bookmarkEnd w:id="115"/>
      <w:bookmarkEnd w:id="116"/>
    </w:p>
    <w:p>
      <w:pPr>
        <w:spacing w:line="312" w:lineRule="auto"/>
        <w:ind w:firstLine="5280" w:firstLineChars="2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年月日</w:t>
      </w:r>
    </w:p>
    <w:p>
      <w:pPr>
        <w:spacing w:line="312" w:lineRule="auto"/>
        <w:rPr>
          <w:rFonts w:hint="eastAsia" w:cs="宋体" w:asciiTheme="minorEastAsia" w:hAnsiTheme="minorEastAsia" w:eastAsiaTheme="minorEastAsia"/>
          <w:b w:val="0"/>
          <w:bCs w:val="0"/>
          <w:kern w:val="2"/>
          <w:sz w:val="24"/>
          <w:szCs w:val="24"/>
          <w:lang w:val="en-US" w:eastAsia="zh-CN" w:bidi="ar-SA"/>
        </w:rPr>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pStyle w:val="7"/>
        <w:rPr>
          <w:rFonts w:hint="eastAsia" w:cs="宋体" w:asciiTheme="minorEastAsia" w:hAnsiTheme="minorEastAsia" w:eastAsiaTheme="minorEastAsia"/>
          <w:b w:val="0"/>
          <w:bCs w:val="0"/>
          <w:kern w:val="2"/>
          <w:sz w:val="24"/>
          <w:szCs w:val="24"/>
          <w:lang w:val="en-US" w:eastAsia="zh-CN" w:bidi="ar-SA"/>
        </w:rPr>
      </w:pPr>
      <w:r>
        <w:rPr>
          <w:rFonts w:hint="eastAsia" w:ascii="宋体" w:hAnsi="宋体" w:cs="宋体"/>
          <w:sz w:val="24"/>
        </w:rPr>
        <w:br w:type="page"/>
      </w:r>
      <w:bookmarkStart w:id="117" w:name="_Toc517940877"/>
      <w:bookmarkStart w:id="118" w:name="_Toc25361"/>
      <w:r>
        <w:rPr>
          <w:rFonts w:hint="eastAsia" w:cs="宋体" w:asciiTheme="minorEastAsia" w:hAnsiTheme="minorEastAsia" w:eastAsiaTheme="minorEastAsia"/>
          <w:b w:val="0"/>
          <w:bCs w:val="0"/>
          <w:kern w:val="2"/>
          <w:sz w:val="24"/>
          <w:szCs w:val="24"/>
          <w:lang w:val="en-US" w:eastAsia="zh-CN" w:bidi="ar-SA"/>
        </w:rPr>
        <w:t>附表二：问题的澄清</w:t>
      </w:r>
      <w:bookmarkEnd w:id="117"/>
      <w:bookmarkEnd w:id="118"/>
    </w:p>
    <w:p>
      <w:pPr>
        <w:spacing w:beforeLines="100" w:afterLines="100" w:line="312" w:lineRule="auto"/>
        <w:jc w:val="center"/>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问题的澄清、说明或补正</w:t>
      </w:r>
    </w:p>
    <w:p>
      <w:pPr>
        <w:spacing w:line="312" w:lineRule="auto"/>
        <w:ind w:firstLine="6120" w:firstLineChars="255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编号：</w:t>
      </w:r>
    </w:p>
    <w:p>
      <w:pPr>
        <w:spacing w:line="312" w:lineRule="auto"/>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（项目名称）施工招标评标委员会：</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问题澄清通知（编号：）已收悉，现澄清、说明或者补正如下：</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1.</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2.</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w:t>
      </w: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480" w:firstLineChars="200"/>
        <w:rPr>
          <w:rFonts w:hint="eastAsia" w:cs="宋体" w:asciiTheme="minorEastAsia" w:hAnsiTheme="minorEastAsia" w:eastAsiaTheme="minorEastAsia"/>
          <w:b w:val="0"/>
          <w:bCs w:val="0"/>
          <w:kern w:val="2"/>
          <w:sz w:val="24"/>
          <w:szCs w:val="24"/>
          <w:lang w:val="en-US" w:eastAsia="zh-CN" w:bidi="ar-SA"/>
        </w:rPr>
      </w:pPr>
    </w:p>
    <w:p>
      <w:pPr>
        <w:wordWrap w:val="0"/>
        <w:spacing w:line="312" w:lineRule="auto"/>
        <w:ind w:firstLine="480" w:firstLineChars="200"/>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 xml:space="preserve"> 投标人：（盖单位章） </w:t>
      </w:r>
    </w:p>
    <w:p>
      <w:pPr>
        <w:wordWrap w:val="0"/>
        <w:spacing w:beforeLines="50" w:afterLines="50" w:line="312" w:lineRule="auto"/>
        <w:jc w:val="right"/>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 xml:space="preserve">法定代表人或其委托代理人：（签字或盖章） </w:t>
      </w:r>
    </w:p>
    <w:p>
      <w:pPr>
        <w:spacing w:line="312" w:lineRule="auto"/>
        <w:ind w:firstLine="5760" w:firstLineChars="2400"/>
        <w:rPr>
          <w:rFonts w:hint="eastAsia" w:cs="宋体" w:asciiTheme="minorEastAsia" w:hAnsiTheme="minorEastAsia" w:eastAsiaTheme="minorEastAsia"/>
          <w:b w:val="0"/>
          <w:bCs w:val="0"/>
          <w:kern w:val="2"/>
          <w:sz w:val="24"/>
          <w:szCs w:val="24"/>
          <w:lang w:val="en-US" w:eastAsia="zh-CN" w:bidi="ar-SA"/>
        </w:rPr>
      </w:pPr>
    </w:p>
    <w:p>
      <w:pPr>
        <w:spacing w:line="312" w:lineRule="auto"/>
        <w:ind w:firstLine="5760" w:firstLineChars="24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p>
      <w:pPr>
        <w:spacing w:line="312" w:lineRule="auto"/>
        <w:jc w:val="left"/>
        <w:outlineLvl w:val="2"/>
        <w:rPr>
          <w:rFonts w:ascii="宋体" w:hAnsi="宋体" w:cs="宋体"/>
          <w:b/>
          <w:sz w:val="24"/>
        </w:rPr>
      </w:pPr>
    </w:p>
    <w:p>
      <w:pPr>
        <w:spacing w:line="312" w:lineRule="auto"/>
        <w:rPr>
          <w:rFonts w:ascii="宋体" w:hAnsi="宋体" w:cs="宋体"/>
          <w:sz w:val="24"/>
        </w:rPr>
        <w:sectPr>
          <w:headerReference r:id="rId3" w:type="default"/>
          <w:footerReference r:id="rId4" w:type="default"/>
          <w:pgSz w:w="11906" w:h="16838"/>
          <w:pgMar w:top="1531" w:right="1418" w:bottom="1531" w:left="1418" w:header="851" w:footer="992" w:gutter="0"/>
          <w:pgNumType w:start="1"/>
          <w:cols w:space="720" w:num="1"/>
          <w:docGrid w:type="linesAndChars" w:linePitch="312" w:charSpace="0"/>
        </w:sectPr>
      </w:pPr>
    </w:p>
    <w:p>
      <w:pPr>
        <w:spacing w:line="480" w:lineRule="exact"/>
        <w:jc w:val="left"/>
        <w:rPr>
          <w:rFonts w:ascii="华文中宋" w:hAnsi="华文中宋" w:eastAsia="华文中宋"/>
          <w:b/>
          <w:bCs/>
          <w:sz w:val="32"/>
          <w:szCs w:val="32"/>
        </w:rPr>
      </w:pPr>
      <w:bookmarkStart w:id="119" w:name="_Toc16968"/>
      <w:bookmarkStart w:id="120" w:name="_Toc29777"/>
      <w:bookmarkStart w:id="121" w:name="_Toc14547"/>
      <w:bookmarkStart w:id="122" w:name="_Toc26924"/>
      <w:bookmarkStart w:id="123" w:name="_Toc517940878"/>
      <w:r>
        <w:rPr>
          <w:rFonts w:hint="eastAsia" w:ascii="华文中宋" w:hAnsi="华文中宋" w:eastAsia="华文中宋"/>
          <w:b/>
          <w:bCs/>
          <w:sz w:val="32"/>
          <w:szCs w:val="32"/>
        </w:rPr>
        <w:t>附表三：投标保证金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36"/>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82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w:t>
            </w:r>
            <w:r>
              <w:rPr>
                <w:rFonts w:hint="eastAsia" w:hAnsi="宋体" w:cs="宋体"/>
                <w:bCs/>
                <w:sz w:val="24"/>
                <w:lang w:val="en-US" w:eastAsia="zh-CN"/>
              </w:rPr>
              <w:t>20</w:t>
            </w:r>
            <w:r>
              <w:rPr>
                <w:rFonts w:hint="eastAsia" w:hAnsi="宋体" w:cs="宋体"/>
                <w:bCs/>
                <w:sz w:val="24"/>
              </w:rPr>
              <w:t>〕</w:t>
            </w:r>
            <w:r>
              <w:rPr>
                <w:rFonts w:hint="eastAsia" w:hAnsi="宋体" w:cs="宋体"/>
                <w:bCs/>
                <w:sz w:val="24"/>
                <w:lang w:val="en-US" w:eastAsia="zh-CN"/>
              </w:rPr>
              <w:t xml:space="preserve">67 </w:t>
            </w:r>
            <w:r>
              <w:rPr>
                <w:rFonts w:hint="eastAsia" w:hAnsi="宋体"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821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hAnsi="宋体" w:eastAsia="宋体" w:cs="宋体"/>
                <w:sz w:val="24"/>
                <w:lang w:eastAsia="zh-CN"/>
              </w:rPr>
            </w:pPr>
            <w:r>
              <w:rPr>
                <w:rFonts w:hint="eastAsia" w:asciiTheme="minorEastAsia" w:hAnsiTheme="minorEastAsia" w:eastAsiaTheme="minorEastAsia"/>
                <w:sz w:val="24"/>
                <w:lang w:eastAsia="zh-CN"/>
              </w:rPr>
              <w:t>许昌市建安区新增农村饮水安全水厂水源井项目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8210" w:type="dxa"/>
            <w:tcBorders>
              <w:top w:val="single" w:color="auto" w:sz="4" w:space="0"/>
              <w:left w:val="single" w:color="auto" w:sz="4" w:space="0"/>
              <w:bottom w:val="single" w:color="auto" w:sz="4" w:space="0"/>
              <w:right w:val="single" w:color="auto" w:sz="4" w:space="0"/>
            </w:tcBorders>
          </w:tcPr>
          <w:p>
            <w:pPr>
              <w:spacing w:line="500" w:lineRule="exact"/>
              <w:jc w:val="left"/>
              <w:rPr>
                <w:rFonts w:hint="default" w:hAnsi="宋体" w:eastAsia="宋体" w:cs="宋体"/>
                <w:sz w:val="24"/>
                <w:lang w:val="en-US" w:eastAsia="zh-CN"/>
              </w:rPr>
            </w:pPr>
            <w:r>
              <w:rPr>
                <w:rFonts w:hint="eastAsia" w:hAnsi="宋体" w:cs="宋体"/>
                <w:sz w:val="24"/>
                <w:lang w:val="en-US" w:eastAsia="zh-CN"/>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pP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标段：</w:t>
            </w:r>
            <w:r>
              <w:rPr>
                <w:rFonts w:hint="eastAsia" w:asciiTheme="minorEastAsia" w:hAnsiTheme="minorEastAsia" w:eastAsiaTheme="minorEastAsia"/>
                <w:sz w:val="24"/>
                <w:lang w:val="en-US" w:eastAsia="zh-CN"/>
              </w:rPr>
              <w:t>壹万元整</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10000.00</w:t>
            </w:r>
            <w:r>
              <w:rPr>
                <w:rFonts w:hint="eastAsia" w:asciiTheme="minorEastAsia" w:hAnsiTheme="minorEastAsia" w:eastAsiaTheme="minor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8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1</w:t>
            </w:r>
            <w:r>
              <w:rPr>
                <w:rFonts w:hint="eastAsia" w:hAnsi="宋体" w:cs="宋体"/>
                <w:sz w:val="24"/>
              </w:rPr>
              <w:t>)自文件发布之日起，投标人需进行基本户备案，已备案的基本户开户银行、账户发生变化的，须重新办理备案手续。备案后方可提交投标（竞买）保证金。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2</w:t>
            </w:r>
            <w:r>
              <w:rPr>
                <w:rFonts w:hint="eastAsia" w:hAnsi="宋体" w:cs="宋体"/>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w:t>
            </w:r>
            <w:r>
              <w:rPr>
                <w:rFonts w:hint="eastAsia" w:hAnsi="宋体" w:cs="宋体"/>
                <w:sz w:val="24"/>
                <w:lang w:val="en-US" w:eastAsia="zh-CN"/>
              </w:rPr>
              <w:t>3</w:t>
            </w:r>
            <w:r>
              <w:rPr>
                <w:rFonts w:hint="eastAsia" w:hAnsi="宋体" w:cs="宋体"/>
                <w:sz w:val="24"/>
              </w:rPr>
              <w:t>)特殊情况处理</w:t>
            </w:r>
          </w:p>
          <w:p>
            <w:pPr>
              <w:autoSpaceDE w:val="0"/>
              <w:autoSpaceDN w:val="0"/>
              <w:adjustRightInd w:val="0"/>
              <w:spacing w:line="340" w:lineRule="exact"/>
              <w:rPr>
                <w:rFonts w:hint="eastAsia" w:cs="宋体" w:asciiTheme="minorEastAsia" w:hAnsiTheme="minorEastAsia"/>
                <w:bCs/>
                <w:sz w:val="24"/>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p>
          <w:p>
            <w:pPr>
              <w:autoSpaceDE w:val="0"/>
              <w:autoSpaceDN w:val="0"/>
              <w:adjustRightInd w:val="0"/>
              <w:spacing w:line="340" w:lineRule="exact"/>
              <w:ind w:firstLine="240" w:firstLineChars="100"/>
              <w:rPr>
                <w:rFonts w:hAnsi="宋体" w:cs="宋体"/>
                <w:sz w:val="24"/>
                <w:lang w:val="zh-CN"/>
              </w:rPr>
            </w:pPr>
            <w:r>
              <w:rPr>
                <w:rFonts w:hint="eastAsia" w:hAnsi="宋体" w:cs="宋体"/>
                <w:sz w:val="24"/>
              </w:rPr>
              <w:t>(</w:t>
            </w:r>
            <w:r>
              <w:rPr>
                <w:rFonts w:hint="eastAsia" w:hAnsi="宋体" w:cs="宋体"/>
                <w:sz w:val="24"/>
                <w:lang w:val="en-US" w:eastAsia="zh-CN"/>
              </w:rPr>
              <w:t>4</w:t>
            </w:r>
            <w:r>
              <w:rPr>
                <w:rFonts w:hint="eastAsia" w:hAnsi="宋体" w:cs="宋体"/>
                <w:sz w:val="24"/>
              </w:rPr>
              <w:t>)</w:t>
            </w:r>
            <w:r>
              <w:rPr>
                <w:rFonts w:hint="eastAsia" w:hAnsi="宋体" w:cs="宋体"/>
                <w:sz w:val="24"/>
                <w:lang w:val="zh-CN"/>
              </w:rPr>
              <w:t>登录许昌公共资源交易系统-组件下载-《保证金缴纳绑定操作指南》。</w:t>
            </w:r>
          </w:p>
          <w:p>
            <w:pPr>
              <w:rPr>
                <w:rFonts w:hAnsi="宋体" w:cs="宋体"/>
                <w:sz w:val="24"/>
              </w:rPr>
            </w:pPr>
            <w:r>
              <w:rPr>
                <w:rFonts w:hint="eastAsia" w:hAnsi="宋体" w:cs="宋体"/>
                <w:sz w:val="24"/>
              </w:rPr>
              <w:t xml:space="preserve">  (</w:t>
            </w:r>
            <w:r>
              <w:rPr>
                <w:rFonts w:hint="eastAsia" w:hAnsi="宋体" w:cs="宋体"/>
                <w:sz w:val="24"/>
                <w:lang w:val="en-US" w:eastAsia="zh-CN"/>
              </w:rPr>
              <w:t>5</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821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1</w:t>
            </w:r>
            <w:r>
              <w:rPr>
                <w:rFonts w:hint="eastAsia" w:cs="宋体" w:asciiTheme="minorEastAsia" w:hAnsiTheme="minorEastAsia" w:eastAsiaTheme="minorEastAsia"/>
                <w:bCs/>
                <w:sz w:val="24"/>
              </w:rPr>
              <w:t>、自文件发布之日起，投标人需进行基本户备案，已备案的基本户开户银行、账户发生变化的，须重新办理备案手续。备案后方可提交投标（竞买）保证金。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、特殊情况处理</w:t>
            </w:r>
          </w:p>
          <w:p>
            <w:pPr>
              <w:adjustRightInd w:val="0"/>
              <w:spacing w:line="380" w:lineRule="exact"/>
              <w:rPr>
                <w:rFonts w:hAnsi="宋体" w:cs="仿宋_GB2312"/>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442"/>
        <w:rPr>
          <w:rStyle w:val="62"/>
          <w:rFonts w:ascii="宋体" w:hAnsi="宋体" w:eastAsia="宋体"/>
          <w:bCs w:val="0"/>
          <w:sz w:val="44"/>
          <w:szCs w:val="44"/>
        </w:rPr>
      </w:pPr>
    </w:p>
    <w:p>
      <w:pPr>
        <w:pStyle w:val="4"/>
      </w:pPr>
    </w:p>
    <w:p/>
    <w:p>
      <w:pPr>
        <w:pStyle w:val="2"/>
      </w:pPr>
    </w:p>
    <w:p>
      <w:pPr>
        <w:pStyle w:val="4"/>
      </w:pP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3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   月   日</w:t>
            </w:r>
          </w:p>
        </w:tc>
      </w:tr>
    </w:tbl>
    <w:p>
      <w:pPr>
        <w:pStyle w:val="28"/>
        <w:ind w:firstLine="880"/>
        <w:rPr>
          <w:rStyle w:val="62"/>
          <w:rFonts w:ascii="宋体" w:hAnsi="宋体" w:eastAsia="宋体"/>
          <w:b w:val="0"/>
          <w:sz w:val="44"/>
          <w:szCs w:val="44"/>
        </w:rPr>
      </w:pPr>
    </w:p>
    <w:p>
      <w:pPr>
        <w:pStyle w:val="28"/>
        <w:ind w:firstLine="880"/>
        <w:rPr>
          <w:rStyle w:val="62"/>
          <w:rFonts w:ascii="宋体" w:hAnsi="宋体" w:eastAsia="宋体"/>
          <w:b w:val="0"/>
          <w:sz w:val="44"/>
          <w:szCs w:val="44"/>
        </w:rPr>
      </w:pPr>
    </w:p>
    <w:p>
      <w:pPr>
        <w:jc w:val="center"/>
        <w:rPr>
          <w:rFonts w:ascii="宋体" w:hAnsi="宋体"/>
          <w:b/>
          <w:color w:val="000000"/>
          <w:sz w:val="36"/>
          <w:szCs w:val="36"/>
        </w:rPr>
      </w:pPr>
      <w:r>
        <w:rPr>
          <w:rFonts w:hint="eastAsia" w:ascii="宋体" w:hAnsi="宋体"/>
          <w:b/>
          <w:color w:val="000000"/>
          <w:sz w:val="36"/>
          <w:szCs w:val="36"/>
        </w:rPr>
        <w:t>履约保证金退还申请表</w:t>
      </w:r>
    </w:p>
    <w:tbl>
      <w:tblPr>
        <w:tblStyle w:val="3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7208" w:type="dxa"/>
            <w:gridSpan w:val="4"/>
            <w:vAlign w:val="center"/>
          </w:tcPr>
          <w:p>
            <w:pPr>
              <w:spacing w:line="360" w:lineRule="exact"/>
              <w:ind w:firstLine="240" w:firstLineChars="10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208" w:type="dxa"/>
            <w:gridSpan w:val="4"/>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267" w:type="dxa"/>
            <w:vAlign w:val="center"/>
          </w:tcPr>
          <w:p>
            <w:pPr>
              <w:rPr>
                <w:rFonts w:ascii="宋体" w:hAnsi="宋体"/>
                <w:color w:val="000000"/>
                <w:sz w:val="24"/>
              </w:rPr>
            </w:pPr>
          </w:p>
        </w:tc>
        <w:tc>
          <w:tcPr>
            <w:tcW w:w="1134" w:type="dxa"/>
            <w:vAlign w:val="center"/>
          </w:tcPr>
          <w:p>
            <w:pPr>
              <w:spacing w:line="360" w:lineRule="exact"/>
              <w:rPr>
                <w:rFonts w:ascii="宋体" w:hAnsi="宋体"/>
                <w:color w:val="000000"/>
                <w:sz w:val="24"/>
              </w:rPr>
            </w:pPr>
            <w:r>
              <w:rPr>
                <w:rFonts w:hint="eastAsia" w:ascii="宋体" w:hAnsi="宋体"/>
                <w:color w:val="000000"/>
                <w:sz w:val="24"/>
              </w:rPr>
              <w:t>账号</w:t>
            </w:r>
          </w:p>
        </w:tc>
        <w:tc>
          <w:tcPr>
            <w:tcW w:w="2807"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208" w:type="dxa"/>
            <w:gridSpan w:val="4"/>
            <w:vAlign w:val="center"/>
          </w:tcPr>
          <w:p>
            <w:pPr>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中标时间</w:t>
            </w:r>
          </w:p>
        </w:tc>
        <w:tc>
          <w:tcPr>
            <w:tcW w:w="3267" w:type="dxa"/>
            <w:vAlign w:val="center"/>
          </w:tcPr>
          <w:p>
            <w:pPr>
              <w:rPr>
                <w:rFonts w:ascii="宋体" w:hAnsi="宋体"/>
                <w:color w:val="000000"/>
                <w:sz w:val="24"/>
              </w:rPr>
            </w:pPr>
          </w:p>
        </w:tc>
        <w:tc>
          <w:tcPr>
            <w:tcW w:w="1235" w:type="dxa"/>
            <w:gridSpan w:val="2"/>
            <w:vAlign w:val="center"/>
          </w:tcPr>
          <w:p>
            <w:pPr>
              <w:spacing w:line="360" w:lineRule="exact"/>
              <w:rPr>
                <w:rFonts w:ascii="宋体" w:hAnsi="宋体"/>
                <w:color w:val="000000"/>
                <w:sz w:val="24"/>
              </w:rPr>
            </w:pPr>
            <w:r>
              <w:rPr>
                <w:rFonts w:hint="eastAsia" w:ascii="宋体" w:hAnsi="宋体"/>
                <w:color w:val="000000"/>
                <w:sz w:val="24"/>
              </w:rPr>
              <w:t>履约期限</w:t>
            </w:r>
          </w:p>
        </w:tc>
        <w:tc>
          <w:tcPr>
            <w:tcW w:w="270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项目负责人签字：</w:t>
            </w:r>
          </w:p>
          <w:p>
            <w:pPr>
              <w:ind w:firstLine="840" w:firstLineChars="350"/>
              <w:rPr>
                <w:rFonts w:ascii="宋体" w:hAnsi="宋体"/>
                <w:color w:val="000000"/>
                <w:sz w:val="24"/>
              </w:rPr>
            </w:pPr>
          </w:p>
          <w:p>
            <w:pPr>
              <w:ind w:firstLine="840" w:firstLineChars="350"/>
              <w:rPr>
                <w:rFonts w:ascii="宋体" w:hAnsi="宋体"/>
                <w:color w:val="000000"/>
                <w:sz w:val="24"/>
              </w:rPr>
            </w:pPr>
            <w:r>
              <w:rPr>
                <w:rFonts w:hint="eastAsia" w:ascii="宋体" w:hAnsi="宋体"/>
                <w:color w:val="000000"/>
                <w:sz w:val="24"/>
              </w:rPr>
              <w:t xml:space="preserve">联  系  电  话：                     盖     章：                        </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rPr>
          <w:rStyle w:val="62"/>
          <w:rFonts w:ascii="宋体" w:hAnsi="宋体" w:eastAsia="宋体"/>
          <w:b w:val="0"/>
          <w:sz w:val="44"/>
          <w:szCs w:val="44"/>
        </w:rPr>
      </w:pPr>
    </w:p>
    <w:p>
      <w:pPr>
        <w:pStyle w:val="28"/>
        <w:ind w:left="0" w:leftChars="0" w:firstLine="0" w:firstLineChars="0"/>
        <w:rPr>
          <w:rStyle w:val="62"/>
          <w:rFonts w:ascii="宋体" w:hAnsi="宋体" w:eastAsia="宋体"/>
          <w:b w:val="0"/>
          <w:sz w:val="44"/>
          <w:szCs w:val="44"/>
        </w:rPr>
      </w:pPr>
    </w:p>
    <w:p>
      <w:pPr>
        <w:pStyle w:val="102"/>
        <w:ind w:firstLine="1760" w:firstLineChars="400"/>
        <w:rPr>
          <w:rStyle w:val="62"/>
          <w:rFonts w:ascii="宋体" w:hAnsi="宋体" w:eastAsia="宋体"/>
          <w:bCs w:val="0"/>
          <w:sz w:val="44"/>
          <w:szCs w:val="44"/>
        </w:rPr>
      </w:pPr>
      <w:r>
        <w:rPr>
          <w:rStyle w:val="62"/>
          <w:rFonts w:hint="eastAsia" w:ascii="宋体" w:hAnsi="宋体" w:eastAsia="宋体"/>
          <w:bCs w:val="0"/>
          <w:sz w:val="44"/>
          <w:szCs w:val="44"/>
        </w:rPr>
        <w:t>第三章评标办法</w:t>
      </w:r>
      <w:bookmarkEnd w:id="119"/>
      <w:bookmarkEnd w:id="120"/>
      <w:bookmarkEnd w:id="121"/>
      <w:bookmarkStart w:id="124" w:name="_Toc280275114"/>
      <w:bookmarkStart w:id="125" w:name="_Toc280271136"/>
      <w:bookmarkStart w:id="126" w:name="_Toc280271283"/>
      <w:r>
        <w:rPr>
          <w:rStyle w:val="62"/>
          <w:rFonts w:hint="eastAsia" w:ascii="宋体" w:hAnsi="宋体" w:eastAsia="宋体"/>
          <w:bCs w:val="0"/>
          <w:sz w:val="44"/>
          <w:szCs w:val="44"/>
        </w:rPr>
        <w:t>（综合评估法）</w:t>
      </w:r>
      <w:bookmarkEnd w:id="122"/>
      <w:bookmarkEnd w:id="12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一、评标依据:《河南省水利工程建设项目施工评标办法》（豫水建【2016】49号）</w:t>
      </w:r>
    </w:p>
    <w:bookmarkEnd w:id="124"/>
    <w:bookmarkEnd w:id="125"/>
    <w:bookmarkEnd w:id="126"/>
    <w:p>
      <w:pPr>
        <w:rPr>
          <w:rFonts w:asciiTheme="minorEastAsia" w:hAnsiTheme="minorEastAsia" w:eastAsiaTheme="minorEastAsia"/>
          <w:b/>
          <w:sz w:val="28"/>
          <w:szCs w:val="28"/>
        </w:rPr>
      </w:pPr>
      <w:bookmarkStart w:id="127" w:name="_Toc511829749"/>
      <w:bookmarkStart w:id="128" w:name="_Toc517940879"/>
      <w:bookmarkStart w:id="129" w:name="_Toc382164569"/>
      <w:bookmarkStart w:id="130" w:name="_Toc399834329"/>
      <w:r>
        <w:rPr>
          <w:rFonts w:hint="eastAsia" w:asciiTheme="minorEastAsia" w:hAnsiTheme="minorEastAsia" w:eastAsiaTheme="minorEastAsia"/>
          <w:b/>
          <w:sz w:val="28"/>
          <w:szCs w:val="28"/>
        </w:rPr>
        <w:t>二、评标办法前附表</w:t>
      </w:r>
      <w:bookmarkEnd w:id="127"/>
      <w:bookmarkEnd w:id="128"/>
      <w:bookmarkEnd w:id="129"/>
      <w:bookmarkEnd w:id="130"/>
    </w:p>
    <w:tbl>
      <w:tblPr>
        <w:tblStyle w:val="36"/>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8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bookmarkStart w:id="131" w:name="_Toc246996987"/>
            <w:bookmarkStart w:id="132" w:name="_Toc246996244"/>
            <w:bookmarkStart w:id="133" w:name="_Toc152045601"/>
            <w:bookmarkStart w:id="134" w:name="_Toc247085759"/>
            <w:bookmarkStart w:id="135" w:name="_Toc296602489"/>
            <w:bookmarkStart w:id="136" w:name="_Toc144974568"/>
            <w:bookmarkStart w:id="137" w:name="_Toc21173"/>
            <w:bookmarkStart w:id="138" w:name="_Toc152045600"/>
            <w:bookmarkStart w:id="139" w:name="_Toc152042378"/>
            <w:bookmarkStart w:id="140" w:name="_Toc152042377"/>
            <w:bookmarkStart w:id="141" w:name="_Toc144974567"/>
            <w:bookmarkStart w:id="142" w:name="_Toc179632619"/>
            <w:bookmarkStart w:id="143" w:name="_Toc179632618"/>
            <w:r>
              <w:rPr>
                <w:rFonts w:ascii="宋体" w:hAnsi="宋体"/>
                <w:b/>
                <w:szCs w:val="21"/>
              </w:rPr>
              <w:t>条款号</w:t>
            </w:r>
          </w:p>
        </w:tc>
        <w:tc>
          <w:tcPr>
            <w:tcW w:w="2383" w:type="dxa"/>
            <w:vAlign w:val="center"/>
          </w:tcPr>
          <w:p>
            <w:pPr>
              <w:spacing w:line="312" w:lineRule="auto"/>
              <w:jc w:val="center"/>
              <w:rPr>
                <w:rFonts w:ascii="宋体" w:hAnsi="宋体"/>
                <w:b/>
                <w:szCs w:val="21"/>
              </w:rPr>
            </w:pPr>
            <w:bookmarkStart w:id="144" w:name="_Toc221950446"/>
            <w:r>
              <w:rPr>
                <w:rFonts w:ascii="宋体" w:hAnsi="宋体"/>
                <w:b/>
                <w:szCs w:val="21"/>
              </w:rPr>
              <w:t>评审因素</w:t>
            </w:r>
            <w:bookmarkEnd w:id="144"/>
          </w:p>
        </w:tc>
        <w:tc>
          <w:tcPr>
            <w:tcW w:w="597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restart"/>
            <w:vAlign w:val="center"/>
          </w:tcPr>
          <w:p>
            <w:pPr>
              <w:spacing w:line="460" w:lineRule="exact"/>
              <w:jc w:val="center"/>
              <w:rPr>
                <w:rFonts w:ascii="宋体" w:hAnsi="宋体"/>
                <w:szCs w:val="21"/>
              </w:rPr>
            </w:pPr>
            <w:bookmarkStart w:id="145" w:name="_Toc221950448"/>
            <w:r>
              <w:rPr>
                <w:rFonts w:ascii="宋体" w:hAnsi="宋体"/>
                <w:szCs w:val="21"/>
              </w:rPr>
              <w:t>2.1.1</w:t>
            </w:r>
            <w:bookmarkEnd w:id="145"/>
          </w:p>
        </w:tc>
        <w:tc>
          <w:tcPr>
            <w:tcW w:w="625" w:type="dxa"/>
            <w:vMerge w:val="restart"/>
            <w:vAlign w:val="center"/>
          </w:tcPr>
          <w:p>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投标人名称</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cs="宋体"/>
                <w:sz w:val="24"/>
              </w:rPr>
              <w:t>与营业执照、资质证书、安全生产许可证是否一致；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投标文件的签字盖章</w:t>
            </w:r>
          </w:p>
        </w:tc>
        <w:tc>
          <w:tcPr>
            <w:tcW w:w="5976" w:type="dxa"/>
            <w:vAlign w:val="center"/>
          </w:tcPr>
          <w:p>
            <w:pPr>
              <w:spacing w:line="460" w:lineRule="exact"/>
              <w:rPr>
                <w:rFonts w:ascii="宋体" w:hAnsi="宋体"/>
                <w:sz w:val="24"/>
              </w:rPr>
            </w:pPr>
            <w:r>
              <w:rPr>
                <w:rFonts w:hint="eastAsia" w:ascii="宋体" w:hAnsi="宋体" w:cs="宋体"/>
                <w:sz w:val="24"/>
              </w:rPr>
              <w:t>符合第二章投标人须知前附表第3.7.3款规定。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投标文件格式</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报价唯一</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投标文件的份数</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hint="eastAsia" w:ascii="宋体" w:hAnsi="宋体" w:eastAsia="宋体"/>
                <w:sz w:val="24"/>
                <w:lang w:val="en-US" w:eastAsia="zh-CN"/>
              </w:rPr>
            </w:pPr>
            <w:r>
              <w:rPr>
                <w:rFonts w:hint="eastAsia" w:ascii="宋体" w:hAnsi="宋体"/>
                <w:sz w:val="24"/>
              </w:rPr>
              <w:t>装订</w:t>
            </w:r>
            <w:r>
              <w:rPr>
                <w:rFonts w:hint="eastAsia" w:ascii="宋体" w:hAnsi="宋体"/>
                <w:sz w:val="24"/>
                <w:lang w:val="en-US" w:eastAsia="zh-CN"/>
              </w:rPr>
              <w:t>要求</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符合第二章投标人须知第3.7</w:t>
            </w:r>
            <w:r>
              <w:rPr>
                <w:rFonts w:hint="eastAsia" w:ascii="宋体" w:hAnsi="宋体"/>
                <w:sz w:val="24"/>
                <w:lang w:val="en-US" w:eastAsia="zh-CN"/>
              </w:rPr>
              <w:t>.5</w:t>
            </w:r>
            <w:r>
              <w:rPr>
                <w:rFonts w:hint="eastAsia" w:ascii="宋体" w:hAnsi="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vMerge w:val="restart"/>
            <w:vAlign w:val="center"/>
          </w:tcPr>
          <w:p>
            <w:pPr>
              <w:spacing w:line="460" w:lineRule="exact"/>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460" w:lineRule="exact"/>
              <w:contextualSpacing/>
              <w:jc w:val="center"/>
              <w:rPr>
                <w:rFonts w:ascii="宋体" w:hAnsi="宋体"/>
                <w:sz w:val="24"/>
              </w:rPr>
            </w:pPr>
            <w:r>
              <w:rPr>
                <w:rFonts w:hint="eastAsia" w:ascii="宋体" w:hAnsi="宋体"/>
                <w:sz w:val="24"/>
              </w:rPr>
              <w:t>资格评审</w:t>
            </w: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pPr>
              <w:spacing w:line="460" w:lineRule="exact"/>
              <w:rPr>
                <w:rFonts w:ascii="宋体" w:hAnsi="宋体"/>
                <w:b/>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spacing w:line="460" w:lineRule="exact"/>
              <w:jc w:val="center"/>
              <w:rPr>
                <w:rFonts w:ascii="宋体" w:hAnsi="宋体"/>
                <w:sz w:val="24"/>
              </w:rPr>
            </w:pPr>
            <w:r>
              <w:rPr>
                <w:rFonts w:hint="eastAsia" w:ascii="宋体" w:hAnsi="宋体"/>
                <w:sz w:val="24"/>
              </w:rPr>
              <w:t>资质要求</w:t>
            </w:r>
          </w:p>
        </w:tc>
        <w:tc>
          <w:tcPr>
            <w:tcW w:w="5976" w:type="dxa"/>
            <w:vAlign w:val="center"/>
          </w:tcPr>
          <w:p>
            <w:pPr>
              <w:spacing w:line="460" w:lineRule="exact"/>
              <w:rPr>
                <w:rFonts w:ascii="宋体" w:hAnsi="Courier New" w:cs="Courier New"/>
                <w:b/>
                <w:bCs/>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spacing w:line="460" w:lineRule="exact"/>
              <w:jc w:val="center"/>
              <w:rPr>
                <w:rFonts w:ascii="宋体" w:hAnsi="宋体"/>
                <w:sz w:val="24"/>
              </w:rPr>
            </w:pPr>
            <w:r>
              <w:rPr>
                <w:rFonts w:hint="eastAsia" w:ascii="宋体" w:hAnsi="宋体"/>
                <w:sz w:val="24"/>
              </w:rPr>
              <w:t>企业业绩</w:t>
            </w:r>
          </w:p>
        </w:tc>
        <w:tc>
          <w:tcPr>
            <w:tcW w:w="5976" w:type="dxa"/>
            <w:vAlign w:val="center"/>
          </w:tcPr>
          <w:p>
            <w:pPr>
              <w:spacing w:line="460" w:lineRule="exact"/>
              <w:rPr>
                <w:rFonts w:ascii="宋体" w:hAnsi="宋体"/>
                <w:sz w:val="24"/>
              </w:rPr>
            </w:pPr>
            <w:r>
              <w:rPr>
                <w:rFonts w:hint="eastAsia" w:ascii="宋体" w:hAnsi="宋体"/>
                <w:sz w:val="24"/>
              </w:rPr>
              <w:t>投标人201</w:t>
            </w:r>
            <w:r>
              <w:rPr>
                <w:rFonts w:hint="eastAsia" w:ascii="宋体" w:hAnsi="宋体"/>
                <w:sz w:val="24"/>
                <w:lang w:val="en-US" w:eastAsia="zh-CN"/>
              </w:rPr>
              <w:t>7</w:t>
            </w:r>
            <w:r>
              <w:rPr>
                <w:rFonts w:hint="eastAsia" w:ascii="宋体" w:hAnsi="宋体"/>
                <w:sz w:val="24"/>
              </w:rPr>
              <w:t>年1月1日以来至少具有1项类似业绩；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财务状况</w:t>
            </w:r>
            <w:r>
              <w:rPr>
                <w:rFonts w:hint="eastAsia" w:ascii="宋体" w:hAnsi="宋体"/>
                <w:sz w:val="24"/>
              </w:rPr>
              <w:t>要求</w:t>
            </w:r>
          </w:p>
        </w:tc>
        <w:tc>
          <w:tcPr>
            <w:tcW w:w="5976" w:type="dxa"/>
            <w:vAlign w:val="center"/>
          </w:tcPr>
          <w:p>
            <w:pPr>
              <w:spacing w:line="460" w:lineRule="exact"/>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、201</w:t>
            </w:r>
            <w:r>
              <w:rPr>
                <w:rFonts w:hint="eastAsia" w:ascii="宋体" w:hAnsi="宋体"/>
                <w:sz w:val="24"/>
                <w:lang w:val="en-US" w:eastAsia="zh-CN"/>
              </w:rPr>
              <w:t>8</w:t>
            </w:r>
            <w:r>
              <w:rPr>
                <w:rFonts w:hint="eastAsia" w:ascii="宋体" w:hAnsi="宋体"/>
                <w:sz w:val="24"/>
              </w:rPr>
              <w:t>、201</w:t>
            </w:r>
            <w:r>
              <w:rPr>
                <w:rFonts w:hint="eastAsia" w:ascii="宋体" w:hAnsi="宋体"/>
                <w:sz w:val="24"/>
                <w:lang w:val="en-US" w:eastAsia="zh-CN"/>
              </w:rPr>
              <w:t>9</w:t>
            </w:r>
            <w:r>
              <w:rPr>
                <w:rFonts w:hint="eastAsia" w:ascii="宋体" w:hAnsi="宋体"/>
                <w:sz w:val="24"/>
              </w:rPr>
              <w:t>年度财务良好</w:t>
            </w:r>
            <w:r>
              <w:rPr>
                <w:rFonts w:hint="eastAsia" w:ascii="宋体" w:hAnsi="宋体"/>
                <w:b/>
                <w:sz w:val="24"/>
              </w:rPr>
              <w:t>，</w:t>
            </w:r>
            <w:r>
              <w:rPr>
                <w:rFonts w:hint="eastAsia" w:cs="宋体" w:asciiTheme="minorEastAsia" w:hAnsiTheme="minorEastAsia" w:eastAsiaTheme="minorEastAsia"/>
                <w:kern w:val="0"/>
                <w:sz w:val="24"/>
              </w:rPr>
              <w:t>若公司成立未满三年，从成立当年算起</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信誉</w:t>
            </w:r>
            <w:r>
              <w:rPr>
                <w:rFonts w:hint="eastAsia" w:ascii="宋体" w:hAnsi="宋体"/>
                <w:sz w:val="24"/>
              </w:rPr>
              <w:t>要求</w:t>
            </w:r>
          </w:p>
        </w:tc>
        <w:tc>
          <w:tcPr>
            <w:tcW w:w="5976" w:type="dxa"/>
            <w:vAlign w:val="center"/>
          </w:tcPr>
          <w:p>
            <w:pPr>
              <w:spacing w:line="460" w:lineRule="exact"/>
              <w:rPr>
                <w:rFonts w:ascii="宋体" w:hAnsi="Courier New" w:cs="Courier New"/>
                <w:sz w:val="24"/>
              </w:rPr>
            </w:pPr>
            <w:r>
              <w:rPr>
                <w:rFonts w:hint="eastAsia" w:ascii="宋体" w:hAnsi="Courier New" w:cs="Courier New"/>
                <w:sz w:val="24"/>
              </w:rPr>
              <w:t>核实投标人信誉及信用记录情况：仅核实投标人获奖、受罚、信用信息登记等的真实性</w:t>
            </w:r>
            <w:r>
              <w:rPr>
                <w:rFonts w:hint="eastAsia" w:ascii="宋体" w:hAnsi="宋体"/>
                <w:b/>
                <w:sz w:val="24"/>
              </w:rPr>
              <w:t>（以全国水利建设市场监管服务平台公示为准）</w:t>
            </w:r>
            <w:r>
              <w:rPr>
                <w:rFonts w:hint="eastAsia" w:ascii="宋体" w:hAnsi="Courier New"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contextualSpacing/>
              <w:jc w:val="center"/>
              <w:rPr>
                <w:rFonts w:ascii="宋体" w:hAnsi="宋体"/>
                <w:sz w:val="24"/>
              </w:rPr>
            </w:pPr>
            <w:r>
              <w:rPr>
                <w:rFonts w:hint="eastAsia" w:ascii="宋体" w:hAnsi="宋体"/>
                <w:sz w:val="24"/>
              </w:rPr>
              <w:t>拟派项目负责人、技术负责人</w:t>
            </w:r>
            <w:r>
              <w:rPr>
                <w:rFonts w:ascii="宋体" w:hAnsi="宋体"/>
                <w:sz w:val="24"/>
              </w:rPr>
              <w:t>资格</w:t>
            </w:r>
            <w:r>
              <w:rPr>
                <w:rFonts w:hint="eastAsia" w:ascii="宋体" w:hAnsi="宋体"/>
                <w:sz w:val="24"/>
              </w:rPr>
              <w:t>要求</w:t>
            </w:r>
          </w:p>
        </w:tc>
        <w:tc>
          <w:tcPr>
            <w:tcW w:w="5976" w:type="dxa"/>
            <w:vAlign w:val="center"/>
          </w:tcPr>
          <w:p>
            <w:pPr>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被授权委托人、项目经理</w:t>
            </w:r>
          </w:p>
        </w:tc>
        <w:tc>
          <w:tcPr>
            <w:tcW w:w="5976" w:type="dxa"/>
            <w:vAlign w:val="center"/>
          </w:tcPr>
          <w:p>
            <w:pPr>
              <w:rPr>
                <w:rFonts w:ascii="宋体" w:hAnsi="宋体"/>
                <w:sz w:val="24"/>
              </w:rPr>
            </w:pPr>
            <w:r>
              <w:rPr>
                <w:rFonts w:hint="eastAsia" w:ascii="宋体" w:hAnsi="宋体"/>
                <w:sz w:val="24"/>
              </w:rPr>
              <w:t>被授权委托人、项目经理必须与全国水利建设市场监管服务平台公示的相符；（以网页公示为准)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其他</w:t>
            </w:r>
          </w:p>
        </w:tc>
        <w:tc>
          <w:tcPr>
            <w:tcW w:w="5976" w:type="dxa"/>
            <w:vAlign w:val="center"/>
          </w:tcPr>
          <w:p>
            <w:pPr>
              <w:spacing w:line="460" w:lineRule="exact"/>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restart"/>
            <w:vAlign w:val="center"/>
          </w:tcPr>
          <w:p>
            <w:pPr>
              <w:spacing w:line="460" w:lineRule="exact"/>
              <w:jc w:val="center"/>
              <w:rPr>
                <w:rFonts w:ascii="宋体" w:hAnsi="宋体"/>
                <w:szCs w:val="21"/>
              </w:rPr>
            </w:pPr>
            <w:bookmarkStart w:id="146" w:name="_Toc221950452"/>
            <w:r>
              <w:rPr>
                <w:rFonts w:ascii="宋体" w:hAnsi="宋体"/>
                <w:szCs w:val="21"/>
              </w:rPr>
              <w:t>2.1.3</w:t>
            </w:r>
            <w:bookmarkEnd w:id="146"/>
          </w:p>
        </w:tc>
        <w:tc>
          <w:tcPr>
            <w:tcW w:w="625" w:type="dxa"/>
            <w:vMerge w:val="restart"/>
            <w:vAlign w:val="center"/>
          </w:tcPr>
          <w:p>
            <w:pPr>
              <w:autoSpaceDE w:val="0"/>
              <w:autoSpaceDN w:val="0"/>
              <w:spacing w:line="460" w:lineRule="exact"/>
              <w:contextualSpacing/>
              <w:jc w:val="center"/>
              <w:rPr>
                <w:rFonts w:ascii="宋体" w:hAnsi="宋体"/>
                <w:sz w:val="24"/>
              </w:rPr>
            </w:pPr>
          </w:p>
          <w:p>
            <w:pPr>
              <w:autoSpaceDE w:val="0"/>
              <w:autoSpaceDN w:val="0"/>
              <w:spacing w:line="460" w:lineRule="exact"/>
              <w:contextualSpacing/>
              <w:jc w:val="center"/>
              <w:rPr>
                <w:rFonts w:ascii="宋体" w:hAnsi="宋体"/>
                <w:sz w:val="24"/>
              </w:rPr>
            </w:pPr>
            <w:r>
              <w:rPr>
                <w:rFonts w:ascii="宋体" w:hAnsi="宋体"/>
                <w:sz w:val="24"/>
              </w:rPr>
              <w:t>响应性评审</w:t>
            </w: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范围</w:t>
            </w:r>
          </w:p>
        </w:tc>
        <w:tc>
          <w:tcPr>
            <w:tcW w:w="5976" w:type="dxa"/>
            <w:vAlign w:val="center"/>
          </w:tcPr>
          <w:p>
            <w:pPr>
              <w:spacing w:line="460" w:lineRule="exact"/>
              <w:rPr>
                <w:rFonts w:ascii="宋体" w:hAnsi="宋体"/>
                <w:sz w:val="24"/>
              </w:rPr>
            </w:pPr>
            <w:bookmarkStart w:id="147" w:name="_Toc221950422"/>
            <w:bookmarkStart w:id="148" w:name="_Toc221950424"/>
            <w:r>
              <w:rPr>
                <w:rFonts w:ascii="宋体" w:hAnsi="宋体"/>
                <w:sz w:val="24"/>
              </w:rPr>
              <w:t>符合第二章“投标人须知”第1.3.1项规定</w:t>
            </w:r>
            <w:bookmarkEnd w:id="147"/>
            <w:r>
              <w:rPr>
                <w:rFonts w:hint="eastAsia" w:ascii="宋体" w:hAnsi="宋体"/>
                <w:sz w:val="24"/>
              </w:rPr>
              <w:t>；</w:t>
            </w:r>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计划</w:t>
            </w:r>
            <w:r>
              <w:rPr>
                <w:rFonts w:ascii="宋体" w:hAnsi="宋体"/>
                <w:sz w:val="24"/>
              </w:rPr>
              <w:t>工期</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有效期</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投标</w:t>
            </w:r>
            <w:r>
              <w:rPr>
                <w:rFonts w:hint="eastAsia" w:ascii="宋体" w:hAnsi="宋体"/>
                <w:sz w:val="24"/>
              </w:rPr>
              <w:t>保证金</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符合第二章“投标人须知”第3.</w:t>
            </w:r>
            <w:r>
              <w:rPr>
                <w:rFonts w:hint="eastAsia" w:ascii="宋体" w:hAnsi="宋体"/>
                <w:sz w:val="24"/>
              </w:rPr>
              <w:t>4</w:t>
            </w:r>
            <w:r>
              <w:rPr>
                <w:rFonts w:hint="eastAsia" w:ascii="宋体" w:hAnsi="宋体"/>
                <w:sz w:val="24"/>
                <w:lang w:val="en-US" w:eastAsia="zh-CN"/>
              </w:rPr>
              <w:t>.2</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符合第四章“合同条款及格式”规定的权利义务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pPr>
              <w:autoSpaceDE w:val="0"/>
              <w:autoSpaceDN w:val="0"/>
              <w:spacing w:line="460" w:lineRule="exact"/>
              <w:contextualSpacing/>
              <w:rPr>
                <w:rFonts w:ascii="宋体" w:hAnsi="宋体"/>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技术标准和要求</w:t>
            </w:r>
          </w:p>
        </w:tc>
        <w:tc>
          <w:tcPr>
            <w:tcW w:w="5976" w:type="dxa"/>
            <w:vAlign w:val="center"/>
          </w:tcPr>
          <w:p>
            <w:pPr>
              <w:autoSpaceDE w:val="0"/>
              <w:autoSpaceDN w:val="0"/>
              <w:spacing w:line="460" w:lineRule="exact"/>
              <w:contextualSpacing/>
              <w:rPr>
                <w:rFonts w:ascii="宋体" w:hAnsi="宋体"/>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contextualSpacing/>
              <w:jc w:val="center"/>
              <w:rPr>
                <w:rFonts w:ascii="宋体" w:hAnsi="宋体"/>
                <w:sz w:val="24"/>
              </w:rPr>
            </w:pPr>
            <w:r>
              <w:rPr>
                <w:rFonts w:hint="eastAsia" w:ascii="宋体" w:hAnsi="宋体"/>
                <w:sz w:val="24"/>
              </w:rPr>
              <w:t>投标报价</w:t>
            </w:r>
          </w:p>
        </w:tc>
        <w:tc>
          <w:tcPr>
            <w:tcW w:w="5976" w:type="dxa"/>
            <w:vAlign w:val="center"/>
          </w:tcPr>
          <w:p>
            <w:pPr>
              <w:autoSpaceDE w:val="0"/>
              <w:autoSpaceDN w:val="0"/>
              <w:spacing w:line="460" w:lineRule="exact"/>
              <w:contextualSpacing/>
              <w:jc w:val="left"/>
              <w:rPr>
                <w:rFonts w:ascii="宋体" w:hAnsi="宋体"/>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460" w:lineRule="exact"/>
              <w:jc w:val="center"/>
              <w:rPr>
                <w:rFonts w:ascii="宋体" w:hAnsi="宋体"/>
                <w:szCs w:val="21"/>
              </w:rPr>
            </w:pPr>
          </w:p>
        </w:tc>
        <w:tc>
          <w:tcPr>
            <w:tcW w:w="625" w:type="dxa"/>
            <w:vMerge w:val="continue"/>
            <w:vAlign w:val="center"/>
          </w:tcPr>
          <w:p>
            <w:pPr>
              <w:autoSpaceDE w:val="0"/>
              <w:autoSpaceDN w:val="0"/>
              <w:spacing w:line="460" w:lineRule="exact"/>
              <w:contextualSpacing/>
              <w:jc w:val="center"/>
              <w:rPr>
                <w:rFonts w:ascii="宋体" w:hAnsi="宋体"/>
                <w:sz w:val="24"/>
              </w:rPr>
            </w:pPr>
          </w:p>
        </w:tc>
        <w:tc>
          <w:tcPr>
            <w:tcW w:w="2383" w:type="dxa"/>
            <w:vAlign w:val="center"/>
          </w:tcPr>
          <w:p>
            <w:pPr>
              <w:autoSpaceDE w:val="0"/>
              <w:autoSpaceDN w:val="0"/>
              <w:spacing w:line="460" w:lineRule="exact"/>
              <w:ind w:firstLine="960" w:firstLineChars="400"/>
              <w:contextualSpacing/>
              <w:rPr>
                <w:rFonts w:ascii="宋体" w:hAnsi="宋体"/>
                <w:sz w:val="24"/>
              </w:rPr>
            </w:pPr>
            <w:r>
              <w:rPr>
                <w:rFonts w:hint="eastAsia" w:ascii="宋体" w:hAnsi="宋体"/>
                <w:sz w:val="24"/>
              </w:rPr>
              <w:t>其他</w:t>
            </w:r>
          </w:p>
        </w:tc>
        <w:tc>
          <w:tcPr>
            <w:tcW w:w="5976" w:type="dxa"/>
            <w:vAlign w:val="center"/>
          </w:tcPr>
          <w:p>
            <w:pPr>
              <w:rPr>
                <w:rFonts w:ascii="宋体" w:hAnsi="宋体"/>
                <w:sz w:val="24"/>
              </w:rPr>
            </w:pPr>
            <w:r>
              <w:rPr>
                <w:rFonts w:hint="eastAsia" w:ascii="宋体" w:hAnsi="宋体"/>
                <w:sz w:val="24"/>
              </w:rPr>
              <w:t>1、投标文件应附承诺书，承诺内容应包含廉政承诺书、承诺中标后及时、足额缴纳农民工工资保证金；承诺依法足额支付农民工工资，一旦其承建的工程项目出现拖欠农民工工资情况的，可由建设单位从其缴纳的农民工</w:t>
            </w:r>
          </w:p>
          <w:p>
            <w:pPr>
              <w:rPr>
                <w:rFonts w:ascii="宋体" w:hAnsi="宋体"/>
                <w:sz w:val="24"/>
              </w:rPr>
            </w:pPr>
            <w:r>
              <w:rPr>
                <w:rFonts w:hint="eastAsia" w:ascii="宋体" w:hAnsi="宋体"/>
                <w:sz w:val="24"/>
              </w:rPr>
              <w:t>工资保证金中先予垫支。</w:t>
            </w:r>
          </w:p>
          <w:p>
            <w:pPr>
              <w:rPr>
                <w:rFonts w:ascii="宋体" w:hAnsi="宋体"/>
                <w:sz w:val="24"/>
              </w:rPr>
            </w:pPr>
            <w:r>
              <w:rPr>
                <w:rFonts w:hint="eastAsia" w:ascii="宋体" w:hAnsi="宋体"/>
                <w:sz w:val="24"/>
              </w:rPr>
              <w:t>2、投标人应提供主要参建人员签字备案表，载明姓名、拟任职务、个人身份信息等内容，并由本人亲笔签名。</w:t>
            </w:r>
          </w:p>
          <w:p>
            <w:pPr>
              <w:rPr>
                <w:rFonts w:ascii="宋体" w:hAnsi="宋体"/>
                <w:sz w:val="24"/>
              </w:rPr>
            </w:pPr>
            <w:r>
              <w:rPr>
                <w:rFonts w:hint="eastAsia" w:ascii="宋体" w:hAnsi="宋体"/>
                <w:sz w:val="24"/>
              </w:rPr>
              <w:t>3、项目经理须出具加盖公章的无在建工程承诺书，若在建项目合同工程已完工或已变更的，须提供建设单位出具的相应证明材料，投标文件中提供相应证明材料，可视为无在建工程；开标后提供的不予认可；如有在建，其投标资格将被取消。</w:t>
            </w:r>
          </w:p>
          <w:p>
            <w:pPr>
              <w:rPr>
                <w:rFonts w:ascii="宋体" w:hAnsi="宋体"/>
                <w:sz w:val="24"/>
              </w:rPr>
            </w:pPr>
            <w:r>
              <w:rPr>
                <w:rFonts w:hint="eastAsia" w:ascii="宋体" w:hAnsi="宋体"/>
                <w:sz w:val="24"/>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
              <w:rPr>
                <w:rFonts w:hint="eastAsia" w:ascii="宋体" w:hAnsi="宋体"/>
                <w:sz w:val="24"/>
              </w:rPr>
              <w:t>5、招标文件中规定的其他实质性内容。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60" w:lineRule="exact"/>
              <w:jc w:val="center"/>
              <w:rPr>
                <w:rFonts w:ascii="宋体" w:hAnsi="宋体"/>
                <w:b/>
                <w:sz w:val="24"/>
              </w:rPr>
            </w:pPr>
            <w:r>
              <w:rPr>
                <w:rFonts w:ascii="宋体" w:hAnsi="宋体"/>
                <w:b/>
                <w:sz w:val="24"/>
              </w:rPr>
              <w:t>条款号</w:t>
            </w:r>
          </w:p>
        </w:tc>
        <w:tc>
          <w:tcPr>
            <w:tcW w:w="2383" w:type="dxa"/>
            <w:vAlign w:val="center"/>
          </w:tcPr>
          <w:p>
            <w:pPr>
              <w:spacing w:line="460" w:lineRule="exact"/>
              <w:jc w:val="center"/>
              <w:rPr>
                <w:rFonts w:ascii="宋体" w:hAnsi="宋体"/>
                <w:b/>
                <w:sz w:val="24"/>
              </w:rPr>
            </w:pPr>
            <w:r>
              <w:rPr>
                <w:rFonts w:hint="eastAsia" w:ascii="宋体" w:hAnsi="宋体"/>
                <w:b/>
                <w:sz w:val="24"/>
              </w:rPr>
              <w:t>评分因素</w:t>
            </w:r>
          </w:p>
        </w:tc>
        <w:tc>
          <w:tcPr>
            <w:tcW w:w="5976" w:type="dxa"/>
            <w:vAlign w:val="center"/>
          </w:tcPr>
          <w:p>
            <w:pPr>
              <w:spacing w:line="460" w:lineRule="exact"/>
              <w:ind w:right="248"/>
              <w:rPr>
                <w:rFonts w:ascii="宋体" w:hAnsi="宋体"/>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2.2.1</w:t>
            </w:r>
          </w:p>
        </w:tc>
        <w:tc>
          <w:tcPr>
            <w:tcW w:w="2383"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(总分100分)</w:t>
            </w:r>
          </w:p>
        </w:tc>
        <w:tc>
          <w:tcPr>
            <w:tcW w:w="5976" w:type="dxa"/>
            <w:vAlign w:val="center"/>
          </w:tcPr>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施工组织设计：35 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项目管理机构：10 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投标报价：40分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信用等级5分</w:t>
            </w:r>
          </w:p>
          <w:p>
            <w:pPr>
              <w:spacing w:line="300" w:lineRule="atLeas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其他评分因素：10分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2.2.2</w:t>
            </w:r>
          </w:p>
        </w:tc>
        <w:tc>
          <w:tcPr>
            <w:tcW w:w="2383" w:type="dxa"/>
            <w:vAlign w:val="center"/>
          </w:tcPr>
          <w:p>
            <w:pPr>
              <w:spacing w:line="400" w:lineRule="exact"/>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评标基准价计算公式</w:t>
            </w:r>
          </w:p>
        </w:tc>
        <w:tc>
          <w:tcPr>
            <w:tcW w:w="5976" w:type="dxa"/>
            <w:vAlign w:val="center"/>
          </w:tcPr>
          <w:p>
            <w:pPr>
              <w:spacing w:line="3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S=T×0.5＋[(a1＋a2＋a3＋ai)／n]×0.5</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式中: </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S ──评标基准价；</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T ──招标控制价；</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ai──投标人的有效报价（i=1,2, …,n）, 投标人有效报价ai: 指投标人报价实质性响应招标文件要求，未被认定为废标并投标报价在招标控制价95%（含）至100%（含）区间的报价；若不在该区间，不参与评标基准价计算，但仍计算报价得分。</w:t>
            </w:r>
          </w:p>
          <w:p>
            <w:pPr>
              <w:spacing w:line="300" w:lineRule="atLeast"/>
              <w:ind w:right="24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若所有投标人的投标报价都不在该区间内，则评标基准价S=T×0.5+ T×95%×0.5</w:t>
            </w:r>
          </w:p>
          <w:p>
            <w:pPr>
              <w:spacing w:line="300" w:lineRule="atLeas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n ──有效报价的投标人个数。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2.2.3</w:t>
            </w:r>
          </w:p>
        </w:tc>
        <w:tc>
          <w:tcPr>
            <w:tcW w:w="2383" w:type="dxa"/>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投标报价的偏差率计算</w:t>
            </w:r>
          </w:p>
        </w:tc>
        <w:tc>
          <w:tcPr>
            <w:tcW w:w="5976" w:type="dxa"/>
            <w:vAlign w:val="center"/>
          </w:tcPr>
          <w:p>
            <w:pPr>
              <w:spacing w:line="400" w:lineRule="exact"/>
              <w:ind w:right="248"/>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3.4.1</w:t>
            </w:r>
          </w:p>
        </w:tc>
        <w:tc>
          <w:tcPr>
            <w:tcW w:w="2383" w:type="dxa"/>
            <w:vAlign w:val="center"/>
          </w:tcPr>
          <w:p>
            <w:pPr>
              <w:autoSpaceDE w:val="0"/>
              <w:autoSpaceDN w:val="0"/>
              <w:spacing w:line="240" w:lineRule="atLeast"/>
              <w:contextualSpacing/>
              <w:jc w:val="center"/>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投标人最终得分的计算方法</w:t>
            </w:r>
          </w:p>
        </w:tc>
        <w:tc>
          <w:tcPr>
            <w:tcW w:w="5976" w:type="dxa"/>
            <w:vAlign w:val="center"/>
          </w:tcPr>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评标委员会仅对通过初步评审的投标文件进行详细评审。</w:t>
            </w:r>
          </w:p>
          <w:p>
            <w:pPr>
              <w:spacing w:line="240" w:lineRule="atLeast"/>
              <w:ind w:firstLine="480" w:firstLineChars="200"/>
              <w:contextualSpacing/>
              <w:rPr>
                <w:rFonts w:asciiTheme="minorEastAsia" w:hAnsiTheme="minorEastAsia" w:eastAsiaTheme="minorEastAsia" w:cstheme="minorEastAsia"/>
                <w:kern w:val="1"/>
                <w:sz w:val="24"/>
              </w:rPr>
            </w:pPr>
            <w:r>
              <w:rPr>
                <w:rFonts w:hint="eastAsia" w:asciiTheme="minorEastAsia" w:hAnsiTheme="minorEastAsia" w:eastAsiaTheme="minorEastAsia" w:cstheme="minorEastAsia"/>
                <w:sz w:val="24"/>
              </w:rPr>
              <w:t>最终得分=评标委员会所有成员打分的算术平均值+奖励项目得分-惩罚项目得分。（计算评分值均保留两位小数）。</w:t>
            </w:r>
          </w:p>
        </w:tc>
      </w:tr>
    </w:tbl>
    <w:p>
      <w:pPr>
        <w:pStyle w:val="7"/>
        <w:spacing w:before="0" w:after="0" w:line="360" w:lineRule="auto"/>
        <w:rPr>
          <w:rFonts w:ascii="宋体" w:hAnsi="宋体" w:eastAsia="宋体"/>
          <w:sz w:val="24"/>
          <w:szCs w:val="24"/>
        </w:rPr>
      </w:pPr>
      <w:r>
        <w:rPr>
          <w:rFonts w:hint="eastAsia" w:ascii="宋体" w:hAnsi="宋体" w:eastAsia="宋体"/>
          <w:sz w:val="24"/>
          <w:szCs w:val="24"/>
        </w:rPr>
        <w:t>1、评标方法</w:t>
      </w:r>
    </w:p>
    <w:p>
      <w:pPr>
        <w:adjustRightInd w:val="0"/>
        <w:snapToGrid w:val="0"/>
        <w:spacing w:line="360" w:lineRule="auto"/>
        <w:ind w:firstLine="480" w:firstLineChars="200"/>
        <w:rPr>
          <w:rFonts w:ascii="宋体" w:hAnsi="宋体"/>
          <w:sz w:val="24"/>
        </w:rPr>
      </w:pPr>
      <w:r>
        <w:rPr>
          <w:rFonts w:hint="eastAsia" w:ascii="宋体" w:hAnsi="宋体"/>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pPr>
        <w:pStyle w:val="7"/>
        <w:spacing w:before="0" w:after="0" w:line="360" w:lineRule="auto"/>
        <w:rPr>
          <w:rFonts w:ascii="宋体" w:hAnsi="宋体" w:eastAsia="宋体"/>
          <w:sz w:val="24"/>
          <w:szCs w:val="24"/>
        </w:rPr>
      </w:pPr>
      <w:bookmarkStart w:id="149" w:name="_Toc269809087"/>
      <w:bookmarkStart w:id="150" w:name="_Toc273289856"/>
      <w:r>
        <w:rPr>
          <w:rFonts w:hint="eastAsia" w:ascii="宋体" w:hAnsi="宋体" w:eastAsia="宋体"/>
          <w:sz w:val="24"/>
          <w:szCs w:val="24"/>
        </w:rPr>
        <w:t>2、评审标准</w:t>
      </w:r>
      <w:bookmarkEnd w:id="149"/>
      <w:bookmarkEnd w:id="150"/>
    </w:p>
    <w:p>
      <w:pPr>
        <w:pStyle w:val="7"/>
        <w:spacing w:before="0" w:after="0" w:line="360" w:lineRule="auto"/>
        <w:rPr>
          <w:rFonts w:ascii="宋体" w:hAnsi="宋体" w:eastAsia="宋体"/>
          <w:sz w:val="24"/>
          <w:szCs w:val="24"/>
        </w:rPr>
      </w:pPr>
      <w:r>
        <w:rPr>
          <w:rFonts w:hint="eastAsia" w:ascii="宋体" w:hAnsi="宋体" w:eastAsia="宋体"/>
          <w:sz w:val="24"/>
          <w:szCs w:val="24"/>
        </w:rPr>
        <w:t>2.1 初步评审标准</w:t>
      </w:r>
    </w:p>
    <w:p>
      <w:pPr>
        <w:spacing w:line="360" w:lineRule="auto"/>
        <w:rPr>
          <w:rFonts w:ascii="宋体" w:hAnsi="宋体"/>
          <w:sz w:val="24"/>
        </w:rPr>
      </w:pPr>
      <w:r>
        <w:rPr>
          <w:rFonts w:hint="eastAsia" w:ascii="宋体" w:hAnsi="宋体"/>
          <w:sz w:val="24"/>
        </w:rPr>
        <w:t>2.1.1  形式评审标准：详见评标办法前附表。</w:t>
      </w:r>
    </w:p>
    <w:p>
      <w:pPr>
        <w:pStyle w:val="7"/>
        <w:spacing w:before="0" w:after="0" w:line="360" w:lineRule="auto"/>
        <w:ind w:firstLine="120" w:firstLineChars="50"/>
        <w:rPr>
          <w:rFonts w:ascii="宋体" w:hAnsi="宋体" w:eastAsia="宋体"/>
          <w:b w:val="0"/>
          <w:sz w:val="24"/>
          <w:szCs w:val="24"/>
        </w:rPr>
      </w:pPr>
      <w:r>
        <w:rPr>
          <w:rFonts w:hint="eastAsia" w:ascii="宋体" w:hAnsi="宋体" w:eastAsia="宋体"/>
          <w:b w:val="0"/>
          <w:sz w:val="24"/>
          <w:szCs w:val="24"/>
        </w:rPr>
        <w:t xml:space="preserve"> 2.1.2 资格评审标准：详见评标办法前附表。</w:t>
      </w:r>
    </w:p>
    <w:p>
      <w:pPr>
        <w:pStyle w:val="7"/>
        <w:spacing w:before="0" w:after="0" w:line="360" w:lineRule="auto"/>
        <w:ind w:firstLine="240" w:firstLineChars="100"/>
        <w:rPr>
          <w:rFonts w:ascii="宋体" w:hAnsi="宋体" w:eastAsia="宋体"/>
          <w:b w:val="0"/>
          <w:sz w:val="24"/>
          <w:szCs w:val="24"/>
        </w:rPr>
      </w:pPr>
      <w:r>
        <w:rPr>
          <w:rFonts w:hint="eastAsia" w:ascii="宋体" w:hAnsi="宋体" w:eastAsia="宋体"/>
          <w:b w:val="0"/>
          <w:sz w:val="24"/>
          <w:szCs w:val="24"/>
        </w:rPr>
        <w:t>2.1.3 响应性评审标准：详见评标办法前附表。</w:t>
      </w:r>
    </w:p>
    <w:p>
      <w:pPr>
        <w:pStyle w:val="7"/>
        <w:spacing w:before="0" w:after="0" w:line="360" w:lineRule="auto"/>
        <w:rPr>
          <w:rFonts w:ascii="宋体" w:hAnsi="宋体" w:eastAsia="宋体"/>
          <w:sz w:val="24"/>
          <w:szCs w:val="24"/>
        </w:rPr>
      </w:pPr>
      <w:r>
        <w:rPr>
          <w:rFonts w:ascii="宋体" w:hAnsi="宋体" w:eastAsia="宋体"/>
          <w:sz w:val="24"/>
          <w:szCs w:val="24"/>
        </w:rPr>
        <w:t>2.2 分值构成与评分标准</w:t>
      </w:r>
    </w:p>
    <w:p>
      <w:pPr>
        <w:pStyle w:val="7"/>
        <w:spacing w:before="0" w:after="0" w:line="360" w:lineRule="auto"/>
        <w:ind w:firstLine="240" w:firstLineChars="100"/>
        <w:rPr>
          <w:rFonts w:ascii="宋体" w:hAnsi="宋体" w:eastAsia="宋体"/>
          <w:b w:val="0"/>
          <w:sz w:val="24"/>
          <w:szCs w:val="24"/>
        </w:rPr>
      </w:pPr>
      <w:bookmarkStart w:id="151" w:name="_Toc221950492"/>
      <w:r>
        <w:rPr>
          <w:rFonts w:ascii="宋体" w:hAnsi="宋体" w:eastAsia="宋体"/>
          <w:b w:val="0"/>
          <w:sz w:val="24"/>
          <w:szCs w:val="24"/>
        </w:rPr>
        <w:t>2.2.1 分值构成</w:t>
      </w:r>
      <w:r>
        <w:rPr>
          <w:rFonts w:hint="eastAsia" w:ascii="宋体" w:hAnsi="宋体" w:eastAsia="宋体"/>
          <w:b w:val="0"/>
          <w:sz w:val="24"/>
          <w:szCs w:val="24"/>
        </w:rPr>
        <w:t>：</w:t>
      </w:r>
    </w:p>
    <w:p>
      <w:pPr>
        <w:spacing w:line="360" w:lineRule="auto"/>
        <w:ind w:firstLine="424" w:firstLineChars="177"/>
        <w:rPr>
          <w:rFonts w:ascii="宋体" w:hAnsi="宋体"/>
          <w:sz w:val="24"/>
        </w:rPr>
      </w:pPr>
      <w:r>
        <w:rPr>
          <w:rFonts w:ascii="宋体" w:hAnsi="宋体"/>
          <w:sz w:val="24"/>
        </w:rPr>
        <w:t>（1）施工组织设计：见评标办法前附表；</w:t>
      </w:r>
    </w:p>
    <w:p>
      <w:pPr>
        <w:spacing w:line="360" w:lineRule="auto"/>
        <w:ind w:firstLine="424" w:firstLineChars="177"/>
        <w:rPr>
          <w:rFonts w:ascii="宋体" w:hAnsi="宋体"/>
          <w:sz w:val="24"/>
        </w:rPr>
      </w:pPr>
      <w:r>
        <w:rPr>
          <w:rFonts w:ascii="宋体" w:hAnsi="宋体"/>
          <w:sz w:val="24"/>
        </w:rPr>
        <w:t>（2）项目管理机构：见评标办法前附表；</w:t>
      </w:r>
    </w:p>
    <w:p>
      <w:pPr>
        <w:spacing w:line="360" w:lineRule="auto"/>
        <w:ind w:firstLine="424" w:firstLineChars="177"/>
        <w:rPr>
          <w:rFonts w:ascii="宋体" w:hAnsi="宋体"/>
          <w:sz w:val="24"/>
        </w:rPr>
      </w:pPr>
      <w:r>
        <w:rPr>
          <w:rFonts w:ascii="宋体" w:hAnsi="宋体"/>
          <w:sz w:val="24"/>
        </w:rPr>
        <w:t>（3）投标报价：见评标办法前附表；</w:t>
      </w:r>
    </w:p>
    <w:p>
      <w:pPr>
        <w:spacing w:line="360" w:lineRule="auto"/>
        <w:ind w:firstLine="424" w:firstLineChars="177"/>
        <w:rPr>
          <w:rFonts w:ascii="宋体" w:hAnsi="宋体"/>
          <w:sz w:val="24"/>
        </w:rPr>
      </w:pPr>
      <w:r>
        <w:rPr>
          <w:rFonts w:hint="eastAsia" w:ascii="宋体" w:hAnsi="宋体"/>
          <w:sz w:val="24"/>
        </w:rPr>
        <w:t>（4）信用等级：见评标办法前附表；</w:t>
      </w:r>
    </w:p>
    <w:p>
      <w:pPr>
        <w:spacing w:line="360" w:lineRule="auto"/>
        <w:ind w:firstLine="424" w:firstLineChars="177"/>
        <w:rPr>
          <w:rFonts w:ascii="宋体" w:hAnsi="宋体"/>
          <w:sz w:val="24"/>
        </w:rPr>
      </w:pPr>
      <w:r>
        <w:rPr>
          <w:rFonts w:ascii="宋体" w:hAnsi="宋体"/>
          <w:sz w:val="24"/>
        </w:rPr>
        <w:t>（</w:t>
      </w:r>
      <w:r>
        <w:rPr>
          <w:rFonts w:hint="eastAsia" w:ascii="宋体" w:hAnsi="宋体"/>
          <w:sz w:val="24"/>
        </w:rPr>
        <w:t>5</w:t>
      </w:r>
      <w:r>
        <w:rPr>
          <w:rFonts w:ascii="宋体" w:hAnsi="宋体"/>
          <w:sz w:val="24"/>
        </w:rPr>
        <w:t>）其他评分因素：见评标办法前附表。</w:t>
      </w:r>
    </w:p>
    <w:bookmarkEnd w:id="151"/>
    <w:p>
      <w:pPr>
        <w:pStyle w:val="7"/>
        <w:spacing w:before="0" w:after="0" w:line="360" w:lineRule="auto"/>
        <w:ind w:firstLine="240" w:firstLineChars="100"/>
        <w:rPr>
          <w:rFonts w:ascii="宋体" w:hAnsi="宋体" w:eastAsia="宋体"/>
          <w:b w:val="0"/>
          <w:sz w:val="24"/>
          <w:szCs w:val="24"/>
        </w:rPr>
      </w:pPr>
      <w:bookmarkStart w:id="152" w:name="_Toc221950497"/>
      <w:bookmarkStart w:id="153" w:name="_Toc221950503"/>
      <w:r>
        <w:rPr>
          <w:rFonts w:hint="eastAsia" w:ascii="宋体" w:hAnsi="宋体" w:eastAsia="宋体"/>
          <w:b w:val="0"/>
          <w:sz w:val="24"/>
          <w:szCs w:val="24"/>
        </w:rPr>
        <w:t>2.2.2采用复合标底法确定评标基准价</w:t>
      </w:r>
      <w:bookmarkEnd w:id="152"/>
      <w:r>
        <w:rPr>
          <w:rFonts w:hint="eastAsia" w:ascii="宋体" w:hAnsi="宋体" w:eastAsia="宋体"/>
          <w:b w:val="0"/>
          <w:sz w:val="24"/>
          <w:szCs w:val="24"/>
        </w:rPr>
        <w:t>：</w:t>
      </w:r>
    </w:p>
    <w:p>
      <w:pPr>
        <w:spacing w:line="440" w:lineRule="exact"/>
        <w:ind w:firstLine="720" w:firstLineChars="300"/>
        <w:rPr>
          <w:rFonts w:ascii="宋体" w:hAnsi="宋体"/>
          <w:sz w:val="24"/>
        </w:rPr>
      </w:pPr>
      <w:r>
        <w:rPr>
          <w:rFonts w:hint="eastAsia" w:ascii="宋体" w:hAnsi="宋体"/>
          <w:sz w:val="24"/>
        </w:rPr>
        <w:t>S=T×0.5＋[(a1＋a2＋a3＋ai)／n]×0.5</w:t>
      </w:r>
    </w:p>
    <w:p>
      <w:pPr>
        <w:spacing w:line="400" w:lineRule="exact"/>
        <w:ind w:right="248" w:firstLine="720" w:firstLineChars="300"/>
        <w:rPr>
          <w:rFonts w:ascii="宋体" w:hAnsi="宋体"/>
          <w:sz w:val="24"/>
        </w:rPr>
      </w:pPr>
      <w:r>
        <w:rPr>
          <w:rFonts w:hint="eastAsia" w:ascii="宋体" w:hAnsi="宋体"/>
          <w:sz w:val="24"/>
        </w:rPr>
        <w:t xml:space="preserve">式中: </w:t>
      </w:r>
    </w:p>
    <w:p>
      <w:pPr>
        <w:spacing w:line="400" w:lineRule="exact"/>
        <w:ind w:right="248" w:firstLine="720" w:firstLineChars="300"/>
        <w:rPr>
          <w:rFonts w:ascii="宋体" w:hAnsi="宋体"/>
          <w:sz w:val="24"/>
        </w:rPr>
      </w:pPr>
      <w:r>
        <w:rPr>
          <w:rFonts w:hint="eastAsia" w:ascii="宋体" w:hAnsi="宋体"/>
          <w:sz w:val="24"/>
        </w:rPr>
        <w:t>S ──评标基准价；</w:t>
      </w:r>
    </w:p>
    <w:p>
      <w:pPr>
        <w:spacing w:line="400" w:lineRule="exact"/>
        <w:ind w:right="248" w:firstLine="720" w:firstLineChars="300"/>
        <w:rPr>
          <w:rFonts w:ascii="宋体" w:hAnsi="宋体"/>
          <w:sz w:val="24"/>
        </w:rPr>
      </w:pPr>
      <w:r>
        <w:rPr>
          <w:rFonts w:hint="eastAsia" w:ascii="宋体" w:hAnsi="宋体"/>
          <w:sz w:val="24"/>
        </w:rPr>
        <w:t>T ──招标控制价；</w:t>
      </w:r>
    </w:p>
    <w:p>
      <w:pPr>
        <w:spacing w:line="400" w:lineRule="exact"/>
        <w:ind w:right="248" w:firstLine="720" w:firstLineChars="300"/>
        <w:rPr>
          <w:rFonts w:ascii="宋体" w:hAnsi="宋体"/>
          <w:sz w:val="24"/>
        </w:rPr>
      </w:pPr>
      <w:r>
        <w:rPr>
          <w:rFonts w:hint="eastAsia" w:ascii="宋体" w:hAnsi="宋体"/>
          <w:sz w:val="24"/>
        </w:rPr>
        <w:t xml:space="preserve">ai ──投标人的有效报价（i=1,2, </w:t>
      </w:r>
      <w:r>
        <w:rPr>
          <w:rFonts w:ascii="宋体" w:hAnsi="宋体"/>
          <w:sz w:val="24"/>
        </w:rPr>
        <w:t>…</w:t>
      </w:r>
      <w:r>
        <w:rPr>
          <w:rFonts w:hint="eastAsia" w:ascii="宋体" w:hAnsi="宋体"/>
          <w:sz w:val="24"/>
        </w:rPr>
        <w:t>,n）, 投标人有效报价约定见评标办法前附表；</w:t>
      </w:r>
    </w:p>
    <w:p>
      <w:pPr>
        <w:ind w:firstLine="720" w:firstLineChars="300"/>
        <w:rPr>
          <w:rFonts w:ascii="宋体" w:hAnsi="宋体"/>
          <w:sz w:val="24"/>
        </w:rPr>
      </w:pPr>
      <w:r>
        <w:rPr>
          <w:rFonts w:hint="eastAsia" w:ascii="宋体" w:hAnsi="宋体"/>
          <w:sz w:val="24"/>
        </w:rPr>
        <w:t>n ──有效报价的投标人个数。</w:t>
      </w:r>
    </w:p>
    <w:p>
      <w:pPr>
        <w:pStyle w:val="7"/>
        <w:spacing w:before="0" w:after="0" w:line="360" w:lineRule="auto"/>
        <w:ind w:firstLine="240" w:firstLineChars="100"/>
        <w:rPr>
          <w:rFonts w:ascii="宋体" w:hAnsi="宋体" w:eastAsia="宋体"/>
          <w:b w:val="0"/>
          <w:sz w:val="24"/>
          <w:szCs w:val="24"/>
        </w:rPr>
      </w:pPr>
      <w:bookmarkStart w:id="154" w:name="_Toc221950502"/>
      <w:r>
        <w:rPr>
          <w:rFonts w:hint="eastAsia" w:ascii="宋体" w:hAnsi="宋体" w:eastAsia="宋体"/>
          <w:b w:val="0"/>
          <w:bCs w:val="0"/>
          <w:sz w:val="24"/>
          <w:szCs w:val="24"/>
        </w:rPr>
        <w:t>2.2.3</w:t>
      </w:r>
      <w:r>
        <w:rPr>
          <w:rFonts w:hint="eastAsia" w:ascii="宋体" w:hAnsi="宋体" w:eastAsia="宋体"/>
          <w:b w:val="0"/>
          <w:sz w:val="24"/>
          <w:szCs w:val="24"/>
        </w:rPr>
        <w:t>投标报价的偏差率计算方法:</w:t>
      </w:r>
    </w:p>
    <w:p>
      <w:pPr>
        <w:spacing w:line="400" w:lineRule="exact"/>
        <w:ind w:right="248" w:firstLine="480" w:firstLineChars="200"/>
        <w:rPr>
          <w:rFonts w:ascii="宋体" w:hAnsi="宋体"/>
          <w:sz w:val="24"/>
        </w:rPr>
      </w:pPr>
      <w:r>
        <w:rPr>
          <w:rFonts w:hint="eastAsia" w:ascii="宋体" w:hAnsi="宋体"/>
          <w:sz w:val="24"/>
        </w:rPr>
        <w:t>偏差率=100%×(投标人报价-评标基准价)/评标基准价</w:t>
      </w:r>
      <w:bookmarkEnd w:id="154"/>
    </w:p>
    <w:p>
      <w:pPr>
        <w:pStyle w:val="7"/>
        <w:spacing w:before="0" w:after="0" w:line="360" w:lineRule="auto"/>
        <w:ind w:firstLine="240" w:firstLineChars="100"/>
        <w:rPr>
          <w:rFonts w:ascii="宋体" w:hAnsi="宋体" w:eastAsia="宋体"/>
          <w:b w:val="0"/>
          <w:sz w:val="24"/>
          <w:szCs w:val="24"/>
        </w:rPr>
      </w:pPr>
      <w:r>
        <w:rPr>
          <w:rFonts w:ascii="宋体" w:hAnsi="宋体" w:eastAsia="宋体"/>
          <w:b w:val="0"/>
          <w:bCs w:val="0"/>
          <w:sz w:val="24"/>
          <w:szCs w:val="24"/>
        </w:rPr>
        <w:t xml:space="preserve">2.2.4 </w:t>
      </w:r>
      <w:r>
        <w:rPr>
          <w:rFonts w:ascii="宋体" w:hAnsi="宋体" w:eastAsia="宋体"/>
          <w:b w:val="0"/>
          <w:sz w:val="24"/>
          <w:szCs w:val="24"/>
        </w:rPr>
        <w:t>评分标准</w:t>
      </w:r>
      <w:bookmarkEnd w:id="153"/>
      <w:r>
        <w:rPr>
          <w:rFonts w:hint="eastAsia" w:ascii="宋体" w:hAnsi="宋体" w:eastAsia="宋体"/>
          <w:b w:val="0"/>
          <w:sz w:val="24"/>
          <w:szCs w:val="24"/>
        </w:rPr>
        <w:t>：</w:t>
      </w:r>
    </w:p>
    <w:p>
      <w:pPr>
        <w:autoSpaceDE w:val="0"/>
        <w:autoSpaceDN w:val="0"/>
        <w:adjustRightInd w:val="0"/>
        <w:spacing w:line="360" w:lineRule="auto"/>
        <w:ind w:firstLine="480" w:firstLineChars="200"/>
        <w:rPr>
          <w:rFonts w:ascii="宋体" w:hAnsi="宋体"/>
          <w:sz w:val="24"/>
        </w:rPr>
      </w:pPr>
      <w:bookmarkStart w:id="155" w:name="_Toc221950504"/>
      <w:r>
        <w:rPr>
          <w:rFonts w:ascii="宋体" w:hAnsi="宋体"/>
          <w:sz w:val="24"/>
        </w:rPr>
        <w:t>评分标准按照本章附件</w:t>
      </w:r>
      <w:r>
        <w:rPr>
          <w:rFonts w:hint="eastAsia" w:ascii="宋体" w:hAnsi="宋体"/>
          <w:sz w:val="24"/>
        </w:rPr>
        <w:t>一</w:t>
      </w:r>
      <w:r>
        <w:rPr>
          <w:rFonts w:ascii="宋体" w:hAnsi="宋体"/>
          <w:sz w:val="24"/>
        </w:rPr>
        <w:t>。</w:t>
      </w:r>
    </w:p>
    <w:bookmarkEnd w:id="155"/>
    <w:p>
      <w:pPr>
        <w:pStyle w:val="7"/>
        <w:spacing w:before="0" w:after="0" w:line="360" w:lineRule="auto"/>
        <w:rPr>
          <w:rFonts w:ascii="宋体" w:hAnsi="宋体" w:eastAsia="宋体"/>
          <w:sz w:val="24"/>
          <w:szCs w:val="24"/>
        </w:rPr>
      </w:pPr>
      <w:bookmarkStart w:id="156" w:name="_Toc222032668"/>
      <w:bookmarkStart w:id="157" w:name="_Toc168475719"/>
      <w:bookmarkStart w:id="158" w:name="_Toc279698603"/>
      <w:bookmarkStart w:id="159" w:name="_Toc222031001"/>
      <w:bookmarkStart w:id="160" w:name="_Toc222029499"/>
      <w:bookmarkStart w:id="161" w:name="_Toc168476122"/>
      <w:bookmarkStart w:id="162" w:name="_Toc222033850"/>
      <w:bookmarkStart w:id="163" w:name="_Toc276296518"/>
      <w:bookmarkStart w:id="164" w:name="_Toc221950505"/>
      <w:bookmarkStart w:id="165" w:name="_Toc229305359"/>
      <w:bookmarkStart w:id="166" w:name="_Toc279701648"/>
      <w:r>
        <w:rPr>
          <w:rFonts w:ascii="宋体" w:hAnsi="宋体" w:eastAsia="宋体"/>
          <w:sz w:val="24"/>
          <w:szCs w:val="24"/>
        </w:rPr>
        <w:t>3. 评标程序</w:t>
      </w:r>
      <w:bookmarkEnd w:id="156"/>
      <w:bookmarkEnd w:id="157"/>
      <w:bookmarkEnd w:id="158"/>
      <w:bookmarkEnd w:id="159"/>
      <w:bookmarkEnd w:id="160"/>
      <w:bookmarkEnd w:id="161"/>
      <w:bookmarkEnd w:id="162"/>
      <w:bookmarkEnd w:id="163"/>
      <w:bookmarkEnd w:id="164"/>
      <w:bookmarkEnd w:id="165"/>
      <w:bookmarkEnd w:id="166"/>
    </w:p>
    <w:p>
      <w:pPr>
        <w:pStyle w:val="7"/>
        <w:spacing w:before="0" w:after="0" w:line="360" w:lineRule="auto"/>
        <w:rPr>
          <w:rFonts w:ascii="宋体" w:hAnsi="宋体" w:eastAsia="宋体"/>
          <w:sz w:val="24"/>
          <w:szCs w:val="24"/>
        </w:rPr>
      </w:pPr>
      <w:bookmarkStart w:id="167" w:name="_Toc186623355"/>
      <w:bookmarkStart w:id="168" w:name="_Toc186623668"/>
      <w:r>
        <w:rPr>
          <w:rFonts w:ascii="宋体" w:hAnsi="宋体" w:eastAsia="宋体"/>
          <w:sz w:val="24"/>
          <w:szCs w:val="24"/>
        </w:rPr>
        <w:t>3.1 初步评审</w:t>
      </w:r>
      <w:bookmarkEnd w:id="167"/>
      <w:bookmarkEnd w:id="168"/>
    </w:p>
    <w:p>
      <w:pPr>
        <w:autoSpaceDE w:val="0"/>
        <w:autoSpaceDN w:val="0"/>
        <w:adjustRightInd w:val="0"/>
        <w:spacing w:line="360" w:lineRule="auto"/>
        <w:ind w:firstLine="240" w:firstLineChars="100"/>
        <w:rPr>
          <w:rFonts w:ascii="宋体" w:hAnsi="宋体"/>
          <w:sz w:val="24"/>
        </w:rPr>
      </w:pPr>
      <w:r>
        <w:rPr>
          <w:rFonts w:ascii="宋体" w:hAnsi="宋体"/>
          <w:sz w:val="24"/>
        </w:rPr>
        <w:t>3.1.1 评标委员会可以要求投标人提交第二章“投标人须知”第3.5.</w:t>
      </w:r>
      <w:r>
        <w:rPr>
          <w:rFonts w:hint="eastAsia" w:ascii="宋体" w:hAnsi="宋体"/>
          <w:sz w:val="24"/>
        </w:rPr>
        <w:t>2</w:t>
      </w:r>
      <w:r>
        <w:rPr>
          <w:rFonts w:ascii="宋体" w:hAnsi="宋体"/>
          <w:sz w:val="24"/>
        </w:rPr>
        <w:t xml:space="preserve"> 项至3.5.5 项规定的有关证明和证件的原件</w:t>
      </w:r>
      <w:r>
        <w:rPr>
          <w:rFonts w:hint="eastAsia" w:ascii="宋体" w:hAnsi="宋体"/>
          <w:sz w:val="24"/>
        </w:rPr>
        <w:t>扫描件或图片</w:t>
      </w:r>
      <w:r>
        <w:rPr>
          <w:rFonts w:ascii="宋体" w:hAnsi="宋体"/>
          <w:sz w:val="24"/>
        </w:rPr>
        <w:t>，以便核验。评标委员会依据本章第2.1 款规定的标准对投标文件进行初步评审。有一项不符合评审标准的，作废标处理。</w:t>
      </w:r>
    </w:p>
    <w:p>
      <w:pPr>
        <w:autoSpaceDE w:val="0"/>
        <w:autoSpaceDN w:val="0"/>
        <w:adjustRightInd w:val="0"/>
        <w:spacing w:line="360" w:lineRule="auto"/>
        <w:ind w:firstLine="240" w:firstLineChars="100"/>
        <w:rPr>
          <w:rFonts w:ascii="宋体" w:hAnsi="宋体"/>
          <w:sz w:val="24"/>
        </w:rPr>
      </w:pPr>
      <w:r>
        <w:rPr>
          <w:rFonts w:ascii="宋体" w:hAnsi="宋体"/>
          <w:sz w:val="24"/>
        </w:rPr>
        <w:t>3.1.2 投标人有以下情形之一的，其投标作废标处理：</w:t>
      </w:r>
    </w:p>
    <w:p>
      <w:pPr>
        <w:autoSpaceDE w:val="0"/>
        <w:autoSpaceDN w:val="0"/>
        <w:adjustRightInd w:val="0"/>
        <w:spacing w:line="360" w:lineRule="auto"/>
        <w:ind w:firstLine="120" w:firstLineChars="50"/>
        <w:rPr>
          <w:rFonts w:ascii="宋体" w:hAnsi="宋体"/>
          <w:sz w:val="24"/>
        </w:rPr>
      </w:pPr>
      <w:r>
        <w:rPr>
          <w:rFonts w:ascii="宋体" w:hAnsi="宋体"/>
          <w:sz w:val="24"/>
        </w:rPr>
        <w:t>（1）第二章“投标人须知”第1.4.</w:t>
      </w:r>
      <w:r>
        <w:rPr>
          <w:rFonts w:hint="eastAsia" w:ascii="宋体" w:hAnsi="宋体"/>
          <w:sz w:val="24"/>
        </w:rPr>
        <w:t>1</w:t>
      </w:r>
      <w:r>
        <w:rPr>
          <w:rFonts w:ascii="宋体" w:hAnsi="宋体"/>
          <w:sz w:val="24"/>
        </w:rPr>
        <w:t>项规定的任何一种情形的；</w:t>
      </w:r>
    </w:p>
    <w:p>
      <w:pPr>
        <w:autoSpaceDE w:val="0"/>
        <w:autoSpaceDN w:val="0"/>
        <w:adjustRightInd w:val="0"/>
        <w:spacing w:line="360" w:lineRule="auto"/>
        <w:ind w:firstLine="120" w:firstLineChars="50"/>
        <w:rPr>
          <w:rFonts w:ascii="宋体" w:hAnsi="宋体"/>
          <w:sz w:val="24"/>
        </w:rPr>
      </w:pPr>
      <w:r>
        <w:rPr>
          <w:rFonts w:ascii="宋体" w:hAnsi="宋体"/>
          <w:sz w:val="24"/>
        </w:rPr>
        <w:t>（2）串通投标或弄虚作假或有其他违法行为的；</w:t>
      </w:r>
    </w:p>
    <w:p>
      <w:pPr>
        <w:autoSpaceDE w:val="0"/>
        <w:autoSpaceDN w:val="0"/>
        <w:adjustRightInd w:val="0"/>
        <w:spacing w:line="360" w:lineRule="auto"/>
        <w:ind w:firstLine="120" w:firstLineChars="50"/>
        <w:rPr>
          <w:rFonts w:ascii="宋体" w:hAnsi="宋体"/>
          <w:sz w:val="24"/>
        </w:rPr>
      </w:pPr>
      <w:r>
        <w:rPr>
          <w:rFonts w:ascii="宋体" w:hAnsi="宋体"/>
          <w:sz w:val="24"/>
        </w:rPr>
        <w:t>（3）不按评标委员会要求澄清、说明或补正的。</w:t>
      </w:r>
    </w:p>
    <w:p>
      <w:pPr>
        <w:autoSpaceDE w:val="0"/>
        <w:autoSpaceDN w:val="0"/>
        <w:adjustRightInd w:val="0"/>
        <w:spacing w:line="360" w:lineRule="auto"/>
        <w:ind w:firstLine="240" w:firstLineChars="100"/>
        <w:rPr>
          <w:rFonts w:ascii="宋体" w:hAnsi="宋体"/>
          <w:sz w:val="24"/>
        </w:rPr>
      </w:pPr>
      <w:r>
        <w:rPr>
          <w:rFonts w:ascii="宋体" w:hAnsi="宋体"/>
          <w:sz w:val="24"/>
        </w:rPr>
        <w:t>3.1.3 投标报价有算术错误的，评标委员会按以下原则对投标报价进行修正，修正的价格经投标人书面确认后具有约束力。投标人不接受修正价格的，其投标作废标处理。</w:t>
      </w:r>
    </w:p>
    <w:p>
      <w:pPr>
        <w:autoSpaceDE w:val="0"/>
        <w:autoSpaceDN w:val="0"/>
        <w:adjustRightInd w:val="0"/>
        <w:spacing w:line="360" w:lineRule="auto"/>
        <w:ind w:firstLine="120" w:firstLineChars="50"/>
        <w:rPr>
          <w:rFonts w:ascii="宋体" w:hAnsi="宋体"/>
          <w:sz w:val="24"/>
        </w:rPr>
      </w:pPr>
      <w:r>
        <w:rPr>
          <w:rFonts w:ascii="宋体" w:hAnsi="宋体"/>
          <w:sz w:val="24"/>
        </w:rPr>
        <w:t>（1）投标文件中的大写金额与小写金额不一致的，以大写金额为准；</w:t>
      </w:r>
    </w:p>
    <w:p>
      <w:pPr>
        <w:autoSpaceDE w:val="0"/>
        <w:autoSpaceDN w:val="0"/>
        <w:adjustRightInd w:val="0"/>
        <w:spacing w:line="360" w:lineRule="auto"/>
        <w:ind w:firstLine="120" w:firstLineChars="50"/>
        <w:rPr>
          <w:rFonts w:ascii="宋体" w:hAnsi="宋体"/>
          <w:sz w:val="24"/>
        </w:rPr>
      </w:pPr>
      <w:r>
        <w:rPr>
          <w:rFonts w:ascii="宋体" w:hAnsi="宋体"/>
          <w:sz w:val="24"/>
        </w:rPr>
        <w:t>（2）总价金额与依据单价计算出的结果不一致的，以单价金额为准修正总价，但单价金额小数点有明显错误的除外。</w:t>
      </w:r>
    </w:p>
    <w:p>
      <w:pPr>
        <w:pStyle w:val="7"/>
        <w:spacing w:before="0" w:after="0" w:line="360" w:lineRule="auto"/>
        <w:rPr>
          <w:rFonts w:ascii="宋体" w:hAnsi="宋体" w:eastAsia="宋体"/>
          <w:sz w:val="24"/>
          <w:szCs w:val="24"/>
        </w:rPr>
      </w:pPr>
      <w:bookmarkStart w:id="169" w:name="_Toc186623356"/>
      <w:bookmarkStart w:id="170" w:name="_Toc186623669"/>
      <w:r>
        <w:rPr>
          <w:rFonts w:ascii="宋体" w:hAnsi="宋体" w:eastAsia="宋体"/>
          <w:sz w:val="24"/>
          <w:szCs w:val="24"/>
        </w:rPr>
        <w:t>3.2 详细评审</w:t>
      </w:r>
      <w:bookmarkEnd w:id="169"/>
      <w:bookmarkEnd w:id="170"/>
    </w:p>
    <w:p>
      <w:pPr>
        <w:autoSpaceDE w:val="0"/>
        <w:autoSpaceDN w:val="0"/>
        <w:adjustRightInd w:val="0"/>
        <w:spacing w:line="360" w:lineRule="auto"/>
        <w:ind w:firstLine="240" w:firstLineChars="100"/>
        <w:rPr>
          <w:rFonts w:ascii="宋体" w:hAnsi="宋体"/>
          <w:sz w:val="24"/>
        </w:rPr>
      </w:pPr>
      <w:r>
        <w:rPr>
          <w:rFonts w:ascii="宋体" w:hAnsi="宋体"/>
          <w:sz w:val="24"/>
        </w:rPr>
        <w:t>3.2.1 评标委员会按本章第2.2款规定的量化因素和分值进行打分，并计算出综合评估得分。</w:t>
      </w:r>
    </w:p>
    <w:p>
      <w:pPr>
        <w:autoSpaceDE w:val="0"/>
        <w:autoSpaceDN w:val="0"/>
        <w:adjustRightInd w:val="0"/>
        <w:spacing w:line="360" w:lineRule="auto"/>
        <w:ind w:firstLine="120" w:firstLineChars="50"/>
        <w:rPr>
          <w:rFonts w:ascii="宋体" w:hAnsi="宋体"/>
          <w:sz w:val="24"/>
        </w:rPr>
      </w:pPr>
      <w:r>
        <w:rPr>
          <w:rFonts w:ascii="宋体" w:hAnsi="宋体"/>
          <w:sz w:val="24"/>
        </w:rPr>
        <w:t>（1）按本章第2.2.4（1）目规定的评审因素和分值对施工组织设计计算出得分A；</w:t>
      </w:r>
    </w:p>
    <w:p>
      <w:pPr>
        <w:autoSpaceDE w:val="0"/>
        <w:autoSpaceDN w:val="0"/>
        <w:adjustRightInd w:val="0"/>
        <w:spacing w:line="360" w:lineRule="auto"/>
        <w:ind w:firstLine="120" w:firstLineChars="50"/>
        <w:rPr>
          <w:rFonts w:ascii="宋体" w:hAnsi="宋体"/>
          <w:sz w:val="24"/>
        </w:rPr>
      </w:pPr>
      <w:r>
        <w:rPr>
          <w:rFonts w:ascii="宋体" w:hAnsi="宋体"/>
          <w:sz w:val="24"/>
        </w:rPr>
        <w:t>（2）按本章第2.2.4（2）目规定的评审因素和分值对项目管理机构计算出得分B；</w:t>
      </w:r>
    </w:p>
    <w:p>
      <w:pPr>
        <w:autoSpaceDE w:val="0"/>
        <w:autoSpaceDN w:val="0"/>
        <w:adjustRightInd w:val="0"/>
        <w:spacing w:line="360" w:lineRule="auto"/>
        <w:ind w:firstLine="120" w:firstLineChars="50"/>
        <w:rPr>
          <w:rFonts w:ascii="宋体" w:hAnsi="宋体"/>
          <w:sz w:val="24"/>
        </w:rPr>
      </w:pPr>
      <w:r>
        <w:rPr>
          <w:rFonts w:ascii="宋体" w:hAnsi="宋体"/>
          <w:sz w:val="24"/>
        </w:rPr>
        <w:t>（3）按本章第2.2.4（3）目规定的评审因素和分值对投标报价计算出得分C；</w:t>
      </w:r>
    </w:p>
    <w:p>
      <w:pPr>
        <w:autoSpaceDE w:val="0"/>
        <w:autoSpaceDN w:val="0"/>
        <w:adjustRightInd w:val="0"/>
        <w:spacing w:line="360" w:lineRule="auto"/>
        <w:ind w:firstLine="120" w:firstLineChars="50"/>
        <w:rPr>
          <w:rFonts w:ascii="宋体" w:hAnsi="宋体"/>
          <w:sz w:val="24"/>
        </w:rPr>
      </w:pPr>
      <w:r>
        <w:rPr>
          <w:rFonts w:ascii="宋体" w:hAnsi="宋体"/>
          <w:sz w:val="24"/>
        </w:rPr>
        <w:t>（4）按本章第2.2.4（4）目规定的评审因素和分值对其他部分计算出得分D。</w:t>
      </w:r>
    </w:p>
    <w:p>
      <w:pPr>
        <w:autoSpaceDE w:val="0"/>
        <w:autoSpaceDN w:val="0"/>
        <w:adjustRightInd w:val="0"/>
        <w:spacing w:line="360" w:lineRule="auto"/>
        <w:ind w:firstLine="120" w:firstLineChars="50"/>
      </w:pPr>
      <w:r>
        <w:rPr>
          <w:rFonts w:ascii="宋体" w:hAnsi="宋体"/>
          <w:sz w:val="24"/>
        </w:rPr>
        <w:t>（</w:t>
      </w:r>
      <w:r>
        <w:rPr>
          <w:rFonts w:hint="eastAsia" w:ascii="宋体" w:hAnsi="宋体"/>
          <w:sz w:val="24"/>
        </w:rPr>
        <w:t>5</w:t>
      </w:r>
      <w:r>
        <w:rPr>
          <w:rFonts w:ascii="宋体" w:hAnsi="宋体"/>
          <w:sz w:val="24"/>
        </w:rPr>
        <w:t>）按本章第2.2.4（</w:t>
      </w:r>
      <w:r>
        <w:rPr>
          <w:rFonts w:hint="eastAsia" w:ascii="宋体" w:hAnsi="宋体"/>
          <w:sz w:val="24"/>
        </w:rPr>
        <w:t>5</w:t>
      </w:r>
      <w:r>
        <w:rPr>
          <w:rFonts w:ascii="宋体" w:hAnsi="宋体"/>
          <w:sz w:val="24"/>
        </w:rPr>
        <w:t>）目规定的评审因素和分值对其他部分计算出得分</w:t>
      </w:r>
      <w:r>
        <w:rPr>
          <w:rFonts w:hint="eastAsia" w:ascii="宋体" w:hAnsi="宋体"/>
          <w:sz w:val="24"/>
        </w:rPr>
        <w:t>E</w:t>
      </w:r>
      <w:r>
        <w:rPr>
          <w:rFonts w:ascii="宋体" w:hAnsi="宋体"/>
          <w:sz w:val="24"/>
        </w:rPr>
        <w:t>。</w:t>
      </w:r>
    </w:p>
    <w:p>
      <w:pPr>
        <w:autoSpaceDE w:val="0"/>
        <w:autoSpaceDN w:val="0"/>
        <w:adjustRightInd w:val="0"/>
        <w:spacing w:line="360" w:lineRule="auto"/>
        <w:ind w:firstLine="240" w:firstLineChars="100"/>
        <w:rPr>
          <w:rFonts w:ascii="宋体" w:hAnsi="宋体"/>
          <w:sz w:val="24"/>
        </w:rPr>
      </w:pPr>
      <w:r>
        <w:rPr>
          <w:rFonts w:ascii="宋体" w:hAnsi="宋体"/>
          <w:sz w:val="24"/>
        </w:rPr>
        <w:t>3.2.2 评分分值计算保留小数点后两位，小数点后第三位“四舍五入”。</w:t>
      </w:r>
    </w:p>
    <w:p>
      <w:pPr>
        <w:autoSpaceDE w:val="0"/>
        <w:autoSpaceDN w:val="0"/>
        <w:adjustRightInd w:val="0"/>
        <w:spacing w:line="360" w:lineRule="auto"/>
        <w:ind w:firstLine="240" w:firstLineChars="100"/>
        <w:rPr>
          <w:rFonts w:ascii="宋体" w:hAnsi="宋体"/>
          <w:sz w:val="24"/>
          <w:highlight w:val="yellow"/>
        </w:rPr>
      </w:pPr>
      <w:r>
        <w:rPr>
          <w:rFonts w:ascii="宋体" w:hAnsi="宋体"/>
          <w:sz w:val="24"/>
        </w:rPr>
        <w:t>3.2.3最终得分=评标委员会所有成员打分的算术平均值</w:t>
      </w:r>
      <w:r>
        <w:rPr>
          <w:rFonts w:hint="eastAsia" w:ascii="宋体" w:hAnsi="宋体"/>
          <w:sz w:val="24"/>
        </w:rPr>
        <w:t>+奖励项目得分-惩罚项目得分</w:t>
      </w:r>
      <w:r>
        <w:rPr>
          <w:rFonts w:ascii="宋体" w:hAnsi="宋体"/>
          <w:sz w:val="24"/>
        </w:rPr>
        <w:t>。</w:t>
      </w:r>
    </w:p>
    <w:p>
      <w:pPr>
        <w:autoSpaceDE w:val="0"/>
        <w:autoSpaceDN w:val="0"/>
        <w:adjustRightInd w:val="0"/>
        <w:spacing w:line="360" w:lineRule="auto"/>
        <w:ind w:firstLine="240" w:firstLineChars="100"/>
        <w:rPr>
          <w:rFonts w:ascii="宋体" w:hAnsi="宋体"/>
          <w:sz w:val="24"/>
        </w:rPr>
      </w:pPr>
      <w:r>
        <w:rPr>
          <w:rFonts w:ascii="宋体" w:hAnsi="宋体"/>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7"/>
        <w:spacing w:before="0" w:after="0" w:line="360" w:lineRule="auto"/>
        <w:rPr>
          <w:rFonts w:ascii="宋体" w:hAnsi="宋体" w:eastAsia="宋体"/>
          <w:sz w:val="24"/>
          <w:szCs w:val="24"/>
        </w:rPr>
      </w:pPr>
      <w:bookmarkStart w:id="171" w:name="_Toc186623670"/>
      <w:bookmarkStart w:id="172" w:name="_Toc186623357"/>
      <w:r>
        <w:rPr>
          <w:rFonts w:ascii="宋体" w:hAnsi="宋体" w:eastAsia="宋体"/>
          <w:sz w:val="24"/>
          <w:szCs w:val="24"/>
        </w:rPr>
        <w:t>3.3 投标文件的澄清和补正</w:t>
      </w:r>
      <w:bookmarkEnd w:id="171"/>
      <w:bookmarkEnd w:id="172"/>
    </w:p>
    <w:p>
      <w:pPr>
        <w:autoSpaceDE w:val="0"/>
        <w:autoSpaceDN w:val="0"/>
        <w:adjustRightInd w:val="0"/>
        <w:spacing w:line="360" w:lineRule="auto"/>
        <w:ind w:firstLine="240" w:firstLineChars="10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auto"/>
        <w:ind w:firstLine="240" w:firstLineChars="10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pPr>
        <w:autoSpaceDE w:val="0"/>
        <w:autoSpaceDN w:val="0"/>
        <w:adjustRightInd w:val="0"/>
        <w:spacing w:line="360" w:lineRule="auto"/>
        <w:ind w:firstLine="240" w:firstLineChars="100"/>
        <w:rPr>
          <w:rFonts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pPr>
        <w:pStyle w:val="7"/>
        <w:spacing w:before="0" w:after="0" w:line="360" w:lineRule="auto"/>
        <w:rPr>
          <w:rFonts w:ascii="宋体" w:hAnsi="宋体" w:eastAsia="宋体"/>
          <w:sz w:val="24"/>
          <w:szCs w:val="24"/>
        </w:rPr>
      </w:pPr>
      <w:bookmarkStart w:id="173" w:name="_Toc221950514"/>
      <w:r>
        <w:rPr>
          <w:rFonts w:ascii="宋体" w:hAnsi="宋体" w:eastAsia="宋体"/>
          <w:sz w:val="24"/>
          <w:szCs w:val="24"/>
        </w:rPr>
        <w:t>3.4 评标结果</w:t>
      </w:r>
    </w:p>
    <w:bookmarkEnd w:id="173"/>
    <w:p>
      <w:pPr>
        <w:autoSpaceDE w:val="0"/>
        <w:autoSpaceDN w:val="0"/>
        <w:adjustRightInd w:val="0"/>
        <w:spacing w:line="360" w:lineRule="auto"/>
        <w:ind w:firstLine="240" w:firstLineChars="100"/>
        <w:rPr>
          <w:rFonts w:ascii="宋体" w:hAnsi="宋体"/>
          <w:sz w:val="24"/>
        </w:rPr>
      </w:pPr>
      <w:r>
        <w:rPr>
          <w:rFonts w:ascii="宋体" w:hAnsi="宋体"/>
          <w:sz w:val="24"/>
        </w:rPr>
        <w:t>3.4.1 评标委员会依据本章第2.2条评分标准进行评分，按评标办法前附表的约定计算投标人最终得分，根据得分由高到低的顺序推荐</w:t>
      </w:r>
      <w:r>
        <w:rPr>
          <w:rFonts w:hint="eastAsia" w:ascii="宋体" w:hAnsi="宋体"/>
          <w:sz w:val="24"/>
        </w:rPr>
        <w:t>1-</w:t>
      </w:r>
      <w:r>
        <w:rPr>
          <w:rFonts w:ascii="宋体" w:hAnsi="宋体"/>
          <w:sz w:val="24"/>
        </w:rPr>
        <w:t>3名中标候选人，并标明推荐顺序。</w:t>
      </w:r>
    </w:p>
    <w:p>
      <w:pPr>
        <w:spacing w:line="360" w:lineRule="auto"/>
        <w:ind w:firstLine="240" w:firstLineChars="100"/>
        <w:rPr>
          <w:sz w:val="24"/>
        </w:rPr>
      </w:pPr>
      <w:r>
        <w:rPr>
          <w:rFonts w:ascii="宋体" w:hAnsi="宋体"/>
          <w:sz w:val="24"/>
        </w:rPr>
        <w:t>3.4.2 评标委员会完成评标后，应当向招标人提交书面评标报告。</w:t>
      </w:r>
    </w:p>
    <w:p>
      <w:pPr>
        <w:spacing w:line="360" w:lineRule="auto"/>
        <w:ind w:firstLine="420" w:firstLineChars="200"/>
        <w:rPr>
          <w:color w:val="FF0000"/>
          <w:szCs w:val="21"/>
        </w:rPr>
      </w:pPr>
    </w:p>
    <w:p>
      <w:pPr>
        <w:pStyle w:val="2"/>
        <w:ind w:firstLine="210"/>
        <w:rPr>
          <w:color w:val="FF0000"/>
          <w:szCs w:val="21"/>
        </w:rPr>
      </w:pPr>
    </w:p>
    <w:p>
      <w:pPr>
        <w:pStyle w:val="4"/>
        <w:ind w:left="420" w:firstLine="420"/>
        <w:rPr>
          <w:rFonts w:hint="default"/>
          <w:color w:val="FF0000"/>
          <w:szCs w:val="21"/>
          <w:lang w:eastAsia="zh-CN"/>
        </w:rPr>
      </w:pPr>
    </w:p>
    <w:p>
      <w:pPr>
        <w:pStyle w:val="4"/>
        <w:ind w:left="420" w:firstLine="420"/>
        <w:rPr>
          <w:rFonts w:hint="default"/>
          <w:color w:val="FF0000"/>
          <w:szCs w:val="21"/>
          <w:lang w:eastAsia="zh-CN"/>
        </w:rPr>
      </w:pPr>
    </w:p>
    <w:p>
      <w:pPr>
        <w:spacing w:line="360" w:lineRule="auto"/>
        <w:ind w:firstLine="420" w:firstLineChars="200"/>
        <w:rPr>
          <w:color w:val="FF0000"/>
          <w:szCs w:val="21"/>
        </w:rPr>
      </w:pPr>
    </w:p>
    <w:p>
      <w:pPr>
        <w:pStyle w:val="7"/>
        <w:spacing w:line="400" w:lineRule="exact"/>
        <w:rPr>
          <w:rFonts w:ascii="宋体" w:hAnsi="宋体" w:eastAsia="宋体"/>
          <w:b w:val="0"/>
          <w:bCs w:val="0"/>
          <w:sz w:val="24"/>
        </w:rPr>
      </w:pPr>
      <w:bookmarkStart w:id="174" w:name="_Toc279698606"/>
      <w:bookmarkStart w:id="175" w:name="_Toc276296521"/>
      <w:bookmarkStart w:id="176" w:name="_Toc277253857"/>
      <w:bookmarkStart w:id="177" w:name="_Toc279701651"/>
      <w:bookmarkStart w:id="178" w:name="_Toc277250382"/>
      <w:r>
        <w:t>附件</w:t>
      </w:r>
      <w:r>
        <w:rPr>
          <w:rFonts w:hint="eastAsia"/>
        </w:rPr>
        <w:t>一</w:t>
      </w:r>
      <w:r>
        <w:t>：</w:t>
      </w:r>
      <w:bookmarkEnd w:id="174"/>
      <w:bookmarkEnd w:id="175"/>
      <w:bookmarkEnd w:id="176"/>
      <w:bookmarkEnd w:id="177"/>
      <w:bookmarkEnd w:id="178"/>
      <w:bookmarkStart w:id="179" w:name="_Toc279698607"/>
      <w:bookmarkStart w:id="180" w:name="_Toc277253858"/>
      <w:bookmarkStart w:id="181" w:name="_Toc276293405"/>
      <w:bookmarkStart w:id="182" w:name="_Toc276296522"/>
      <w:bookmarkStart w:id="183" w:name="_Toc279701652"/>
      <w:bookmarkStart w:id="184" w:name="_Toc277250383"/>
      <w:r>
        <w:t>评分标准</w:t>
      </w:r>
      <w:bookmarkEnd w:id="179"/>
      <w:bookmarkEnd w:id="180"/>
      <w:bookmarkEnd w:id="181"/>
      <w:bookmarkEnd w:id="182"/>
      <w:bookmarkEnd w:id="183"/>
      <w:bookmarkEnd w:id="184"/>
    </w:p>
    <w:tbl>
      <w:tblPr>
        <w:tblStyle w:val="36"/>
        <w:tblpPr w:leftFromText="180" w:rightFromText="180" w:vertAnchor="text" w:tblpXSpec="center" w:tblpY="1"/>
        <w:tblOverlap w:val="never"/>
        <w:tblW w:w="965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 w:type="dxa"/>
          <w:bottom w:w="0" w:type="dxa"/>
          <w:right w:w="10" w:type="dxa"/>
        </w:tblCellMar>
      </w:tblPr>
      <w:tblGrid>
        <w:gridCol w:w="874"/>
        <w:gridCol w:w="559"/>
        <w:gridCol w:w="425"/>
        <w:gridCol w:w="2112"/>
        <w:gridCol w:w="720"/>
        <w:gridCol w:w="496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615" w:hRule="atLeast"/>
        </w:trPr>
        <w:tc>
          <w:tcPr>
            <w:tcW w:w="3970" w:type="dxa"/>
            <w:gridSpan w:val="4"/>
            <w:vAlign w:val="center"/>
          </w:tcPr>
          <w:p>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968"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评   分  说  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899" w:hRule="atLeast"/>
        </w:trPr>
        <w:tc>
          <w:tcPr>
            <w:tcW w:w="874" w:type="dxa"/>
            <w:vMerge w:val="restart"/>
            <w:vAlign w:val="center"/>
          </w:tcPr>
          <w:p>
            <w:pPr>
              <w:autoSpaceDE w:val="0"/>
              <w:autoSpaceDN w:val="0"/>
              <w:adjustRightInd w:val="0"/>
              <w:snapToGrid w:val="0"/>
              <w:jc w:val="center"/>
              <w:rPr>
                <w:rFonts w:ascii="宋体" w:hAnsi="宋体"/>
                <w:sz w:val="24"/>
              </w:rPr>
            </w:pPr>
            <w:r>
              <w:rPr>
                <w:rFonts w:ascii="宋体" w:hAnsi="宋体"/>
                <w:sz w:val="24"/>
              </w:rPr>
              <w:t>2.2.4(1)</w:t>
            </w:r>
          </w:p>
          <w:p>
            <w:pPr>
              <w:autoSpaceDE w:val="0"/>
              <w:autoSpaceDN w:val="0"/>
              <w:adjustRightInd w:val="0"/>
              <w:snapToGrid w:val="0"/>
              <w:jc w:val="center"/>
              <w:rPr>
                <w:rFonts w:ascii="宋体" w:hAnsi="宋体"/>
                <w:sz w:val="24"/>
              </w:rPr>
            </w:pPr>
          </w:p>
          <w:p>
            <w:pPr>
              <w:autoSpaceDE w:val="0"/>
              <w:autoSpaceDN w:val="0"/>
              <w:adjustRightInd w:val="0"/>
              <w:snapToGrid w:val="0"/>
              <w:jc w:val="center"/>
              <w:rPr>
                <w:rFonts w:ascii="宋体" w:hAnsi="宋体"/>
                <w:sz w:val="24"/>
              </w:rPr>
            </w:pPr>
          </w:p>
        </w:tc>
        <w:tc>
          <w:tcPr>
            <w:tcW w:w="559" w:type="dxa"/>
            <w:vMerge w:val="restart"/>
            <w:vAlign w:val="center"/>
          </w:tcPr>
          <w:p>
            <w:pPr>
              <w:autoSpaceDE w:val="0"/>
              <w:autoSpaceDN w:val="0"/>
              <w:adjustRightInd w:val="0"/>
              <w:snapToGrid w:val="0"/>
              <w:jc w:val="center"/>
              <w:rPr>
                <w:rFonts w:ascii="宋体" w:hAnsi="宋体"/>
                <w:sz w:val="24"/>
              </w:rPr>
            </w:pPr>
            <w:r>
              <w:rPr>
                <w:rFonts w:ascii="宋体" w:hAnsi="宋体"/>
                <w:sz w:val="24"/>
              </w:rPr>
              <w:t>A</w:t>
            </w:r>
          </w:p>
          <w:p>
            <w:pPr>
              <w:autoSpaceDE w:val="0"/>
              <w:autoSpaceDN w:val="0"/>
              <w:adjustRightInd w:val="0"/>
              <w:snapToGrid w:val="0"/>
              <w:jc w:val="center"/>
              <w:rPr>
                <w:rFonts w:ascii="宋体" w:hAnsi="宋体"/>
                <w:sz w:val="24"/>
              </w:rPr>
            </w:pPr>
            <w:r>
              <w:rPr>
                <w:rFonts w:ascii="宋体" w:hAnsi="宋体"/>
                <w:sz w:val="24"/>
              </w:rPr>
              <w:t>施工</w:t>
            </w:r>
          </w:p>
          <w:p>
            <w:pPr>
              <w:autoSpaceDE w:val="0"/>
              <w:autoSpaceDN w:val="0"/>
              <w:adjustRightInd w:val="0"/>
              <w:snapToGrid w:val="0"/>
              <w:jc w:val="center"/>
              <w:rPr>
                <w:rFonts w:ascii="宋体" w:hAnsi="宋体"/>
                <w:sz w:val="24"/>
              </w:rPr>
            </w:pPr>
            <w:r>
              <w:rPr>
                <w:rFonts w:ascii="宋体" w:hAnsi="宋体"/>
                <w:sz w:val="24"/>
              </w:rPr>
              <w:t>组织</w:t>
            </w:r>
          </w:p>
          <w:p>
            <w:pPr>
              <w:autoSpaceDE w:val="0"/>
              <w:autoSpaceDN w:val="0"/>
              <w:adjustRightInd w:val="0"/>
              <w:snapToGrid w:val="0"/>
              <w:jc w:val="center"/>
              <w:rPr>
                <w:rFonts w:ascii="宋体" w:hAnsi="宋体"/>
                <w:sz w:val="24"/>
              </w:rPr>
            </w:pPr>
            <w:r>
              <w:rPr>
                <w:rFonts w:ascii="宋体" w:hAnsi="宋体"/>
                <w:sz w:val="24"/>
              </w:rPr>
              <w:t>设计</w:t>
            </w:r>
          </w:p>
          <w:p>
            <w:pPr>
              <w:autoSpaceDE w:val="0"/>
              <w:autoSpaceDN w:val="0"/>
              <w:adjustRightInd w:val="0"/>
              <w:snapToGrid w:val="0"/>
              <w:jc w:val="center"/>
              <w:rPr>
                <w:rFonts w:ascii="宋体" w:hAnsi="宋体"/>
                <w:sz w:val="24"/>
              </w:rPr>
            </w:pPr>
            <w:r>
              <w:rPr>
                <w:rFonts w:ascii="宋体" w:hAnsi="宋体"/>
                <w:sz w:val="24"/>
              </w:rPr>
              <w:t>︵</w:t>
            </w:r>
          </w:p>
          <w:p>
            <w:pPr>
              <w:autoSpaceDE w:val="0"/>
              <w:autoSpaceDN w:val="0"/>
              <w:adjustRightInd w:val="0"/>
              <w:snapToGrid w:val="0"/>
              <w:jc w:val="center"/>
              <w:rPr>
                <w:rFonts w:ascii="宋体" w:hAnsi="宋体"/>
                <w:sz w:val="24"/>
              </w:rPr>
            </w:pPr>
            <w:r>
              <w:rPr>
                <w:rFonts w:ascii="宋体" w:hAnsi="宋体"/>
                <w:sz w:val="24"/>
              </w:rPr>
              <w:t>3</w:t>
            </w:r>
            <w:r>
              <w:rPr>
                <w:rFonts w:hint="eastAsia" w:ascii="宋体" w:hAnsi="宋体"/>
                <w:sz w:val="24"/>
              </w:rPr>
              <w:t>5</w:t>
            </w:r>
          </w:p>
          <w:p>
            <w:pPr>
              <w:autoSpaceDE w:val="0"/>
              <w:autoSpaceDN w:val="0"/>
              <w:adjustRightInd w:val="0"/>
              <w:snapToGrid w:val="0"/>
              <w:jc w:val="center"/>
              <w:rPr>
                <w:rFonts w:ascii="宋体" w:hAnsi="宋体"/>
                <w:sz w:val="24"/>
              </w:rPr>
            </w:pPr>
            <w:r>
              <w:rPr>
                <w:rFonts w:ascii="宋体" w:hAnsi="宋体"/>
                <w:sz w:val="24"/>
              </w:rPr>
              <w:t>分</w:t>
            </w:r>
          </w:p>
          <w:p>
            <w:pPr>
              <w:autoSpaceDE w:val="0"/>
              <w:autoSpaceDN w:val="0"/>
              <w:adjustRightInd w:val="0"/>
              <w:snapToGrid w:val="0"/>
              <w:jc w:val="center"/>
              <w:rPr>
                <w:rFonts w:ascii="宋体" w:hAnsi="宋体"/>
                <w:sz w:val="24"/>
              </w:rPr>
            </w:pPr>
            <w:r>
              <w:rPr>
                <w:rFonts w:ascii="宋体" w:hAnsi="宋体"/>
                <w:sz w:val="24"/>
              </w:rPr>
              <w:t>︶</w:t>
            </w:r>
          </w:p>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pPr>
              <w:jc w:val="center"/>
              <w:rPr>
                <w:rFonts w:ascii="宋体" w:hAnsi="宋体"/>
                <w:sz w:val="24"/>
              </w:rPr>
            </w:pPr>
            <w:r>
              <w:rPr>
                <w:rFonts w:ascii="宋体" w:hAnsi="宋体"/>
                <w:sz w:val="24"/>
              </w:rPr>
              <w:t>施工总</w:t>
            </w:r>
            <w:r>
              <w:rPr>
                <w:rFonts w:hint="eastAsia" w:ascii="宋体" w:hAnsi="宋体"/>
                <w:sz w:val="24"/>
              </w:rPr>
              <w:t>体</w:t>
            </w:r>
            <w:r>
              <w:rPr>
                <w:rFonts w:ascii="宋体" w:hAnsi="宋体"/>
                <w:sz w:val="24"/>
              </w:rPr>
              <w:t>布置</w:t>
            </w:r>
          </w:p>
        </w:tc>
        <w:tc>
          <w:tcPr>
            <w:tcW w:w="720" w:type="dxa"/>
            <w:vAlign w:val="center"/>
          </w:tcPr>
          <w:p>
            <w:pPr>
              <w:jc w:val="center"/>
              <w:rPr>
                <w:rFonts w:ascii="宋体" w:hAnsi="宋体"/>
                <w:sz w:val="24"/>
              </w:rPr>
            </w:pPr>
            <w:r>
              <w:rPr>
                <w:rFonts w:hint="eastAsia" w:ascii="宋体" w:hAnsi="宋体"/>
                <w:sz w:val="24"/>
              </w:rPr>
              <w:t>2</w:t>
            </w:r>
          </w:p>
        </w:tc>
        <w:tc>
          <w:tcPr>
            <w:tcW w:w="4968" w:type="dxa"/>
            <w:vAlign w:val="center"/>
          </w:tcPr>
          <w:p>
            <w:pPr>
              <w:rPr>
                <w:rFonts w:ascii="宋体" w:hAnsi="宋体"/>
                <w:sz w:val="24"/>
              </w:rPr>
            </w:pPr>
            <w:r>
              <w:rPr>
                <w:rFonts w:hint="eastAsia" w:ascii="宋体" w:hAnsi="宋体"/>
                <w:sz w:val="24"/>
              </w:rPr>
              <w:t>评价对</w:t>
            </w:r>
            <w:r>
              <w:rPr>
                <w:rFonts w:ascii="宋体" w:hAnsi="宋体"/>
                <w:sz w:val="24"/>
              </w:rPr>
              <w:t>工程的理解、施工总布置的合理性，合理</w:t>
            </w:r>
            <w:r>
              <w:rPr>
                <w:rFonts w:hint="eastAsia" w:ascii="宋体" w:hAnsi="宋体"/>
                <w:sz w:val="24"/>
              </w:rPr>
              <w:t>2</w:t>
            </w:r>
            <w:r>
              <w:rPr>
                <w:rFonts w:ascii="宋体" w:hAnsi="宋体"/>
                <w:sz w:val="24"/>
              </w:rPr>
              <w:t>分，基本合理</w:t>
            </w:r>
            <w:r>
              <w:rPr>
                <w:rFonts w:hint="eastAsia" w:ascii="宋体" w:hAnsi="宋体"/>
                <w:sz w:val="24"/>
              </w:rPr>
              <w:t>1</w:t>
            </w:r>
            <w:r>
              <w:rPr>
                <w:rFonts w:ascii="宋体" w:hAnsi="宋体"/>
                <w:sz w:val="24"/>
              </w:rPr>
              <w:t>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27"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pPr>
              <w:jc w:val="center"/>
              <w:rPr>
                <w:rFonts w:ascii="宋体" w:hAnsi="宋体"/>
                <w:sz w:val="24"/>
              </w:rPr>
            </w:pPr>
            <w:r>
              <w:rPr>
                <w:rFonts w:ascii="宋体" w:hAnsi="宋体"/>
                <w:sz w:val="24"/>
              </w:rPr>
              <w:t>施工方案</w:t>
            </w:r>
          </w:p>
        </w:tc>
        <w:tc>
          <w:tcPr>
            <w:tcW w:w="720" w:type="dxa"/>
            <w:vAlign w:val="center"/>
          </w:tcPr>
          <w:p>
            <w:pPr>
              <w:jc w:val="center"/>
              <w:rPr>
                <w:rFonts w:ascii="宋体" w:hAnsi="宋体"/>
                <w:sz w:val="24"/>
              </w:rPr>
            </w:pPr>
            <w:r>
              <w:rPr>
                <w:rFonts w:hint="eastAsia" w:ascii="宋体" w:hAnsi="宋体"/>
                <w:sz w:val="24"/>
              </w:rPr>
              <w:t>10</w:t>
            </w:r>
          </w:p>
        </w:tc>
        <w:tc>
          <w:tcPr>
            <w:tcW w:w="4968" w:type="dxa"/>
            <w:vAlign w:val="center"/>
          </w:tcPr>
          <w:p>
            <w:pPr>
              <w:rPr>
                <w:rFonts w:ascii="宋体" w:hAnsi="宋体"/>
                <w:sz w:val="24"/>
              </w:rPr>
            </w:pPr>
            <w:bookmarkStart w:id="185" w:name="_Toc276293406"/>
            <w:bookmarkStart w:id="186" w:name="_Toc279701653"/>
            <w:bookmarkStart w:id="187" w:name="_Toc277253859"/>
            <w:bookmarkStart w:id="188" w:name="_Toc277250384"/>
            <w:bookmarkStart w:id="189" w:name="_Toc279698608"/>
            <w:bookmarkStart w:id="190" w:name="_Toc276296523"/>
            <w:r>
              <w:rPr>
                <w:rFonts w:ascii="宋体" w:hAnsi="宋体"/>
                <w:sz w:val="24"/>
                <w:lang w:val="zh-CN"/>
              </w:rPr>
              <w:t>评价主要施工方法、施工工序、主要技术措施，施工工艺和施工机械的先进性。</w:t>
            </w:r>
            <w:r>
              <w:rPr>
                <w:rFonts w:ascii="宋体" w:hAnsi="宋体"/>
                <w:sz w:val="24"/>
              </w:rPr>
              <w:t>合理</w:t>
            </w:r>
            <w:r>
              <w:rPr>
                <w:rFonts w:hint="eastAsia" w:ascii="宋体" w:hAnsi="宋体"/>
                <w:sz w:val="24"/>
              </w:rPr>
              <w:t>6</w:t>
            </w:r>
            <w:r>
              <w:rPr>
                <w:rFonts w:ascii="宋体" w:hAnsi="宋体"/>
                <w:sz w:val="24"/>
              </w:rPr>
              <w:t>～10分，基本合理</w:t>
            </w:r>
            <w:r>
              <w:rPr>
                <w:rFonts w:hint="eastAsia" w:ascii="宋体" w:hAnsi="宋体"/>
                <w:sz w:val="24"/>
              </w:rPr>
              <w:t>1</w:t>
            </w:r>
            <w:r>
              <w:rPr>
                <w:rFonts w:ascii="宋体" w:hAnsi="宋体"/>
                <w:sz w:val="24"/>
              </w:rPr>
              <w:t>～</w:t>
            </w:r>
            <w:r>
              <w:rPr>
                <w:rFonts w:hint="eastAsia" w:ascii="宋体" w:hAnsi="宋体"/>
                <w:sz w:val="24"/>
              </w:rPr>
              <w:t>5</w:t>
            </w:r>
            <w:r>
              <w:rPr>
                <w:rFonts w:ascii="宋体" w:hAnsi="宋体"/>
                <w:sz w:val="24"/>
              </w:rPr>
              <w:t>分</w:t>
            </w:r>
            <w:bookmarkEnd w:id="185"/>
            <w:bookmarkEnd w:id="186"/>
            <w:bookmarkEnd w:id="187"/>
            <w:bookmarkEnd w:id="188"/>
            <w:bookmarkEnd w:id="189"/>
            <w:bookmarkEnd w:id="190"/>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226"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pPr>
              <w:jc w:val="center"/>
              <w:rPr>
                <w:rFonts w:ascii="宋体" w:hAnsi="宋体"/>
                <w:sz w:val="24"/>
              </w:rPr>
            </w:pPr>
            <w:r>
              <w:rPr>
                <w:rFonts w:ascii="宋体" w:hAnsi="宋体"/>
                <w:sz w:val="24"/>
              </w:rPr>
              <w:t>质量保证体系和措施</w:t>
            </w:r>
          </w:p>
        </w:tc>
        <w:tc>
          <w:tcPr>
            <w:tcW w:w="720" w:type="dxa"/>
            <w:vAlign w:val="center"/>
          </w:tcPr>
          <w:p>
            <w:pPr>
              <w:jc w:val="center"/>
              <w:rPr>
                <w:rFonts w:ascii="宋体" w:hAnsi="宋体"/>
                <w:sz w:val="24"/>
              </w:rPr>
            </w:pPr>
            <w:r>
              <w:rPr>
                <w:rFonts w:hint="eastAsia" w:ascii="宋体" w:hAnsi="宋体"/>
                <w:sz w:val="24"/>
              </w:rPr>
              <w:t>5</w:t>
            </w:r>
          </w:p>
        </w:tc>
        <w:tc>
          <w:tcPr>
            <w:tcW w:w="4968" w:type="dxa"/>
            <w:vAlign w:val="center"/>
          </w:tcPr>
          <w:p>
            <w:pPr>
              <w:rPr>
                <w:rFonts w:ascii="宋体" w:hAnsi="宋体"/>
                <w:sz w:val="24"/>
              </w:rPr>
            </w:pPr>
            <w:r>
              <w:rPr>
                <w:rFonts w:ascii="宋体" w:hAnsi="宋体"/>
                <w:sz w:val="24"/>
                <w:lang w:val="zh-CN"/>
              </w:rPr>
              <w:t>综合评价质量目标,质量保证体系是否健全；质量保证措施是否合理有效并具有针对性，健全</w:t>
            </w:r>
            <w:r>
              <w:rPr>
                <w:rFonts w:ascii="宋体" w:hAnsi="宋体"/>
                <w:sz w:val="24"/>
              </w:rPr>
              <w:t>有效合理</w:t>
            </w:r>
            <w:r>
              <w:rPr>
                <w:rFonts w:hint="eastAsia" w:ascii="宋体" w:hAnsi="宋体"/>
                <w:sz w:val="24"/>
              </w:rPr>
              <w:t>3</w:t>
            </w:r>
            <w:r>
              <w:rPr>
                <w:rFonts w:ascii="宋体" w:hAnsi="宋体"/>
                <w:sz w:val="24"/>
              </w:rPr>
              <w:t>～5分，基本合理</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704"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pPr>
              <w:jc w:val="center"/>
              <w:rPr>
                <w:rFonts w:ascii="宋体" w:hAnsi="宋体"/>
                <w:sz w:val="24"/>
              </w:rPr>
            </w:pPr>
            <w:r>
              <w:rPr>
                <w:rFonts w:ascii="宋体" w:hAnsi="宋体"/>
                <w:sz w:val="24"/>
              </w:rPr>
              <w:t>施工进度计划及保证措施</w:t>
            </w:r>
          </w:p>
        </w:tc>
        <w:tc>
          <w:tcPr>
            <w:tcW w:w="720" w:type="dxa"/>
            <w:vAlign w:val="center"/>
          </w:tcPr>
          <w:p>
            <w:pPr>
              <w:jc w:val="center"/>
              <w:rPr>
                <w:rFonts w:ascii="宋体" w:hAnsi="宋体"/>
                <w:sz w:val="24"/>
              </w:rPr>
            </w:pPr>
            <w:r>
              <w:rPr>
                <w:rFonts w:hint="eastAsia" w:ascii="宋体" w:hAnsi="宋体"/>
                <w:sz w:val="24"/>
              </w:rPr>
              <w:t>5</w:t>
            </w:r>
          </w:p>
        </w:tc>
        <w:tc>
          <w:tcPr>
            <w:tcW w:w="4968" w:type="dxa"/>
            <w:vAlign w:val="center"/>
          </w:tcPr>
          <w:p>
            <w:pPr>
              <w:rPr>
                <w:rFonts w:ascii="宋体" w:hAnsi="宋体"/>
                <w:sz w:val="24"/>
              </w:rPr>
            </w:pPr>
            <w:r>
              <w:rPr>
                <w:rFonts w:ascii="宋体" w:hAnsi="宋体"/>
                <w:sz w:val="24"/>
                <w:lang w:val="zh-CN"/>
              </w:rPr>
              <w:t>评价施工进度计划合理，保证措施具有针对性、措施先进可行得3</w:t>
            </w:r>
            <w:r>
              <w:rPr>
                <w:rFonts w:ascii="宋体" w:hAnsi="宋体"/>
                <w:sz w:val="24"/>
              </w:rPr>
              <w:t>～</w:t>
            </w:r>
            <w:r>
              <w:rPr>
                <w:rFonts w:hint="eastAsia" w:ascii="宋体" w:hAnsi="宋体"/>
                <w:sz w:val="24"/>
              </w:rPr>
              <w:t>5</w:t>
            </w:r>
            <w:r>
              <w:rPr>
                <w:rFonts w:ascii="宋体" w:hAnsi="宋体"/>
                <w:sz w:val="24"/>
                <w:lang w:val="zh-CN"/>
              </w:rPr>
              <w:t>分，基本</w:t>
            </w:r>
            <w:r>
              <w:rPr>
                <w:rFonts w:hint="eastAsia" w:ascii="宋体" w:hAnsi="宋体"/>
                <w:sz w:val="24"/>
                <w:lang w:val="zh-CN"/>
              </w:rPr>
              <w:t>合理</w:t>
            </w:r>
            <w:r>
              <w:rPr>
                <w:rFonts w:ascii="宋体" w:hAnsi="宋体"/>
                <w:sz w:val="24"/>
                <w:lang w:val="zh-CN"/>
              </w:rPr>
              <w:t>可行1</w:t>
            </w:r>
            <w:r>
              <w:rPr>
                <w:rFonts w:ascii="宋体" w:hAnsi="宋体"/>
                <w:sz w:val="24"/>
              </w:rPr>
              <w:t>～</w:t>
            </w:r>
            <w:r>
              <w:rPr>
                <w:rFonts w:ascii="宋体" w:hAnsi="宋体"/>
                <w:sz w:val="24"/>
                <w:lang w:val="zh-CN"/>
              </w:rPr>
              <w:t>2</w:t>
            </w:r>
            <w:r>
              <w:rPr>
                <w:rFonts w:hint="eastAsia" w:ascii="宋体" w:hAnsi="宋体"/>
                <w:sz w:val="24"/>
              </w:rPr>
              <w:t>，不合理不可行0分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718"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pPr>
              <w:autoSpaceDE w:val="0"/>
              <w:autoSpaceDN w:val="0"/>
              <w:adjustRightInd w:val="0"/>
              <w:snapToGrid w:val="0"/>
              <w:jc w:val="center"/>
              <w:rPr>
                <w:rFonts w:ascii="宋体" w:hAnsi="宋体"/>
                <w:bCs/>
                <w:sz w:val="24"/>
                <w:lang w:val="zh-CN"/>
              </w:rPr>
            </w:pPr>
            <w:r>
              <w:rPr>
                <w:rFonts w:hint="eastAsia" w:ascii="宋体" w:hAnsi="宋体"/>
                <w:bCs/>
                <w:sz w:val="24"/>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rPr>
              <w:t>施工人员按阶段配备合理3～</w:t>
            </w:r>
            <w:r>
              <w:rPr>
                <w:rFonts w:hint="eastAsia" w:ascii="宋体" w:hAnsi="宋体"/>
                <w:sz w:val="24"/>
              </w:rPr>
              <w:t>4</w:t>
            </w:r>
            <w:r>
              <w:rPr>
                <w:rFonts w:ascii="宋体" w:hAnsi="宋体"/>
                <w:sz w:val="24"/>
              </w:rPr>
              <w:t>分，基本合理1～2分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bCs/>
                <w:sz w:val="24"/>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对拟投入本工程施工的机械设备类型、型号、数量及适用性、可靠性进行综合评审，优良3</w:t>
            </w:r>
            <w:r>
              <w:rPr>
                <w:rFonts w:ascii="宋体" w:hAnsi="宋体"/>
                <w:sz w:val="24"/>
              </w:rPr>
              <w:t>～</w:t>
            </w:r>
            <w:r>
              <w:rPr>
                <w:rFonts w:ascii="宋体" w:hAnsi="宋体"/>
                <w:sz w:val="24"/>
                <w:lang w:val="zh-CN"/>
              </w:rPr>
              <w:t>4分、一般1～2分</w:t>
            </w:r>
            <w:r>
              <w:rPr>
                <w:rFonts w:hint="eastAsia" w:ascii="宋体" w:hAnsi="宋体"/>
                <w:sz w:val="24"/>
              </w:rPr>
              <w:t>，不合理0分</w:t>
            </w:r>
            <w:r>
              <w:rPr>
                <w:rFonts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19"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pPr>
              <w:autoSpaceDE w:val="0"/>
              <w:autoSpaceDN w:val="0"/>
              <w:adjustRightInd w:val="0"/>
              <w:snapToGrid w:val="0"/>
              <w:jc w:val="center"/>
              <w:rPr>
                <w:rFonts w:ascii="宋体" w:hAnsi="宋体"/>
                <w:bCs/>
                <w:sz w:val="24"/>
                <w:lang w:val="zh-CN"/>
              </w:rPr>
            </w:pPr>
            <w:r>
              <w:rPr>
                <w:rFonts w:hint="eastAsia" w:ascii="宋体" w:hAnsi="宋体"/>
                <w:bCs/>
                <w:sz w:val="24"/>
              </w:rPr>
              <w:t>5</w:t>
            </w:r>
          </w:p>
        </w:tc>
        <w:tc>
          <w:tcPr>
            <w:tcW w:w="4968" w:type="dxa"/>
            <w:vAlign w:val="center"/>
          </w:tcPr>
          <w:p>
            <w:pPr>
              <w:autoSpaceDE w:val="0"/>
              <w:autoSpaceDN w:val="0"/>
              <w:adjustRightInd w:val="0"/>
              <w:snapToGrid w:val="0"/>
              <w:rPr>
                <w:rFonts w:ascii="宋体" w:hAnsi="宋体"/>
                <w:bCs/>
                <w:sz w:val="24"/>
                <w:lang w:val="zh-CN"/>
              </w:rPr>
            </w:pPr>
            <w:r>
              <w:rPr>
                <w:rFonts w:hint="eastAsia" w:ascii="宋体" w:hAnsi="宋体"/>
                <w:sz w:val="24"/>
              </w:rPr>
              <w:t>评价安全生产保证体系健全，安全生产保证措施合理，文明施工和环境保护措施，得力的得3</w:t>
            </w:r>
            <w:r>
              <w:rPr>
                <w:rFonts w:ascii="宋体" w:hAnsi="宋体"/>
                <w:sz w:val="24"/>
              </w:rPr>
              <w:t>～</w:t>
            </w:r>
            <w:r>
              <w:rPr>
                <w:rFonts w:hint="eastAsia" w:ascii="宋体" w:hAnsi="宋体"/>
                <w:sz w:val="24"/>
              </w:rPr>
              <w:t>5分、</w:t>
            </w:r>
            <w:r>
              <w:rPr>
                <w:rFonts w:ascii="宋体" w:hAnsi="宋体"/>
                <w:sz w:val="24"/>
                <w:lang w:val="zh-CN"/>
              </w:rPr>
              <w:t>一般1～2分</w:t>
            </w:r>
            <w:r>
              <w:rPr>
                <w:rFonts w:hint="eastAsia" w:ascii="宋体" w:hAnsi="宋体"/>
                <w:sz w:val="24"/>
              </w:rPr>
              <w:t>，不合理0分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01" w:hRule="atLeast"/>
        </w:trPr>
        <w:tc>
          <w:tcPr>
            <w:tcW w:w="874" w:type="dxa"/>
            <w:vMerge w:val="restart"/>
            <w:vAlign w:val="center"/>
          </w:tcPr>
          <w:p>
            <w:pPr>
              <w:autoSpaceDE w:val="0"/>
              <w:autoSpaceDN w:val="0"/>
              <w:adjustRightInd w:val="0"/>
              <w:snapToGrid w:val="0"/>
              <w:jc w:val="center"/>
              <w:rPr>
                <w:rFonts w:ascii="宋体" w:hAnsi="宋体"/>
                <w:sz w:val="24"/>
              </w:rPr>
            </w:pPr>
            <w:r>
              <w:rPr>
                <w:rFonts w:ascii="宋体" w:hAnsi="宋体"/>
                <w:sz w:val="24"/>
              </w:rPr>
              <w:t>2.2.4(2)</w:t>
            </w:r>
          </w:p>
          <w:p>
            <w:pPr>
              <w:autoSpaceDE w:val="0"/>
              <w:autoSpaceDN w:val="0"/>
              <w:adjustRightInd w:val="0"/>
              <w:snapToGrid w:val="0"/>
              <w:jc w:val="center"/>
              <w:rPr>
                <w:rFonts w:ascii="宋体" w:hAnsi="宋体"/>
                <w:sz w:val="24"/>
              </w:rPr>
            </w:pPr>
          </w:p>
        </w:tc>
        <w:tc>
          <w:tcPr>
            <w:tcW w:w="559" w:type="dxa"/>
            <w:vMerge w:val="restart"/>
            <w:vAlign w:val="center"/>
          </w:tcPr>
          <w:p>
            <w:pPr>
              <w:autoSpaceDE w:val="0"/>
              <w:autoSpaceDN w:val="0"/>
              <w:adjustRightInd w:val="0"/>
              <w:snapToGrid w:val="0"/>
              <w:jc w:val="center"/>
              <w:rPr>
                <w:rFonts w:ascii="宋体" w:hAnsi="宋体"/>
                <w:sz w:val="24"/>
              </w:rPr>
            </w:pPr>
            <w:r>
              <w:rPr>
                <w:rFonts w:ascii="宋体" w:hAnsi="宋体"/>
                <w:sz w:val="24"/>
              </w:rPr>
              <w:t>B</w:t>
            </w:r>
          </w:p>
          <w:p>
            <w:pPr>
              <w:autoSpaceDE w:val="0"/>
              <w:autoSpaceDN w:val="0"/>
              <w:adjustRightInd w:val="0"/>
              <w:snapToGrid w:val="0"/>
              <w:jc w:val="center"/>
              <w:rPr>
                <w:rFonts w:ascii="宋体" w:hAnsi="宋体"/>
                <w:sz w:val="24"/>
              </w:rPr>
            </w:pPr>
            <w:r>
              <w:rPr>
                <w:rFonts w:ascii="宋体" w:hAnsi="宋体"/>
                <w:sz w:val="24"/>
              </w:rPr>
              <w:t>项目</w:t>
            </w:r>
          </w:p>
          <w:p>
            <w:pPr>
              <w:autoSpaceDE w:val="0"/>
              <w:autoSpaceDN w:val="0"/>
              <w:adjustRightInd w:val="0"/>
              <w:snapToGrid w:val="0"/>
              <w:jc w:val="center"/>
              <w:rPr>
                <w:rFonts w:ascii="宋体" w:hAnsi="宋体"/>
                <w:sz w:val="24"/>
              </w:rPr>
            </w:pPr>
            <w:r>
              <w:rPr>
                <w:rFonts w:ascii="宋体" w:hAnsi="宋体"/>
                <w:sz w:val="24"/>
              </w:rPr>
              <w:t>管理</w:t>
            </w:r>
          </w:p>
          <w:p>
            <w:pPr>
              <w:autoSpaceDE w:val="0"/>
              <w:autoSpaceDN w:val="0"/>
              <w:adjustRightInd w:val="0"/>
              <w:snapToGrid w:val="0"/>
              <w:jc w:val="center"/>
              <w:rPr>
                <w:rFonts w:ascii="宋体" w:hAnsi="宋体"/>
                <w:sz w:val="24"/>
              </w:rPr>
            </w:pPr>
            <w:r>
              <w:rPr>
                <w:rFonts w:ascii="宋体" w:hAnsi="宋体"/>
                <w:sz w:val="24"/>
              </w:rPr>
              <w:t>机构</w:t>
            </w:r>
          </w:p>
          <w:p>
            <w:pPr>
              <w:autoSpaceDE w:val="0"/>
              <w:autoSpaceDN w:val="0"/>
              <w:adjustRightInd w:val="0"/>
              <w:snapToGrid w:val="0"/>
              <w:jc w:val="center"/>
              <w:rPr>
                <w:rFonts w:ascii="宋体" w:hAnsi="宋体"/>
                <w:sz w:val="24"/>
              </w:rPr>
            </w:pPr>
            <w:r>
              <w:rPr>
                <w:rFonts w:ascii="宋体" w:hAnsi="宋体"/>
                <w:sz w:val="24"/>
              </w:rPr>
              <w:t>︵</w:t>
            </w:r>
          </w:p>
          <w:p>
            <w:pPr>
              <w:autoSpaceDE w:val="0"/>
              <w:autoSpaceDN w:val="0"/>
              <w:adjustRightInd w:val="0"/>
              <w:snapToGrid w:val="0"/>
              <w:jc w:val="center"/>
              <w:rPr>
                <w:rFonts w:ascii="宋体" w:hAnsi="宋体"/>
                <w:sz w:val="24"/>
              </w:rPr>
            </w:pPr>
            <w:r>
              <w:rPr>
                <w:rFonts w:ascii="宋体" w:hAnsi="宋体"/>
                <w:sz w:val="24"/>
              </w:rPr>
              <w:t>10</w:t>
            </w:r>
          </w:p>
          <w:p>
            <w:pPr>
              <w:autoSpaceDE w:val="0"/>
              <w:autoSpaceDN w:val="0"/>
              <w:adjustRightInd w:val="0"/>
              <w:snapToGrid w:val="0"/>
              <w:jc w:val="center"/>
              <w:rPr>
                <w:rFonts w:ascii="宋体" w:hAnsi="宋体"/>
                <w:sz w:val="24"/>
              </w:rPr>
            </w:pPr>
            <w:r>
              <w:rPr>
                <w:rFonts w:ascii="宋体" w:hAnsi="宋体"/>
                <w:sz w:val="24"/>
              </w:rPr>
              <w:t>分</w:t>
            </w:r>
          </w:p>
          <w:p>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对组织机构和专业的完整性、人员配备的合理性进行综合评审，合理3～4分、基本合理</w:t>
            </w:r>
            <w:r>
              <w:rPr>
                <w:rFonts w:hint="eastAsia" w:ascii="宋体" w:hAnsi="宋体"/>
                <w:sz w:val="24"/>
              </w:rPr>
              <w:t>1</w:t>
            </w:r>
            <w:r>
              <w:rPr>
                <w:rFonts w:ascii="宋体" w:hAnsi="宋体"/>
                <w:sz w:val="24"/>
                <w:lang w:val="zh-CN"/>
              </w:rPr>
              <w:t>～</w:t>
            </w:r>
            <w:r>
              <w:rPr>
                <w:rFonts w:hint="eastAsia" w:ascii="宋体" w:hAnsi="宋体"/>
                <w:sz w:val="24"/>
              </w:rPr>
              <w:t>2</w:t>
            </w:r>
            <w:r>
              <w:rPr>
                <w:rFonts w:ascii="宋体" w:hAnsi="宋体"/>
                <w:sz w:val="24"/>
                <w:lang w:val="zh-CN"/>
              </w:rPr>
              <w:t>分</w:t>
            </w:r>
            <w:r>
              <w:rPr>
                <w:rFonts w:hint="eastAsia" w:ascii="宋体" w:hAnsi="宋体"/>
                <w:sz w:val="24"/>
              </w:rPr>
              <w:t>，不合理0分</w:t>
            </w:r>
            <w:r>
              <w:rPr>
                <w:rFonts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146"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项目</w:t>
            </w:r>
            <w:r>
              <w:rPr>
                <w:rFonts w:hint="eastAsia" w:ascii="宋体" w:hAnsi="宋体"/>
                <w:sz w:val="24"/>
                <w:lang w:val="zh-CN"/>
              </w:rPr>
              <w:t>负责人</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sz w:val="24"/>
              </w:rPr>
              <w:t>4</w:t>
            </w:r>
          </w:p>
        </w:tc>
        <w:tc>
          <w:tcPr>
            <w:tcW w:w="4968" w:type="dxa"/>
            <w:vAlign w:val="center"/>
          </w:tcPr>
          <w:p>
            <w:pPr>
              <w:autoSpaceDE w:val="0"/>
              <w:autoSpaceDN w:val="0"/>
              <w:adjustRightInd w:val="0"/>
              <w:snapToGrid w:val="0"/>
              <w:rPr>
                <w:rFonts w:ascii="宋体" w:hAnsi="宋体"/>
                <w:sz w:val="24"/>
                <w:lang w:val="zh-CN"/>
              </w:rPr>
            </w:pPr>
            <w:r>
              <w:rPr>
                <w:rFonts w:hint="eastAsia" w:ascii="宋体" w:hAnsi="宋体"/>
                <w:sz w:val="24"/>
                <w:lang w:val="zh-CN"/>
              </w:rPr>
              <w:t>201</w:t>
            </w:r>
            <w:r>
              <w:rPr>
                <w:rFonts w:hint="eastAsia" w:ascii="宋体" w:hAnsi="宋体"/>
                <w:sz w:val="24"/>
                <w:lang w:val="en-US" w:eastAsia="zh-CN"/>
              </w:rPr>
              <w:t>7</w:t>
            </w:r>
            <w:r>
              <w:rPr>
                <w:rFonts w:hint="eastAsia" w:ascii="宋体" w:hAnsi="宋体"/>
                <w:sz w:val="24"/>
                <w:lang w:val="zh-CN"/>
              </w:rPr>
              <w:t>年1月1日以来项目负责人承建过类似工程业绩得</w:t>
            </w:r>
            <w:r>
              <w:rPr>
                <w:rFonts w:hint="eastAsia" w:ascii="宋体" w:hAnsi="宋体"/>
                <w:sz w:val="24"/>
              </w:rPr>
              <w:t>4</w:t>
            </w:r>
            <w:r>
              <w:rPr>
                <w:rFonts w:ascii="宋体" w:hAnsi="宋体"/>
                <w:sz w:val="24"/>
                <w:lang w:val="zh-CN"/>
              </w:rPr>
              <w:t>分</w:t>
            </w:r>
            <w:r>
              <w:rPr>
                <w:rFonts w:hint="eastAsia" w:ascii="宋体" w:hAnsi="宋体"/>
                <w:sz w:val="24"/>
                <w:lang w:val="zh-CN"/>
              </w:rPr>
              <w:t>，本项</w:t>
            </w:r>
            <w:r>
              <w:rPr>
                <w:rFonts w:ascii="宋体" w:hAnsi="宋体"/>
                <w:sz w:val="24"/>
                <w:lang w:val="zh-CN"/>
              </w:rPr>
              <w:t>最多</w:t>
            </w:r>
            <w:r>
              <w:rPr>
                <w:rFonts w:hint="eastAsia" w:ascii="宋体" w:hAnsi="宋体"/>
                <w:sz w:val="24"/>
                <w:lang w:val="zh-CN"/>
              </w:rPr>
              <w:t>得</w:t>
            </w:r>
            <w:r>
              <w:rPr>
                <w:rFonts w:hint="eastAsia" w:ascii="宋体" w:hAnsi="宋体"/>
                <w:sz w:val="24"/>
              </w:rPr>
              <w:t>4</w:t>
            </w:r>
            <w:r>
              <w:rPr>
                <w:rFonts w:ascii="宋体" w:hAnsi="宋体"/>
                <w:sz w:val="24"/>
                <w:lang w:val="zh-CN"/>
              </w:rPr>
              <w:t>分。</w:t>
            </w:r>
            <w:r>
              <w:rPr>
                <w:rFonts w:hint="eastAsia" w:ascii="宋体" w:hAnsi="宋体"/>
                <w:b/>
                <w:sz w:val="24"/>
                <w:lang w:val="zh-CN"/>
              </w:rPr>
              <w:t>（须同时提供中标通知书、合同材料，上述资料任一项显示项目负责人姓名即可得分）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613" w:hRule="atLeast"/>
        </w:trPr>
        <w:tc>
          <w:tcPr>
            <w:tcW w:w="874"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continue"/>
            <w:vAlign w:val="center"/>
          </w:tcPr>
          <w:p>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pPr>
              <w:autoSpaceDE w:val="0"/>
              <w:autoSpaceDN w:val="0"/>
              <w:adjustRightInd w:val="0"/>
              <w:snapToGrid w:val="0"/>
              <w:jc w:val="center"/>
              <w:rPr>
                <w:rFonts w:ascii="宋体" w:hAnsi="宋体"/>
                <w:sz w:val="24"/>
                <w:lang w:val="zh-CN"/>
              </w:rPr>
            </w:pPr>
            <w:r>
              <w:rPr>
                <w:rFonts w:hint="eastAsia" w:ascii="宋体" w:hAnsi="宋体"/>
                <w:sz w:val="24"/>
              </w:rPr>
              <w:t>2</w:t>
            </w:r>
          </w:p>
        </w:tc>
        <w:tc>
          <w:tcPr>
            <w:tcW w:w="4968" w:type="dxa"/>
            <w:tcBorders>
              <w:bottom w:val="single" w:color="auto" w:sz="4" w:space="0"/>
            </w:tcBorders>
            <w:vAlign w:val="center"/>
          </w:tcPr>
          <w:p>
            <w:pPr>
              <w:rPr>
                <w:rFonts w:ascii="宋体" w:hAnsi="宋体"/>
                <w:sz w:val="24"/>
                <w:lang w:val="zh-CN"/>
              </w:rPr>
            </w:pPr>
            <w:r>
              <w:rPr>
                <w:rFonts w:ascii="宋体" w:hAnsi="宋体"/>
                <w:sz w:val="24"/>
                <w:lang w:val="zh-CN"/>
              </w:rPr>
              <w:t>具有</w:t>
            </w:r>
            <w:r>
              <w:rPr>
                <w:rFonts w:hint="eastAsia" w:ascii="宋体" w:hAnsi="宋体"/>
                <w:sz w:val="24"/>
                <w:lang w:val="zh-CN"/>
              </w:rPr>
              <w:t>水利水电相关专业中</w:t>
            </w:r>
            <w:r>
              <w:rPr>
                <w:rFonts w:ascii="宋体" w:hAnsi="宋体"/>
                <w:sz w:val="24"/>
                <w:lang w:val="zh-CN"/>
              </w:rPr>
              <w:t>级</w:t>
            </w:r>
            <w:r>
              <w:rPr>
                <w:rFonts w:hint="eastAsia" w:ascii="宋体" w:hAnsi="宋体"/>
                <w:sz w:val="24"/>
                <w:lang w:val="zh-CN"/>
              </w:rPr>
              <w:t>及以上</w:t>
            </w:r>
            <w:r>
              <w:rPr>
                <w:rFonts w:ascii="宋体" w:hAnsi="宋体"/>
                <w:sz w:val="24"/>
                <w:lang w:val="zh-CN"/>
              </w:rPr>
              <w:t>职称的</w:t>
            </w:r>
            <w:r>
              <w:rPr>
                <w:rFonts w:hint="eastAsia" w:ascii="宋体" w:hAnsi="宋体"/>
                <w:sz w:val="24"/>
                <w:lang w:val="zh-CN"/>
              </w:rPr>
              <w:t>得</w:t>
            </w:r>
            <w:r>
              <w:rPr>
                <w:rFonts w:hint="eastAsia" w:ascii="宋体" w:hAnsi="宋体"/>
                <w:sz w:val="24"/>
              </w:rPr>
              <w:t>2</w:t>
            </w:r>
            <w:r>
              <w:rPr>
                <w:rFonts w:ascii="宋体" w:hAnsi="宋体"/>
                <w:sz w:val="24"/>
                <w:lang w:val="zh-CN"/>
              </w:rPr>
              <w:t>分</w:t>
            </w:r>
            <w:r>
              <w:rPr>
                <w:rFonts w:hint="eastAsia" w:ascii="宋体" w:hAnsi="宋体"/>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50" w:hRule="atLeast"/>
        </w:trPr>
        <w:tc>
          <w:tcPr>
            <w:tcW w:w="874" w:type="dxa"/>
            <w:vAlign w:val="center"/>
          </w:tcPr>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(3)</w:t>
            </w:r>
          </w:p>
        </w:tc>
        <w:tc>
          <w:tcPr>
            <w:tcW w:w="559" w:type="dxa"/>
            <w:vAlign w:val="center"/>
          </w:tcPr>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lang w:val="zh-CN"/>
              </w:rPr>
              <w:t>投标报价</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40</w:t>
            </w:r>
          </w:p>
        </w:tc>
        <w:tc>
          <w:tcPr>
            <w:tcW w:w="4968"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投标人的投标报价与评标基准价相等时得40分，每高于评标基准价1%在40分基础上扣2分，扣完为止；每低于评标基准价1%在40分基础上扣1分，扣完为止。</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投标报价计算结果保留两位小数，小数点后第三位四舍五入。  。</w:t>
            </w:r>
          </w:p>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（注：评标基准价的计算方法详见评标办法前附表）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15" w:hRule="atLeast"/>
        </w:trPr>
        <w:tc>
          <w:tcPr>
            <w:tcW w:w="874"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(4)</w:t>
            </w:r>
          </w:p>
        </w:tc>
        <w:tc>
          <w:tcPr>
            <w:tcW w:w="559" w:type="dxa"/>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宋体" w:hAnsi="宋体"/>
                <w:sz w:val="24"/>
              </w:rPr>
              <w:t>信用等级(5分)</w:t>
            </w:r>
          </w:p>
        </w:tc>
        <w:tc>
          <w:tcPr>
            <w:tcW w:w="425"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2112"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宋体" w:hAnsi="宋体" w:cs="宋体"/>
                <w:kern w:val="1"/>
                <w:sz w:val="24"/>
              </w:rPr>
              <w:t>投标人信用等级</w:t>
            </w:r>
          </w:p>
        </w:tc>
        <w:tc>
          <w:tcPr>
            <w:tcW w:w="720"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4968" w:type="dxa"/>
            <w:tcBorders>
              <w:top w:val="single" w:color="auto" w:sz="4" w:space="0"/>
            </w:tcBorders>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w:t>
            </w:r>
            <w:r>
              <w:rPr>
                <w:rFonts w:hint="eastAsia" w:ascii="宋体" w:hAnsi="宋体"/>
                <w:sz w:val="24"/>
              </w:rPr>
              <w:t>全国水利建设市场监管服务平台信息公开</w:t>
            </w:r>
            <w:r>
              <w:rPr>
                <w:rFonts w:hint="eastAsia" w:ascii="宋体" w:hAnsi="宋体" w:cs="宋体"/>
                <w:kern w:val="1"/>
                <w:sz w:val="24"/>
              </w:rPr>
              <w:t>的为准。信用等级分值或权重：AAA级为5分，AA级为4分，A级为3分，BBB级为1分，CCC级为0。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w:t>
            </w:r>
            <w:r>
              <w:rPr>
                <w:rFonts w:hint="eastAsia" w:ascii="宋体" w:hAnsi="宋体" w:cs="宋体"/>
                <w:kern w:val="1"/>
                <w:sz w:val="24"/>
                <w:lang w:val="zh-CN"/>
              </w:rPr>
              <w:t>全国水利建设市场监管服务平台</w:t>
            </w:r>
            <w:r>
              <w:rPr>
                <w:rFonts w:hint="eastAsia" w:ascii="宋体" w:hAnsi="宋体" w:cs="宋体"/>
                <w:kern w:val="1"/>
                <w:sz w:val="24"/>
              </w:rPr>
              <w:t>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rPr>
              <w:t>3.转包或违法分包所承揽工程的；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autoSpaceDE w:val="0"/>
              <w:autoSpaceDN w:val="0"/>
              <w:contextualSpacing/>
              <w:rPr>
                <w:rFonts w:asciiTheme="minorEastAsia" w:hAnsiTheme="minorEastAsia" w:eastAsiaTheme="minorEastAsia" w:cstheme="minorEastAsia"/>
                <w:sz w:val="24"/>
                <w:lang w:val="zh-CN"/>
              </w:rPr>
            </w:pPr>
            <w:r>
              <w:rPr>
                <w:rFonts w:hint="eastAsia" w:ascii="宋体" w:hAnsi="宋体" w:cs="宋体"/>
                <w:kern w:val="1"/>
                <w:sz w:val="24"/>
              </w:rPr>
              <w:t>8.国家和省有关法律法规规定的其他情形。</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915" w:hRule="atLeast"/>
        </w:trPr>
        <w:tc>
          <w:tcPr>
            <w:tcW w:w="874" w:type="dxa"/>
            <w:vMerge w:val="restart"/>
            <w:vAlign w:val="center"/>
          </w:tcPr>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(5)</w:t>
            </w:r>
          </w:p>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559" w:type="dxa"/>
            <w:vMerge w:val="restart"/>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w:t>
            </w:r>
          </w:p>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其它评分因素</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p>
            <w:pPr>
              <w:autoSpaceDE w:val="0"/>
              <w:autoSpaceDN w:val="0"/>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w:t>
            </w:r>
          </w:p>
          <w:p>
            <w:pPr>
              <w:keepNext/>
              <w:keepLines/>
              <w:autoSpaceDE w:val="0"/>
              <w:autoSpaceDN w:val="0"/>
              <w:adjustRightInd w:val="0"/>
              <w:snapToGrid w:val="0"/>
              <w:jc w:val="center"/>
              <w:outlineLvl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425"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2112"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年1月1日以来的类似工程经历</w:t>
            </w:r>
          </w:p>
        </w:tc>
        <w:tc>
          <w:tcPr>
            <w:tcW w:w="720" w:type="dxa"/>
            <w:tcBorders>
              <w:top w:val="single" w:color="auto" w:sz="4" w:space="0"/>
            </w:tcBorders>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4968" w:type="dxa"/>
            <w:tcBorders>
              <w:top w:val="single" w:color="auto" w:sz="4" w:space="0"/>
            </w:tcBorders>
            <w:vAlign w:val="center"/>
          </w:tcPr>
          <w:p>
            <w:pPr>
              <w:autoSpaceDE w:val="0"/>
              <w:autoSpaceDN w:val="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年1月1日以来承建过类似工程</w:t>
            </w:r>
            <w:r>
              <w:rPr>
                <w:rFonts w:hint="eastAsia" w:asciiTheme="minorEastAsia" w:hAnsiTheme="minorEastAsia" w:eastAsiaTheme="minorEastAsia" w:cstheme="minorEastAsia"/>
                <w:sz w:val="24"/>
              </w:rPr>
              <w:t>（以签订合同</w:t>
            </w:r>
          </w:p>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时间为准）</w:t>
            </w:r>
            <w:r>
              <w:rPr>
                <w:rFonts w:hint="eastAsia" w:asciiTheme="minorEastAsia" w:hAnsiTheme="minorEastAsia" w:eastAsiaTheme="minorEastAsia" w:cstheme="minorEastAsia"/>
                <w:sz w:val="24"/>
                <w:lang w:val="zh-CN"/>
              </w:rPr>
              <w:t>每项得</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分，本项最高得</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分。</w:t>
            </w:r>
            <w:r>
              <w:rPr>
                <w:rFonts w:hint="eastAsia" w:asciiTheme="minorEastAsia" w:hAnsiTheme="minorEastAsia" w:eastAsiaTheme="minorEastAsia" w:cstheme="minorEastAsia"/>
                <w:b/>
                <w:bCs/>
                <w:sz w:val="24"/>
                <w:lang w:val="zh-CN"/>
              </w:rPr>
              <w:t>（按第二章投标文件须知正文部分</w:t>
            </w:r>
            <w:r>
              <w:rPr>
                <w:rFonts w:hint="eastAsia" w:asciiTheme="minorEastAsia" w:hAnsiTheme="minorEastAsia" w:eastAsiaTheme="minorEastAsia" w:cstheme="minorEastAsia"/>
                <w:b/>
                <w:bCs/>
                <w:sz w:val="24"/>
              </w:rPr>
              <w:t>3.5.3和3.5.4提供</w:t>
            </w:r>
            <w:r>
              <w:rPr>
                <w:rFonts w:hint="eastAsia" w:asciiTheme="minorEastAsia" w:hAnsiTheme="minorEastAsia" w:eastAsiaTheme="minorEastAsia" w:cstheme="minorEastAsia"/>
                <w:b/>
                <w:bCs/>
                <w:sz w:val="24"/>
                <w:lang w:val="zh-CN"/>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361" w:hRule="atLeast"/>
        </w:trPr>
        <w:tc>
          <w:tcPr>
            <w:tcW w:w="874" w:type="dxa"/>
            <w:vMerge w:val="continue"/>
            <w:vAlign w:val="center"/>
          </w:tcPr>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559" w:type="dxa"/>
            <w:vMerge w:val="continue"/>
            <w:vAlign w:val="center"/>
          </w:tcPr>
          <w:p>
            <w:pPr>
              <w:keepNext/>
              <w:keepLines/>
              <w:autoSpaceDE w:val="0"/>
              <w:autoSpaceDN w:val="0"/>
              <w:adjustRightInd w:val="0"/>
              <w:snapToGrid w:val="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rPr>
              <w:t>7</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sz w:val="24"/>
                <w:lang w:val="zh-CN"/>
              </w:rPr>
              <w:t>近三年财务状况</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4968" w:type="dxa"/>
            <w:vAlign w:val="center"/>
          </w:tcPr>
          <w:p>
            <w:pPr>
              <w:autoSpaceDE w:val="0"/>
              <w:autoSpaceDN w:val="0"/>
              <w:contextualSpacing/>
              <w:rPr>
                <w:rFonts w:asciiTheme="minorEastAsia" w:hAnsiTheme="minorEastAsia" w:eastAsiaTheme="minorEastAsia" w:cstheme="minorEastAsia"/>
                <w:i/>
                <w:sz w:val="24"/>
                <w:lang w:val="zh-CN"/>
              </w:rPr>
            </w:pP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年度、201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年度、201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年度财务状况，一年盈利得1分，持平得0.5分，亏损不得分，本项最高得3分。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53"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rPr>
              <w:t>8</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bCs/>
                <w:caps/>
                <w:sz w:val="24"/>
                <w:lang w:val="zh-CN"/>
              </w:rPr>
              <w:t>三体系认证</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968" w:type="dxa"/>
            <w:vAlign w:val="center"/>
          </w:tcPr>
          <w:p>
            <w:pPr>
              <w:autoSpaceDE w:val="0"/>
              <w:autoSpaceDN w:val="0"/>
              <w:contextualSpacing/>
              <w:rPr>
                <w:rFonts w:asciiTheme="minorEastAsia" w:hAnsiTheme="minorEastAsia" w:eastAsiaTheme="minorEastAsia" w:cstheme="minorEastAsia"/>
                <w:i/>
                <w:sz w:val="24"/>
                <w:lang w:val="zh-CN"/>
              </w:rPr>
            </w:pPr>
            <w:r>
              <w:rPr>
                <w:rFonts w:hint="eastAsia" w:asciiTheme="minorEastAsia" w:hAnsiTheme="minorEastAsia" w:eastAsiaTheme="minorEastAsia" w:cstheme="minorEastAsia"/>
                <w:sz w:val="24"/>
                <w:lang w:val="zh-CN"/>
              </w:rPr>
              <w:t>具有质量管理体系、环境管理体系、职业健康安全管理体系认证证书的得1分，缺一项不得分。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1053" w:hRule="atLeast"/>
        </w:trPr>
        <w:tc>
          <w:tcPr>
            <w:tcW w:w="874" w:type="dxa"/>
            <w:vMerge w:val="continue"/>
            <w:vAlign w:val="center"/>
          </w:tcPr>
          <w:p>
            <w:pPr>
              <w:keepNext/>
              <w:keepLines/>
              <w:autoSpaceDE w:val="0"/>
              <w:autoSpaceDN w:val="0"/>
              <w:adjustRightInd w:val="0"/>
              <w:snapToGrid w:val="0"/>
              <w:spacing w:before="260" w:after="260"/>
              <w:jc w:val="center"/>
              <w:outlineLvl w:val="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tc>
        <w:tc>
          <w:tcPr>
            <w:tcW w:w="559" w:type="dxa"/>
            <w:vMerge w:val="continue"/>
            <w:vAlign w:val="center"/>
          </w:tcPr>
          <w:p>
            <w:pPr>
              <w:keepNext/>
              <w:keepLines/>
              <w:autoSpaceDE w:val="0"/>
              <w:autoSpaceDN w:val="0"/>
              <w:adjustRightInd w:val="0"/>
              <w:snapToGrid w:val="0"/>
              <w:spacing w:before="260" w:after="260"/>
              <w:jc w:val="center"/>
              <w:outlineLvl w:val="2"/>
              <w:rPr>
                <w:rFonts w:asciiTheme="minorEastAsia" w:hAnsiTheme="minorEastAsia" w:eastAsiaTheme="minorEastAsia" w:cstheme="minorEastAsia"/>
                <w:sz w:val="24"/>
              </w:rPr>
            </w:pPr>
          </w:p>
        </w:tc>
        <w:tc>
          <w:tcPr>
            <w:tcW w:w="425"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bCs/>
                <w:caps/>
                <w:sz w:val="24"/>
                <w:lang w:val="zh-CN"/>
              </w:rPr>
            </w:pPr>
            <w:r>
              <w:rPr>
                <w:rFonts w:hint="eastAsia" w:asciiTheme="minorEastAsia" w:hAnsiTheme="minorEastAsia" w:eastAsiaTheme="minorEastAsia" w:cstheme="minorEastAsia"/>
                <w:bCs/>
                <w:caps/>
                <w:sz w:val="24"/>
                <w:lang w:val="zh-CN"/>
              </w:rPr>
              <w:t>服务承诺</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968" w:type="dxa"/>
            <w:vAlign w:val="center"/>
          </w:tcPr>
          <w:p>
            <w:pPr>
              <w:autoSpaceDE w:val="0"/>
              <w:autoSpaceDN w:val="0"/>
              <w:contextualSpacing/>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评委依据投标人对招标文件的响应程度及投标书中服务承诺的合理性、可行性、针对性进行评审并打分。（0-2分）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合计</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A+B+C+D</w:t>
            </w:r>
            <w:r>
              <w:rPr>
                <w:rFonts w:hint="eastAsia" w:asciiTheme="minorEastAsia" w:hAnsiTheme="minorEastAsia" w:eastAsiaTheme="minorEastAsia" w:cstheme="minorEastAsia"/>
                <w:sz w:val="24"/>
              </w:rPr>
              <w:t>+E</w:t>
            </w:r>
          </w:p>
        </w:tc>
        <w:tc>
          <w:tcPr>
            <w:tcW w:w="720"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100</w:t>
            </w:r>
          </w:p>
        </w:tc>
        <w:tc>
          <w:tcPr>
            <w:tcW w:w="4968" w:type="dxa"/>
            <w:vAlign w:val="center"/>
          </w:tcPr>
          <w:p>
            <w:pPr>
              <w:autoSpaceDE w:val="0"/>
              <w:autoSpaceDN w:val="0"/>
              <w:ind w:left="105" w:leftChars="50" w:firstLine="42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spacing w:line="312" w:lineRule="auto"/>
              <w:jc w:val="center"/>
              <w:rPr>
                <w:rFonts w:asciiTheme="minorEastAsia" w:hAnsiTheme="minorEastAsia" w:eastAsiaTheme="minorEastAsia" w:cstheme="minorEastAsia"/>
                <w:sz w:val="24"/>
                <w:lang w:val="zh-CN"/>
              </w:rPr>
            </w:pPr>
            <w:r>
              <w:rPr>
                <w:rFonts w:ascii="宋体" w:hAnsi="宋体"/>
                <w:b/>
                <w:sz w:val="24"/>
              </w:rPr>
              <w:t>条款号</w:t>
            </w:r>
          </w:p>
        </w:tc>
        <w:tc>
          <w:tcPr>
            <w:tcW w:w="2112" w:type="dxa"/>
            <w:vAlign w:val="center"/>
          </w:tcPr>
          <w:p>
            <w:pPr>
              <w:spacing w:line="312" w:lineRule="auto"/>
              <w:jc w:val="center"/>
              <w:rPr>
                <w:rFonts w:asciiTheme="minorEastAsia" w:hAnsiTheme="minorEastAsia" w:eastAsiaTheme="minorEastAsia" w:cstheme="minorEastAsia"/>
                <w:sz w:val="24"/>
                <w:lang w:val="zh-CN"/>
              </w:rPr>
            </w:pPr>
            <w:r>
              <w:rPr>
                <w:rFonts w:hint="eastAsia" w:ascii="宋体" w:hAnsi="宋体"/>
                <w:b/>
                <w:sz w:val="24"/>
              </w:rPr>
              <w:t>评分因素</w:t>
            </w:r>
          </w:p>
        </w:tc>
        <w:tc>
          <w:tcPr>
            <w:tcW w:w="5688" w:type="dxa"/>
            <w:gridSpan w:val="2"/>
            <w:vAlign w:val="center"/>
          </w:tcPr>
          <w:p>
            <w:pPr>
              <w:autoSpaceDE w:val="0"/>
              <w:autoSpaceDN w:val="0"/>
              <w:ind w:left="105" w:leftChars="50" w:firstLine="420"/>
              <w:contextualSpacing/>
              <w:jc w:val="center"/>
              <w:rPr>
                <w:rFonts w:asciiTheme="minorEastAsia" w:hAnsiTheme="minorEastAsia" w:eastAsiaTheme="minorEastAsia" w:cstheme="minorEastAsia"/>
                <w:sz w:val="24"/>
                <w:lang w:val="zh-CN"/>
              </w:rPr>
            </w:pPr>
            <w:r>
              <w:rPr>
                <w:rFonts w:hint="eastAsia" w:ascii="宋体" w:hAnsi="宋体"/>
                <w:b/>
                <w:sz w:val="24"/>
              </w:rPr>
              <w:t>评审标准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ascii="宋体" w:hAnsi="宋体" w:cs="宋体"/>
                <w:kern w:val="1"/>
                <w:sz w:val="24"/>
              </w:rPr>
              <w:t>投标人获奖</w:t>
            </w:r>
          </w:p>
        </w:tc>
        <w:tc>
          <w:tcPr>
            <w:tcW w:w="5688" w:type="dxa"/>
            <w:gridSpan w:val="2"/>
            <w:vAlign w:val="center"/>
          </w:tcPr>
          <w:p>
            <w:pPr>
              <w:tabs>
                <w:tab w:val="left" w:pos="1080"/>
              </w:tabs>
              <w:spacing w:line="276" w:lineRule="auto"/>
              <w:rPr>
                <w:rFonts w:ascii="宋体" w:hAnsi="宋体" w:cs="宋体"/>
                <w:kern w:val="1"/>
                <w:sz w:val="24"/>
              </w:rPr>
            </w:pPr>
            <w:r>
              <w:rPr>
                <w:rFonts w:hint="eastAsia" w:ascii="宋体" w:hAnsi="宋体" w:cs="宋体"/>
                <w:kern w:val="1"/>
                <w:sz w:val="24"/>
              </w:rPr>
              <w:t>以下情形为奖励分值，其中大型水利工程累计不超过5分，其他水利工程累计不超过3分：</w:t>
            </w:r>
          </w:p>
          <w:p>
            <w:pPr>
              <w:tabs>
                <w:tab w:val="left" w:pos="1080"/>
              </w:tabs>
              <w:spacing w:line="276" w:lineRule="auto"/>
              <w:rPr>
                <w:rFonts w:ascii="宋体" w:hAnsi="宋体" w:cs="宋体"/>
                <w:kern w:val="1"/>
                <w:sz w:val="24"/>
              </w:rPr>
            </w:pPr>
            <w:r>
              <w:rPr>
                <w:rFonts w:hint="eastAsia" w:ascii="宋体" w:hAnsi="宋体" w:cs="宋体"/>
                <w:kern w:val="1"/>
                <w:sz w:val="24"/>
              </w:rPr>
              <w:t>1.承建的水利工程近三年获得省级以上（含省级）行政主管部门或其精神文明指导委员会颁发的“文明工地”称号的，每项加0.5分，最多不超过1分；</w:t>
            </w:r>
          </w:p>
          <w:p>
            <w:pPr>
              <w:tabs>
                <w:tab w:val="left" w:pos="1080"/>
              </w:tabs>
              <w:spacing w:line="276" w:lineRule="auto"/>
              <w:rPr>
                <w:rFonts w:ascii="宋体" w:hAnsi="宋体" w:cs="宋体"/>
                <w:kern w:val="1"/>
                <w:sz w:val="24"/>
              </w:rPr>
            </w:pPr>
            <w:r>
              <w:rPr>
                <w:rFonts w:hint="eastAsia" w:ascii="宋体" w:hAnsi="宋体" w:cs="宋体"/>
                <w:kern w:val="1"/>
                <w:sz w:val="24"/>
              </w:rPr>
              <w:t>2.承建的水利工程近三年获得省级行政主管部门颁发的“优质工程”或“优秀施工”的，加1分，最多不超过1分；</w:t>
            </w:r>
          </w:p>
          <w:p>
            <w:pPr>
              <w:tabs>
                <w:tab w:val="left" w:pos="1080"/>
              </w:tabs>
              <w:spacing w:line="276" w:lineRule="auto"/>
              <w:rPr>
                <w:rFonts w:ascii="宋体" w:hAnsi="宋体" w:cs="宋体"/>
                <w:kern w:val="1"/>
                <w:sz w:val="24"/>
              </w:rPr>
            </w:pPr>
            <w:r>
              <w:rPr>
                <w:rFonts w:hint="eastAsia" w:ascii="宋体" w:hAnsi="宋体" w:cs="宋体"/>
                <w:kern w:val="1"/>
                <w:sz w:val="24"/>
              </w:rPr>
              <w:t>3.承建的水利工程近三年获得“大禹奖”或“鲁班奖”的，加2分，最多不超过2分；</w:t>
            </w:r>
          </w:p>
          <w:p>
            <w:pPr>
              <w:tabs>
                <w:tab w:val="left" w:pos="1080"/>
              </w:tabs>
              <w:spacing w:line="276" w:lineRule="auto"/>
              <w:rPr>
                <w:rFonts w:ascii="宋体" w:hAnsi="宋体" w:cs="宋体"/>
                <w:kern w:val="1"/>
                <w:sz w:val="24"/>
              </w:rPr>
            </w:pPr>
            <w:r>
              <w:rPr>
                <w:rFonts w:hint="eastAsia" w:ascii="宋体" w:hAnsi="宋体" w:cs="宋体"/>
                <w:kern w:val="1"/>
                <w:sz w:val="24"/>
              </w:rPr>
              <w:t>4.获得“水利安全生产标准化”达标单位的，一级（水利部颁发）加3分，二级（省级水行政主管部门颁发）加2分，三级（省辖市或直管县水行政主管部门颁发）加1分。</w:t>
            </w:r>
          </w:p>
          <w:p>
            <w:pPr>
              <w:tabs>
                <w:tab w:val="left" w:pos="1080"/>
              </w:tabs>
              <w:spacing w:line="276" w:lineRule="auto"/>
              <w:rPr>
                <w:rFonts w:asciiTheme="minorEastAsia" w:hAnsiTheme="minorEastAsia" w:eastAsiaTheme="minorEastAsia" w:cstheme="minorEastAsia"/>
                <w:sz w:val="24"/>
                <w:lang w:val="zh-CN"/>
              </w:rPr>
            </w:pPr>
            <w:r>
              <w:rPr>
                <w:rFonts w:hint="eastAsia" w:ascii="宋体" w:hAnsi="宋体" w:cs="宋体"/>
                <w:kern w:val="1"/>
                <w:sz w:val="24"/>
              </w:rPr>
              <w:t>上述1、2、3项加分时，同一奖项类别的同一工程不重复计算。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277" w:hRule="atLeast"/>
        </w:trPr>
        <w:tc>
          <w:tcPr>
            <w:tcW w:w="1858" w:type="dxa"/>
            <w:gridSpan w:val="3"/>
            <w:vAlign w:val="center"/>
          </w:tcPr>
          <w:p>
            <w:pPr>
              <w:autoSpaceDE w:val="0"/>
              <w:autoSpaceDN w:val="0"/>
              <w:ind w:left="105" w:leftChars="50"/>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w:t>
            </w:r>
          </w:p>
        </w:tc>
        <w:tc>
          <w:tcPr>
            <w:tcW w:w="2112" w:type="dxa"/>
            <w:vAlign w:val="center"/>
          </w:tcPr>
          <w:p>
            <w:pPr>
              <w:autoSpaceDE w:val="0"/>
              <w:autoSpaceDN w:val="0"/>
              <w:ind w:left="105" w:leftChars="50"/>
              <w:contextualSpacing/>
              <w:jc w:val="center"/>
              <w:rPr>
                <w:rFonts w:asciiTheme="minorEastAsia" w:hAnsiTheme="minorEastAsia" w:eastAsiaTheme="minorEastAsia" w:cstheme="minorEastAsia"/>
                <w:sz w:val="24"/>
                <w:lang w:val="zh-CN"/>
              </w:rPr>
            </w:pPr>
            <w:r>
              <w:rPr>
                <w:rFonts w:ascii="宋体" w:hAnsi="宋体" w:cs="宋体"/>
                <w:kern w:val="1"/>
                <w:sz w:val="24"/>
              </w:rPr>
              <w:t>投标人受罚</w:t>
            </w:r>
          </w:p>
        </w:tc>
        <w:tc>
          <w:tcPr>
            <w:tcW w:w="5688" w:type="dxa"/>
            <w:gridSpan w:val="2"/>
            <w:vAlign w:val="center"/>
          </w:tcPr>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以下情形为惩罚分值，没有累计限制：</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1.近三年承建的水利工程发生过一般安全生产事故的，一次扣3分，较大及以上的一次扣5分；</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2.近三年承建的水利工程发生过一般质量事故的，一次扣3分，较大及以上的一次扣5分；</w:t>
            </w:r>
          </w:p>
          <w:p>
            <w:pPr>
              <w:tabs>
                <w:tab w:val="left" w:pos="1080"/>
              </w:tabs>
              <w:spacing w:line="276"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3.除以上1、2项外，不良行为记录在全国水利建设市场监管服务平台信息公开上公告且在处罚期限内的，一次扣3分。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450" w:hRule="atLeast"/>
        </w:trPr>
        <w:tc>
          <w:tcPr>
            <w:tcW w:w="1858" w:type="dxa"/>
            <w:gridSpan w:val="3"/>
            <w:vAlign w:val="center"/>
          </w:tcPr>
          <w:p>
            <w:pPr>
              <w:autoSpaceDE w:val="0"/>
              <w:autoSpaceDN w:val="0"/>
              <w:spacing w:line="240" w:lineRule="atLeast"/>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惩罚情况</w:t>
            </w:r>
          </w:p>
        </w:tc>
        <w:tc>
          <w:tcPr>
            <w:tcW w:w="7800" w:type="dxa"/>
            <w:gridSpan w:val="3"/>
            <w:vAlign w:val="center"/>
          </w:tcPr>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投标人获奖、受罚、信用备案等信息，由评标委员会从“</w:t>
            </w:r>
            <w:r>
              <w:rPr>
                <w:rFonts w:hint="eastAsia" w:ascii="宋体" w:hAnsi="宋体"/>
                <w:sz w:val="24"/>
              </w:rPr>
              <w:t>全国水利建设市场监管服务平台信息公开</w:t>
            </w:r>
            <w:r>
              <w:rPr>
                <w:rFonts w:hint="eastAsia" w:asciiTheme="minorEastAsia" w:hAnsiTheme="minorEastAsia" w:eastAsiaTheme="minorEastAsia" w:cstheme="minorEastAsia"/>
                <w:sz w:val="24"/>
              </w:rPr>
              <w:t>”上收集，评标委员会应以此为依据核实投标人提供的相关证明材料。</w:t>
            </w:r>
          </w:p>
          <w:p>
            <w:pPr>
              <w:spacing w:line="240" w:lineRule="atLeast"/>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应以此为依据核实投标人提供的相关证明材料（获奖文件和荣誉证书）。未在上述平台收集到奖励信息的或投标人未按要求提供证明材料原件扫描件的或未在投标文件中提供证明材料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 w:type="dxa"/>
            <w:bottom w:w="0" w:type="dxa"/>
            <w:right w:w="10" w:type="dxa"/>
          </w:tblCellMar>
        </w:tblPrEx>
        <w:trPr>
          <w:trHeight w:val="450" w:hRule="atLeast"/>
        </w:trPr>
        <w:tc>
          <w:tcPr>
            <w:tcW w:w="9658" w:type="dxa"/>
            <w:gridSpan w:val="6"/>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hint="eastAsia" w:ascii="宋体" w:hAnsi="宋体" w:cs="宋体"/>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w:t>
            </w:r>
            <w:r>
              <w:rPr>
                <w:rFonts w:hint="eastAsia" w:ascii="宋体" w:hAnsi="宋体" w:cs="宋体"/>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pPr>
              <w:spacing w:line="240" w:lineRule="atLeast"/>
              <w:ind w:firstLine="720" w:firstLineChars="300"/>
              <w:contextualSpacing/>
              <w:rPr>
                <w:rFonts w:asciiTheme="minorEastAsia" w:hAnsiTheme="minorEastAsia" w:eastAsiaTheme="minorEastAsia" w:cstheme="minorEastAsia"/>
                <w:sz w:val="24"/>
              </w:rPr>
            </w:pPr>
            <w:r>
              <w:rPr>
                <w:rFonts w:hint="eastAsia" w:ascii="宋体" w:hAnsi="宋体" w:cs="宋体"/>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b/>
          <w:kern w:val="1"/>
          <w:sz w:val="24"/>
        </w:rPr>
      </w:pPr>
      <w:r>
        <w:rPr>
          <w:rFonts w:ascii="宋体" w:hAnsi="宋体" w:cs="宋体"/>
          <w:b/>
          <w:kern w:val="1"/>
          <w:sz w:val="24"/>
        </w:rPr>
        <w:t>备注：</w:t>
      </w:r>
    </w:p>
    <w:p>
      <w:pPr>
        <w:adjustRightInd w:val="0"/>
        <w:snapToGrid w:val="0"/>
        <w:spacing w:line="440" w:lineRule="exact"/>
        <w:rPr>
          <w:rFonts w:ascii="宋体" w:hAnsi="宋体" w:cs="宋体"/>
          <w:b/>
          <w:kern w:val="1"/>
          <w:sz w:val="24"/>
        </w:rPr>
      </w:pPr>
      <w:r>
        <w:rPr>
          <w:rFonts w:ascii="宋体" w:hAnsi="宋体" w:cs="宋体"/>
          <w:b/>
          <w:kern w:val="1"/>
          <w:sz w:val="24"/>
        </w:rPr>
        <w:t>（1）</w:t>
      </w:r>
      <w:r>
        <w:rPr>
          <w:rFonts w:hint="eastAsia" w:hAnsi="宋体" w:cs="宋体"/>
          <w:b/>
          <w:sz w:val="24"/>
        </w:rPr>
        <w:t>凡评标办法里涉及到的证书、证件及业绩材料等，均应在投标文件中附其原件扫描件或图片，否则该项得分应作0分处理</w:t>
      </w:r>
      <w:r>
        <w:rPr>
          <w:rFonts w:ascii="宋体" w:hAnsi="宋体" w:cs="宋体"/>
          <w:b/>
          <w:kern w:val="1"/>
          <w:sz w:val="24"/>
        </w:rPr>
        <w:t>。</w:t>
      </w:r>
    </w:p>
    <w:p>
      <w:pPr>
        <w:spacing w:line="360" w:lineRule="auto"/>
        <w:rPr>
          <w:rFonts w:ascii="宋体" w:hAnsi="宋体" w:cs="宋体"/>
          <w:b/>
          <w:kern w:val="1"/>
          <w:sz w:val="24"/>
        </w:rPr>
      </w:pPr>
      <w:r>
        <w:rPr>
          <w:rFonts w:ascii="宋体" w:hAnsi="宋体" w:cs="宋体"/>
          <w:b/>
          <w:kern w:val="1"/>
          <w:sz w:val="24"/>
        </w:rPr>
        <w:t>（2）所有证件如遇延期办理的应提供相关行政主管部门出具的证明</w:t>
      </w:r>
      <w:r>
        <w:rPr>
          <w:rFonts w:hint="eastAsia" w:ascii="宋体" w:hAnsi="宋体" w:cs="宋体"/>
          <w:b/>
          <w:kern w:val="1"/>
          <w:sz w:val="24"/>
        </w:rPr>
        <w:t>且在有效期内</w:t>
      </w:r>
      <w:r>
        <w:rPr>
          <w:rFonts w:ascii="宋体" w:hAnsi="宋体" w:cs="宋体"/>
          <w:b/>
          <w:kern w:val="1"/>
          <w:sz w:val="24"/>
        </w:rPr>
        <w:t>。</w:t>
      </w:r>
      <w:bookmarkStart w:id="191" w:name="_Toc511829750"/>
      <w:bookmarkStart w:id="192" w:name="_Toc517940880"/>
    </w:p>
    <w:p>
      <w:pPr>
        <w:spacing w:line="360" w:lineRule="auto"/>
        <w:rPr>
          <w:rFonts w:ascii="宋体" w:hAnsi="宋体"/>
          <w:b/>
          <w:bCs/>
          <w:sz w:val="24"/>
        </w:rPr>
      </w:pPr>
      <w:r>
        <w:rPr>
          <w:rFonts w:hint="eastAsia" w:ascii="宋体" w:hAnsi="宋体"/>
          <w:b/>
          <w:bCs/>
          <w:sz w:val="24"/>
        </w:rPr>
        <w:t>（3）</w:t>
      </w:r>
      <w:r>
        <w:rPr>
          <w:rFonts w:hint="eastAsia" w:ascii="宋体" w:hAnsi="宋体"/>
          <w:b/>
          <w:bCs/>
          <w:sz w:val="24"/>
          <w:lang w:val="zh-CN"/>
        </w:rPr>
        <w:t>评分分值精确到小数点后2位。</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91"/>
    <w:bookmarkEnd w:id="192"/>
    <w:p>
      <w:pPr>
        <w:pStyle w:val="6"/>
        <w:jc w:val="center"/>
        <w:rPr>
          <w:rStyle w:val="62"/>
          <w:rFonts w:ascii="宋体" w:hAnsi="宋体" w:eastAsia="宋体"/>
          <w:b/>
          <w:bCs w:val="0"/>
          <w:sz w:val="44"/>
          <w:szCs w:val="44"/>
        </w:rPr>
      </w:pPr>
      <w:bookmarkStart w:id="193" w:name="_Toc21870"/>
      <w:bookmarkStart w:id="194" w:name="_Toc517940883"/>
      <w:bookmarkStart w:id="195" w:name="_Toc4299"/>
      <w:bookmarkStart w:id="196" w:name="_Toc24212"/>
      <w:bookmarkStart w:id="197" w:name="_Toc24218"/>
      <w:bookmarkStart w:id="198" w:name="_Toc701"/>
    </w:p>
    <w:p>
      <w:pPr>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4"/>
        <w:ind w:left="420" w:firstLine="420"/>
        <w:rPr>
          <w:rFonts w:hint="default"/>
          <w:lang w:eastAsia="zh-CN"/>
        </w:rPr>
      </w:pPr>
    </w:p>
    <w:p>
      <w:pPr>
        <w:pStyle w:val="4"/>
        <w:ind w:left="420" w:firstLine="420"/>
        <w:rPr>
          <w:rFonts w:hint="default"/>
          <w:lang w:eastAsia="zh-CN"/>
        </w:rPr>
      </w:pPr>
    </w:p>
    <w:p>
      <w:pPr>
        <w:pStyle w:val="4"/>
        <w:ind w:left="420" w:firstLine="420"/>
        <w:rPr>
          <w:rFonts w:hint="default"/>
          <w:lang w:eastAsia="zh-CN"/>
        </w:rPr>
      </w:pPr>
    </w:p>
    <w:p>
      <w:pPr>
        <w:pStyle w:val="2"/>
        <w:ind w:firstLine="442"/>
        <w:rPr>
          <w:rStyle w:val="62"/>
          <w:rFonts w:ascii="宋体" w:hAnsi="宋体" w:eastAsia="宋体"/>
          <w:bCs w:val="0"/>
          <w:sz w:val="44"/>
          <w:szCs w:val="44"/>
        </w:rPr>
      </w:pPr>
    </w:p>
    <w:p>
      <w:pPr>
        <w:pStyle w:val="2"/>
        <w:ind w:firstLine="442"/>
        <w:rPr>
          <w:rStyle w:val="62"/>
          <w:rFonts w:ascii="宋体" w:hAnsi="宋体" w:eastAsia="宋体"/>
          <w:bCs w:val="0"/>
          <w:sz w:val="44"/>
          <w:szCs w:val="44"/>
        </w:rPr>
      </w:pPr>
    </w:p>
    <w:p>
      <w:pPr>
        <w:pStyle w:val="2"/>
        <w:ind w:firstLine="0" w:firstLineChars="0"/>
        <w:rPr>
          <w:rStyle w:val="62"/>
          <w:rFonts w:ascii="宋体" w:hAnsi="宋体" w:eastAsia="宋体"/>
          <w:bCs w:val="0"/>
          <w:sz w:val="44"/>
          <w:szCs w:val="44"/>
        </w:rPr>
      </w:pPr>
    </w:p>
    <w:p>
      <w:pPr>
        <w:pStyle w:val="6"/>
        <w:ind w:firstLine="1760" w:firstLineChars="400"/>
        <w:rPr>
          <w:rStyle w:val="62"/>
          <w:rFonts w:ascii="宋体" w:hAnsi="宋体" w:eastAsia="宋体"/>
          <w:b/>
          <w:bCs w:val="0"/>
          <w:sz w:val="44"/>
          <w:szCs w:val="44"/>
        </w:rPr>
      </w:pPr>
      <w:r>
        <w:rPr>
          <w:rStyle w:val="62"/>
          <w:rFonts w:hint="eastAsia" w:ascii="宋体" w:hAnsi="宋体" w:eastAsia="宋体"/>
          <w:b/>
          <w:bCs w:val="0"/>
          <w:sz w:val="44"/>
          <w:szCs w:val="44"/>
        </w:rPr>
        <w:t>第四章  合同条款、协议及格式</w:t>
      </w:r>
      <w:bookmarkEnd w:id="193"/>
      <w:bookmarkEnd w:id="194"/>
      <w:bookmarkEnd w:id="195"/>
      <w:bookmarkEnd w:id="196"/>
      <w:bookmarkEnd w:id="197"/>
      <w:bookmarkEnd w:id="198"/>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99" w:name="_Toc382164588"/>
      <w:bookmarkStart w:id="200" w:name="_Toc222031028"/>
      <w:bookmarkStart w:id="201" w:name="_Toc221951110"/>
      <w:bookmarkStart w:id="202" w:name="_Toc221948340"/>
      <w:bookmarkStart w:id="203" w:name="_Toc222029526"/>
      <w:bookmarkStart w:id="204" w:name="_Toc382164703"/>
      <w:bookmarkStart w:id="205" w:name="_Toc222033877"/>
      <w:bookmarkStart w:id="206" w:name="_Toc222032695"/>
      <w:bookmarkStart w:id="207" w:name="_Toc229305386"/>
      <w:r>
        <w:rPr>
          <w:rFonts w:hint="eastAsia" w:ascii="宋体" w:hAnsi="宋体"/>
          <w:b/>
          <w:bCs/>
          <w:sz w:val="28"/>
          <w:szCs w:val="28"/>
        </w:rPr>
        <w:t>第二节 专用合同条款</w:t>
      </w:r>
      <w:bookmarkEnd w:id="199"/>
      <w:bookmarkEnd w:id="200"/>
      <w:bookmarkEnd w:id="201"/>
      <w:bookmarkEnd w:id="202"/>
      <w:bookmarkEnd w:id="203"/>
      <w:bookmarkEnd w:id="204"/>
      <w:bookmarkEnd w:id="205"/>
      <w:bookmarkEnd w:id="206"/>
      <w:bookmarkEnd w:id="207"/>
    </w:p>
    <w:p>
      <w:pPr>
        <w:spacing w:line="312" w:lineRule="auto"/>
        <w:rPr>
          <w:rFonts w:ascii="宋体" w:hAnsi="宋体" w:cs="宋体"/>
          <w:b/>
          <w:sz w:val="24"/>
        </w:rPr>
      </w:pPr>
      <w:bookmarkStart w:id="208" w:name="_Toc222031029"/>
      <w:bookmarkStart w:id="209" w:name="_Toc222029527"/>
      <w:bookmarkStart w:id="210" w:name="_Toc221951111"/>
      <w:bookmarkStart w:id="211" w:name="_Toc222033878"/>
      <w:bookmarkStart w:id="212" w:name="_Toc222032696"/>
      <w:bookmarkStart w:id="213" w:name="_Toc229305387"/>
      <w:r>
        <w:rPr>
          <w:rFonts w:hint="eastAsia" w:ascii="宋体" w:hAnsi="宋体" w:cs="宋体"/>
          <w:b/>
          <w:sz w:val="24"/>
        </w:rPr>
        <w:t>1．一般约定</w:t>
      </w:r>
      <w:bookmarkEnd w:id="208"/>
      <w:bookmarkEnd w:id="209"/>
      <w:bookmarkEnd w:id="210"/>
      <w:bookmarkEnd w:id="211"/>
      <w:bookmarkEnd w:id="212"/>
      <w:bookmarkEnd w:id="213"/>
    </w:p>
    <w:p>
      <w:pPr>
        <w:spacing w:line="312" w:lineRule="auto"/>
        <w:rPr>
          <w:rFonts w:ascii="宋体" w:hAnsi="宋体" w:cs="宋体"/>
          <w:b/>
          <w:bCs/>
          <w:sz w:val="24"/>
        </w:rPr>
      </w:pPr>
      <w:bookmarkStart w:id="214" w:name="_Toc221951112"/>
      <w:r>
        <w:rPr>
          <w:rFonts w:hint="eastAsia" w:ascii="宋体" w:hAnsi="宋体" w:cs="宋体"/>
          <w:b/>
          <w:bCs/>
          <w:sz w:val="24"/>
        </w:rPr>
        <w:t>1.1  词语定义</w:t>
      </w:r>
      <w:bookmarkEnd w:id="214"/>
    </w:p>
    <w:p>
      <w:pPr>
        <w:spacing w:line="312" w:lineRule="auto"/>
        <w:rPr>
          <w:rFonts w:ascii="宋体" w:hAnsi="宋体" w:cs="宋体"/>
          <w:sz w:val="24"/>
        </w:rPr>
      </w:pPr>
      <w:bookmarkStart w:id="215" w:name="_Toc221951113"/>
      <w:r>
        <w:rPr>
          <w:rFonts w:hint="eastAsia" w:ascii="宋体" w:hAnsi="宋体" w:cs="宋体"/>
          <w:sz w:val="24"/>
        </w:rPr>
        <w:t>1.1.2  合同当事人和人员</w:t>
      </w:r>
      <w:bookmarkEnd w:id="215"/>
    </w:p>
    <w:p>
      <w:pPr>
        <w:spacing w:line="312" w:lineRule="auto"/>
        <w:rPr>
          <w:rFonts w:ascii="宋体" w:hAnsi="宋体" w:cs="宋体"/>
          <w:sz w:val="24"/>
        </w:rPr>
      </w:pPr>
      <w:bookmarkStart w:id="216"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216"/>
    </w:p>
    <w:p>
      <w:pPr>
        <w:spacing w:line="312" w:lineRule="auto"/>
        <w:rPr>
          <w:rFonts w:ascii="宋体" w:hAnsi="宋体" w:cs="宋体"/>
          <w:sz w:val="24"/>
        </w:rPr>
      </w:pPr>
      <w:bookmarkStart w:id="217"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217"/>
    </w:p>
    <w:p>
      <w:pPr>
        <w:spacing w:line="312" w:lineRule="auto"/>
        <w:rPr>
          <w:rFonts w:ascii="宋体" w:hAnsi="宋体" w:cs="宋体"/>
          <w:sz w:val="24"/>
        </w:rPr>
      </w:pPr>
      <w:bookmarkStart w:id="218"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218"/>
    </w:p>
    <w:p>
      <w:pPr>
        <w:spacing w:line="312" w:lineRule="auto"/>
        <w:rPr>
          <w:rFonts w:ascii="宋体" w:hAnsi="宋体" w:cs="宋体"/>
          <w:sz w:val="24"/>
        </w:rPr>
      </w:pPr>
      <w:bookmarkStart w:id="219"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219"/>
    </w:p>
    <w:p>
      <w:pPr>
        <w:spacing w:line="312" w:lineRule="auto"/>
        <w:rPr>
          <w:rFonts w:ascii="宋体" w:hAnsi="宋体" w:cs="宋体"/>
          <w:sz w:val="24"/>
        </w:rPr>
      </w:pPr>
      <w:bookmarkStart w:id="220" w:name="_Toc221951125"/>
      <w:r>
        <w:rPr>
          <w:rFonts w:hint="eastAsia" w:ascii="宋体" w:hAnsi="宋体" w:cs="宋体"/>
          <w:sz w:val="24"/>
        </w:rPr>
        <w:t>1.1.4  日期</w:t>
      </w:r>
      <w:bookmarkEnd w:id="220"/>
      <w:r>
        <w:rPr>
          <w:rFonts w:hint="eastAsia" w:ascii="宋体" w:hAnsi="宋体" w:cs="宋体"/>
          <w:sz w:val="24"/>
        </w:rPr>
        <w:t>：</w:t>
      </w:r>
    </w:p>
    <w:p>
      <w:pPr>
        <w:spacing w:line="312" w:lineRule="auto"/>
        <w:rPr>
          <w:rFonts w:ascii="宋体" w:hAnsi="宋体" w:cs="宋体"/>
          <w:sz w:val="24"/>
        </w:rPr>
      </w:pPr>
      <w:bookmarkStart w:id="221"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221"/>
    </w:p>
    <w:p>
      <w:pPr>
        <w:spacing w:line="312" w:lineRule="auto"/>
        <w:rPr>
          <w:rFonts w:ascii="宋体" w:hAnsi="宋体" w:cs="宋体"/>
          <w:b/>
          <w:bCs/>
          <w:sz w:val="24"/>
        </w:rPr>
      </w:pPr>
      <w:bookmarkStart w:id="222" w:name="_Toc221951127"/>
      <w:r>
        <w:rPr>
          <w:rFonts w:hint="eastAsia" w:ascii="宋体" w:hAnsi="宋体" w:cs="宋体"/>
          <w:b/>
          <w:bCs/>
          <w:sz w:val="24"/>
        </w:rPr>
        <w:t>1.4  合同文件的优先顺序</w:t>
      </w:r>
      <w:bookmarkEnd w:id="222"/>
      <w:bookmarkStart w:id="223"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r>
        <w:rPr>
          <w:rFonts w:hint="eastAsia" w:ascii="宋体" w:hAnsi="宋体" w:cs="宋体"/>
          <w:sz w:val="24"/>
          <w:u w:val="single"/>
          <w:lang w:val="en-US" w:eastAsia="zh-CN"/>
        </w:rPr>
        <w:t xml:space="preserve">         </w:t>
      </w:r>
      <w:r>
        <w:rPr>
          <w:rFonts w:hint="eastAsia" w:ascii="宋体" w:hAnsi="宋体" w:cs="宋体"/>
          <w:sz w:val="24"/>
        </w:rPr>
        <w:t>。</w:t>
      </w:r>
    </w:p>
    <w:p>
      <w:pPr>
        <w:spacing w:line="312" w:lineRule="auto"/>
        <w:rPr>
          <w:rFonts w:ascii="宋体" w:hAnsi="宋体" w:cs="宋体"/>
          <w:b/>
          <w:bCs/>
          <w:sz w:val="24"/>
        </w:rPr>
      </w:pPr>
      <w:r>
        <w:rPr>
          <w:rFonts w:hint="eastAsia" w:ascii="宋体" w:hAnsi="宋体" w:cs="宋体"/>
          <w:b/>
          <w:bCs/>
          <w:sz w:val="24"/>
        </w:rPr>
        <w:t>1.7  联络</w:t>
      </w:r>
      <w:bookmarkEnd w:id="223"/>
    </w:p>
    <w:p>
      <w:pPr>
        <w:spacing w:line="312" w:lineRule="auto"/>
        <w:rPr>
          <w:rFonts w:ascii="宋体" w:hAnsi="宋体" w:cs="宋体"/>
          <w:sz w:val="24"/>
        </w:rPr>
      </w:pPr>
      <w:bookmarkStart w:id="224"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224"/>
    </w:p>
    <w:p>
      <w:pPr>
        <w:spacing w:line="312" w:lineRule="auto"/>
        <w:rPr>
          <w:rFonts w:ascii="宋体" w:hAnsi="宋体" w:cs="宋体"/>
          <w:b/>
          <w:sz w:val="24"/>
        </w:rPr>
      </w:pPr>
      <w:bookmarkStart w:id="225" w:name="_Toc229305388"/>
      <w:bookmarkStart w:id="226" w:name="_Toc222029528"/>
      <w:bookmarkStart w:id="227" w:name="_Toc222033879"/>
      <w:bookmarkStart w:id="228" w:name="_Toc221951131"/>
      <w:bookmarkStart w:id="229" w:name="_Toc222031030"/>
      <w:bookmarkStart w:id="230" w:name="_Toc222032697"/>
      <w:bookmarkStart w:id="231" w:name="_Toc221951132"/>
      <w:r>
        <w:rPr>
          <w:rFonts w:hint="eastAsia" w:ascii="宋体" w:hAnsi="宋体" w:cs="宋体"/>
          <w:b/>
          <w:sz w:val="24"/>
        </w:rPr>
        <w:t>2  发包人义务</w:t>
      </w:r>
      <w:bookmarkEnd w:id="225"/>
      <w:bookmarkEnd w:id="226"/>
      <w:bookmarkEnd w:id="227"/>
      <w:bookmarkEnd w:id="228"/>
      <w:bookmarkEnd w:id="229"/>
      <w:bookmarkEnd w:id="230"/>
    </w:p>
    <w:p>
      <w:pPr>
        <w:spacing w:line="312" w:lineRule="auto"/>
        <w:rPr>
          <w:rFonts w:ascii="宋体" w:hAnsi="宋体" w:cs="宋体"/>
          <w:b/>
          <w:bCs/>
          <w:sz w:val="24"/>
        </w:rPr>
      </w:pPr>
      <w:r>
        <w:rPr>
          <w:rFonts w:hint="eastAsia" w:ascii="宋体" w:hAnsi="宋体" w:cs="宋体"/>
          <w:b/>
          <w:bCs/>
          <w:sz w:val="24"/>
        </w:rPr>
        <w:t>2.3  提供施工场地</w:t>
      </w:r>
      <w:bookmarkEnd w:id="231"/>
    </w:p>
    <w:p>
      <w:pPr>
        <w:spacing w:line="312" w:lineRule="auto"/>
        <w:ind w:right="248" w:firstLine="480"/>
        <w:rPr>
          <w:rFonts w:ascii="宋体" w:hAnsi="宋体" w:cs="宋体"/>
          <w:sz w:val="24"/>
        </w:rPr>
      </w:pPr>
      <w:bookmarkStart w:id="232" w:name="_Toc221951133"/>
      <w:r>
        <w:rPr>
          <w:rFonts w:hint="eastAsia" w:ascii="宋体" w:hAnsi="宋体" w:cs="宋体"/>
          <w:sz w:val="24"/>
        </w:rPr>
        <w:t>2.3.2</w:t>
      </w:r>
      <w:bookmarkEnd w:id="232"/>
      <w:r>
        <w:rPr>
          <w:rFonts w:hint="eastAsia" w:ascii="宋体" w:hAnsi="宋体" w:cs="宋体"/>
          <w:sz w:val="24"/>
        </w:rPr>
        <w:t>发包人提供的施工场地范围为：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r>
        <w:rPr>
          <w:rFonts w:hint="eastAsia" w:ascii="宋体" w:hAnsi="宋体" w:cs="宋体"/>
          <w:sz w:val="24"/>
          <w:u w:val="single"/>
          <w:lang w:val="en-US" w:eastAsia="zh-CN"/>
        </w:rPr>
        <w:t xml:space="preserve">              </w:t>
      </w:r>
      <w:r>
        <w:rPr>
          <w:rFonts w:hint="eastAsia" w:ascii="宋体" w:hAnsi="宋体" w:cs="宋体"/>
          <w:sz w:val="24"/>
        </w:rPr>
        <w:t>。</w:t>
      </w:r>
    </w:p>
    <w:p>
      <w:pPr>
        <w:spacing w:line="312" w:lineRule="auto"/>
        <w:rPr>
          <w:rFonts w:ascii="宋体" w:hAnsi="宋体" w:cs="宋体"/>
          <w:b/>
          <w:bCs/>
          <w:sz w:val="24"/>
        </w:rPr>
      </w:pPr>
      <w:bookmarkStart w:id="233" w:name="_Toc221951134"/>
      <w:r>
        <w:rPr>
          <w:rFonts w:hint="eastAsia" w:ascii="宋体" w:hAnsi="宋体" w:cs="宋体"/>
          <w:b/>
          <w:bCs/>
          <w:sz w:val="24"/>
        </w:rPr>
        <w:t>2.8  其它义务</w:t>
      </w:r>
      <w:bookmarkEnd w:id="233"/>
    </w:p>
    <w:p>
      <w:pPr>
        <w:pStyle w:val="21"/>
        <w:spacing w:line="312" w:lineRule="auto"/>
        <w:ind w:right="248"/>
        <w:rPr>
          <w:rFonts w:ascii="宋体" w:hAnsi="宋体" w:cs="宋体"/>
          <w:sz w:val="24"/>
        </w:rPr>
      </w:pPr>
      <w:bookmarkStart w:id="234" w:name="_Toc221951135"/>
      <w:r>
        <w:rPr>
          <w:rFonts w:hint="eastAsia" w:ascii="宋体" w:hAnsi="宋体" w:cs="宋体"/>
          <w:sz w:val="24"/>
        </w:rPr>
        <w:t xml:space="preserve"> (根据发包人的合同管理要求补充)</w:t>
      </w:r>
      <w:bookmarkEnd w:id="234"/>
    </w:p>
    <w:p>
      <w:pPr>
        <w:spacing w:line="312" w:lineRule="auto"/>
        <w:ind w:right="248" w:firstLine="480"/>
        <w:rPr>
          <w:rFonts w:ascii="宋体" w:hAnsi="宋体" w:cs="宋体"/>
          <w:sz w:val="24"/>
        </w:rPr>
      </w:pPr>
      <w:bookmarkStart w:id="235" w:name="_Toc221951136"/>
      <w:r>
        <w:rPr>
          <w:rFonts w:hint="eastAsia" w:ascii="宋体" w:hAnsi="宋体" w:cs="宋体"/>
          <w:sz w:val="24"/>
        </w:rPr>
        <w:t>(1) ……</w:t>
      </w:r>
      <w:bookmarkEnd w:id="235"/>
    </w:p>
    <w:p>
      <w:pPr>
        <w:spacing w:line="312" w:lineRule="auto"/>
        <w:ind w:right="248" w:firstLine="480"/>
        <w:rPr>
          <w:rFonts w:ascii="宋体" w:hAnsi="宋体" w:cs="宋体"/>
          <w:sz w:val="24"/>
        </w:rPr>
      </w:pPr>
      <w:bookmarkStart w:id="236" w:name="_Toc221951137"/>
      <w:r>
        <w:rPr>
          <w:rFonts w:hint="eastAsia" w:ascii="宋体" w:hAnsi="宋体" w:cs="宋体"/>
          <w:sz w:val="24"/>
        </w:rPr>
        <w:t>(2) ……</w:t>
      </w:r>
      <w:bookmarkEnd w:id="236"/>
    </w:p>
    <w:p>
      <w:pPr>
        <w:spacing w:line="312" w:lineRule="auto"/>
        <w:rPr>
          <w:rFonts w:ascii="宋体" w:hAnsi="宋体" w:cs="宋体"/>
          <w:b/>
          <w:sz w:val="24"/>
        </w:rPr>
      </w:pPr>
      <w:bookmarkStart w:id="237" w:name="_Toc229305389"/>
      <w:bookmarkStart w:id="238" w:name="_Toc221951140"/>
      <w:bookmarkStart w:id="239" w:name="_Toc222033880"/>
      <w:bookmarkStart w:id="240" w:name="_Toc222031031"/>
      <w:bookmarkStart w:id="241" w:name="_Toc222032698"/>
      <w:bookmarkStart w:id="242" w:name="_Toc222029529"/>
      <w:r>
        <w:rPr>
          <w:rFonts w:hint="eastAsia" w:ascii="宋体" w:hAnsi="宋体" w:cs="宋体"/>
          <w:b/>
          <w:sz w:val="24"/>
        </w:rPr>
        <w:t>3  监理人</w:t>
      </w:r>
      <w:bookmarkEnd w:id="237"/>
      <w:bookmarkEnd w:id="238"/>
      <w:bookmarkEnd w:id="239"/>
      <w:bookmarkEnd w:id="240"/>
      <w:bookmarkEnd w:id="241"/>
      <w:bookmarkEnd w:id="242"/>
    </w:p>
    <w:p>
      <w:pPr>
        <w:spacing w:line="312" w:lineRule="auto"/>
        <w:rPr>
          <w:rFonts w:ascii="宋体" w:hAnsi="宋体" w:cs="宋体"/>
          <w:b/>
          <w:bCs/>
          <w:sz w:val="24"/>
        </w:rPr>
      </w:pPr>
      <w:bookmarkStart w:id="243" w:name="_Toc221951141"/>
      <w:r>
        <w:rPr>
          <w:rFonts w:hint="eastAsia" w:ascii="宋体" w:hAnsi="宋体" w:cs="宋体"/>
          <w:b/>
          <w:bCs/>
          <w:sz w:val="24"/>
        </w:rPr>
        <w:t>3.1  监理人的职责和权力</w:t>
      </w:r>
      <w:bookmarkEnd w:id="243"/>
    </w:p>
    <w:p>
      <w:pPr>
        <w:spacing w:line="312" w:lineRule="auto"/>
        <w:ind w:right="248" w:firstLine="480"/>
        <w:rPr>
          <w:rFonts w:ascii="宋体" w:hAnsi="宋体" w:cs="宋体"/>
          <w:sz w:val="24"/>
        </w:rPr>
      </w:pPr>
      <w:bookmarkStart w:id="244" w:name="_Toc221951142"/>
      <w:r>
        <w:rPr>
          <w:rFonts w:hint="eastAsia" w:ascii="宋体" w:hAnsi="宋体" w:cs="宋体"/>
          <w:sz w:val="24"/>
        </w:rPr>
        <w:t>3.1.1</w:t>
      </w:r>
      <w:bookmarkEnd w:id="244"/>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245" w:name="_Toc222033881"/>
      <w:bookmarkStart w:id="246" w:name="_Toc221951150"/>
      <w:bookmarkStart w:id="247" w:name="_Toc229305390"/>
      <w:bookmarkStart w:id="248" w:name="_Toc222031032"/>
      <w:bookmarkStart w:id="249" w:name="_Toc222032699"/>
      <w:bookmarkStart w:id="250" w:name="_Toc222029530"/>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245"/>
      <w:bookmarkEnd w:id="246"/>
      <w:bookmarkEnd w:id="247"/>
      <w:bookmarkEnd w:id="248"/>
      <w:bookmarkEnd w:id="249"/>
      <w:bookmarkEnd w:id="250"/>
    </w:p>
    <w:p>
      <w:pPr>
        <w:spacing w:line="312" w:lineRule="auto"/>
        <w:rPr>
          <w:rFonts w:ascii="宋体" w:hAnsi="宋体" w:cs="宋体"/>
          <w:b/>
          <w:bCs/>
          <w:sz w:val="24"/>
        </w:rPr>
      </w:pPr>
      <w:bookmarkStart w:id="251" w:name="_Toc221951151"/>
      <w:r>
        <w:rPr>
          <w:rFonts w:hint="eastAsia" w:ascii="宋体" w:hAnsi="宋体" w:cs="宋体"/>
          <w:b/>
          <w:bCs/>
          <w:sz w:val="24"/>
        </w:rPr>
        <w:t>4.1  承包人的一般义务</w:t>
      </w:r>
      <w:bookmarkEnd w:id="251"/>
    </w:p>
    <w:p>
      <w:pPr>
        <w:spacing w:line="312" w:lineRule="auto"/>
        <w:ind w:right="248" w:firstLine="480"/>
        <w:rPr>
          <w:rFonts w:ascii="宋体" w:hAnsi="宋体" w:cs="宋体"/>
          <w:sz w:val="24"/>
        </w:rPr>
      </w:pPr>
      <w:bookmarkStart w:id="252"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252"/>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253" w:name="_Toc221951153"/>
      <w:r>
        <w:rPr>
          <w:rFonts w:hint="eastAsia" w:ascii="宋体" w:hAnsi="宋体" w:cs="宋体"/>
          <w:b/>
          <w:bCs/>
          <w:sz w:val="24"/>
        </w:rPr>
        <w:t>4.3  分包</w:t>
      </w:r>
      <w:bookmarkEnd w:id="253"/>
    </w:p>
    <w:p>
      <w:pPr>
        <w:spacing w:line="312" w:lineRule="auto"/>
        <w:ind w:right="248" w:firstLine="360" w:firstLineChars="150"/>
        <w:rPr>
          <w:rFonts w:ascii="宋体" w:hAnsi="宋体" w:cs="宋体"/>
          <w:bCs/>
          <w:sz w:val="24"/>
        </w:rPr>
      </w:pPr>
      <w:bookmarkStart w:id="254"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254"/>
    </w:p>
    <w:p>
      <w:pPr>
        <w:pStyle w:val="21"/>
        <w:spacing w:line="312" w:lineRule="auto"/>
        <w:ind w:left="0" w:leftChars="0" w:right="248"/>
        <w:rPr>
          <w:rFonts w:ascii="宋体" w:hAnsi="宋体" w:cs="宋体"/>
          <w:bCs/>
          <w:sz w:val="24"/>
        </w:rPr>
      </w:pPr>
      <w:bookmarkStart w:id="255" w:name="_Toc221951155"/>
      <w:r>
        <w:rPr>
          <w:rFonts w:hint="eastAsia" w:ascii="宋体" w:hAnsi="宋体" w:cs="宋体"/>
          <w:sz w:val="24"/>
        </w:rPr>
        <w:t>（</w:t>
      </w:r>
      <w:r>
        <w:rPr>
          <w:rFonts w:hint="eastAsia" w:ascii="宋体" w:hAnsi="宋体" w:cs="宋体"/>
          <w:bCs/>
          <w:sz w:val="24"/>
        </w:rPr>
        <w:t>1）工程项目：</w:t>
      </w:r>
      <w:r>
        <w:rPr>
          <w:rFonts w:hint="eastAsia" w:ascii="宋体" w:hAnsi="宋体" w:cs="宋体"/>
          <w:bCs/>
          <w:sz w:val="24"/>
          <w:u w:val="single"/>
          <w:lang w:val="en-US" w:eastAsia="zh-CN"/>
        </w:rPr>
        <w:t xml:space="preserve">           </w:t>
      </w:r>
      <w:r>
        <w:rPr>
          <w:rFonts w:hint="eastAsia" w:ascii="宋体" w:hAnsi="宋体" w:cs="宋体"/>
          <w:bCs/>
          <w:sz w:val="24"/>
        </w:rPr>
        <w:t>。</w:t>
      </w:r>
      <w:bookmarkEnd w:id="255"/>
    </w:p>
    <w:p>
      <w:pPr>
        <w:pStyle w:val="21"/>
        <w:spacing w:line="312" w:lineRule="auto"/>
        <w:ind w:left="0" w:leftChars="0" w:right="248" w:firstLine="120" w:firstLineChars="50"/>
        <w:rPr>
          <w:rFonts w:ascii="宋体" w:hAnsi="宋体" w:cs="宋体"/>
          <w:bCs/>
          <w:sz w:val="24"/>
        </w:rPr>
      </w:pPr>
      <w:bookmarkStart w:id="256" w:name="_Toc221951156"/>
      <w:r>
        <w:rPr>
          <w:rFonts w:hint="eastAsia" w:ascii="宋体" w:hAnsi="宋体" w:cs="宋体"/>
          <w:bCs/>
          <w:sz w:val="24"/>
        </w:rPr>
        <w:t>（2）工作内容：</w:t>
      </w:r>
      <w:r>
        <w:rPr>
          <w:rFonts w:hint="eastAsia" w:ascii="宋体" w:hAnsi="宋体" w:cs="宋体"/>
          <w:bCs/>
          <w:sz w:val="24"/>
          <w:u w:val="single"/>
          <w:lang w:val="en-US" w:eastAsia="zh-CN"/>
        </w:rPr>
        <w:t xml:space="preserve">             </w:t>
      </w:r>
      <w:r>
        <w:rPr>
          <w:rFonts w:hint="eastAsia" w:ascii="宋体" w:hAnsi="宋体" w:cs="宋体"/>
          <w:bCs/>
          <w:sz w:val="24"/>
        </w:rPr>
        <w:t>。</w:t>
      </w:r>
      <w:bookmarkEnd w:id="256"/>
    </w:p>
    <w:p>
      <w:pPr>
        <w:pStyle w:val="21"/>
        <w:spacing w:line="312" w:lineRule="auto"/>
        <w:ind w:left="0" w:leftChars="0" w:right="248" w:firstLine="240" w:firstLineChars="100"/>
        <w:rPr>
          <w:rFonts w:ascii="宋体" w:hAnsi="宋体" w:cs="宋体"/>
          <w:sz w:val="24"/>
        </w:rPr>
      </w:pPr>
      <w:bookmarkStart w:id="257" w:name="_Toc221951157"/>
      <w:r>
        <w:rPr>
          <w:rFonts w:hint="eastAsia" w:ascii="宋体" w:hAnsi="宋体" w:cs="宋体"/>
          <w:sz w:val="24"/>
        </w:rPr>
        <w:t>（3）分包金额限额：</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bookmarkStart w:id="561" w:name="_GoBack"/>
      <w:bookmarkEnd w:id="561"/>
      <w:r>
        <w:rPr>
          <w:rFonts w:hint="eastAsia" w:ascii="宋体" w:hAnsi="宋体" w:cs="宋体"/>
          <w:sz w:val="24"/>
        </w:rPr>
        <w:t>。</w:t>
      </w:r>
      <w:bookmarkEnd w:id="257"/>
    </w:p>
    <w:p>
      <w:pPr>
        <w:pStyle w:val="21"/>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258" w:name="_Toc221951158"/>
      <w:r>
        <w:rPr>
          <w:rFonts w:hint="eastAsia" w:ascii="宋体" w:hAnsi="宋体" w:cs="宋体"/>
          <w:b/>
          <w:bCs/>
          <w:sz w:val="24"/>
        </w:rPr>
        <w:t>4.11  不利物质条件</w:t>
      </w:r>
      <w:bookmarkEnd w:id="258"/>
    </w:p>
    <w:p>
      <w:pPr>
        <w:spacing w:line="312" w:lineRule="auto"/>
        <w:ind w:right="248" w:firstLine="360" w:firstLineChars="150"/>
        <w:rPr>
          <w:rFonts w:ascii="宋体" w:hAnsi="宋体" w:cs="宋体"/>
          <w:sz w:val="24"/>
        </w:rPr>
      </w:pPr>
      <w:bookmarkStart w:id="259" w:name="_Toc221951159"/>
      <w:r>
        <w:rPr>
          <w:rFonts w:hint="eastAsia" w:ascii="宋体" w:hAnsi="宋体" w:cs="宋体"/>
          <w:sz w:val="24"/>
        </w:rPr>
        <w:t>4.11.1 不利物质条件的范围：。</w:t>
      </w:r>
      <w:bookmarkEnd w:id="259"/>
    </w:p>
    <w:p>
      <w:pPr>
        <w:spacing w:line="312" w:lineRule="auto"/>
        <w:rPr>
          <w:rFonts w:ascii="宋体" w:hAnsi="宋体" w:cs="宋体"/>
          <w:b/>
          <w:sz w:val="24"/>
        </w:rPr>
      </w:pPr>
      <w:bookmarkStart w:id="260" w:name="_Toc221951160"/>
      <w:bookmarkStart w:id="261" w:name="_Toc222031033"/>
      <w:bookmarkStart w:id="262" w:name="_Toc222033882"/>
      <w:bookmarkStart w:id="263" w:name="_Toc222032700"/>
      <w:bookmarkStart w:id="264" w:name="_Toc229305391"/>
      <w:bookmarkStart w:id="265" w:name="_Toc222029531"/>
      <w:r>
        <w:rPr>
          <w:rFonts w:hint="eastAsia" w:ascii="宋体" w:hAnsi="宋体" w:cs="宋体"/>
          <w:b/>
          <w:sz w:val="24"/>
        </w:rPr>
        <w:t>5  材料和工程设备</w:t>
      </w:r>
      <w:bookmarkEnd w:id="260"/>
      <w:bookmarkEnd w:id="261"/>
      <w:bookmarkEnd w:id="262"/>
      <w:bookmarkEnd w:id="263"/>
      <w:bookmarkEnd w:id="264"/>
      <w:bookmarkEnd w:id="265"/>
    </w:p>
    <w:p>
      <w:pPr>
        <w:spacing w:line="312" w:lineRule="auto"/>
        <w:rPr>
          <w:rFonts w:ascii="宋体" w:hAnsi="宋体" w:cs="宋体"/>
          <w:b/>
          <w:bCs/>
          <w:sz w:val="24"/>
        </w:rPr>
      </w:pPr>
      <w:bookmarkStart w:id="266" w:name="_Toc221951161"/>
      <w:r>
        <w:rPr>
          <w:rFonts w:hint="eastAsia" w:ascii="宋体" w:hAnsi="宋体" w:cs="宋体"/>
          <w:b/>
          <w:bCs/>
          <w:sz w:val="24"/>
        </w:rPr>
        <w:t xml:space="preserve">5.2  </w:t>
      </w:r>
      <w:bookmarkEnd w:id="266"/>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00"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36"/>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pStyle w:val="2"/>
        <w:ind w:firstLine="210"/>
      </w:pPr>
    </w:p>
    <w:p>
      <w:pPr>
        <w:pStyle w:val="2"/>
        <w:ind w:firstLine="210"/>
      </w:pPr>
    </w:p>
    <w:p>
      <w:pPr>
        <w:spacing w:line="312" w:lineRule="auto"/>
        <w:ind w:right="248"/>
        <w:jc w:val="center"/>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67" w:name="_Toc222032701"/>
      <w:bookmarkStart w:id="268" w:name="_Toc222031034"/>
      <w:bookmarkStart w:id="269" w:name="_Toc221951166"/>
      <w:bookmarkStart w:id="270" w:name="_Toc229305392"/>
      <w:bookmarkStart w:id="271" w:name="_Toc222033883"/>
      <w:bookmarkStart w:id="272" w:name="_Toc222029532"/>
      <w:r>
        <w:rPr>
          <w:rFonts w:hint="eastAsia" w:ascii="宋体" w:hAnsi="宋体" w:cs="宋体"/>
          <w:b/>
          <w:sz w:val="24"/>
        </w:rPr>
        <w:t>6  施工设备和临时设施</w:t>
      </w:r>
      <w:bookmarkEnd w:id="267"/>
      <w:bookmarkEnd w:id="268"/>
      <w:bookmarkEnd w:id="269"/>
      <w:bookmarkEnd w:id="270"/>
      <w:bookmarkEnd w:id="271"/>
      <w:bookmarkEnd w:id="272"/>
    </w:p>
    <w:p>
      <w:pPr>
        <w:spacing w:line="312" w:lineRule="auto"/>
        <w:rPr>
          <w:rFonts w:ascii="宋体" w:hAnsi="宋体" w:cs="宋体"/>
          <w:b/>
          <w:bCs/>
          <w:sz w:val="24"/>
        </w:rPr>
      </w:pPr>
      <w:bookmarkStart w:id="273" w:name="_Toc221951167"/>
      <w:r>
        <w:rPr>
          <w:rFonts w:hint="eastAsia" w:ascii="宋体" w:hAnsi="宋体" w:cs="宋体"/>
          <w:b/>
          <w:bCs/>
          <w:sz w:val="24"/>
        </w:rPr>
        <w:t>6.2  发包人提供的施工设备和临时设施</w:t>
      </w:r>
      <w:bookmarkEnd w:id="273"/>
    </w:p>
    <w:p>
      <w:pPr>
        <w:spacing w:line="312" w:lineRule="auto"/>
        <w:ind w:right="248"/>
        <w:rPr>
          <w:rFonts w:ascii="宋体" w:hAnsi="宋体" w:cs="宋体"/>
          <w:bCs/>
          <w:sz w:val="24"/>
        </w:rPr>
      </w:pPr>
      <w:bookmarkStart w:id="274" w:name="_Toc221951169"/>
      <w:r>
        <w:rPr>
          <w:rFonts w:hint="eastAsia" w:ascii="宋体" w:hAnsi="宋体" w:cs="宋体"/>
          <w:bCs/>
          <w:sz w:val="24"/>
        </w:rPr>
        <w:t>（1）发包人提供的的施工设备见下表</w:t>
      </w:r>
      <w:bookmarkEnd w:id="274"/>
      <w:r>
        <w:rPr>
          <w:rFonts w:hint="eastAsia" w:ascii="宋体" w:hAnsi="宋体" w:cs="宋体"/>
          <w:bCs/>
          <w:sz w:val="24"/>
        </w:rPr>
        <w:t>：</w:t>
      </w:r>
      <w:bookmarkStart w:id="275" w:name="_Toc221951170"/>
    </w:p>
    <w:p>
      <w:pPr>
        <w:spacing w:line="312" w:lineRule="auto"/>
        <w:ind w:right="248" w:firstLine="3146"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75"/>
    </w:p>
    <w:tbl>
      <w:tblPr>
        <w:tblStyle w:val="36"/>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76" w:name="_Toc221951171"/>
            <w:r>
              <w:rPr>
                <w:rFonts w:hint="eastAsia" w:ascii="宋体" w:hAnsi="宋体" w:cs="宋体"/>
                <w:sz w:val="24"/>
              </w:rPr>
              <w:t>设备名称</w:t>
            </w:r>
            <w:bookmarkEnd w:id="276"/>
          </w:p>
        </w:tc>
        <w:tc>
          <w:tcPr>
            <w:tcW w:w="1396" w:type="dxa"/>
            <w:vAlign w:val="center"/>
          </w:tcPr>
          <w:p>
            <w:pPr>
              <w:spacing w:line="312" w:lineRule="auto"/>
              <w:jc w:val="center"/>
              <w:rPr>
                <w:rFonts w:ascii="宋体" w:hAnsi="宋体" w:cs="宋体"/>
                <w:sz w:val="24"/>
              </w:rPr>
            </w:pPr>
            <w:bookmarkStart w:id="277" w:name="_Toc221951172"/>
            <w:r>
              <w:rPr>
                <w:rFonts w:hint="eastAsia" w:ascii="宋体" w:hAnsi="宋体" w:cs="宋体"/>
                <w:sz w:val="24"/>
              </w:rPr>
              <w:t>型号及规格</w:t>
            </w:r>
            <w:bookmarkEnd w:id="277"/>
          </w:p>
        </w:tc>
        <w:tc>
          <w:tcPr>
            <w:tcW w:w="1196" w:type="dxa"/>
            <w:vAlign w:val="center"/>
          </w:tcPr>
          <w:p>
            <w:pPr>
              <w:spacing w:line="312" w:lineRule="auto"/>
              <w:jc w:val="center"/>
              <w:rPr>
                <w:rFonts w:ascii="宋体" w:hAnsi="宋体" w:cs="宋体"/>
                <w:sz w:val="24"/>
              </w:rPr>
            </w:pPr>
            <w:bookmarkStart w:id="278" w:name="_Toc221951173"/>
            <w:r>
              <w:rPr>
                <w:rFonts w:hint="eastAsia" w:ascii="宋体" w:hAnsi="宋体" w:cs="宋体"/>
                <w:sz w:val="24"/>
              </w:rPr>
              <w:t>设备状况</w:t>
            </w:r>
            <w:bookmarkEnd w:id="278"/>
          </w:p>
        </w:tc>
        <w:tc>
          <w:tcPr>
            <w:tcW w:w="763" w:type="dxa"/>
            <w:vAlign w:val="center"/>
          </w:tcPr>
          <w:p>
            <w:pPr>
              <w:spacing w:line="312" w:lineRule="auto"/>
              <w:ind w:right="-33"/>
              <w:jc w:val="center"/>
              <w:rPr>
                <w:rFonts w:ascii="宋体" w:hAnsi="宋体" w:cs="宋体"/>
                <w:sz w:val="24"/>
              </w:rPr>
            </w:pPr>
            <w:bookmarkStart w:id="279" w:name="_Toc221951174"/>
            <w:r>
              <w:rPr>
                <w:rFonts w:hint="eastAsia" w:ascii="宋体" w:hAnsi="宋体" w:cs="宋体"/>
                <w:sz w:val="24"/>
              </w:rPr>
              <w:t>数量</w:t>
            </w:r>
            <w:bookmarkEnd w:id="279"/>
          </w:p>
        </w:tc>
        <w:tc>
          <w:tcPr>
            <w:tcW w:w="1196" w:type="dxa"/>
            <w:vAlign w:val="center"/>
          </w:tcPr>
          <w:p>
            <w:pPr>
              <w:spacing w:line="312" w:lineRule="auto"/>
              <w:jc w:val="center"/>
              <w:rPr>
                <w:rFonts w:ascii="宋体" w:hAnsi="宋体" w:cs="宋体"/>
                <w:sz w:val="24"/>
              </w:rPr>
            </w:pPr>
            <w:bookmarkStart w:id="280" w:name="_Toc221951175"/>
            <w:r>
              <w:rPr>
                <w:rFonts w:hint="eastAsia" w:ascii="宋体" w:hAnsi="宋体" w:cs="宋体"/>
                <w:sz w:val="24"/>
              </w:rPr>
              <w:t>移交地点</w:t>
            </w:r>
            <w:bookmarkEnd w:id="280"/>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81" w:name="_Toc221951176"/>
            <w:r>
              <w:rPr>
                <w:rFonts w:hint="eastAsia" w:ascii="宋体" w:hAnsi="宋体" w:cs="宋体"/>
                <w:sz w:val="24"/>
              </w:rPr>
              <w:t>备注</w:t>
            </w:r>
            <w:bookmarkEnd w:id="28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31"/>
        <w:spacing w:line="312" w:lineRule="auto"/>
        <w:rPr>
          <w:rFonts w:ascii="宋体" w:hAnsi="宋体" w:cs="宋体"/>
          <w:sz w:val="24"/>
        </w:rPr>
      </w:pPr>
      <w:bookmarkStart w:id="282" w:name="_Toc221951177"/>
      <w:r>
        <w:rPr>
          <w:rFonts w:hint="eastAsia" w:ascii="宋体" w:hAnsi="宋体" w:cs="宋体"/>
          <w:sz w:val="24"/>
        </w:rPr>
        <w:t>注：设备状况栏内填写该设备的新旧程度、购进时间、已使用小时数和最近一次的大修时间。</w:t>
      </w:r>
      <w:bookmarkEnd w:id="282"/>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83" w:name="_Toc222031035"/>
      <w:bookmarkStart w:id="284" w:name="_Toc222033884"/>
      <w:bookmarkStart w:id="285" w:name="_Toc222029533"/>
      <w:bookmarkStart w:id="286" w:name="_Toc222032702"/>
      <w:bookmarkStart w:id="287" w:name="_Toc221951178"/>
      <w:r>
        <w:rPr>
          <w:rFonts w:hint="eastAsia" w:ascii="宋体" w:hAnsi="宋体" w:cs="宋体"/>
          <w:b/>
          <w:sz w:val="24"/>
        </w:rPr>
        <w:t>7  交通运输</w:t>
      </w:r>
      <w:bookmarkEnd w:id="283"/>
      <w:bookmarkEnd w:id="284"/>
      <w:bookmarkEnd w:id="285"/>
      <w:bookmarkEnd w:id="286"/>
      <w:bookmarkEnd w:id="287"/>
    </w:p>
    <w:p>
      <w:pPr>
        <w:spacing w:line="312" w:lineRule="auto"/>
        <w:rPr>
          <w:rFonts w:ascii="宋体" w:hAnsi="宋体" w:cs="宋体"/>
          <w:b/>
          <w:bCs/>
          <w:sz w:val="24"/>
        </w:rPr>
      </w:pPr>
      <w:bookmarkStart w:id="288" w:name="_Toc221951179"/>
      <w:r>
        <w:rPr>
          <w:rFonts w:hint="eastAsia" w:ascii="宋体" w:hAnsi="宋体" w:cs="宋体"/>
          <w:b/>
          <w:bCs/>
          <w:sz w:val="24"/>
        </w:rPr>
        <w:t>7.1  道路通行权和场外设施</w:t>
      </w:r>
      <w:bookmarkEnd w:id="288"/>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89" w:name="_Toc222031038"/>
      <w:bookmarkStart w:id="290" w:name="_Toc229305394"/>
      <w:bookmarkStart w:id="291" w:name="_Toc222029536"/>
      <w:bookmarkStart w:id="292" w:name="_Toc221951188"/>
      <w:bookmarkStart w:id="293" w:name="_Toc222033887"/>
      <w:bookmarkStart w:id="294" w:name="_Toc222032705"/>
      <w:r>
        <w:rPr>
          <w:rFonts w:hint="eastAsia" w:ascii="宋体" w:hAnsi="宋体" w:cs="宋体"/>
          <w:b/>
          <w:sz w:val="24"/>
        </w:rPr>
        <w:t>11  开工和竣工</w:t>
      </w:r>
      <w:bookmarkEnd w:id="289"/>
      <w:bookmarkEnd w:id="290"/>
      <w:bookmarkEnd w:id="291"/>
      <w:bookmarkEnd w:id="292"/>
      <w:bookmarkEnd w:id="293"/>
      <w:bookmarkEnd w:id="294"/>
      <w:r>
        <w:rPr>
          <w:rFonts w:hint="eastAsia" w:ascii="宋体" w:hAnsi="宋体" w:cs="宋体"/>
          <w:b/>
          <w:sz w:val="24"/>
        </w:rPr>
        <w:t>（完工）</w:t>
      </w:r>
    </w:p>
    <w:p>
      <w:pPr>
        <w:spacing w:line="312" w:lineRule="auto"/>
        <w:rPr>
          <w:rFonts w:ascii="宋体" w:hAnsi="宋体" w:cs="宋体"/>
          <w:sz w:val="24"/>
        </w:rPr>
      </w:pPr>
      <w:bookmarkStart w:id="295" w:name="_Toc221951189"/>
      <w:r>
        <w:rPr>
          <w:rFonts w:hint="eastAsia" w:ascii="宋体" w:hAnsi="宋体" w:cs="宋体"/>
          <w:b/>
          <w:bCs/>
          <w:sz w:val="24"/>
        </w:rPr>
        <w:t>11</w:t>
      </w:r>
      <w:r>
        <w:rPr>
          <w:rFonts w:hint="eastAsia" w:ascii="宋体" w:hAnsi="宋体" w:cs="宋体"/>
          <w:sz w:val="24"/>
        </w:rPr>
        <w:t>.4  异常恶劣的气候条件</w:t>
      </w:r>
      <w:bookmarkEnd w:id="295"/>
    </w:p>
    <w:p>
      <w:pPr>
        <w:spacing w:line="312" w:lineRule="auto"/>
        <w:ind w:right="248" w:firstLine="480"/>
        <w:rPr>
          <w:rFonts w:ascii="宋体" w:hAnsi="宋体" w:cs="宋体"/>
          <w:sz w:val="24"/>
        </w:rPr>
      </w:pPr>
      <w:bookmarkStart w:id="296" w:name="_Toc221951191"/>
      <w:r>
        <w:rPr>
          <w:rFonts w:hint="eastAsia" w:ascii="宋体" w:hAnsi="宋体" w:cs="宋体"/>
          <w:sz w:val="24"/>
        </w:rPr>
        <w:t>11.4.3  本合同工程界定异常恶劣气候条件的范围为：</w:t>
      </w:r>
      <w:bookmarkEnd w:id="296"/>
    </w:p>
    <w:p>
      <w:pPr>
        <w:spacing w:line="312" w:lineRule="auto"/>
        <w:ind w:right="248" w:firstLine="480"/>
        <w:rPr>
          <w:rFonts w:ascii="宋体" w:hAnsi="宋体" w:cs="宋体"/>
          <w:sz w:val="24"/>
        </w:rPr>
      </w:pPr>
      <w:bookmarkStart w:id="297" w:name="_Toc221951192"/>
      <w:r>
        <w:rPr>
          <w:rFonts w:hint="eastAsia" w:ascii="宋体" w:hAnsi="宋体" w:cs="宋体"/>
          <w:sz w:val="24"/>
        </w:rPr>
        <w:t>（1）日降雨量大于㎜的雨日超过天； `</w:t>
      </w:r>
      <w:bookmarkEnd w:id="297"/>
    </w:p>
    <w:p>
      <w:pPr>
        <w:spacing w:line="312" w:lineRule="auto"/>
        <w:ind w:right="248" w:firstLine="480"/>
        <w:rPr>
          <w:rFonts w:ascii="宋体" w:hAnsi="宋体" w:cs="宋体"/>
          <w:sz w:val="24"/>
        </w:rPr>
      </w:pPr>
      <w:bookmarkStart w:id="298" w:name="_Toc221951193"/>
      <w:r>
        <w:rPr>
          <w:rFonts w:hint="eastAsia" w:ascii="宋体" w:hAnsi="宋体" w:cs="宋体"/>
          <w:sz w:val="24"/>
        </w:rPr>
        <w:t>（2）风速大于m/s的级以上台风灾害；</w:t>
      </w:r>
      <w:bookmarkEnd w:id="298"/>
    </w:p>
    <w:p>
      <w:pPr>
        <w:spacing w:line="312" w:lineRule="auto"/>
        <w:ind w:right="248" w:firstLine="480"/>
        <w:rPr>
          <w:rFonts w:ascii="宋体" w:hAnsi="宋体" w:cs="宋体"/>
          <w:sz w:val="24"/>
        </w:rPr>
      </w:pPr>
      <w:bookmarkStart w:id="299" w:name="_Toc221951194"/>
      <w:r>
        <w:rPr>
          <w:rFonts w:hint="eastAsia" w:ascii="宋体" w:hAnsi="宋体" w:cs="宋体"/>
          <w:sz w:val="24"/>
        </w:rPr>
        <w:t>（3）</w:t>
      </w:r>
      <w:bookmarkEnd w:id="299"/>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300" w:name="_Toc221951195"/>
      <w:r>
        <w:rPr>
          <w:rFonts w:hint="eastAsia" w:ascii="宋体" w:hAnsi="宋体" w:cs="宋体"/>
          <w:sz w:val="24"/>
        </w:rPr>
        <w:t>（4）</w:t>
      </w:r>
      <w:bookmarkEnd w:id="300"/>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301" w:name="_Toc221951196"/>
      <w:r>
        <w:rPr>
          <w:rFonts w:hint="eastAsia" w:ascii="宋体" w:hAnsi="宋体" w:cs="宋体"/>
          <w:sz w:val="24"/>
        </w:rPr>
        <w:t>（5）</w:t>
      </w:r>
      <w:bookmarkEnd w:id="301"/>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302" w:name="_Toc221951197"/>
      <w:r>
        <w:rPr>
          <w:rFonts w:hint="eastAsia" w:ascii="宋体" w:hAnsi="宋体" w:cs="宋体"/>
          <w:sz w:val="24"/>
        </w:rPr>
        <w:t>（6）其他异常恶劣气候灾害。</w:t>
      </w:r>
      <w:bookmarkEnd w:id="302"/>
    </w:p>
    <w:p>
      <w:pPr>
        <w:spacing w:line="312" w:lineRule="auto"/>
        <w:rPr>
          <w:rFonts w:ascii="宋体" w:hAnsi="宋体" w:cs="宋体"/>
          <w:sz w:val="24"/>
        </w:rPr>
      </w:pPr>
      <w:bookmarkStart w:id="303" w:name="_Toc221951198"/>
      <w:r>
        <w:rPr>
          <w:rFonts w:hint="eastAsia" w:ascii="宋体" w:hAnsi="宋体" w:cs="宋体"/>
          <w:b/>
          <w:bCs/>
          <w:sz w:val="24"/>
        </w:rPr>
        <w:t>11</w:t>
      </w:r>
      <w:r>
        <w:rPr>
          <w:rFonts w:hint="eastAsia" w:ascii="宋体" w:hAnsi="宋体" w:cs="宋体"/>
          <w:sz w:val="24"/>
        </w:rPr>
        <w:t>.5  承包人工期延误</w:t>
      </w:r>
      <w:bookmarkEnd w:id="303"/>
    </w:p>
    <w:p>
      <w:pPr>
        <w:spacing w:line="312" w:lineRule="auto"/>
        <w:ind w:right="248" w:firstLine="480" w:firstLineChars="200"/>
        <w:rPr>
          <w:rFonts w:ascii="宋体" w:hAnsi="宋体" w:cs="宋体"/>
          <w:bCs/>
          <w:sz w:val="24"/>
        </w:rPr>
      </w:pPr>
      <w:bookmarkStart w:id="304" w:name="_Toc221951200"/>
      <w:r>
        <w:rPr>
          <w:rFonts w:hint="eastAsia" w:ascii="宋体" w:hAnsi="宋体" w:cs="宋体"/>
          <w:bCs/>
          <w:sz w:val="24"/>
        </w:rPr>
        <w:t>（1）逾期竣工违约金表(参考格式)</w:t>
      </w:r>
      <w:bookmarkEnd w:id="304"/>
    </w:p>
    <w:tbl>
      <w:tblPr>
        <w:tblStyle w:val="36"/>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305" w:name="_Toc221951201"/>
            <w:r>
              <w:rPr>
                <w:rFonts w:hint="eastAsia" w:ascii="宋体" w:hAnsi="宋体" w:cs="宋体"/>
                <w:sz w:val="24"/>
              </w:rPr>
              <w:t>序号</w:t>
            </w:r>
            <w:bookmarkEnd w:id="305"/>
          </w:p>
        </w:tc>
        <w:tc>
          <w:tcPr>
            <w:tcW w:w="3999" w:type="dxa"/>
            <w:vAlign w:val="center"/>
          </w:tcPr>
          <w:p>
            <w:pPr>
              <w:spacing w:line="312" w:lineRule="auto"/>
              <w:ind w:right="3"/>
              <w:jc w:val="center"/>
              <w:rPr>
                <w:rFonts w:ascii="宋体" w:hAnsi="宋体" w:cs="宋体"/>
                <w:sz w:val="24"/>
              </w:rPr>
            </w:pPr>
            <w:bookmarkStart w:id="306" w:name="_Toc221951202"/>
            <w:r>
              <w:rPr>
                <w:rFonts w:hint="eastAsia" w:ascii="宋体" w:hAnsi="宋体" w:cs="宋体"/>
                <w:sz w:val="24"/>
              </w:rPr>
              <w:t>项目及其说明</w:t>
            </w:r>
            <w:bookmarkEnd w:id="306"/>
          </w:p>
        </w:tc>
        <w:tc>
          <w:tcPr>
            <w:tcW w:w="2172" w:type="dxa"/>
            <w:vAlign w:val="center"/>
          </w:tcPr>
          <w:p>
            <w:pPr>
              <w:spacing w:line="312" w:lineRule="auto"/>
              <w:ind w:right="9"/>
              <w:jc w:val="center"/>
              <w:rPr>
                <w:rFonts w:ascii="宋体" w:hAnsi="宋体" w:cs="宋体"/>
                <w:sz w:val="24"/>
              </w:rPr>
            </w:pPr>
            <w:bookmarkStart w:id="307" w:name="_Toc221951203"/>
            <w:r>
              <w:rPr>
                <w:rFonts w:hint="eastAsia" w:ascii="宋体" w:hAnsi="宋体" w:cs="宋体"/>
                <w:sz w:val="24"/>
              </w:rPr>
              <w:t>要求竣工日期</w:t>
            </w:r>
            <w:bookmarkEnd w:id="307"/>
          </w:p>
        </w:tc>
        <w:tc>
          <w:tcPr>
            <w:tcW w:w="2171" w:type="dxa"/>
          </w:tcPr>
          <w:p>
            <w:pPr>
              <w:spacing w:line="312" w:lineRule="auto"/>
              <w:ind w:right="9"/>
              <w:jc w:val="center"/>
              <w:rPr>
                <w:rFonts w:ascii="宋体" w:hAnsi="宋体" w:cs="宋体"/>
                <w:sz w:val="24"/>
              </w:rPr>
            </w:pPr>
            <w:bookmarkStart w:id="308" w:name="_Toc221951204"/>
            <w:r>
              <w:rPr>
                <w:rFonts w:hint="eastAsia" w:ascii="宋体" w:hAnsi="宋体" w:cs="宋体"/>
                <w:sz w:val="24"/>
              </w:rPr>
              <w:t>违约金(元/天)</w:t>
            </w:r>
            <w:bookmarkEnd w:id="30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309"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309"/>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310" w:name="_Toc222033888"/>
      <w:bookmarkStart w:id="311" w:name="_Toc221951206"/>
      <w:bookmarkStart w:id="312" w:name="_Toc229305395"/>
      <w:bookmarkStart w:id="313" w:name="_Toc222032706"/>
      <w:bookmarkStart w:id="314" w:name="_Toc222031039"/>
      <w:bookmarkStart w:id="315" w:name="_Toc222029537"/>
      <w:r>
        <w:rPr>
          <w:rFonts w:hint="eastAsia" w:ascii="宋体" w:hAnsi="宋体" w:cs="宋体"/>
          <w:b/>
          <w:sz w:val="24"/>
        </w:rPr>
        <w:t>12  暂停施工</w:t>
      </w:r>
      <w:bookmarkEnd w:id="310"/>
      <w:bookmarkEnd w:id="311"/>
      <w:bookmarkEnd w:id="312"/>
      <w:bookmarkEnd w:id="313"/>
      <w:bookmarkEnd w:id="314"/>
      <w:bookmarkEnd w:id="315"/>
    </w:p>
    <w:p>
      <w:pPr>
        <w:spacing w:line="312" w:lineRule="auto"/>
        <w:rPr>
          <w:rFonts w:ascii="宋体" w:hAnsi="宋体" w:cs="宋体"/>
          <w:b/>
          <w:bCs/>
          <w:sz w:val="24"/>
        </w:rPr>
      </w:pPr>
      <w:bookmarkStart w:id="316" w:name="_Toc221951207"/>
      <w:r>
        <w:rPr>
          <w:rFonts w:hint="eastAsia" w:ascii="宋体" w:hAnsi="宋体" w:cs="宋体"/>
          <w:b/>
          <w:bCs/>
          <w:sz w:val="24"/>
        </w:rPr>
        <w:t>12.1  承包人暂停施工的责任</w:t>
      </w:r>
      <w:bookmarkEnd w:id="316"/>
    </w:p>
    <w:p>
      <w:pPr>
        <w:spacing w:line="312" w:lineRule="auto"/>
        <w:ind w:right="248" w:firstLine="480"/>
        <w:rPr>
          <w:rFonts w:ascii="宋体" w:hAnsi="宋体" w:cs="宋体"/>
          <w:sz w:val="24"/>
        </w:rPr>
      </w:pPr>
      <w:bookmarkStart w:id="317" w:name="_Toc221951209"/>
      <w:r>
        <w:rPr>
          <w:rFonts w:hint="eastAsia" w:ascii="宋体" w:hAnsi="宋体" w:cs="宋体"/>
          <w:sz w:val="24"/>
        </w:rPr>
        <w:t xml:space="preserve"> (5) 承包人承担的其他暂停施工责任的其它情形：。</w:t>
      </w:r>
      <w:bookmarkEnd w:id="317"/>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318" w:name="_Toc222033890"/>
      <w:bookmarkStart w:id="319" w:name="_Toc222029539"/>
      <w:bookmarkStart w:id="320" w:name="_Toc222031041"/>
      <w:bookmarkStart w:id="321" w:name="_Toc221951213"/>
      <w:bookmarkStart w:id="322" w:name="_Toc222032708"/>
      <w:bookmarkStart w:id="323" w:name="_Toc229305396"/>
      <w:r>
        <w:rPr>
          <w:rFonts w:hint="eastAsia" w:ascii="宋体" w:hAnsi="宋体" w:cs="宋体"/>
          <w:b/>
          <w:sz w:val="24"/>
        </w:rPr>
        <w:t>15  变更</w:t>
      </w:r>
      <w:bookmarkEnd w:id="318"/>
      <w:bookmarkEnd w:id="319"/>
      <w:bookmarkEnd w:id="320"/>
      <w:bookmarkEnd w:id="321"/>
      <w:bookmarkEnd w:id="322"/>
      <w:bookmarkEnd w:id="323"/>
    </w:p>
    <w:p>
      <w:pPr>
        <w:spacing w:line="312" w:lineRule="auto"/>
        <w:rPr>
          <w:rFonts w:ascii="宋体" w:hAnsi="宋体" w:cs="宋体"/>
          <w:b/>
          <w:bCs/>
          <w:sz w:val="24"/>
        </w:rPr>
      </w:pPr>
      <w:bookmarkStart w:id="324" w:name="_Toc221951214"/>
      <w:r>
        <w:rPr>
          <w:rFonts w:hint="eastAsia" w:ascii="宋体" w:hAnsi="宋体" w:cs="宋体"/>
          <w:b/>
          <w:bCs/>
          <w:sz w:val="24"/>
        </w:rPr>
        <w:t>15.1  变更的范围和内容</w:t>
      </w:r>
      <w:bookmarkEnd w:id="324"/>
    </w:p>
    <w:p>
      <w:pPr>
        <w:spacing w:line="312" w:lineRule="auto"/>
        <w:ind w:right="248" w:firstLine="480"/>
        <w:rPr>
          <w:rFonts w:ascii="宋体" w:hAnsi="宋体" w:cs="宋体"/>
          <w:sz w:val="24"/>
        </w:rPr>
      </w:pPr>
      <w:bookmarkStart w:id="325" w:name="_Toc221951216"/>
      <w:r>
        <w:rPr>
          <w:rFonts w:hint="eastAsia" w:ascii="宋体" w:hAnsi="宋体" w:cs="宋体"/>
          <w:sz w:val="24"/>
        </w:rPr>
        <w:t>（6）增加或减少合同中关键项目的工程量超过其项目工程总量的％。</w:t>
      </w:r>
      <w:bookmarkEnd w:id="325"/>
      <w:r>
        <w:rPr>
          <w:rFonts w:hint="eastAsia" w:ascii="宋体" w:hAnsi="宋体" w:cs="宋体"/>
          <w:sz w:val="24"/>
        </w:rPr>
        <w:t>关键项目：，单价调整方式：。</w:t>
      </w:r>
    </w:p>
    <w:p>
      <w:pPr>
        <w:spacing w:line="312" w:lineRule="auto"/>
        <w:rPr>
          <w:rFonts w:ascii="宋体" w:hAnsi="宋体" w:cs="宋体"/>
          <w:b/>
          <w:bCs/>
          <w:sz w:val="24"/>
        </w:rPr>
      </w:pPr>
      <w:bookmarkStart w:id="326"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326"/>
      <w:bookmarkStart w:id="327"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327"/>
      <w:bookmarkStart w:id="328" w:name="_Toc221951220"/>
      <w:r>
        <w:rPr>
          <w:rFonts w:hint="eastAsia" w:ascii="宋体" w:hAnsi="宋体" w:cs="宋体"/>
          <w:sz w:val="24"/>
          <w:u w:val="single"/>
        </w:rPr>
        <w:t>）</w:t>
      </w:r>
      <w:r>
        <w:rPr>
          <w:rFonts w:hint="eastAsia" w:ascii="宋体" w:hAnsi="宋体" w:cs="宋体"/>
          <w:sz w:val="24"/>
        </w:rPr>
        <w:t>。</w:t>
      </w:r>
      <w:bookmarkEnd w:id="328"/>
    </w:p>
    <w:p>
      <w:pPr>
        <w:spacing w:line="312" w:lineRule="auto"/>
        <w:rPr>
          <w:rFonts w:ascii="宋体" w:hAnsi="宋体" w:cs="宋体"/>
          <w:b/>
          <w:bCs/>
          <w:sz w:val="24"/>
        </w:rPr>
      </w:pPr>
      <w:bookmarkStart w:id="329" w:name="_Toc221951221"/>
      <w:r>
        <w:rPr>
          <w:rFonts w:hint="eastAsia" w:ascii="宋体" w:hAnsi="宋体" w:cs="宋体"/>
          <w:b/>
          <w:bCs/>
          <w:sz w:val="24"/>
        </w:rPr>
        <w:t>15.8  暂估价</w:t>
      </w:r>
      <w:bookmarkEnd w:id="329"/>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330" w:name="_Toc229305397"/>
      <w:r>
        <w:rPr>
          <w:rFonts w:hint="eastAsia" w:ascii="宋体" w:hAnsi="宋体" w:cs="宋体"/>
          <w:b/>
          <w:sz w:val="24"/>
        </w:rPr>
        <w:t>16 价格调整</w:t>
      </w:r>
      <w:bookmarkEnd w:id="330"/>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331" w:name="_Toc222031042"/>
      <w:bookmarkStart w:id="332" w:name="_Toc229305398"/>
      <w:bookmarkStart w:id="333" w:name="_Toc222029540"/>
      <w:bookmarkStart w:id="334" w:name="_Toc221951223"/>
      <w:bookmarkStart w:id="335" w:name="_Toc222033891"/>
      <w:bookmarkStart w:id="336" w:name="_Toc222032709"/>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331"/>
      <w:bookmarkEnd w:id="332"/>
      <w:bookmarkEnd w:id="333"/>
      <w:bookmarkEnd w:id="334"/>
      <w:bookmarkEnd w:id="335"/>
      <w:bookmarkEnd w:id="336"/>
    </w:p>
    <w:p>
      <w:pPr>
        <w:spacing w:line="312" w:lineRule="auto"/>
        <w:rPr>
          <w:rFonts w:ascii="宋体" w:hAnsi="宋体" w:cs="宋体"/>
          <w:b/>
          <w:bCs/>
          <w:sz w:val="24"/>
        </w:rPr>
      </w:pPr>
      <w:bookmarkStart w:id="337" w:name="_Toc221951260"/>
      <w:r>
        <w:rPr>
          <w:rFonts w:hint="eastAsia" w:ascii="宋体" w:hAnsi="宋体" w:cs="宋体"/>
          <w:b/>
          <w:bCs/>
          <w:sz w:val="24"/>
        </w:rPr>
        <w:t>17.4  质量保证金</w:t>
      </w:r>
      <w:bookmarkEnd w:id="337"/>
    </w:p>
    <w:p>
      <w:pPr>
        <w:spacing w:line="312" w:lineRule="auto"/>
        <w:ind w:right="248" w:firstLine="480" w:firstLineChars="200"/>
        <w:rPr>
          <w:rFonts w:ascii="宋体" w:hAnsi="宋体" w:cs="宋体"/>
          <w:sz w:val="24"/>
        </w:rPr>
      </w:pPr>
      <w:bookmarkStart w:id="338" w:name="_Toc221951262"/>
      <w:r>
        <w:rPr>
          <w:rFonts w:hint="eastAsia" w:ascii="宋体" w:hAnsi="宋体" w:cs="宋体"/>
          <w:sz w:val="24"/>
        </w:rPr>
        <w:t>17.4.1</w:t>
      </w:r>
      <w:bookmarkEnd w:id="338"/>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339" w:name="_Toc221951265"/>
      <w:r>
        <w:rPr>
          <w:rFonts w:hint="eastAsia" w:ascii="宋体" w:hAnsi="宋体" w:cs="宋体"/>
          <w:b/>
          <w:bCs/>
          <w:sz w:val="24"/>
        </w:rPr>
        <w:t>17.5  竣工（完工）结算</w:t>
      </w:r>
      <w:bookmarkEnd w:id="339"/>
    </w:p>
    <w:p>
      <w:pPr>
        <w:spacing w:line="312" w:lineRule="auto"/>
        <w:ind w:right="248" w:firstLine="480"/>
        <w:rPr>
          <w:rFonts w:ascii="宋体" w:hAnsi="宋体" w:cs="宋体"/>
          <w:sz w:val="24"/>
        </w:rPr>
      </w:pPr>
      <w:bookmarkStart w:id="340" w:name="_Toc221951266"/>
      <w:r>
        <w:rPr>
          <w:rFonts w:hint="eastAsia" w:ascii="宋体" w:hAnsi="宋体" w:cs="宋体"/>
          <w:sz w:val="24"/>
        </w:rPr>
        <w:t>17.5.1  竣工（完工）付款申请单</w:t>
      </w:r>
      <w:bookmarkEnd w:id="340"/>
    </w:p>
    <w:p>
      <w:pPr>
        <w:spacing w:line="312" w:lineRule="auto"/>
        <w:ind w:right="248" w:firstLine="480"/>
        <w:rPr>
          <w:rFonts w:ascii="宋体" w:hAnsi="宋体" w:cs="宋体"/>
          <w:sz w:val="24"/>
        </w:rPr>
      </w:pPr>
      <w:bookmarkStart w:id="341" w:name="_Toc221951267"/>
      <w:r>
        <w:rPr>
          <w:rFonts w:hint="eastAsia" w:ascii="宋体" w:hAnsi="宋体" w:cs="宋体"/>
          <w:sz w:val="24"/>
        </w:rPr>
        <w:t>（1）承包人应提交竣工付款申请单一式份。</w:t>
      </w:r>
      <w:bookmarkEnd w:id="341"/>
    </w:p>
    <w:p>
      <w:pPr>
        <w:spacing w:line="312" w:lineRule="auto"/>
        <w:rPr>
          <w:rFonts w:ascii="宋体" w:hAnsi="宋体" w:cs="宋体"/>
          <w:b/>
          <w:bCs/>
          <w:sz w:val="24"/>
        </w:rPr>
      </w:pPr>
      <w:bookmarkStart w:id="342" w:name="_Toc221951268"/>
      <w:r>
        <w:rPr>
          <w:rFonts w:hint="eastAsia" w:ascii="宋体" w:hAnsi="宋体" w:cs="宋体"/>
          <w:b/>
          <w:bCs/>
          <w:sz w:val="24"/>
        </w:rPr>
        <w:t>17.6  最终结清</w:t>
      </w:r>
      <w:bookmarkEnd w:id="342"/>
    </w:p>
    <w:p>
      <w:pPr>
        <w:spacing w:line="312" w:lineRule="auto"/>
        <w:ind w:right="248" w:firstLine="480"/>
        <w:rPr>
          <w:rFonts w:ascii="宋体" w:hAnsi="宋体" w:cs="宋体"/>
          <w:sz w:val="24"/>
        </w:rPr>
      </w:pPr>
      <w:bookmarkStart w:id="343" w:name="_Toc221951269"/>
      <w:r>
        <w:rPr>
          <w:rFonts w:hint="eastAsia" w:ascii="宋体" w:hAnsi="宋体" w:cs="宋体"/>
          <w:sz w:val="24"/>
        </w:rPr>
        <w:t>17.6 1  最终结清申请单</w:t>
      </w:r>
      <w:bookmarkEnd w:id="343"/>
    </w:p>
    <w:p>
      <w:pPr>
        <w:spacing w:line="312" w:lineRule="auto"/>
        <w:ind w:right="248" w:firstLine="480"/>
        <w:rPr>
          <w:rFonts w:ascii="宋体" w:hAnsi="宋体" w:cs="宋体"/>
          <w:sz w:val="24"/>
        </w:rPr>
      </w:pPr>
      <w:bookmarkStart w:id="344" w:name="_Toc221951270"/>
      <w:r>
        <w:rPr>
          <w:rFonts w:hint="eastAsia" w:ascii="宋体" w:hAnsi="宋体" w:cs="宋体"/>
          <w:sz w:val="24"/>
        </w:rPr>
        <w:t>（1）承包人应提交最终结清申请单一式份。</w:t>
      </w:r>
      <w:bookmarkEnd w:id="344"/>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45" w:name="_Toc222032710"/>
      <w:bookmarkStart w:id="346" w:name="_Toc221951271"/>
      <w:bookmarkStart w:id="347" w:name="_Toc222033892"/>
      <w:bookmarkStart w:id="348" w:name="_Toc229305399"/>
      <w:bookmarkStart w:id="349" w:name="_Toc222031043"/>
      <w:bookmarkStart w:id="350" w:name="_Toc222029541"/>
      <w:r>
        <w:rPr>
          <w:rFonts w:hint="eastAsia" w:ascii="宋体" w:hAnsi="宋体" w:cs="宋体"/>
          <w:b/>
          <w:sz w:val="24"/>
        </w:rPr>
        <w:t>18  竣工验收</w:t>
      </w:r>
      <w:bookmarkEnd w:id="345"/>
      <w:bookmarkEnd w:id="346"/>
      <w:bookmarkEnd w:id="347"/>
      <w:bookmarkEnd w:id="348"/>
      <w:bookmarkEnd w:id="349"/>
      <w:bookmarkEnd w:id="350"/>
      <w:r>
        <w:rPr>
          <w:rFonts w:hint="eastAsia" w:ascii="宋体" w:hAnsi="宋体" w:cs="宋体"/>
          <w:b/>
          <w:sz w:val="24"/>
        </w:rPr>
        <w:t>（验收）</w:t>
      </w:r>
    </w:p>
    <w:p>
      <w:pPr>
        <w:spacing w:line="312" w:lineRule="auto"/>
        <w:rPr>
          <w:rFonts w:ascii="宋体" w:hAnsi="宋体" w:cs="宋体"/>
          <w:b/>
          <w:bCs/>
          <w:sz w:val="24"/>
        </w:rPr>
      </w:pPr>
      <w:bookmarkStart w:id="351" w:name="_Toc221951272"/>
      <w:r>
        <w:rPr>
          <w:rFonts w:hint="eastAsia" w:ascii="宋体" w:hAnsi="宋体" w:cs="宋体"/>
          <w:b/>
          <w:bCs/>
          <w:sz w:val="24"/>
        </w:rPr>
        <w:t xml:space="preserve">18.1 </w:t>
      </w:r>
      <w:bookmarkEnd w:id="351"/>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52"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52"/>
    <w:p>
      <w:pPr>
        <w:spacing w:line="312" w:lineRule="auto"/>
        <w:rPr>
          <w:rFonts w:ascii="宋体" w:hAnsi="宋体" w:cs="宋体"/>
          <w:b/>
          <w:bCs/>
          <w:sz w:val="24"/>
        </w:rPr>
      </w:pPr>
      <w:bookmarkStart w:id="353" w:name="_Toc221951282"/>
      <w:r>
        <w:rPr>
          <w:rFonts w:hint="eastAsia" w:ascii="宋体" w:hAnsi="宋体" w:cs="宋体"/>
          <w:b/>
          <w:bCs/>
          <w:sz w:val="24"/>
        </w:rPr>
        <w:t>18.8 施工期运行</w:t>
      </w:r>
      <w:bookmarkEnd w:id="353"/>
    </w:p>
    <w:p>
      <w:pPr>
        <w:spacing w:line="312" w:lineRule="auto"/>
        <w:ind w:firstLine="360" w:firstLineChars="150"/>
        <w:rPr>
          <w:rFonts w:ascii="宋体" w:hAnsi="宋体" w:cs="宋体"/>
          <w:sz w:val="24"/>
        </w:rPr>
      </w:pPr>
      <w:bookmarkStart w:id="354" w:name="_Toc221951283"/>
      <w:r>
        <w:rPr>
          <w:rFonts w:hint="eastAsia" w:ascii="宋体" w:hAnsi="宋体" w:cs="宋体"/>
          <w:sz w:val="24"/>
        </w:rPr>
        <w:t>18.8.1 需要在施工期运行的单位工程或工程设备为：</w:t>
      </w:r>
      <w:bookmarkEnd w:id="354"/>
      <w:r>
        <w:rPr>
          <w:rFonts w:hint="eastAsia" w:ascii="宋体" w:hAnsi="宋体" w:cs="宋体"/>
          <w:sz w:val="24"/>
        </w:rPr>
        <w:t>、、。</w:t>
      </w:r>
    </w:p>
    <w:p>
      <w:pPr>
        <w:spacing w:line="312" w:lineRule="auto"/>
        <w:rPr>
          <w:rFonts w:ascii="宋体" w:hAnsi="宋体" w:cs="宋体"/>
          <w:b/>
          <w:bCs/>
          <w:sz w:val="24"/>
        </w:rPr>
      </w:pPr>
      <w:bookmarkStart w:id="355" w:name="_Toc221951285"/>
      <w:r>
        <w:rPr>
          <w:rFonts w:hint="eastAsia" w:ascii="宋体" w:hAnsi="宋体" w:cs="宋体"/>
          <w:b/>
          <w:bCs/>
          <w:sz w:val="24"/>
        </w:rPr>
        <w:t>18.9 试运行</w:t>
      </w:r>
      <w:bookmarkEnd w:id="355"/>
    </w:p>
    <w:p>
      <w:pPr>
        <w:spacing w:line="312" w:lineRule="auto"/>
        <w:ind w:right="248" w:firstLine="600" w:firstLineChars="250"/>
        <w:rPr>
          <w:rFonts w:ascii="宋体" w:hAnsi="宋体" w:cs="宋体"/>
          <w:sz w:val="24"/>
        </w:rPr>
      </w:pPr>
      <w:bookmarkStart w:id="356" w:name="_Toc221951286"/>
      <w:r>
        <w:rPr>
          <w:rFonts w:hint="eastAsia" w:ascii="宋体" w:hAnsi="宋体" w:cs="宋体"/>
          <w:sz w:val="24"/>
        </w:rPr>
        <w:t xml:space="preserve">18.9.1 </w:t>
      </w:r>
      <w:bookmarkEnd w:id="356"/>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57" w:name="_Toc222033893"/>
      <w:bookmarkStart w:id="358" w:name="_Toc222032711"/>
      <w:bookmarkStart w:id="359" w:name="_Toc222031044"/>
      <w:bookmarkStart w:id="360" w:name="_Toc229305400"/>
      <w:bookmarkStart w:id="361" w:name="_Toc222029542"/>
      <w:bookmarkStart w:id="362" w:name="_Toc221951299"/>
      <w:r>
        <w:rPr>
          <w:rFonts w:hint="eastAsia" w:ascii="宋体" w:hAnsi="宋体" w:cs="宋体"/>
          <w:b/>
          <w:sz w:val="24"/>
        </w:rPr>
        <w:t>20  保险</w:t>
      </w:r>
      <w:bookmarkEnd w:id="357"/>
      <w:bookmarkEnd w:id="358"/>
      <w:bookmarkEnd w:id="359"/>
      <w:bookmarkEnd w:id="360"/>
      <w:bookmarkEnd w:id="361"/>
      <w:bookmarkEnd w:id="362"/>
    </w:p>
    <w:p>
      <w:pPr>
        <w:spacing w:line="312" w:lineRule="auto"/>
        <w:rPr>
          <w:rFonts w:ascii="宋体" w:hAnsi="宋体" w:cs="宋体"/>
          <w:b/>
          <w:bCs/>
          <w:sz w:val="24"/>
        </w:rPr>
      </w:pPr>
      <w:bookmarkStart w:id="363" w:name="_Toc221951321"/>
      <w:r>
        <w:rPr>
          <w:rFonts w:hint="eastAsia" w:ascii="宋体" w:hAnsi="宋体" w:cs="宋体"/>
          <w:b/>
          <w:bCs/>
          <w:sz w:val="24"/>
        </w:rPr>
        <w:t>20.1  工程保险</w:t>
      </w:r>
      <w:bookmarkEnd w:id="363"/>
    </w:p>
    <w:p>
      <w:pPr>
        <w:spacing w:line="312" w:lineRule="auto"/>
        <w:ind w:right="248" w:firstLine="480"/>
        <w:rPr>
          <w:rFonts w:ascii="宋体" w:hAnsi="宋体" w:cs="宋体"/>
          <w:sz w:val="24"/>
        </w:rPr>
      </w:pPr>
      <w:bookmarkStart w:id="364"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64"/>
    </w:p>
    <w:p>
      <w:pPr>
        <w:spacing w:line="312" w:lineRule="auto"/>
        <w:ind w:right="248" w:firstLine="480"/>
        <w:rPr>
          <w:rFonts w:ascii="宋体" w:hAnsi="宋体" w:cs="宋体"/>
          <w:sz w:val="24"/>
        </w:rPr>
      </w:pPr>
      <w:bookmarkStart w:id="365"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65"/>
    </w:p>
    <w:p>
      <w:pPr>
        <w:spacing w:line="312" w:lineRule="auto"/>
        <w:ind w:right="248" w:firstLine="480"/>
        <w:rPr>
          <w:rFonts w:ascii="宋体" w:hAnsi="宋体" w:cs="宋体"/>
          <w:sz w:val="24"/>
        </w:rPr>
      </w:pPr>
      <w:bookmarkStart w:id="366"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66"/>
    </w:p>
    <w:p>
      <w:pPr>
        <w:spacing w:line="312" w:lineRule="auto"/>
        <w:rPr>
          <w:rFonts w:ascii="宋体" w:hAnsi="宋体" w:cs="宋体"/>
          <w:sz w:val="24"/>
        </w:rPr>
      </w:pPr>
      <w:bookmarkStart w:id="367" w:name="_Toc221951328"/>
      <w:r>
        <w:rPr>
          <w:rFonts w:hint="eastAsia" w:ascii="宋体" w:hAnsi="宋体" w:cs="宋体"/>
          <w:sz w:val="24"/>
        </w:rPr>
        <w:t xml:space="preserve">     20.6.1  保险凭证</w:t>
      </w:r>
      <w:bookmarkEnd w:id="367"/>
    </w:p>
    <w:p>
      <w:pPr>
        <w:spacing w:line="312" w:lineRule="auto"/>
        <w:ind w:right="248" w:firstLine="480"/>
        <w:rPr>
          <w:rFonts w:ascii="宋体" w:hAnsi="宋体" w:cs="宋体"/>
          <w:sz w:val="24"/>
        </w:rPr>
      </w:pPr>
      <w:bookmarkStart w:id="368" w:name="_Toc221951330"/>
      <w:r>
        <w:rPr>
          <w:rFonts w:hint="eastAsia" w:ascii="宋体" w:hAnsi="宋体" w:cs="宋体"/>
          <w:sz w:val="24"/>
        </w:rPr>
        <w:t>承包人提交保险凭证的期限：</w:t>
      </w:r>
      <w:bookmarkEnd w:id="368"/>
      <w:r>
        <w:rPr>
          <w:rFonts w:hint="eastAsia" w:ascii="宋体" w:hAnsi="宋体" w:cs="宋体"/>
          <w:sz w:val="24"/>
        </w:rPr>
        <w:t>；</w:t>
      </w:r>
    </w:p>
    <w:p>
      <w:pPr>
        <w:spacing w:line="312" w:lineRule="auto"/>
        <w:ind w:right="248" w:firstLine="480"/>
        <w:rPr>
          <w:rFonts w:ascii="宋体" w:hAnsi="宋体" w:cs="宋体"/>
          <w:sz w:val="24"/>
        </w:rPr>
      </w:pPr>
      <w:bookmarkStart w:id="369" w:name="_Toc221951329"/>
      <w:r>
        <w:rPr>
          <w:rFonts w:hint="eastAsia" w:ascii="宋体" w:hAnsi="宋体" w:cs="宋体"/>
          <w:sz w:val="24"/>
        </w:rPr>
        <w:t>保险条件：</w:t>
      </w:r>
      <w:bookmarkEnd w:id="369"/>
      <w:r>
        <w:rPr>
          <w:rFonts w:hint="eastAsia" w:ascii="宋体" w:hAnsi="宋体" w:cs="宋体"/>
          <w:sz w:val="24"/>
        </w:rPr>
        <w:t>。</w:t>
      </w:r>
    </w:p>
    <w:p>
      <w:pPr>
        <w:spacing w:line="312" w:lineRule="auto"/>
        <w:ind w:right="248" w:firstLine="480"/>
        <w:rPr>
          <w:rFonts w:ascii="宋体" w:hAnsi="宋体" w:cs="宋体"/>
          <w:sz w:val="24"/>
        </w:rPr>
      </w:pPr>
      <w:bookmarkStart w:id="370" w:name="_Toc221951331"/>
      <w:r>
        <w:rPr>
          <w:rFonts w:hint="eastAsia" w:ascii="宋体" w:hAnsi="宋体" w:cs="宋体"/>
          <w:sz w:val="24"/>
        </w:rPr>
        <w:t>20.6.4  保险金不足的补偿</w:t>
      </w:r>
      <w:bookmarkEnd w:id="370"/>
    </w:p>
    <w:p>
      <w:pPr>
        <w:spacing w:line="312" w:lineRule="auto"/>
        <w:ind w:left="958" w:leftChars="228" w:right="248" w:hanging="480" w:hangingChars="200"/>
        <w:rPr>
          <w:rFonts w:ascii="宋体" w:hAnsi="宋体" w:cs="宋体"/>
          <w:sz w:val="24"/>
        </w:rPr>
      </w:pPr>
      <w:bookmarkStart w:id="371" w:name="_Toc221951332"/>
      <w:r>
        <w:rPr>
          <w:rFonts w:hint="eastAsia" w:ascii="宋体" w:hAnsi="宋体" w:cs="宋体"/>
          <w:sz w:val="24"/>
        </w:rPr>
        <w:t>承包人负责补偿的范围与金额：</w:t>
      </w:r>
      <w:bookmarkEnd w:id="371"/>
      <w:r>
        <w:rPr>
          <w:rFonts w:hint="eastAsia" w:ascii="宋体" w:hAnsi="宋体" w:cs="宋体"/>
          <w:sz w:val="24"/>
        </w:rPr>
        <w:t>；</w:t>
      </w:r>
    </w:p>
    <w:p>
      <w:pPr>
        <w:spacing w:line="312" w:lineRule="auto"/>
        <w:ind w:left="958"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72" w:name="_Toc222031045"/>
      <w:bookmarkStart w:id="373" w:name="_Toc222029543"/>
      <w:bookmarkStart w:id="374" w:name="_Toc229305401"/>
      <w:bookmarkStart w:id="375" w:name="_Toc222032712"/>
      <w:bookmarkStart w:id="376" w:name="_Toc221951334"/>
      <w:bookmarkStart w:id="377" w:name="_Toc222033894"/>
      <w:r>
        <w:rPr>
          <w:rFonts w:hint="eastAsia" w:ascii="宋体" w:hAnsi="宋体" w:cs="宋体"/>
          <w:b/>
          <w:sz w:val="24"/>
        </w:rPr>
        <w:t>24. 争议的解决</w:t>
      </w:r>
      <w:bookmarkEnd w:id="372"/>
      <w:bookmarkEnd w:id="373"/>
      <w:bookmarkEnd w:id="374"/>
      <w:bookmarkEnd w:id="375"/>
      <w:bookmarkEnd w:id="376"/>
      <w:bookmarkEnd w:id="377"/>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34"/>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34"/>
        <w:spacing w:line="312" w:lineRule="auto"/>
        <w:sectPr>
          <w:pgSz w:w="11906" w:h="16838"/>
          <w:pgMar w:top="1531" w:right="1418" w:bottom="1531" w:left="1418" w:header="851" w:footer="992" w:gutter="0"/>
          <w:cols w:space="720" w:num="1"/>
          <w:docGrid w:type="linesAndChars" w:linePitch="312" w:charSpace="0"/>
        </w:sectPr>
      </w:pPr>
    </w:p>
    <w:p>
      <w:pPr>
        <w:spacing w:line="312" w:lineRule="auto"/>
        <w:contextualSpacing/>
        <w:jc w:val="center"/>
        <w:rPr>
          <w:rFonts w:ascii="宋体" w:hAnsi="宋体"/>
          <w:b/>
          <w:sz w:val="32"/>
          <w:szCs w:val="32"/>
        </w:rPr>
      </w:pPr>
      <w:bookmarkStart w:id="378" w:name="_Toc144974826"/>
      <w:bookmarkStart w:id="379" w:name="_Toc229305402"/>
      <w:bookmarkStart w:id="380" w:name="_Toc168475883"/>
      <w:bookmarkStart w:id="381" w:name="_Toc279701706"/>
      <w:bookmarkStart w:id="382" w:name="_Toc276296576"/>
      <w:bookmarkStart w:id="383" w:name="_Toc168476286"/>
      <w:r>
        <w:rPr>
          <w:rFonts w:ascii="宋体" w:hAnsi="宋体"/>
          <w:b/>
          <w:sz w:val="32"/>
          <w:szCs w:val="32"/>
        </w:rPr>
        <w:t>第三节  合同附件格式</w:t>
      </w:r>
      <w:bookmarkEnd w:id="378"/>
      <w:bookmarkEnd w:id="379"/>
      <w:bookmarkEnd w:id="380"/>
      <w:bookmarkEnd w:id="381"/>
      <w:bookmarkEnd w:id="382"/>
      <w:bookmarkEnd w:id="383"/>
    </w:p>
    <w:p>
      <w:pPr>
        <w:spacing w:before="120" w:line="312" w:lineRule="auto"/>
        <w:rPr>
          <w:rFonts w:ascii="宋体" w:hAnsi="宋体"/>
          <w:sz w:val="24"/>
        </w:rPr>
      </w:pPr>
      <w:bookmarkStart w:id="384" w:name="_Toc144974827"/>
      <w:bookmarkStart w:id="385" w:name="_Toc266885982"/>
      <w:bookmarkStart w:id="386" w:name="_Toc276296577"/>
      <w:bookmarkStart w:id="387" w:name="_Toc277253913"/>
      <w:bookmarkStart w:id="388" w:name="_Toc168476287"/>
      <w:bookmarkStart w:id="389" w:name="_Toc168475884"/>
      <w:bookmarkStart w:id="390" w:name="_Toc266859678"/>
      <w:bookmarkStart w:id="391" w:name="_Toc277250438"/>
      <w:bookmarkStart w:id="392" w:name="_Toc279701707"/>
      <w:bookmarkStart w:id="393" w:name="_Toc279698662"/>
      <w:r>
        <w:rPr>
          <w:rFonts w:ascii="宋体" w:hAnsi="宋体"/>
          <w:sz w:val="24"/>
        </w:rPr>
        <w:t>附件一：</w:t>
      </w:r>
      <w:bookmarkEnd w:id="384"/>
      <w:bookmarkEnd w:id="385"/>
      <w:bookmarkEnd w:id="386"/>
      <w:bookmarkEnd w:id="387"/>
      <w:bookmarkEnd w:id="388"/>
      <w:bookmarkEnd w:id="389"/>
      <w:bookmarkEnd w:id="390"/>
      <w:bookmarkEnd w:id="391"/>
      <w:bookmarkEnd w:id="392"/>
      <w:bookmarkEnd w:id="393"/>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94" w:name="_Toc168475885"/>
      <w:bookmarkStart w:id="395" w:name="_Toc144974828"/>
      <w:bookmarkStart w:id="396" w:name="_Toc168476288"/>
      <w:r>
        <w:rPr>
          <w:rFonts w:ascii="宋体" w:hAnsi="宋体"/>
          <w:sz w:val="24"/>
        </w:rPr>
        <w:t>1. 本协议书与下列文件一起构成合同文件：</w:t>
      </w:r>
      <w:bookmarkEnd w:id="394"/>
      <w:bookmarkEnd w:id="395"/>
      <w:bookmarkEnd w:id="396"/>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97" w:name="_Toc168476289"/>
      <w:bookmarkStart w:id="398" w:name="_Toc168475886"/>
      <w:bookmarkStart w:id="399"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97"/>
      <w:bookmarkEnd w:id="398"/>
      <w:bookmarkEnd w:id="399"/>
    </w:p>
    <w:p>
      <w:pPr>
        <w:spacing w:line="312" w:lineRule="auto"/>
        <w:ind w:firstLine="424" w:firstLineChars="177"/>
        <w:rPr>
          <w:rFonts w:ascii="宋体" w:hAnsi="宋体"/>
          <w:sz w:val="24"/>
        </w:rPr>
      </w:pPr>
      <w:r>
        <w:rPr>
          <w:rFonts w:ascii="宋体" w:hAnsi="宋体"/>
          <w:sz w:val="24"/>
        </w:rPr>
        <w:t>3. 签约合同价：人民币（大写）元（¥）。</w:t>
      </w:r>
    </w:p>
    <w:p>
      <w:pPr>
        <w:spacing w:line="312" w:lineRule="auto"/>
        <w:ind w:firstLine="424" w:firstLineChars="177"/>
        <w:rPr>
          <w:rFonts w:ascii="宋体" w:hAnsi="宋体"/>
          <w:sz w:val="24"/>
          <w:u w:val="single"/>
        </w:rPr>
      </w:pPr>
      <w:r>
        <w:rPr>
          <w:rFonts w:ascii="宋体" w:hAnsi="宋体"/>
          <w:sz w:val="24"/>
        </w:rPr>
        <w:t>4. 承包人项目经理：。</w:t>
      </w:r>
    </w:p>
    <w:p>
      <w:pPr>
        <w:spacing w:line="312" w:lineRule="auto"/>
        <w:ind w:firstLine="424" w:firstLineChars="177"/>
        <w:rPr>
          <w:rFonts w:ascii="宋体" w:hAnsi="宋体"/>
          <w:sz w:val="24"/>
        </w:rPr>
      </w:pPr>
      <w:r>
        <w:rPr>
          <w:rFonts w:ascii="宋体" w:hAnsi="宋体"/>
          <w:sz w:val="24"/>
        </w:rPr>
        <w:t>5. 工程质量符合标准。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承包人应按照监理人指示开工，工期为天。</w:t>
      </w:r>
    </w:p>
    <w:p>
      <w:pPr>
        <w:spacing w:line="312" w:lineRule="auto"/>
        <w:ind w:firstLine="424" w:firstLineChars="177"/>
        <w:rPr>
          <w:rFonts w:ascii="宋体" w:hAnsi="宋体"/>
          <w:sz w:val="24"/>
        </w:rPr>
      </w:pPr>
      <w:r>
        <w:rPr>
          <w:rFonts w:ascii="宋体" w:hAnsi="宋体"/>
          <w:sz w:val="24"/>
        </w:rPr>
        <w:t>9. 本协议一式份。双方各执份。</w:t>
      </w:r>
    </w:p>
    <w:p>
      <w:pPr>
        <w:spacing w:line="312" w:lineRule="auto"/>
        <w:ind w:firstLine="424" w:firstLineChars="177"/>
        <w:rPr>
          <w:rFonts w:ascii="宋体" w:hAnsi="宋体"/>
          <w:sz w:val="24"/>
        </w:rPr>
      </w:pPr>
      <w:bookmarkStart w:id="400" w:name="_Toc144974830"/>
      <w:bookmarkStart w:id="401" w:name="_Toc168475887"/>
      <w:bookmarkStart w:id="402" w:name="_Toc168476290"/>
      <w:r>
        <w:rPr>
          <w:rFonts w:ascii="宋体" w:hAnsi="宋体"/>
          <w:sz w:val="24"/>
        </w:rPr>
        <w:t>10. 合同未尽事宜，双方另行签订补充协议。补充协议是合同的组成部分。</w:t>
      </w:r>
      <w:bookmarkEnd w:id="400"/>
      <w:bookmarkEnd w:id="401"/>
      <w:bookmarkEnd w:id="402"/>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发包人：（盖单位章）      承包人：（盖单位章）</w:t>
      </w:r>
    </w:p>
    <w:p>
      <w:pPr>
        <w:spacing w:line="312" w:lineRule="auto"/>
        <w:rPr>
          <w:rFonts w:ascii="宋体" w:hAnsi="宋体"/>
          <w:sz w:val="24"/>
        </w:rPr>
      </w:pPr>
      <w:r>
        <w:rPr>
          <w:rFonts w:ascii="宋体" w:hAnsi="宋体"/>
          <w:sz w:val="24"/>
        </w:rPr>
        <w:t>法定代表人或其委托代理人：（签字）  法定代表人或其委托代理人：（签字）</w:t>
      </w:r>
    </w:p>
    <w:p>
      <w:pPr>
        <w:spacing w:line="312" w:lineRule="auto"/>
        <w:ind w:firstLine="360" w:firstLineChars="150"/>
        <w:rPr>
          <w:rFonts w:ascii="宋体" w:hAnsi="宋体"/>
          <w:sz w:val="24"/>
        </w:rPr>
      </w:pPr>
      <w:r>
        <w:rPr>
          <w:rFonts w:ascii="宋体" w:hAnsi="宋体"/>
          <w:sz w:val="24"/>
        </w:rPr>
        <w:t>年月  日                  年月 日</w:t>
      </w:r>
      <w:bookmarkStart w:id="403" w:name="_Toc266885983"/>
      <w:bookmarkStart w:id="404" w:name="_Toc266859679"/>
      <w:bookmarkStart w:id="405" w:name="_Toc257988090"/>
    </w:p>
    <w:p>
      <w:pPr>
        <w:spacing w:before="120" w:line="312" w:lineRule="auto"/>
        <w:rPr>
          <w:rFonts w:ascii="宋体" w:hAnsi="宋体"/>
          <w:szCs w:val="21"/>
        </w:rPr>
      </w:pPr>
      <w:bookmarkStart w:id="406" w:name="_Toc277253914"/>
      <w:bookmarkStart w:id="407" w:name="_Toc279701708"/>
      <w:bookmarkStart w:id="408" w:name="_Toc276296578"/>
      <w:bookmarkStart w:id="409" w:name="_Toc279698663"/>
      <w:bookmarkStart w:id="410" w:name="_Toc277250439"/>
    </w:p>
    <w:p>
      <w:pPr>
        <w:spacing w:before="120" w:line="312" w:lineRule="auto"/>
        <w:rPr>
          <w:rFonts w:ascii="宋体" w:hAnsi="宋体"/>
          <w:szCs w:val="21"/>
        </w:rPr>
      </w:pPr>
      <w:r>
        <w:rPr>
          <w:rFonts w:ascii="宋体" w:hAnsi="宋体"/>
          <w:szCs w:val="21"/>
        </w:rPr>
        <w:t>附件二：</w:t>
      </w:r>
      <w:bookmarkEnd w:id="403"/>
      <w:bookmarkEnd w:id="404"/>
      <w:bookmarkEnd w:id="405"/>
      <w:bookmarkEnd w:id="406"/>
      <w:bookmarkEnd w:id="407"/>
      <w:bookmarkEnd w:id="408"/>
      <w:bookmarkEnd w:id="409"/>
      <w:bookmarkEnd w:id="410"/>
    </w:p>
    <w:p>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tabs>
          <w:tab w:val="left" w:pos="5810"/>
        </w:tabs>
        <w:autoSpaceDE w:val="0"/>
        <w:autoSpaceDN w:val="0"/>
        <w:adjustRightInd w:val="0"/>
        <w:snapToGrid w:val="0"/>
        <w:spacing w:line="312" w:lineRule="auto"/>
        <w:rPr>
          <w:rFonts w:ascii="宋体" w:hAnsi="宋体"/>
          <w:kern w:val="28"/>
          <w:sz w:val="24"/>
          <w:lang w:val="zh-CN"/>
        </w:rPr>
        <w:sectPr>
          <w:pgSz w:w="11906" w:h="16838"/>
          <w:pgMar w:top="1531" w:right="1418" w:bottom="1531" w:left="1418" w:header="851" w:footer="992" w:gutter="0"/>
          <w:cols w:space="720" w:num="1"/>
          <w:docGrid w:type="linesAndChars" w:linePitch="312" w:charSpace="0"/>
        </w:sectPr>
      </w:pPr>
    </w:p>
    <w:p>
      <w:pPr>
        <w:pStyle w:val="7"/>
        <w:spacing w:before="120"/>
        <w:rPr>
          <w:rFonts w:ascii="宋体" w:hAnsi="宋体" w:eastAsia="宋体"/>
          <w:sz w:val="24"/>
          <w:szCs w:val="24"/>
        </w:rPr>
      </w:pPr>
      <w:bookmarkStart w:id="411" w:name="_Toc168475888"/>
      <w:bookmarkStart w:id="412" w:name="_Toc277250440"/>
      <w:bookmarkStart w:id="413" w:name="_Toc279698664"/>
      <w:bookmarkStart w:id="414" w:name="_Toc279701709"/>
      <w:bookmarkStart w:id="415" w:name="_Toc168476291"/>
      <w:bookmarkStart w:id="416" w:name="_Toc144974831"/>
      <w:bookmarkStart w:id="417" w:name="_Toc276296579"/>
      <w:bookmarkStart w:id="418" w:name="_Toc266885984"/>
      <w:bookmarkStart w:id="419" w:name="_Toc277253915"/>
      <w:bookmarkStart w:id="420" w:name="_Toc16924"/>
      <w:bookmarkStart w:id="421" w:name="_Toc517940884"/>
      <w:r>
        <w:rPr>
          <w:rFonts w:ascii="宋体" w:hAnsi="宋体" w:eastAsia="宋体"/>
          <w:sz w:val="24"/>
          <w:szCs w:val="24"/>
        </w:rPr>
        <w:t>附件三：</w:t>
      </w:r>
      <w:bookmarkEnd w:id="411"/>
      <w:bookmarkEnd w:id="412"/>
      <w:bookmarkEnd w:id="413"/>
      <w:bookmarkEnd w:id="414"/>
      <w:bookmarkEnd w:id="415"/>
      <w:bookmarkEnd w:id="416"/>
      <w:bookmarkEnd w:id="417"/>
      <w:bookmarkEnd w:id="418"/>
      <w:bookmarkEnd w:id="419"/>
    </w:p>
    <w:p>
      <w:pPr>
        <w:rPr>
          <w:rFonts w:ascii="宋体" w:hAnsi="宋体"/>
          <w:sz w:val="24"/>
        </w:rPr>
      </w:pPr>
    </w:p>
    <w:p>
      <w:pPr>
        <w:jc w:val="center"/>
        <w:rPr>
          <w:rFonts w:ascii="宋体" w:hAnsi="宋体"/>
          <w:b/>
          <w:sz w:val="24"/>
        </w:rPr>
      </w:pPr>
      <w:r>
        <w:rPr>
          <w:rFonts w:ascii="宋体" w:hAnsi="宋体"/>
          <w:b/>
          <w:sz w:val="24"/>
        </w:rPr>
        <w:t>履约担保（格式）</w:t>
      </w:r>
    </w:p>
    <w:p>
      <w:pPr>
        <w:rPr>
          <w:rFonts w:ascii="宋体" w:hAnsi="宋体"/>
          <w:sz w:val="24"/>
        </w:rPr>
      </w:pPr>
    </w:p>
    <w:p>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pPr>
        <w:spacing w:line="360" w:lineRule="auto"/>
        <w:rPr>
          <w:rFonts w:ascii="宋体" w:hAnsi="宋体"/>
          <w:sz w:val="24"/>
        </w:rPr>
      </w:pPr>
    </w:p>
    <w:p>
      <w:pPr>
        <w:spacing w:line="360" w:lineRule="auto"/>
        <w:ind w:firstLine="566" w:firstLineChars="23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pPr>
        <w:spacing w:line="360" w:lineRule="auto"/>
        <w:ind w:firstLine="566" w:firstLineChars="236"/>
        <w:rPr>
          <w:rFonts w:ascii="宋体" w:hAnsi="宋体"/>
          <w:sz w:val="24"/>
        </w:rPr>
      </w:pPr>
      <w:r>
        <w:rPr>
          <w:rFonts w:ascii="宋体" w:hAnsi="宋体"/>
          <w:sz w:val="24"/>
        </w:rPr>
        <w:t>1. 担保金额人民币（大写） 元（¥）。</w:t>
      </w:r>
    </w:p>
    <w:p>
      <w:pPr>
        <w:spacing w:line="360" w:lineRule="auto"/>
        <w:ind w:firstLine="566" w:firstLineChars="236"/>
        <w:outlineLvl w:val="0"/>
        <w:rPr>
          <w:rFonts w:ascii="宋体" w:hAnsi="宋体"/>
          <w:sz w:val="24"/>
        </w:rPr>
      </w:pPr>
      <w:bookmarkStart w:id="422" w:name="_Toc276293463"/>
      <w:bookmarkStart w:id="423" w:name="_Toc279701710"/>
      <w:bookmarkStart w:id="424" w:name="_Toc279698665"/>
      <w:bookmarkStart w:id="425" w:name="_Toc277253916"/>
      <w:bookmarkStart w:id="426" w:name="_Toc276296580"/>
      <w:bookmarkStart w:id="427" w:name="_Toc277250441"/>
      <w:r>
        <w:rPr>
          <w:rFonts w:ascii="宋体" w:hAnsi="宋体"/>
          <w:sz w:val="24"/>
        </w:rPr>
        <w:t>2. 担保有效期自发包人与承包人签订的合同生效之日起至发包人签发工程接收证书之日止。</w:t>
      </w:r>
      <w:bookmarkEnd w:id="422"/>
      <w:bookmarkEnd w:id="423"/>
      <w:bookmarkEnd w:id="424"/>
      <w:bookmarkEnd w:id="425"/>
      <w:bookmarkEnd w:id="426"/>
      <w:bookmarkEnd w:id="427"/>
    </w:p>
    <w:p>
      <w:pPr>
        <w:spacing w:line="360" w:lineRule="auto"/>
        <w:ind w:firstLine="566" w:firstLineChars="23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pPr>
        <w:spacing w:line="360" w:lineRule="auto"/>
        <w:ind w:firstLine="566" w:firstLineChars="236"/>
        <w:rPr>
          <w:rFonts w:ascii="宋体" w:hAnsi="宋体"/>
          <w:sz w:val="24"/>
        </w:rPr>
      </w:pPr>
      <w:r>
        <w:rPr>
          <w:rFonts w:ascii="宋体" w:hAnsi="宋体"/>
          <w:sz w:val="24"/>
        </w:rPr>
        <w:t>4. 发包人和承包人按《通用合同条款》第15条变更合同时，我行承担本保函规定的义务不变。</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担保人：（盖单位章）</w:t>
      </w:r>
    </w:p>
    <w:p>
      <w:pPr>
        <w:spacing w:line="360" w:lineRule="auto"/>
        <w:rPr>
          <w:rFonts w:ascii="宋体" w:hAnsi="宋体"/>
          <w:sz w:val="24"/>
        </w:rPr>
      </w:pPr>
      <w:r>
        <w:rPr>
          <w:rFonts w:ascii="宋体" w:hAnsi="宋体"/>
          <w:sz w:val="24"/>
        </w:rPr>
        <w:t xml:space="preserve">                                      法定代表人或委托代理人：（签字）</w:t>
      </w:r>
    </w:p>
    <w:p>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360" w:lineRule="auto"/>
        <w:rPr>
          <w:rFonts w:ascii="宋体" w:hAnsi="宋体"/>
          <w:sz w:val="24"/>
        </w:rPr>
      </w:pPr>
      <w:r>
        <w:rPr>
          <w:rFonts w:ascii="宋体" w:hAnsi="宋体"/>
          <w:sz w:val="24"/>
        </w:rPr>
        <w:t xml:space="preserve">                                      电    话：</w:t>
      </w:r>
    </w:p>
    <w:p>
      <w:pPr>
        <w:spacing w:line="360" w:lineRule="auto"/>
        <w:rPr>
          <w:rFonts w:ascii="宋体" w:hAnsi="宋体"/>
          <w:sz w:val="24"/>
        </w:rPr>
      </w:pPr>
      <w:r>
        <w:rPr>
          <w:rFonts w:ascii="宋体" w:hAnsi="宋体"/>
          <w:sz w:val="24"/>
        </w:rPr>
        <w:t xml:space="preserve">                                      传    真：</w:t>
      </w:r>
    </w:p>
    <w:p>
      <w:pPr>
        <w:spacing w:line="360" w:lineRule="auto"/>
        <w:rPr>
          <w:rFonts w:ascii="宋体" w:hAnsi="宋体"/>
          <w:sz w:val="24"/>
        </w:rPr>
      </w:pPr>
      <w:r>
        <w:rPr>
          <w:rFonts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注：委托代理人应附授权委托书。</w:t>
      </w:r>
    </w:p>
    <w:p>
      <w:pPr>
        <w:pStyle w:val="6"/>
        <w:numPr>
          <w:ilvl w:val="0"/>
          <w:numId w:val="4"/>
        </w:numPr>
        <w:ind w:firstLine="2640" w:firstLineChars="600"/>
        <w:jc w:val="both"/>
        <w:rPr>
          <w:rFonts w:hint="eastAsia"/>
          <w:bCs w:val="0"/>
        </w:rPr>
      </w:pPr>
      <w:r>
        <w:rPr>
          <w:rFonts w:hint="eastAsia"/>
          <w:bCs w:val="0"/>
        </w:rPr>
        <w:t xml:space="preserve"> 工程量清单</w:t>
      </w:r>
      <w:bookmarkEnd w:id="420"/>
      <w:bookmarkEnd w:id="421"/>
      <w:bookmarkStart w:id="428" w:name="_Toc152042555"/>
      <w:bookmarkStart w:id="429" w:name="_Toc152045773"/>
      <w:bookmarkStart w:id="430" w:name="_Toc179632790"/>
      <w:bookmarkStart w:id="431" w:name="_Toc144974835"/>
    </w:p>
    <w:p>
      <w:pPr>
        <w:pStyle w:val="6"/>
        <w:numPr>
          <w:ilvl w:val="0"/>
          <w:numId w:val="5"/>
        </w:numPr>
        <w:jc w:val="both"/>
        <w:rPr>
          <w:rFonts w:hint="eastAsia" w:ascii="宋体" w:hAnsi="宋体" w:eastAsia="宋体" w:cs="Times New Roman"/>
          <w:b w:val="0"/>
          <w:bCs w:val="0"/>
          <w:kern w:val="2"/>
          <w:sz w:val="24"/>
          <w:szCs w:val="24"/>
          <w:lang w:val="en-US" w:eastAsia="zh-CN" w:bidi="ar-SA"/>
        </w:rPr>
      </w:pPr>
      <w:r>
        <w:rPr>
          <w:rFonts w:hint="eastAsia" w:ascii="宋体" w:hAnsi="宋体"/>
          <w:sz w:val="24"/>
        </w:rPr>
        <w:t>工程量清单说明</w:t>
      </w:r>
      <w:bookmarkEnd w:id="428"/>
      <w:bookmarkEnd w:id="429"/>
      <w:bookmarkEnd w:id="430"/>
      <w:bookmarkEnd w:id="431"/>
    </w:p>
    <w:p>
      <w:pPr>
        <w:pStyle w:val="6"/>
        <w:numPr>
          <w:ilvl w:val="0"/>
          <w:numId w:val="0"/>
        </w:numPr>
        <w:ind w:firstLine="240" w:firstLineChars="100"/>
        <w:jc w:val="both"/>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spacing w:line="312" w:lineRule="auto"/>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spacing w:line="312" w:lineRule="auto"/>
        <w:rPr>
          <w:rFonts w:ascii="宋体" w:hAnsi="宋体"/>
          <w:sz w:val="24"/>
        </w:rPr>
      </w:pPr>
      <w:bookmarkStart w:id="432" w:name="_Toc152045774"/>
      <w:bookmarkStart w:id="433" w:name="_Toc179632791"/>
      <w:bookmarkStart w:id="434" w:name="_Toc144974836"/>
      <w:bookmarkStart w:id="435" w:name="_Toc152042556"/>
      <w:r>
        <w:rPr>
          <w:rFonts w:hint="eastAsia" w:ascii="宋体" w:hAnsi="宋体"/>
          <w:sz w:val="24"/>
        </w:rPr>
        <w:t>2. 投标报价说明</w:t>
      </w:r>
      <w:bookmarkEnd w:id="432"/>
      <w:bookmarkEnd w:id="433"/>
      <w:bookmarkEnd w:id="434"/>
      <w:bookmarkEnd w:id="435"/>
    </w:p>
    <w:p>
      <w:pPr>
        <w:spacing w:line="312" w:lineRule="auto"/>
        <w:rPr>
          <w:rFonts w:ascii="宋体" w:hAnsi="宋体"/>
          <w:sz w:val="24"/>
        </w:rPr>
      </w:pPr>
      <w:r>
        <w:rPr>
          <w:rFonts w:hint="eastAsia" w:ascii="宋体" w:hAnsi="宋体"/>
          <w:sz w:val="24"/>
        </w:rPr>
        <w:t xml:space="preserve">    2.1 工程量清单中的每一子目须填入单价或价格，且只允许有一个报价。</w:t>
      </w:r>
    </w:p>
    <w:p>
      <w:pPr>
        <w:spacing w:line="312" w:lineRule="auto"/>
        <w:rPr>
          <w:rFonts w:ascii="宋体" w:hAnsi="宋体"/>
          <w:sz w:val="24"/>
        </w:rPr>
      </w:pPr>
      <w:r>
        <w:rPr>
          <w:rFonts w:hint="eastAsia" w:ascii="宋体" w:hAnsi="宋体"/>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ascii="宋体" w:hAnsi="宋体"/>
          <w:sz w:val="24"/>
        </w:rPr>
      </w:pPr>
      <w:r>
        <w:rPr>
          <w:rFonts w:hint="eastAsia" w:ascii="宋体" w:hAnsi="宋体"/>
          <w:sz w:val="24"/>
        </w:rPr>
        <w:t xml:space="preserve">    2.3 工程量清单中投标人没有填入单价或价格的子目，其费用视为已分摊在工程量清单中其他相关子目的单价或价格之中。</w:t>
      </w:r>
    </w:p>
    <w:p>
      <w:pPr>
        <w:spacing w:line="312" w:lineRule="auto"/>
        <w:rPr>
          <w:rFonts w:ascii="宋体" w:hAnsi="宋体"/>
          <w:sz w:val="24"/>
        </w:rPr>
      </w:pPr>
      <w:bookmarkStart w:id="436" w:name="_Toc179632792"/>
      <w:r>
        <w:rPr>
          <w:rFonts w:hint="eastAsia" w:ascii="宋体" w:hAnsi="宋体"/>
          <w:sz w:val="24"/>
        </w:rPr>
        <w:t>3. 其他说明</w:t>
      </w:r>
      <w:bookmarkEnd w:id="436"/>
    </w:p>
    <w:p>
      <w:pPr>
        <w:spacing w:line="360" w:lineRule="auto"/>
        <w:rPr>
          <w:rFonts w:ascii="宋体" w:hAnsi="宋体"/>
          <w:sz w:val="24"/>
        </w:rPr>
      </w:pPr>
      <w:r>
        <w:rPr>
          <w:rFonts w:hint="eastAsia" w:ascii="宋体" w:hAnsi="宋体"/>
          <w:sz w:val="24"/>
        </w:rPr>
        <w:t xml:space="preserve">    3.1工程量清单中有计算或汇总中的算术错误时，应按以下原则改正：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3.2进入单价的材料均应以当地实际材料预算价计入单价，不再计取材料价差，投标人的报价在合同实施期间不进行单价调整。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3.4图纸中所列工程量表及数量汇总仅为提供资料，不应视为工程量报价单的扩大或延伸。</w:t>
      </w:r>
    </w:p>
    <w:p>
      <w:pPr>
        <w:numPr>
          <w:ilvl w:val="0"/>
          <w:numId w:val="6"/>
        </w:numPr>
        <w:spacing w:line="360" w:lineRule="auto"/>
        <w:rPr>
          <w:rFonts w:ascii="宋体" w:hAnsi="宋体"/>
          <w:b/>
          <w:bCs/>
          <w:sz w:val="24"/>
        </w:rPr>
      </w:pPr>
      <w:r>
        <w:rPr>
          <w:rFonts w:hint="eastAsia" w:ascii="宋体" w:hAnsi="宋体"/>
          <w:b/>
          <w:bCs/>
          <w:sz w:val="24"/>
        </w:rPr>
        <w:t>工程量清单</w:t>
      </w:r>
      <w:bookmarkStart w:id="437" w:name="_Toc21351"/>
      <w:r>
        <w:rPr>
          <w:rFonts w:hint="eastAsia" w:ascii="宋体" w:hAnsi="宋体"/>
          <w:b/>
          <w:bCs/>
          <w:sz w:val="24"/>
        </w:rPr>
        <w:t>详见附件</w:t>
      </w:r>
    </w:p>
    <w:p>
      <w:pPr>
        <w:pStyle w:val="2"/>
        <w:ind w:firstLine="241"/>
        <w:rPr>
          <w:rFonts w:ascii="宋体" w:hAnsi="宋体"/>
          <w:b/>
          <w:bCs/>
          <w:sz w:val="24"/>
        </w:rPr>
      </w:pPr>
    </w:p>
    <w:p>
      <w:pPr>
        <w:pStyle w:val="4"/>
        <w:ind w:left="420" w:firstLine="482"/>
        <w:rPr>
          <w:rFonts w:hint="default" w:ascii="宋体" w:hAnsi="宋体"/>
          <w:b/>
          <w:bCs/>
          <w:sz w:val="24"/>
          <w:lang w:eastAsia="zh-CN"/>
        </w:rPr>
      </w:pPr>
    </w:p>
    <w:p>
      <w:pPr>
        <w:pStyle w:val="4"/>
        <w:ind w:left="420" w:firstLine="482"/>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ascii="宋体" w:hAnsi="宋体"/>
          <w:b/>
          <w:bCs/>
          <w:sz w:val="24"/>
          <w:lang w:eastAsia="zh-CN"/>
        </w:rPr>
      </w:pPr>
    </w:p>
    <w:p>
      <w:pPr>
        <w:pStyle w:val="2"/>
        <w:rPr>
          <w:rFonts w:hint="default" w:ascii="宋体" w:hAnsi="宋体"/>
          <w:b/>
          <w:bCs/>
          <w:sz w:val="24"/>
          <w:lang w:eastAsia="zh-CN"/>
        </w:rPr>
      </w:pPr>
    </w:p>
    <w:p>
      <w:pPr>
        <w:pStyle w:val="4"/>
        <w:rPr>
          <w:rFonts w:hint="default" w:ascii="宋体" w:hAnsi="宋体"/>
          <w:b/>
          <w:bCs/>
          <w:sz w:val="24"/>
          <w:lang w:eastAsia="zh-CN"/>
        </w:rPr>
      </w:pPr>
    </w:p>
    <w:p>
      <w:pPr>
        <w:rPr>
          <w:rFonts w:hint="default"/>
          <w:lang w:eastAsia="zh-CN"/>
        </w:rPr>
      </w:pPr>
    </w:p>
    <w:p>
      <w:pPr>
        <w:pStyle w:val="4"/>
        <w:ind w:left="420" w:firstLine="482"/>
        <w:rPr>
          <w:rFonts w:hint="default" w:ascii="宋体" w:hAnsi="宋体"/>
          <w:b/>
          <w:bCs/>
          <w:sz w:val="24"/>
          <w:lang w:eastAsia="zh-CN"/>
        </w:rPr>
      </w:pPr>
    </w:p>
    <w:p>
      <w:pPr>
        <w:pStyle w:val="6"/>
        <w:jc w:val="center"/>
        <w:rPr>
          <w:bCs w:val="0"/>
        </w:rPr>
      </w:pPr>
      <w:bookmarkStart w:id="438" w:name="_Toc517940885"/>
      <w:r>
        <w:rPr>
          <w:rFonts w:hint="eastAsia"/>
          <w:bCs w:val="0"/>
        </w:rPr>
        <w:t>第六章   图  纸</w:t>
      </w:r>
      <w:bookmarkEnd w:id="438"/>
    </w:p>
    <w:bookmarkEnd w:id="437"/>
    <w:p>
      <w:pPr>
        <w:spacing w:line="312" w:lineRule="auto"/>
        <w:jc w:val="center"/>
        <w:rPr>
          <w:sz w:val="24"/>
        </w:rPr>
      </w:pPr>
      <w:r>
        <w:rPr>
          <w:rFonts w:hint="eastAsia" w:hAnsi="宋体" w:cs="黑体"/>
          <w:sz w:val="24"/>
        </w:rPr>
        <w:t>（根据招标文件第二章投标人须知前附表第2.1.1项给出的网址自行下载。）</w:t>
      </w:r>
    </w:p>
    <w:p>
      <w:pPr>
        <w:spacing w:line="312" w:lineRule="auto"/>
        <w:jc w:val="center"/>
        <w:rPr>
          <w:rFonts w:ascii="宋体" w:hAnsi="宋体" w:cs="宋体"/>
          <w:sz w:val="32"/>
          <w:szCs w:val="32"/>
        </w:rPr>
        <w:sectPr>
          <w:pgSz w:w="11906" w:h="16838"/>
          <w:pgMar w:top="1531" w:right="1418" w:bottom="1531" w:left="1418" w:header="851" w:footer="992" w:gutter="0"/>
          <w:cols w:space="720" w:num="1"/>
          <w:docGrid w:type="linesAndChars" w:linePitch="312" w:charSpace="0"/>
        </w:sectPr>
      </w:pPr>
    </w:p>
    <w:p>
      <w:pPr>
        <w:pStyle w:val="6"/>
        <w:jc w:val="center"/>
      </w:pPr>
      <w:bookmarkStart w:id="439" w:name="_Toc517940886"/>
      <w:bookmarkStart w:id="440" w:name="_Toc4592"/>
      <w:bookmarkStart w:id="441" w:name="_Toc24512"/>
      <w:bookmarkStart w:id="442" w:name="_Toc30393"/>
      <w:bookmarkStart w:id="443" w:name="_Toc23526"/>
      <w:r>
        <w:rPr>
          <w:rFonts w:hint="eastAsia"/>
        </w:rPr>
        <w:t>第七章  技术标准和要求</w:t>
      </w:r>
      <w:bookmarkEnd w:id="439"/>
      <w:bookmarkEnd w:id="440"/>
      <w:bookmarkEnd w:id="441"/>
      <w:bookmarkEnd w:id="442"/>
      <w:bookmarkEnd w:id="443"/>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tabs>
          <w:tab w:val="left" w:pos="6510"/>
        </w:tabs>
        <w:spacing w:line="500" w:lineRule="exact"/>
        <w:ind w:firstLine="470" w:firstLineChars="196"/>
        <w:jc w:val="left"/>
        <w:rPr>
          <w:rFonts w:ascii="新宋体" w:hAnsi="新宋体" w:eastAsia="新宋体"/>
          <w:b/>
          <w:bCs/>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tabs>
          <w:tab w:val="left" w:pos="6510"/>
        </w:tabs>
        <w:spacing w:line="500" w:lineRule="exact"/>
        <w:ind w:firstLine="470" w:firstLineChars="196"/>
        <w:jc w:val="left"/>
        <w:rPr>
          <w:rFonts w:ascii="新宋体" w:hAnsi="新宋体" w:eastAsia="新宋体"/>
          <w:sz w:val="24"/>
        </w:rPr>
      </w:pPr>
      <w:r>
        <w:rPr>
          <w:rFonts w:hint="eastAsia" w:ascii="新宋体" w:hAnsi="新宋体" w:eastAsia="新宋体"/>
          <w:b/>
          <w:bCs/>
          <w:sz w:val="24"/>
        </w:rPr>
        <w:t>1.倒虹吸的顶管施工要采用顶管机械施工，不得人工开挖；2.洗眉河处地质特殊，顶管施工需要根据地质选用合适的（比如破碎功能）机头。</w:t>
      </w:r>
    </w:p>
    <w:p>
      <w:pPr>
        <w:spacing w:afterLines="200" w:line="312" w:lineRule="auto"/>
        <w:jc w:val="center"/>
        <w:rPr>
          <w:rFonts w:ascii="宋体" w:hAnsi="宋体" w:cs="宋体"/>
          <w:sz w:val="24"/>
        </w:rPr>
      </w:pPr>
    </w:p>
    <w:p>
      <w:pPr>
        <w:spacing w:afterLines="200" w:line="312" w:lineRule="auto"/>
        <w:jc w:val="center"/>
        <w:rPr>
          <w:rFonts w:ascii="宋体" w:hAnsi="宋体" w:cs="宋体"/>
          <w:sz w:val="24"/>
        </w:rPr>
        <w:sectPr>
          <w:pgSz w:w="11906" w:h="16838"/>
          <w:pgMar w:top="1531" w:right="1418" w:bottom="1531" w:left="1418" w:header="851" w:footer="992" w:gutter="0"/>
          <w:cols w:space="720" w:num="1"/>
          <w:docGrid w:type="linesAndChars" w:linePitch="312" w:charSpace="0"/>
        </w:sectPr>
      </w:pPr>
    </w:p>
    <w:p>
      <w:pPr>
        <w:pStyle w:val="6"/>
        <w:jc w:val="center"/>
        <w:rPr>
          <w:rStyle w:val="62"/>
          <w:rFonts w:ascii="宋体" w:hAnsi="宋体" w:eastAsia="宋体"/>
          <w:b/>
          <w:bCs w:val="0"/>
          <w:sz w:val="44"/>
          <w:szCs w:val="44"/>
        </w:rPr>
      </w:pPr>
      <w:bookmarkStart w:id="444" w:name="_Toc27217"/>
      <w:bookmarkStart w:id="445" w:name="_Toc517940887"/>
      <w:r>
        <w:rPr>
          <w:rStyle w:val="62"/>
          <w:rFonts w:hint="eastAsia" w:ascii="宋体" w:hAnsi="宋体" w:eastAsia="宋体"/>
          <w:b/>
          <w:bCs w:val="0"/>
          <w:sz w:val="44"/>
          <w:szCs w:val="44"/>
        </w:rPr>
        <w:t>第八章  投标文件格式</w:t>
      </w:r>
      <w:bookmarkEnd w:id="444"/>
      <w:bookmarkEnd w:id="445"/>
    </w:p>
    <w:p>
      <w:pPr>
        <w:spacing w:beforeLines="100" w:line="312" w:lineRule="auto"/>
        <w:jc w:val="left"/>
        <w:rPr>
          <w:rFonts w:ascii="宋体" w:hAnsi="宋体" w:cs="宋体"/>
          <w:sz w:val="24"/>
        </w:rPr>
      </w:pPr>
    </w:p>
    <w:p>
      <w:pPr>
        <w:pStyle w:val="2"/>
        <w:ind w:firstLine="360"/>
        <w:jc w:val="right"/>
        <w:rPr>
          <w:sz w:val="36"/>
          <w:szCs w:val="36"/>
        </w:rPr>
      </w:pPr>
    </w:p>
    <w:p>
      <w:pPr>
        <w:spacing w:beforeLines="100" w:line="312" w:lineRule="auto"/>
        <w:jc w:val="center"/>
        <w:rPr>
          <w:rFonts w:ascii="宋体" w:hAnsi="宋体" w:cs="宋体"/>
          <w:sz w:val="24"/>
          <w:u w:val="single"/>
        </w:rPr>
      </w:pPr>
    </w:p>
    <w:p>
      <w:pPr>
        <w:spacing w:beforeLines="100" w:line="312" w:lineRule="auto"/>
        <w:jc w:val="center"/>
        <w:rPr>
          <w:rFonts w:ascii="宋体" w:hAnsi="宋体" w:cs="宋体"/>
          <w:sz w:val="52"/>
          <w:szCs w:val="52"/>
        </w:rPr>
      </w:pPr>
      <w:r>
        <w:rPr>
          <w:rFonts w:hint="eastAsia" w:ascii="宋体" w:hAnsi="宋体" w:cs="宋体"/>
          <w:b/>
          <w:sz w:val="28"/>
          <w:szCs w:val="28"/>
        </w:rPr>
        <w:t>项目名称/标段</w:t>
      </w:r>
    </w:p>
    <w:p>
      <w:pPr>
        <w:spacing w:beforeLines="100" w:line="312" w:lineRule="auto"/>
        <w:jc w:val="center"/>
        <w:rPr>
          <w:rFonts w:ascii="宋体" w:hAnsi="宋体" w:cs="宋体"/>
          <w:b/>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480" w:firstLineChars="200"/>
        <w:rPr>
          <w:rFonts w:ascii="宋体" w:hAnsi="宋体" w:cs="宋体"/>
          <w:b/>
          <w:sz w:val="24"/>
        </w:rPr>
      </w:pPr>
      <w:r>
        <w:rPr>
          <w:rFonts w:hint="eastAsia" w:ascii="宋体" w:hAnsi="宋体" w:cs="宋体"/>
          <w:b/>
          <w:sz w:val="24"/>
        </w:rPr>
        <w:t xml:space="preserve">                投   标   人：（盖单位章）</w:t>
      </w:r>
    </w:p>
    <w:p>
      <w:pPr>
        <w:spacing w:line="312" w:lineRule="auto"/>
        <w:ind w:firstLine="480" w:firstLineChars="200"/>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 xml:space="preserve">     法定代表人或其委托代理人：（签字或盖章）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jc w:val="left"/>
        <w:rPr>
          <w:rFonts w:ascii="宋体" w:hAnsi="宋体" w:cs="宋体"/>
          <w:sz w:val="44"/>
          <w:szCs w:val="44"/>
        </w:rPr>
      </w:pPr>
      <w:r>
        <w:rPr>
          <w:rFonts w:hint="eastAsia" w:ascii="宋体" w:hAnsi="宋体" w:cs="宋体"/>
          <w:b/>
          <w:sz w:val="24"/>
        </w:rPr>
        <w:br w:type="page"/>
      </w:r>
    </w:p>
    <w:p>
      <w:pPr>
        <w:widowControl/>
        <w:spacing w:line="312" w:lineRule="auto"/>
        <w:ind w:firstLine="3520" w:firstLineChars="800"/>
        <w:jc w:val="left"/>
        <w:rPr>
          <w:rFonts w:ascii="宋体" w:hAnsi="宋体" w:cs="宋体"/>
          <w:b/>
          <w:sz w:val="24"/>
        </w:rPr>
      </w:pP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sectPr>
          <w:pgSz w:w="11906" w:h="16838"/>
          <w:pgMar w:top="1531" w:right="1418" w:bottom="1531" w:left="1418" w:header="851" w:footer="992" w:gutter="0"/>
          <w:cols w:space="720" w:num="1"/>
          <w:docGrid w:type="linesAndChars" w:linePitch="312" w:charSpace="0"/>
        </w:sectPr>
      </w:pPr>
    </w:p>
    <w:p>
      <w:pPr>
        <w:pStyle w:val="7"/>
        <w:jc w:val="center"/>
        <w:rPr>
          <w:rFonts w:ascii="黑体" w:hAnsi="黑体" w:cs="黑体"/>
          <w:sz w:val="28"/>
          <w:szCs w:val="28"/>
        </w:rPr>
      </w:pPr>
      <w:bookmarkStart w:id="446" w:name="_Toc9303"/>
      <w:bookmarkStart w:id="447" w:name="_Toc11744"/>
      <w:bookmarkStart w:id="448" w:name="_Toc6618"/>
      <w:bookmarkStart w:id="449" w:name="_Toc6391"/>
      <w:bookmarkStart w:id="450" w:name="_Toc32211"/>
      <w:bookmarkStart w:id="451" w:name="_Toc517940888"/>
      <w:r>
        <w:rPr>
          <w:rFonts w:hint="eastAsia" w:ascii="黑体" w:hAnsi="黑体" w:cs="黑体"/>
          <w:sz w:val="28"/>
          <w:szCs w:val="28"/>
        </w:rPr>
        <w:t>一、投标函</w:t>
      </w:r>
      <w:bookmarkEnd w:id="446"/>
      <w:bookmarkEnd w:id="447"/>
      <w:bookmarkEnd w:id="448"/>
      <w:bookmarkEnd w:id="449"/>
      <w:r>
        <w:rPr>
          <w:rFonts w:hint="eastAsia" w:ascii="黑体" w:hAnsi="黑体" w:cs="黑体"/>
          <w:sz w:val="28"/>
          <w:szCs w:val="28"/>
        </w:rPr>
        <w:t>及投标函附录</w:t>
      </w:r>
      <w:bookmarkEnd w:id="450"/>
      <w:bookmarkEnd w:id="451"/>
    </w:p>
    <w:p>
      <w:pPr>
        <w:spacing w:line="312" w:lineRule="auto"/>
      </w:pPr>
    </w:p>
    <w:p>
      <w:pPr>
        <w:jc w:val="center"/>
        <w:rPr>
          <w:rFonts w:ascii="宋体" w:hAnsi="宋体" w:cs="宋体"/>
          <w:b/>
          <w:sz w:val="28"/>
          <w:szCs w:val="28"/>
        </w:rPr>
      </w:pPr>
      <w:bookmarkStart w:id="452" w:name="_Toc296678831"/>
      <w:bookmarkStart w:id="453" w:name="_Toc296676346"/>
      <w:bookmarkStart w:id="454" w:name="_Toc215282239"/>
      <w:bookmarkStart w:id="455" w:name="_Toc280275169"/>
      <w:bookmarkStart w:id="456" w:name="_Toc280271191"/>
      <w:bookmarkStart w:id="457" w:name="_Toc280271338"/>
      <w:r>
        <w:rPr>
          <w:rFonts w:hint="eastAsia" w:ascii="宋体" w:hAnsi="宋体" w:cs="宋体"/>
          <w:b/>
          <w:sz w:val="28"/>
          <w:szCs w:val="28"/>
        </w:rPr>
        <w:t>（一）投标函</w:t>
      </w:r>
      <w:bookmarkEnd w:id="452"/>
      <w:bookmarkEnd w:id="453"/>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w:t>
      </w:r>
      <w:r>
        <w:rPr>
          <w:rFonts w:hint="eastAsia" w:ascii="宋体" w:hAnsi="宋体" w:cs="宋体"/>
          <w:bCs/>
          <w:sz w:val="24"/>
          <w:u w:val="single"/>
        </w:rPr>
        <w:t xml:space="preserve">     </w:t>
      </w:r>
      <w:r>
        <w:rPr>
          <w:rFonts w:hint="eastAsia" w:ascii="宋体" w:hAnsi="宋体" w:cs="宋体"/>
          <w:bCs/>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rPr>
        <w:t xml:space="preserve">     </w:t>
      </w:r>
      <w:r>
        <w:rPr>
          <w:rFonts w:hint="eastAsia" w:ascii="宋体" w:hAnsi="宋体" w:cs="宋体"/>
          <w:bCs/>
          <w:sz w:val="24"/>
        </w:rPr>
        <w:t>日历天，质量：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pPr>
      <w:r>
        <w:rPr>
          <w:rFonts w:hint="eastAsia" w:ascii="宋体" w:hAnsi="宋体" w:cs="宋体"/>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454"/>
    <w:bookmarkEnd w:id="455"/>
    <w:bookmarkEnd w:id="456"/>
    <w:bookmarkEnd w:id="457"/>
    <w:p>
      <w:pPr>
        <w:rPr>
          <w:rFonts w:ascii="宋体" w:hAnsi="宋体" w:cs="宋体"/>
          <w:b/>
          <w:bCs/>
          <w:sz w:val="32"/>
          <w:szCs w:val="32"/>
        </w:rPr>
      </w:pPr>
      <w:bookmarkStart w:id="458" w:name="_Toc15432"/>
      <w:bookmarkStart w:id="459" w:name="_Toc26011"/>
      <w:bookmarkStart w:id="460" w:name="_Toc5184"/>
      <w:bookmarkStart w:id="461" w:name="_Toc6320"/>
      <w:r>
        <w:rPr>
          <w:rFonts w:hint="eastAsia" w:ascii="宋体" w:hAnsi="宋体" w:cs="宋体"/>
          <w:sz w:val="24"/>
        </w:rPr>
        <w:br w:type="page"/>
      </w:r>
      <w:r>
        <w:rPr>
          <w:rFonts w:hint="eastAsia" w:ascii="宋体" w:hAnsi="宋体" w:cs="宋体"/>
          <w:sz w:val="32"/>
          <w:szCs w:val="32"/>
        </w:rPr>
        <w:t>（二）投标</w:t>
      </w:r>
      <w:bookmarkEnd w:id="458"/>
      <w:bookmarkEnd w:id="459"/>
      <w:bookmarkEnd w:id="460"/>
      <w:bookmarkEnd w:id="461"/>
      <w:r>
        <w:rPr>
          <w:rFonts w:hint="eastAsia" w:ascii="宋体" w:hAnsi="宋体" w:cs="宋体"/>
          <w:sz w:val="32"/>
          <w:szCs w:val="32"/>
        </w:rPr>
        <w:t>函附录</w:t>
      </w:r>
    </w:p>
    <w:tbl>
      <w:tblPr>
        <w:tblStyle w:val="36"/>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项目名称</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标段名称</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81"/>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81"/>
              <w:spacing w:line="312" w:lineRule="auto"/>
              <w:ind w:right="210"/>
              <w:jc w:val="both"/>
              <w:textAlignment w:val="top"/>
              <w:rPr>
                <w:rFonts w:ascii="宋体" w:hAnsi="宋体" w:cs="宋体"/>
                <w:sz w:val="24"/>
                <w:szCs w:val="24"/>
              </w:rPr>
            </w:pPr>
            <w:r>
              <w:rPr>
                <w:rFonts w:hint="eastAsia" w:ascii="宋体" w:hAnsi="宋体" w:cs="宋体"/>
                <w:sz w:val="24"/>
                <w:szCs w:val="24"/>
              </w:rPr>
              <w:t>大写：                 元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1"/>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81"/>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81"/>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81"/>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拟派项目负责人</w:t>
            </w:r>
          </w:p>
        </w:tc>
        <w:tc>
          <w:tcPr>
            <w:tcW w:w="2280" w:type="dxa"/>
            <w:vAlign w:val="center"/>
          </w:tcPr>
          <w:p>
            <w:pPr>
              <w:pStyle w:val="81"/>
              <w:spacing w:line="312" w:lineRule="auto"/>
              <w:jc w:val="center"/>
              <w:textAlignment w:val="center"/>
              <w:rPr>
                <w:rFonts w:ascii="宋体" w:hAnsi="宋体" w:cs="宋体"/>
                <w:sz w:val="24"/>
                <w:szCs w:val="24"/>
              </w:rPr>
            </w:pPr>
          </w:p>
        </w:tc>
        <w:tc>
          <w:tcPr>
            <w:tcW w:w="149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1"/>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81"/>
              <w:spacing w:line="312" w:lineRule="auto"/>
              <w:jc w:val="center"/>
              <w:textAlignment w:val="center"/>
              <w:rPr>
                <w:rFonts w:ascii="宋体" w:hAnsi="宋体" w:cs="宋体"/>
                <w:sz w:val="24"/>
                <w:szCs w:val="24"/>
              </w:rPr>
            </w:pPr>
          </w:p>
        </w:tc>
        <w:tc>
          <w:tcPr>
            <w:tcW w:w="1490" w:type="dxa"/>
            <w:vAlign w:val="center"/>
          </w:tcPr>
          <w:p>
            <w:pPr>
              <w:pStyle w:val="81"/>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81"/>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81"/>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p>
          <w:p>
            <w:pPr>
              <w:pStyle w:val="81"/>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462" w:name="_Toc27165"/>
      <w:bookmarkStart w:id="463" w:name="_Toc517940889"/>
      <w:r>
        <w:rPr>
          <w:rFonts w:hint="eastAsia" w:ascii="黑体" w:hAnsi="黑体" w:eastAsia="黑体" w:cs="黑体"/>
          <w:kern w:val="0"/>
          <w:sz w:val="28"/>
          <w:szCs w:val="28"/>
        </w:rPr>
        <w:t>二、法定代表人身份证明或附有法定代表人身份证明的授权委托书</w:t>
      </w:r>
      <w:bookmarkEnd w:id="462"/>
      <w:bookmarkEnd w:id="463"/>
    </w:p>
    <w:p>
      <w:pPr>
        <w:spacing w:line="312" w:lineRule="auto"/>
        <w:rPr>
          <w:rFonts w:ascii="宋体" w:hAnsi="宋体" w:cs="宋体"/>
          <w:b/>
          <w:bCs/>
          <w:sz w:val="24"/>
        </w:rPr>
      </w:pPr>
      <w:bookmarkStart w:id="464" w:name="_Toc15089"/>
      <w:bookmarkStart w:id="465" w:name="_Toc30421"/>
      <w:bookmarkStart w:id="466" w:name="_Toc3047"/>
      <w:bookmarkStart w:id="467" w:name="_Toc26298"/>
      <w:bookmarkStart w:id="468" w:name="_Toc26381"/>
    </w:p>
    <w:p>
      <w:pPr>
        <w:jc w:val="center"/>
        <w:rPr>
          <w:rFonts w:ascii="宋体" w:hAnsi="宋体" w:cs="宋体"/>
          <w:b/>
          <w:bCs/>
          <w:sz w:val="24"/>
        </w:rPr>
      </w:pPr>
      <w:r>
        <w:rPr>
          <w:rFonts w:hint="eastAsia" w:ascii="宋体" w:hAnsi="宋体" w:cs="宋体"/>
          <w:b/>
          <w:bCs/>
          <w:sz w:val="24"/>
        </w:rPr>
        <w:t>（一）法定代表人身份证明</w:t>
      </w:r>
      <w:bookmarkEnd w:id="464"/>
      <w:bookmarkEnd w:id="465"/>
      <w:bookmarkEnd w:id="466"/>
      <w:bookmarkEnd w:id="467"/>
      <w:bookmarkEnd w:id="468"/>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成立时间：年月日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rPr>
        <w:t xml:space="preserve">年月日          </w:t>
      </w:r>
    </w:p>
    <w:p>
      <w:pPr>
        <w:jc w:val="center"/>
        <w:rPr>
          <w:rFonts w:ascii="宋体" w:hAnsi="宋体" w:cs="宋体"/>
          <w:b/>
          <w:bCs/>
          <w:sz w:val="24"/>
        </w:rPr>
      </w:pPr>
      <w:r>
        <w:rPr>
          <w:rFonts w:hint="eastAsia" w:ascii="宋体" w:hAnsi="宋体" w:cs="宋体"/>
          <w:sz w:val="24"/>
        </w:rPr>
        <w:br w:type="page"/>
      </w:r>
      <w:bookmarkStart w:id="469" w:name="_Toc28779"/>
      <w:bookmarkStart w:id="470" w:name="_Toc5932"/>
      <w:bookmarkStart w:id="471" w:name="_Toc1682"/>
      <w:bookmarkStart w:id="472" w:name="_Toc14115"/>
      <w:bookmarkStart w:id="473" w:name="_Toc7548"/>
      <w:r>
        <w:rPr>
          <w:rFonts w:hint="eastAsia" w:ascii="宋体" w:hAnsi="宋体" w:cs="宋体"/>
          <w:b/>
          <w:bCs/>
          <w:sz w:val="24"/>
        </w:rPr>
        <w:t>（二）授权委托书</w:t>
      </w:r>
      <w:bookmarkEnd w:id="469"/>
      <w:bookmarkEnd w:id="470"/>
      <w:bookmarkEnd w:id="471"/>
      <w:bookmarkEnd w:id="472"/>
      <w:bookmarkEnd w:id="473"/>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w:t>
      </w:r>
      <w:r>
        <w:rPr>
          <w:rFonts w:hint="eastAsia" w:ascii="宋体" w:hAnsi="宋体" w:cs="宋体"/>
          <w:sz w:val="24"/>
          <w:lang w:val="en-US" w:eastAsia="zh-CN"/>
        </w:rPr>
        <w:t>正反面扫描件</w:t>
      </w:r>
      <w:r>
        <w:rPr>
          <w:rFonts w:hint="eastAsia" w:ascii="宋体" w:hAnsi="宋体" w:cs="宋体"/>
          <w:sz w:val="24"/>
        </w:rPr>
        <w:t>、授权委托人身份证明</w:t>
      </w:r>
      <w:r>
        <w:rPr>
          <w:rFonts w:hint="eastAsia" w:ascii="宋体" w:hAnsi="宋体" w:cs="宋体"/>
          <w:sz w:val="24"/>
          <w:lang w:val="en-US" w:eastAsia="zh-CN"/>
        </w:rPr>
        <w:t>正反面扫描件</w:t>
      </w: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法定代表人：（签字）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委托代理人：（签字）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w:t>
      </w:r>
    </w:p>
    <w:p>
      <w:pPr>
        <w:spacing w:line="312" w:lineRule="auto"/>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pStyle w:val="7"/>
        <w:jc w:val="center"/>
        <w:rPr>
          <w:rFonts w:ascii="宋体" w:hAnsi="宋体" w:cs="宋体"/>
          <w:sz w:val="24"/>
        </w:rPr>
      </w:pPr>
      <w:r>
        <w:rPr>
          <w:rFonts w:hint="eastAsia" w:ascii="宋体" w:hAnsi="宋体" w:cs="宋体"/>
          <w:sz w:val="24"/>
        </w:rPr>
        <w:br w:type="page"/>
      </w:r>
      <w:bookmarkStart w:id="474" w:name="_Toc12158"/>
      <w:bookmarkStart w:id="475" w:name="_Toc517940890"/>
      <w:r>
        <w:rPr>
          <w:rFonts w:hint="eastAsia" w:ascii="黑体" w:hAnsi="黑体" w:cs="黑体"/>
          <w:sz w:val="28"/>
          <w:szCs w:val="28"/>
        </w:rPr>
        <w:t>三、投标保证金</w:t>
      </w:r>
      <w:bookmarkEnd w:id="474"/>
      <w:bookmarkEnd w:id="475"/>
    </w:p>
    <w:p>
      <w:pPr>
        <w:spacing w:line="312" w:lineRule="auto"/>
        <w:rPr>
          <w:rFonts w:ascii="宋体" w:hAnsi="宋体" w:cs="宋体"/>
          <w:sz w:val="24"/>
        </w:rPr>
      </w:pPr>
    </w:p>
    <w:p>
      <w:pPr>
        <w:pStyle w:val="105"/>
        <w:spacing w:line="360" w:lineRule="auto"/>
        <w:ind w:firstLine="0"/>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附提交凭证：</w:t>
      </w:r>
    </w:p>
    <w:p>
      <w:pPr>
        <w:pStyle w:val="105"/>
        <w:spacing w:line="360" w:lineRule="auto"/>
        <w:ind w:firstLine="0"/>
        <w:jc w:val="left"/>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银行转帐、银行电汇方式的，于截止时间前通过投标人基本账户将款项一次足额递交、成功绑定，以收款人到账时间为准，在途资金无效。附本项目本标段“许昌市建安区公共资源交易中心保证金缴纳回执”。</w:t>
      </w:r>
    </w:p>
    <w:p>
      <w:pPr>
        <w:pStyle w:val="105"/>
        <w:spacing w:line="360" w:lineRule="auto"/>
        <w:ind w:firstLine="0"/>
        <w:jc w:val="left"/>
        <w:rPr>
          <w:rFonts w:ascii="宋体" w:hAnsi="宋体" w:eastAsia="宋体" w:cs="宋体"/>
          <w:b/>
          <w:bCs/>
          <w:sz w:val="24"/>
          <w:szCs w:val="24"/>
        </w:rPr>
      </w:pPr>
      <w:r>
        <w:rPr>
          <w:rFonts w:hint="eastAsia" w:ascii="宋体" w:hAnsi="宋体" w:cs="宋体" w:eastAsiaTheme="minorEastAsia"/>
          <w:kern w:val="2"/>
          <w:sz w:val="24"/>
          <w:szCs w:val="24"/>
          <w:lang w:val="en-US" w:eastAsia="zh-CN" w:bidi="ar-SA"/>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pStyle w:val="105"/>
        <w:spacing w:line="360" w:lineRule="auto"/>
        <w:ind w:firstLine="0"/>
        <w:jc w:val="center"/>
        <w:rPr>
          <w:rFonts w:ascii="宋体" w:hAnsi="宋体" w:eastAsia="宋体" w:cs="宋体"/>
          <w:b/>
          <w:bCs/>
          <w:sz w:val="24"/>
          <w:szCs w:val="24"/>
        </w:rPr>
      </w:pPr>
    </w:p>
    <w:p>
      <w:pPr>
        <w:spacing w:line="312" w:lineRule="auto"/>
        <w:rPr>
          <w:rFonts w:ascii="宋体" w:hAnsi="宋体" w:cs="宋体"/>
          <w:sz w:val="24"/>
        </w:rPr>
      </w:pPr>
    </w:p>
    <w:p>
      <w:pPr>
        <w:pStyle w:val="7"/>
        <w:jc w:val="center"/>
        <w:rPr>
          <w:rFonts w:ascii="宋体" w:hAnsi="宋体" w:cs="宋体"/>
          <w:sz w:val="24"/>
        </w:rPr>
      </w:pPr>
      <w:bookmarkStart w:id="476" w:name="_Toc1165"/>
      <w:bookmarkStart w:id="477" w:name="_Toc517940891"/>
      <w:bookmarkStart w:id="478" w:name="_Toc1827"/>
      <w:bookmarkStart w:id="479" w:name="_Toc7389"/>
      <w:bookmarkStart w:id="480" w:name="_Toc9624"/>
      <w:bookmarkStart w:id="481" w:name="_Toc7150"/>
      <w:r>
        <w:rPr>
          <w:rFonts w:hint="eastAsia" w:ascii="黑体" w:hAnsi="黑体" w:cs="黑体"/>
          <w:sz w:val="28"/>
          <w:szCs w:val="28"/>
        </w:rPr>
        <w:t>四、已标价工程量清单</w:t>
      </w:r>
      <w:bookmarkEnd w:id="476"/>
      <w:bookmarkEnd w:id="477"/>
    </w:p>
    <w:p>
      <w:pPr>
        <w:rPr>
          <w:rFonts w:ascii="黑体" w:hAnsi="黑体" w:eastAsia="黑体" w:cs="黑体"/>
          <w:kern w:val="0"/>
          <w:sz w:val="28"/>
          <w:szCs w:val="28"/>
        </w:rPr>
      </w:pPr>
      <w:bookmarkStart w:id="482" w:name="_Toc2561"/>
    </w:p>
    <w:p>
      <w:pPr>
        <w:pStyle w:val="7"/>
        <w:jc w:val="center"/>
        <w:rPr>
          <w:rFonts w:ascii="黑体" w:hAnsi="黑体" w:cs="黑体"/>
          <w:sz w:val="28"/>
          <w:szCs w:val="28"/>
        </w:rPr>
      </w:pPr>
      <w:bookmarkStart w:id="483" w:name="_Toc517940892"/>
      <w:r>
        <w:rPr>
          <w:rFonts w:hint="eastAsia" w:ascii="黑体" w:hAnsi="黑体" w:cs="黑体"/>
          <w:sz w:val="28"/>
          <w:szCs w:val="28"/>
        </w:rPr>
        <w:t>五、施工组织设计</w:t>
      </w:r>
      <w:bookmarkEnd w:id="482"/>
      <w:bookmarkEnd w:id="483"/>
    </w:p>
    <w:p>
      <w:pPr>
        <w:spacing w:line="312" w:lineRule="auto"/>
        <w:ind w:firstLine="600" w:firstLineChars="250"/>
        <w:rPr>
          <w:rFonts w:ascii="宋体" w:hAnsi="宋体" w:cs="宋体"/>
          <w:sz w:val="24"/>
        </w:rPr>
      </w:pPr>
      <w:r>
        <w:rPr>
          <w:rFonts w:hint="eastAsia" w:ascii="宋体" w:hAnsi="宋体" w:cs="宋体"/>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sz w:val="24"/>
        </w:rPr>
      </w:pPr>
      <w:r>
        <w:rPr>
          <w:rFonts w:hint="eastAsia" w:ascii="宋体" w:hAnsi="宋体" w:cs="宋体"/>
          <w:sz w:val="24"/>
        </w:rPr>
        <w:t>2.施工组织设计除采用文字表述外应附相应图表,图表自拟。</w:t>
      </w:r>
    </w:p>
    <w:p>
      <w:pPr>
        <w:spacing w:line="312" w:lineRule="auto"/>
        <w:rPr>
          <w:rFonts w:ascii="宋体" w:hAnsi="宋体" w:cs="宋体"/>
          <w:sz w:val="24"/>
        </w:rPr>
      </w:pPr>
    </w:p>
    <w:p>
      <w:pPr>
        <w:spacing w:line="312" w:lineRule="auto"/>
        <w:rPr>
          <w:rFonts w:ascii="宋体" w:hAnsi="宋体" w:cs="宋体"/>
          <w:szCs w:val="21"/>
        </w:rPr>
      </w:pPr>
    </w:p>
    <w:p>
      <w:pPr>
        <w:spacing w:line="312" w:lineRule="auto"/>
        <w:rPr>
          <w:rFonts w:ascii="宋体" w:hAnsi="宋体" w:cs="宋体"/>
          <w:szCs w:val="21"/>
        </w:rPr>
      </w:pPr>
    </w:p>
    <w:p>
      <w:pPr>
        <w:spacing w:line="312" w:lineRule="auto"/>
      </w:pPr>
    </w:p>
    <w:p>
      <w:pPr>
        <w:spacing w:line="312" w:lineRule="auto"/>
      </w:pPr>
    </w:p>
    <w:p>
      <w:pPr>
        <w:pStyle w:val="7"/>
        <w:jc w:val="center"/>
        <w:rPr>
          <w:rFonts w:ascii="宋体" w:hAnsi="宋体" w:cs="宋体"/>
          <w:sz w:val="24"/>
        </w:rPr>
      </w:pPr>
      <w:bookmarkStart w:id="484" w:name="_Toc517940893"/>
      <w:bookmarkStart w:id="485" w:name="_Toc20269"/>
      <w:r>
        <w:rPr>
          <w:rFonts w:hint="eastAsia" w:ascii="黑体" w:hAnsi="黑体" w:cs="黑体"/>
          <w:sz w:val="28"/>
          <w:szCs w:val="28"/>
        </w:rPr>
        <w:t>六、项目管理机构</w:t>
      </w:r>
      <w:bookmarkEnd w:id="478"/>
      <w:bookmarkEnd w:id="479"/>
      <w:bookmarkEnd w:id="480"/>
      <w:bookmarkEnd w:id="481"/>
      <w:bookmarkEnd w:id="484"/>
      <w:bookmarkEnd w:id="485"/>
    </w:p>
    <w:p>
      <w:pPr>
        <w:rPr>
          <w:rFonts w:ascii="宋体" w:hAnsi="宋体" w:cs="宋体"/>
          <w:b/>
          <w:bCs/>
          <w:sz w:val="24"/>
        </w:rPr>
      </w:pPr>
      <w:bookmarkStart w:id="486" w:name="_Toc26208"/>
      <w:bookmarkStart w:id="487" w:name="_Toc21137"/>
      <w:bookmarkStart w:id="488" w:name="_Toc25342"/>
      <w:bookmarkStart w:id="489" w:name="_Toc27720"/>
      <w:bookmarkStart w:id="490" w:name="_Toc8921"/>
      <w:r>
        <w:rPr>
          <w:rFonts w:hint="eastAsia" w:ascii="宋体" w:hAnsi="宋体" w:cs="宋体"/>
          <w:b/>
          <w:bCs/>
          <w:sz w:val="24"/>
        </w:rPr>
        <w:t>（一）项目管理机构组成表</w:t>
      </w:r>
      <w:bookmarkEnd w:id="486"/>
      <w:bookmarkEnd w:id="487"/>
      <w:bookmarkEnd w:id="488"/>
      <w:bookmarkEnd w:id="489"/>
      <w:bookmarkEnd w:id="490"/>
    </w:p>
    <w:tbl>
      <w:tblPr>
        <w:tblStyle w:val="3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rPr>
          <w:rFonts w:ascii="宋体" w:hAnsi="宋体" w:cs="宋体"/>
          <w:sz w:val="24"/>
        </w:rPr>
      </w:pPr>
      <w:bookmarkStart w:id="491" w:name="_Toc590"/>
      <w:bookmarkStart w:id="492" w:name="_Toc3522"/>
      <w:bookmarkStart w:id="493" w:name="_Toc22776"/>
      <w:bookmarkStart w:id="494" w:name="_Toc27110"/>
      <w:bookmarkStart w:id="495" w:name="_Toc26047"/>
      <w:r>
        <w:rPr>
          <w:rFonts w:hint="eastAsia" w:ascii="宋体" w:hAnsi="宋体" w:cs="宋体"/>
          <w:b/>
          <w:bCs/>
          <w:sz w:val="24"/>
        </w:rPr>
        <w:t>（二）主要人员简历表</w:t>
      </w:r>
      <w:bookmarkEnd w:id="491"/>
      <w:bookmarkEnd w:id="492"/>
      <w:bookmarkEnd w:id="493"/>
      <w:bookmarkEnd w:id="494"/>
      <w:bookmarkEnd w:id="495"/>
    </w:p>
    <w:p>
      <w:pPr>
        <w:rPr>
          <w:rFonts w:ascii="宋体" w:hAnsi="宋体" w:cs="宋体"/>
          <w:b/>
          <w:sz w:val="24"/>
        </w:rPr>
      </w:pPr>
      <w:bookmarkStart w:id="496" w:name="_Toc13679"/>
      <w:bookmarkStart w:id="497" w:name="_Toc20732"/>
      <w:bookmarkStart w:id="498" w:name="_Toc23995"/>
      <w:bookmarkStart w:id="499" w:name="_Toc20036"/>
      <w:bookmarkStart w:id="500" w:name="_Toc9814"/>
      <w:r>
        <w:rPr>
          <w:rFonts w:hint="eastAsia" w:ascii="宋体" w:hAnsi="宋体" w:cs="宋体"/>
          <w:b/>
          <w:sz w:val="24"/>
        </w:rPr>
        <w:t>附1：项目经理简历表</w:t>
      </w:r>
    </w:p>
    <w:p>
      <w:pPr>
        <w:spacing w:line="312" w:lineRule="auto"/>
        <w:ind w:firstLine="600" w:firstLineChars="250"/>
        <w:rPr>
          <w:rFonts w:ascii="宋体" w:hAnsi="宋体" w:cs="宋体"/>
          <w:sz w:val="24"/>
        </w:rPr>
      </w:pPr>
      <w:r>
        <w:rPr>
          <w:rFonts w:hint="eastAsia" w:ascii="宋体" w:hAnsi="宋体" w:cs="宋体"/>
          <w:sz w:val="24"/>
        </w:rPr>
        <w:t>项目经理应附项目经理身份证、注册建造师证书、继续教育证明（如有）、职称证（如有）、劳动合同、养老保险及未担任其他在施建设工程项目经理的承诺书，类似项目业绩（如有）。</w:t>
      </w:r>
    </w:p>
    <w:tbl>
      <w:tblPr>
        <w:tblStyle w:val="36"/>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bookmarkEnd w:id="496"/>
      <w:bookmarkEnd w:id="497"/>
      <w:bookmarkEnd w:id="498"/>
      <w:bookmarkEnd w:id="499"/>
      <w:bookmarkEnd w:id="500"/>
    </w:tbl>
    <w:p>
      <w:pPr>
        <w:spacing w:line="312" w:lineRule="auto"/>
        <w:rPr>
          <w:rFonts w:ascii="宋体" w:hAnsi="宋体" w:cs="宋体"/>
          <w:b/>
          <w:sz w:val="24"/>
        </w:rPr>
      </w:pPr>
      <w:bookmarkStart w:id="501" w:name="_Toc5309"/>
      <w:bookmarkStart w:id="502" w:name="_Toc29679"/>
      <w:bookmarkStart w:id="503" w:name="_Toc23329"/>
      <w:bookmarkStart w:id="504" w:name="_Toc32193"/>
      <w:bookmarkStart w:id="505" w:name="_Toc17717"/>
      <w:r>
        <w:rPr>
          <w:rFonts w:hint="eastAsia" w:ascii="宋体" w:hAnsi="宋体" w:cs="宋体"/>
          <w:b/>
          <w:sz w:val="24"/>
        </w:rPr>
        <w:t>附2：技术负责人简历表</w:t>
      </w:r>
    </w:p>
    <w:p>
      <w:pPr>
        <w:spacing w:line="312" w:lineRule="auto"/>
        <w:ind w:firstLine="600" w:firstLineChars="250"/>
        <w:rPr>
          <w:rFonts w:ascii="宋体" w:hAnsi="宋体" w:cs="宋体"/>
          <w:sz w:val="24"/>
        </w:rPr>
      </w:pPr>
    </w:p>
    <w:tbl>
      <w:tblPr>
        <w:tblStyle w:val="3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7"/>
        <w:rPr>
          <w:rFonts w:ascii="宋体" w:hAnsi="宋体" w:cs="宋体"/>
          <w:sz w:val="24"/>
        </w:rPr>
      </w:pPr>
      <w:bookmarkStart w:id="506" w:name="_Toc517940894"/>
      <w:r>
        <w:rPr>
          <w:rFonts w:hint="eastAsia" w:ascii="黑体" w:hAnsi="黑体" w:cs="黑体"/>
          <w:sz w:val="28"/>
          <w:szCs w:val="28"/>
        </w:rPr>
        <w:t>七、资格证明文件</w:t>
      </w:r>
      <w:bookmarkEnd w:id="501"/>
      <w:bookmarkEnd w:id="502"/>
      <w:bookmarkEnd w:id="503"/>
      <w:bookmarkEnd w:id="504"/>
      <w:bookmarkEnd w:id="505"/>
      <w:bookmarkEnd w:id="506"/>
    </w:p>
    <w:p>
      <w:pPr>
        <w:rPr>
          <w:rFonts w:ascii="宋体" w:hAnsi="宋体" w:cs="宋体"/>
          <w:b/>
          <w:bCs/>
          <w:sz w:val="24"/>
        </w:rPr>
      </w:pPr>
      <w:bookmarkStart w:id="507" w:name="_Toc28368"/>
      <w:bookmarkStart w:id="508" w:name="_Toc15464"/>
      <w:bookmarkStart w:id="509" w:name="_Toc2951"/>
      <w:bookmarkStart w:id="510" w:name="_Toc7115"/>
      <w:bookmarkStart w:id="511" w:name="_Toc1268"/>
      <w:r>
        <w:rPr>
          <w:rFonts w:hint="eastAsia" w:ascii="宋体" w:hAnsi="宋体" w:cs="宋体"/>
          <w:b/>
          <w:bCs/>
          <w:sz w:val="24"/>
        </w:rPr>
        <w:t>（一）投标人基本情况表</w:t>
      </w:r>
      <w:bookmarkEnd w:id="507"/>
      <w:bookmarkEnd w:id="508"/>
      <w:bookmarkEnd w:id="509"/>
      <w:bookmarkEnd w:id="510"/>
      <w:bookmarkEnd w:id="511"/>
    </w:p>
    <w:tbl>
      <w:tblPr>
        <w:tblStyle w:val="36"/>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rPr>
          <w:rFonts w:ascii="宋体" w:hAnsi="宋体" w:cs="宋体"/>
          <w:kern w:val="0"/>
          <w:sz w:val="24"/>
        </w:rPr>
      </w:pPr>
      <w:bookmarkStart w:id="512" w:name="_Toc6846"/>
      <w:bookmarkStart w:id="513" w:name="_Toc28785"/>
      <w:bookmarkStart w:id="514" w:name="_Toc6643"/>
      <w:bookmarkStart w:id="515" w:name="_Toc2791"/>
      <w:bookmarkStart w:id="516" w:name="_Toc25724"/>
      <w:r>
        <w:rPr>
          <w:rFonts w:hint="eastAsia" w:ascii="宋体" w:hAnsi="宋体" w:cs="宋体"/>
          <w:kern w:val="0"/>
          <w:sz w:val="24"/>
        </w:rPr>
        <w:br w:type="page"/>
      </w:r>
      <w:bookmarkEnd w:id="512"/>
      <w:bookmarkEnd w:id="513"/>
      <w:bookmarkEnd w:id="514"/>
      <w:bookmarkEnd w:id="515"/>
      <w:bookmarkEnd w:id="516"/>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3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517" w:name="_Toc26172"/>
            <w:bookmarkStart w:id="518" w:name="_Toc23283"/>
            <w:bookmarkStart w:id="519" w:name="_Toc1890"/>
            <w:bookmarkStart w:id="520" w:name="_Toc25113"/>
            <w:bookmarkStart w:id="521" w:name="_Toc28062"/>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517"/>
    <w:bookmarkEnd w:id="518"/>
    <w:bookmarkEnd w:id="519"/>
    <w:bookmarkEnd w:id="520"/>
    <w:bookmarkEnd w:id="521"/>
    <w:p>
      <w:pPr>
        <w:spacing w:line="312" w:lineRule="auto"/>
      </w:pPr>
      <w:bookmarkStart w:id="522" w:name="_Toc18027"/>
      <w:bookmarkStart w:id="523" w:name="_Toc17947"/>
      <w:bookmarkStart w:id="524" w:name="_Toc2992"/>
      <w:bookmarkStart w:id="525" w:name="_Toc3076"/>
      <w:bookmarkStart w:id="526" w:name="_Toc8776"/>
    </w:p>
    <w:bookmarkEnd w:id="522"/>
    <w:bookmarkEnd w:id="523"/>
    <w:bookmarkEnd w:id="524"/>
    <w:bookmarkEnd w:id="525"/>
    <w:bookmarkEnd w:id="526"/>
    <w:p>
      <w:pPr>
        <w:spacing w:line="312" w:lineRule="auto"/>
      </w:pPr>
      <w:bookmarkStart w:id="527" w:name="_Toc30171"/>
      <w:bookmarkStart w:id="528" w:name="_Toc31783"/>
      <w:bookmarkStart w:id="529" w:name="_Toc10712"/>
      <w:bookmarkStart w:id="530" w:name="_Toc389"/>
    </w:p>
    <w:p>
      <w:pPr>
        <w:spacing w:line="312" w:lineRule="auto"/>
      </w:pPr>
    </w:p>
    <w:p>
      <w:pPr>
        <w:pStyle w:val="7"/>
        <w:jc w:val="center"/>
        <w:rPr>
          <w:rFonts w:ascii="黑体" w:hAnsi="黑体" w:cs="黑体"/>
          <w:sz w:val="28"/>
          <w:szCs w:val="28"/>
        </w:rPr>
      </w:pPr>
      <w:bookmarkStart w:id="531" w:name="_Toc517940895"/>
      <w:bookmarkStart w:id="532" w:name="_Toc965"/>
      <w:r>
        <w:rPr>
          <w:rFonts w:hint="eastAsia" w:ascii="黑体" w:hAnsi="黑体" w:cs="黑体"/>
          <w:sz w:val="28"/>
          <w:szCs w:val="28"/>
        </w:rPr>
        <w:t>八、近年财务状况表</w:t>
      </w:r>
      <w:bookmarkEnd w:id="527"/>
      <w:bookmarkEnd w:id="528"/>
      <w:bookmarkEnd w:id="529"/>
      <w:bookmarkEnd w:id="530"/>
      <w:bookmarkEnd w:id="531"/>
      <w:bookmarkEnd w:id="532"/>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或会计报表附注）的原件扫描件或图片，具体年份要求见第二章“投标人须知”的规定。</w:t>
      </w:r>
    </w:p>
    <w:p>
      <w:pPr>
        <w:pStyle w:val="7"/>
        <w:rPr>
          <w:rFonts w:ascii="宋体" w:hAnsi="宋体" w:cs="宋体"/>
          <w:sz w:val="28"/>
          <w:szCs w:val="28"/>
        </w:rPr>
      </w:pPr>
      <w:r>
        <w:rPr>
          <w:rFonts w:hint="eastAsia" w:ascii="宋体" w:hAnsi="宋体" w:cs="宋体"/>
          <w:sz w:val="24"/>
        </w:rPr>
        <w:br w:type="page"/>
      </w:r>
      <w:bookmarkStart w:id="533" w:name="_Toc21593"/>
      <w:bookmarkStart w:id="534" w:name="_Toc18551"/>
      <w:bookmarkStart w:id="535" w:name="_Toc517940896"/>
      <w:bookmarkStart w:id="536" w:name="_Toc16611"/>
      <w:bookmarkStart w:id="537" w:name="_Toc15031"/>
      <w:bookmarkStart w:id="538" w:name="_Toc15075"/>
      <w:r>
        <w:rPr>
          <w:rFonts w:hint="eastAsia" w:ascii="黑体" w:hAnsi="黑体" w:cs="黑体"/>
          <w:sz w:val="28"/>
          <w:szCs w:val="28"/>
        </w:rPr>
        <w:t>九、近年完成的类似项目情况表</w:t>
      </w:r>
      <w:bookmarkEnd w:id="533"/>
      <w:bookmarkEnd w:id="534"/>
      <w:bookmarkEnd w:id="535"/>
      <w:bookmarkEnd w:id="536"/>
      <w:bookmarkEnd w:id="537"/>
      <w:bookmarkEnd w:id="538"/>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pStyle w:val="7"/>
        <w:rPr>
          <w:rFonts w:ascii="黑体" w:hAnsi="黑体" w:cs="黑体"/>
          <w:sz w:val="28"/>
          <w:szCs w:val="28"/>
        </w:rPr>
      </w:pPr>
      <w:r>
        <w:rPr>
          <w:rFonts w:hint="eastAsia" w:ascii="宋体" w:hAnsi="宋体" w:cs="宋体"/>
          <w:sz w:val="24"/>
        </w:rPr>
        <w:br w:type="page"/>
      </w:r>
      <w:bookmarkStart w:id="539" w:name="_Toc49"/>
      <w:bookmarkStart w:id="540" w:name="_Toc7014"/>
      <w:bookmarkStart w:id="541" w:name="_Toc517940897"/>
      <w:bookmarkStart w:id="542" w:name="_Toc18092"/>
      <w:bookmarkStart w:id="543" w:name="_Toc8051"/>
      <w:bookmarkStart w:id="544" w:name="_Toc21600"/>
      <w:r>
        <w:rPr>
          <w:rFonts w:hint="eastAsia" w:ascii="黑体" w:hAnsi="黑体" w:cs="黑体"/>
          <w:sz w:val="28"/>
          <w:szCs w:val="28"/>
        </w:rPr>
        <w:t>十、正在施工的和新承接的项目情况表</w:t>
      </w:r>
      <w:bookmarkEnd w:id="539"/>
      <w:bookmarkEnd w:id="540"/>
      <w:bookmarkEnd w:id="541"/>
      <w:bookmarkEnd w:id="542"/>
      <w:bookmarkEnd w:id="543"/>
      <w:bookmarkEnd w:id="544"/>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ind w:firstLine="240" w:firstLineChars="100"/>
        <w:rPr>
          <w:rFonts w:ascii="宋体" w:hAnsi="宋体" w:cs="宋体"/>
          <w:sz w:val="24"/>
          <w:highlight w:val="yellow"/>
        </w:rPr>
      </w:pPr>
      <w:r>
        <w:rPr>
          <w:rFonts w:hint="eastAsia" w:ascii="宋体" w:hAnsi="宋体" w:cs="宋体"/>
          <w:sz w:val="24"/>
        </w:rPr>
        <w:t>备注：每张表格只填写一个项目，并标明序号。</w:t>
      </w:r>
    </w:p>
    <w:p>
      <w:pPr>
        <w:pStyle w:val="7"/>
        <w:rPr>
          <w:rFonts w:ascii="宋体" w:hAnsi="宋体" w:eastAsia="宋体" w:cs="宋体"/>
          <w:b w:val="0"/>
          <w:bCs w:val="0"/>
          <w:kern w:val="2"/>
          <w:sz w:val="24"/>
          <w:szCs w:val="24"/>
        </w:rPr>
      </w:pPr>
      <w:bookmarkStart w:id="545" w:name="_Toc23559"/>
      <w:bookmarkStart w:id="546" w:name="_Toc10462"/>
      <w:bookmarkStart w:id="547" w:name="_Toc31962"/>
      <w:bookmarkStart w:id="548" w:name="_Toc25001"/>
      <w:r>
        <w:rPr>
          <w:rFonts w:hint="eastAsia" w:ascii="宋体" w:hAnsi="宋体" w:cs="宋体"/>
          <w:sz w:val="24"/>
        </w:rPr>
        <w:br w:type="page"/>
      </w:r>
      <w:bookmarkStart w:id="549" w:name="_Toc19843"/>
      <w:bookmarkStart w:id="550" w:name="_Toc517940898"/>
      <w:r>
        <w:rPr>
          <w:rFonts w:hint="eastAsia" w:ascii="黑体" w:hAnsi="黑体" w:cs="黑体"/>
          <w:sz w:val="28"/>
          <w:szCs w:val="28"/>
        </w:rPr>
        <w:t>十一、</w:t>
      </w:r>
      <w:bookmarkEnd w:id="545"/>
      <w:bookmarkEnd w:id="546"/>
      <w:bookmarkEnd w:id="547"/>
      <w:bookmarkEnd w:id="548"/>
      <w:bookmarkEnd w:id="549"/>
      <w:bookmarkEnd w:id="550"/>
      <w:bookmarkStart w:id="551" w:name="_Toc31843"/>
      <w:bookmarkStart w:id="552" w:name="_Toc10922"/>
      <w:bookmarkStart w:id="553" w:name="_Toc24665"/>
      <w:bookmarkStart w:id="554" w:name="_Toc29877"/>
      <w:bookmarkStart w:id="555" w:name="_Toc13881"/>
      <w:r>
        <w:rPr>
          <w:rFonts w:hint="eastAsia" w:ascii="黑体" w:hAnsi="黑体" w:cs="黑体"/>
          <w:sz w:val="28"/>
          <w:szCs w:val="28"/>
        </w:rPr>
        <w:t>承诺书</w:t>
      </w:r>
    </w:p>
    <w:p>
      <w:pPr>
        <w:pStyle w:val="7"/>
        <w:rPr>
          <w:rFonts w:ascii="宋体" w:hAnsi="宋体" w:eastAsia="宋体" w:cs="宋体"/>
          <w:b w:val="0"/>
          <w:bCs w:val="0"/>
          <w:kern w:val="2"/>
          <w:sz w:val="24"/>
          <w:szCs w:val="24"/>
        </w:rPr>
      </w:pPr>
    </w:p>
    <w:p>
      <w:pPr>
        <w:pStyle w:val="7"/>
        <w:rPr>
          <w:rFonts w:ascii="宋体" w:hAnsi="宋体" w:cs="宋体"/>
          <w:position w:val="-7"/>
          <w:sz w:val="24"/>
        </w:rPr>
      </w:pPr>
      <w:bookmarkStart w:id="556" w:name="_Toc517940900"/>
      <w:r>
        <w:rPr>
          <w:rFonts w:hint="eastAsia" w:ascii="黑体" w:hAnsi="黑体" w:cs="黑体"/>
          <w:sz w:val="28"/>
          <w:szCs w:val="28"/>
        </w:rPr>
        <w:t>十二、</w:t>
      </w:r>
      <w:bookmarkEnd w:id="551"/>
      <w:bookmarkEnd w:id="552"/>
      <w:bookmarkEnd w:id="553"/>
      <w:bookmarkEnd w:id="554"/>
      <w:bookmarkEnd w:id="555"/>
      <w:bookmarkEnd w:id="556"/>
      <w:r>
        <w:rPr>
          <w:rFonts w:hint="eastAsia" w:ascii="黑体" w:hAnsi="黑体" w:cs="黑体"/>
          <w:sz w:val="28"/>
          <w:szCs w:val="28"/>
        </w:rPr>
        <w:t>投标人须知前附表规定的其它材料</w:t>
      </w:r>
    </w:p>
    <w:p>
      <w:pPr>
        <w:spacing w:line="312" w:lineRule="auto"/>
        <w:ind w:left="840" w:hanging="840" w:hangingChars="300"/>
        <w:jc w:val="left"/>
        <w:outlineLvl w:val="1"/>
        <w:rPr>
          <w:rFonts w:ascii="黑体" w:hAnsi="黑体" w:eastAsia="黑体" w:cs="黑体"/>
          <w:sz w:val="28"/>
          <w:szCs w:val="28"/>
        </w:rPr>
      </w:pPr>
      <w:bookmarkStart w:id="557" w:name="_Toc21067"/>
      <w:bookmarkStart w:id="558" w:name="_Toc30480"/>
      <w:bookmarkStart w:id="559" w:name="_Toc14405"/>
      <w:bookmarkStart w:id="560" w:name="_Toc2136"/>
      <w:r>
        <w:rPr>
          <w:rFonts w:hint="eastAsia" w:ascii="黑体" w:hAnsi="黑体" w:eastAsia="黑体" w:cs="黑体"/>
          <w:sz w:val="28"/>
          <w:szCs w:val="28"/>
        </w:rPr>
        <w:t>附表：             投标人主要参建人员签字备案表</w:t>
      </w:r>
    </w:p>
    <w:p>
      <w:pPr>
        <w:spacing w:line="312" w:lineRule="auto"/>
        <w:ind w:left="840" w:hanging="840" w:hangingChars="300"/>
        <w:jc w:val="left"/>
        <w:outlineLvl w:val="1"/>
        <w:rPr>
          <w:rFonts w:ascii="黑体" w:hAnsi="黑体" w:eastAsia="黑体" w:cs="黑体"/>
          <w:sz w:val="28"/>
          <w:szCs w:val="28"/>
        </w:rPr>
      </w:pPr>
    </w:p>
    <w:tbl>
      <w:tblPr>
        <w:tblStyle w:val="36"/>
        <w:tblW w:w="86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hAnsi="宋体" w:cs="黑体"/>
                <w:sz w:val="24"/>
              </w:rPr>
            </w:pPr>
            <w:r>
              <w:rPr>
                <w:rFonts w:hint="eastAsia" w:hAnsi="宋体" w:cs="黑体"/>
                <w:sz w:val="24"/>
              </w:rPr>
              <w:t>姓名</w:t>
            </w:r>
          </w:p>
        </w:tc>
        <w:tc>
          <w:tcPr>
            <w:tcW w:w="1760" w:type="dxa"/>
            <w:vAlign w:val="center"/>
          </w:tcPr>
          <w:p>
            <w:pPr>
              <w:spacing w:line="312" w:lineRule="auto"/>
              <w:jc w:val="center"/>
              <w:outlineLvl w:val="1"/>
              <w:rPr>
                <w:rFonts w:hAnsi="宋体" w:cs="黑体"/>
                <w:sz w:val="24"/>
              </w:rPr>
            </w:pPr>
            <w:r>
              <w:rPr>
                <w:rFonts w:hint="eastAsia" w:hAnsi="宋体" w:cs="黑体"/>
                <w:sz w:val="24"/>
              </w:rPr>
              <w:t>拟任职务</w:t>
            </w:r>
          </w:p>
        </w:tc>
        <w:tc>
          <w:tcPr>
            <w:tcW w:w="1760" w:type="dxa"/>
            <w:vAlign w:val="center"/>
          </w:tcPr>
          <w:p>
            <w:pPr>
              <w:spacing w:line="312" w:lineRule="auto"/>
              <w:jc w:val="center"/>
              <w:outlineLvl w:val="1"/>
              <w:rPr>
                <w:rFonts w:hAnsi="宋体" w:cs="黑体"/>
                <w:sz w:val="24"/>
              </w:rPr>
            </w:pPr>
            <w:r>
              <w:rPr>
                <w:rFonts w:hint="eastAsia" w:hAnsi="宋体" w:cs="黑体"/>
                <w:sz w:val="24"/>
              </w:rPr>
              <w:t>身份证号</w:t>
            </w:r>
          </w:p>
        </w:tc>
        <w:tc>
          <w:tcPr>
            <w:tcW w:w="1548" w:type="dxa"/>
            <w:vAlign w:val="center"/>
          </w:tcPr>
          <w:p>
            <w:pPr>
              <w:spacing w:line="312" w:lineRule="auto"/>
              <w:jc w:val="center"/>
              <w:outlineLvl w:val="1"/>
              <w:rPr>
                <w:rFonts w:hAnsi="宋体" w:cs="黑体"/>
                <w:sz w:val="24"/>
              </w:rPr>
            </w:pPr>
            <w:r>
              <w:rPr>
                <w:rFonts w:hint="eastAsia" w:hAnsi="宋体" w:cs="黑体"/>
                <w:sz w:val="24"/>
              </w:rPr>
              <w:t>联系电话</w:t>
            </w:r>
          </w:p>
        </w:tc>
        <w:tc>
          <w:tcPr>
            <w:tcW w:w="1800" w:type="dxa"/>
            <w:vAlign w:val="center"/>
          </w:tcPr>
          <w:p>
            <w:pPr>
              <w:spacing w:line="312" w:lineRule="auto"/>
              <w:jc w:val="center"/>
              <w:outlineLvl w:val="1"/>
              <w:rPr>
                <w:rFonts w:hAnsi="宋体" w:cs="黑体"/>
                <w:sz w:val="24"/>
              </w:rPr>
            </w:pPr>
            <w:r>
              <w:rPr>
                <w:rFonts w:hint="eastAsia" w:hAnsi="宋体" w:cs="黑体"/>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760" w:type="dxa"/>
            <w:vAlign w:val="center"/>
          </w:tcPr>
          <w:p>
            <w:pPr>
              <w:spacing w:line="312" w:lineRule="auto"/>
              <w:jc w:val="center"/>
              <w:outlineLvl w:val="1"/>
              <w:rPr>
                <w:rFonts w:hAnsi="宋体" w:cs="黑体"/>
                <w:sz w:val="24"/>
              </w:rPr>
            </w:pPr>
          </w:p>
        </w:tc>
        <w:tc>
          <w:tcPr>
            <w:tcW w:w="1548" w:type="dxa"/>
            <w:vAlign w:val="center"/>
          </w:tcPr>
          <w:p>
            <w:pPr>
              <w:spacing w:line="312" w:lineRule="auto"/>
              <w:jc w:val="center"/>
              <w:outlineLvl w:val="1"/>
              <w:rPr>
                <w:rFonts w:hAnsi="宋体" w:cs="黑体"/>
                <w:sz w:val="24"/>
              </w:rPr>
            </w:pPr>
          </w:p>
        </w:tc>
        <w:tc>
          <w:tcPr>
            <w:tcW w:w="1800" w:type="dxa"/>
            <w:vAlign w:val="center"/>
          </w:tcPr>
          <w:p>
            <w:pPr>
              <w:spacing w:line="312" w:lineRule="auto"/>
              <w:jc w:val="center"/>
              <w:outlineLvl w:val="1"/>
              <w:rPr>
                <w:rFonts w:hAnsi="宋体" w:cs="黑体"/>
                <w:sz w:val="24"/>
              </w:rPr>
            </w:pPr>
          </w:p>
        </w:tc>
      </w:tr>
    </w:tbl>
    <w:p>
      <w:pPr>
        <w:spacing w:line="312" w:lineRule="auto"/>
      </w:pPr>
    </w:p>
    <w:bookmarkEnd w:id="557"/>
    <w:bookmarkEnd w:id="558"/>
    <w:bookmarkEnd w:id="559"/>
    <w:bookmarkEnd w:id="560"/>
    <w:p>
      <w:pPr>
        <w:rPr>
          <w:rFonts w:ascii="黑体" w:hAnsi="黑体" w:eastAsia="黑体" w:cs="黑体"/>
          <w:kern w:val="0"/>
          <w:sz w:val="28"/>
          <w:szCs w:val="28"/>
        </w:rPr>
      </w:pPr>
    </w:p>
    <w:p>
      <w:pPr>
        <w:rPr>
          <w:rFonts w:ascii="黑体" w:hAnsi="黑体" w:eastAsia="黑体" w:cs="黑体"/>
          <w:kern w:val="0"/>
          <w:sz w:val="28"/>
          <w:szCs w:val="28"/>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Segoe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Segoe UI">
    <w:panose1 w:val="020B0502040204020203"/>
    <w:charset w:val="80"/>
    <w:family w:val="modern"/>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p>
  <w:p>
    <w:pPr>
      <w:pStyle w:val="23"/>
      <w:ind w:right="360"/>
      <w:jc w:val="center"/>
      <w:rPr>
        <w:sz w:val="24"/>
        <w:u w:val="single"/>
      </w:rPr>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3"/>
                  <w:ind w:right="360"/>
                  <w:jc w:val="center"/>
                </w:pPr>
                <w:r>
                  <w:fldChar w:fldCharType="begin"/>
                </w:r>
                <w:r>
                  <w:rPr>
                    <w:rStyle w:val="39"/>
                  </w:rPr>
                  <w:instrText xml:space="preserve">PAGE  </w:instrText>
                </w:r>
                <w:r>
                  <w:fldChar w:fldCharType="separate"/>
                </w:r>
                <w:r>
                  <w:rPr>
                    <w:rStyle w:val="39"/>
                  </w:rP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right" w:pos="9354"/>
      </w:tabs>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3B93F"/>
    <w:multiLevelType w:val="singleLevel"/>
    <w:tmpl w:val="A893B93F"/>
    <w:lvl w:ilvl="0" w:tentative="0">
      <w:start w:val="5"/>
      <w:numFmt w:val="chineseCounting"/>
      <w:suff w:val="space"/>
      <w:lvlText w:val="第%1章"/>
      <w:lvlJc w:val="left"/>
      <w:rPr>
        <w:rFonts w:hint="eastAsia"/>
      </w:rPr>
    </w:lvl>
  </w:abstractNum>
  <w:abstractNum w:abstractNumId="1">
    <w:nsid w:val="AE4FFC93"/>
    <w:multiLevelType w:val="singleLevel"/>
    <w:tmpl w:val="AE4FFC93"/>
    <w:lvl w:ilvl="0" w:tentative="0">
      <w:start w:val="1"/>
      <w:numFmt w:val="decimal"/>
      <w:suff w:val="space"/>
      <w:lvlText w:val="%1."/>
      <w:lvlJc w:val="left"/>
    </w:lvl>
  </w:abstractNum>
  <w:abstractNum w:abstractNumId="2">
    <w:nsid w:val="5278B250"/>
    <w:multiLevelType w:val="singleLevel"/>
    <w:tmpl w:val="5278B250"/>
    <w:lvl w:ilvl="0" w:tentative="0">
      <w:start w:val="1"/>
      <w:numFmt w:val="decimal"/>
      <w:suff w:val="nothing"/>
      <w:lvlText w:val="（%1）"/>
      <w:lvlJc w:val="left"/>
    </w:lvl>
  </w:abstractNum>
  <w:abstractNum w:abstractNumId="3">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4692D"/>
    <w:multiLevelType w:val="singleLevel"/>
    <w:tmpl w:val="59E4692D"/>
    <w:lvl w:ilvl="0" w:tentative="0">
      <w:start w:val="4"/>
      <w:numFmt w:val="decimal"/>
      <w:suff w:val="nothing"/>
      <w:lvlText w:val="%1、"/>
      <w:lvlJc w:val="left"/>
    </w:lvl>
  </w:abstractNum>
  <w:abstractNum w:abstractNumId="5">
    <w:nsid w:val="5B8CF78C"/>
    <w:multiLevelType w:val="singleLevel"/>
    <w:tmpl w:val="5B8CF78C"/>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35"/>
    <w:rsid w:val="00004D17"/>
    <w:rsid w:val="0000733A"/>
    <w:rsid w:val="00007DC6"/>
    <w:rsid w:val="00012270"/>
    <w:rsid w:val="00012D4B"/>
    <w:rsid w:val="00014DA7"/>
    <w:rsid w:val="00017307"/>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07D3"/>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241"/>
    <w:rsid w:val="00126717"/>
    <w:rsid w:val="0013225E"/>
    <w:rsid w:val="001323A3"/>
    <w:rsid w:val="00133BF0"/>
    <w:rsid w:val="00137B08"/>
    <w:rsid w:val="001410FE"/>
    <w:rsid w:val="001453A4"/>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049D"/>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1F58"/>
    <w:rsid w:val="0023692D"/>
    <w:rsid w:val="00236CA7"/>
    <w:rsid w:val="002405B5"/>
    <w:rsid w:val="00246502"/>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765"/>
    <w:rsid w:val="003C6EEC"/>
    <w:rsid w:val="003C706B"/>
    <w:rsid w:val="003D2914"/>
    <w:rsid w:val="003D4E81"/>
    <w:rsid w:val="003E5ED6"/>
    <w:rsid w:val="003F0E1D"/>
    <w:rsid w:val="003F47BA"/>
    <w:rsid w:val="003F5DA6"/>
    <w:rsid w:val="003F6A13"/>
    <w:rsid w:val="00404FBD"/>
    <w:rsid w:val="00405DB2"/>
    <w:rsid w:val="004063F8"/>
    <w:rsid w:val="00406975"/>
    <w:rsid w:val="00412A94"/>
    <w:rsid w:val="00412BC4"/>
    <w:rsid w:val="00412F6B"/>
    <w:rsid w:val="00414858"/>
    <w:rsid w:val="00422874"/>
    <w:rsid w:val="004233CB"/>
    <w:rsid w:val="00433AE5"/>
    <w:rsid w:val="004374C2"/>
    <w:rsid w:val="00437803"/>
    <w:rsid w:val="00440EEE"/>
    <w:rsid w:val="004415B0"/>
    <w:rsid w:val="00447F3B"/>
    <w:rsid w:val="004550E1"/>
    <w:rsid w:val="004579C1"/>
    <w:rsid w:val="00461F3B"/>
    <w:rsid w:val="00466F6F"/>
    <w:rsid w:val="0048229A"/>
    <w:rsid w:val="004911B2"/>
    <w:rsid w:val="00493CCD"/>
    <w:rsid w:val="00494604"/>
    <w:rsid w:val="004A0A84"/>
    <w:rsid w:val="004A1B44"/>
    <w:rsid w:val="004A47DB"/>
    <w:rsid w:val="004A5D4A"/>
    <w:rsid w:val="004B0255"/>
    <w:rsid w:val="004B5EB6"/>
    <w:rsid w:val="004C0536"/>
    <w:rsid w:val="004C2931"/>
    <w:rsid w:val="004C5B20"/>
    <w:rsid w:val="004C6211"/>
    <w:rsid w:val="004C7A28"/>
    <w:rsid w:val="004D2757"/>
    <w:rsid w:val="004D645F"/>
    <w:rsid w:val="004D7F35"/>
    <w:rsid w:val="004E7CA3"/>
    <w:rsid w:val="004F5EAA"/>
    <w:rsid w:val="00500386"/>
    <w:rsid w:val="005046AB"/>
    <w:rsid w:val="0050739F"/>
    <w:rsid w:val="0051182B"/>
    <w:rsid w:val="00514D06"/>
    <w:rsid w:val="00523A00"/>
    <w:rsid w:val="00527FC5"/>
    <w:rsid w:val="0053004A"/>
    <w:rsid w:val="005335DB"/>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81D"/>
    <w:rsid w:val="00641BFA"/>
    <w:rsid w:val="006450CC"/>
    <w:rsid w:val="00647905"/>
    <w:rsid w:val="0065012B"/>
    <w:rsid w:val="00654BDF"/>
    <w:rsid w:val="00656137"/>
    <w:rsid w:val="0066341B"/>
    <w:rsid w:val="0066568C"/>
    <w:rsid w:val="00666B75"/>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50DD"/>
    <w:rsid w:val="00787121"/>
    <w:rsid w:val="00791F0E"/>
    <w:rsid w:val="0079692C"/>
    <w:rsid w:val="007A0107"/>
    <w:rsid w:val="007A3140"/>
    <w:rsid w:val="007A362A"/>
    <w:rsid w:val="007A62FF"/>
    <w:rsid w:val="007A64B4"/>
    <w:rsid w:val="007B218F"/>
    <w:rsid w:val="007C5B46"/>
    <w:rsid w:val="007D056C"/>
    <w:rsid w:val="007D3372"/>
    <w:rsid w:val="007D40C0"/>
    <w:rsid w:val="007D4B92"/>
    <w:rsid w:val="007D59A0"/>
    <w:rsid w:val="007E3F61"/>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2DC5"/>
    <w:rsid w:val="00853B4F"/>
    <w:rsid w:val="00853C77"/>
    <w:rsid w:val="008540B2"/>
    <w:rsid w:val="00855861"/>
    <w:rsid w:val="0085772B"/>
    <w:rsid w:val="00861990"/>
    <w:rsid w:val="00867240"/>
    <w:rsid w:val="0087121E"/>
    <w:rsid w:val="00880EF8"/>
    <w:rsid w:val="0088220D"/>
    <w:rsid w:val="00890CEB"/>
    <w:rsid w:val="008922C1"/>
    <w:rsid w:val="00897DD4"/>
    <w:rsid w:val="008A2E9C"/>
    <w:rsid w:val="008A4BD4"/>
    <w:rsid w:val="008A66EC"/>
    <w:rsid w:val="008A7087"/>
    <w:rsid w:val="008A7626"/>
    <w:rsid w:val="008C0045"/>
    <w:rsid w:val="008C28DB"/>
    <w:rsid w:val="008C7F53"/>
    <w:rsid w:val="008D1069"/>
    <w:rsid w:val="008D201A"/>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0873"/>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0386"/>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517"/>
    <w:rsid w:val="00B55F44"/>
    <w:rsid w:val="00B572FB"/>
    <w:rsid w:val="00B60B18"/>
    <w:rsid w:val="00B65356"/>
    <w:rsid w:val="00B66639"/>
    <w:rsid w:val="00B72F8E"/>
    <w:rsid w:val="00B80255"/>
    <w:rsid w:val="00B8114B"/>
    <w:rsid w:val="00B816C5"/>
    <w:rsid w:val="00B86056"/>
    <w:rsid w:val="00B9112E"/>
    <w:rsid w:val="00B933D1"/>
    <w:rsid w:val="00BA0665"/>
    <w:rsid w:val="00BA094C"/>
    <w:rsid w:val="00BA7FE3"/>
    <w:rsid w:val="00BB046A"/>
    <w:rsid w:val="00BB1262"/>
    <w:rsid w:val="00BB2FC4"/>
    <w:rsid w:val="00BC78DB"/>
    <w:rsid w:val="00BD371F"/>
    <w:rsid w:val="00BD5E5F"/>
    <w:rsid w:val="00BE0F28"/>
    <w:rsid w:val="00BE63F7"/>
    <w:rsid w:val="00BF02CB"/>
    <w:rsid w:val="00BF033A"/>
    <w:rsid w:val="00BF1010"/>
    <w:rsid w:val="00BF5369"/>
    <w:rsid w:val="00C00A98"/>
    <w:rsid w:val="00C01BB1"/>
    <w:rsid w:val="00C03027"/>
    <w:rsid w:val="00C0508C"/>
    <w:rsid w:val="00C05828"/>
    <w:rsid w:val="00C07A58"/>
    <w:rsid w:val="00C07F9F"/>
    <w:rsid w:val="00C106D4"/>
    <w:rsid w:val="00C16D99"/>
    <w:rsid w:val="00C213F3"/>
    <w:rsid w:val="00C22CD8"/>
    <w:rsid w:val="00C25664"/>
    <w:rsid w:val="00C31D4E"/>
    <w:rsid w:val="00C33E22"/>
    <w:rsid w:val="00C35B96"/>
    <w:rsid w:val="00C578C9"/>
    <w:rsid w:val="00C604B6"/>
    <w:rsid w:val="00C6523B"/>
    <w:rsid w:val="00C70F69"/>
    <w:rsid w:val="00C77167"/>
    <w:rsid w:val="00C82C85"/>
    <w:rsid w:val="00C83730"/>
    <w:rsid w:val="00C859D7"/>
    <w:rsid w:val="00C86AD1"/>
    <w:rsid w:val="00C92EA9"/>
    <w:rsid w:val="00C94303"/>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007"/>
    <w:rsid w:val="00D5422D"/>
    <w:rsid w:val="00D72768"/>
    <w:rsid w:val="00D74DB3"/>
    <w:rsid w:val="00D85970"/>
    <w:rsid w:val="00D93314"/>
    <w:rsid w:val="00D93593"/>
    <w:rsid w:val="00D94E67"/>
    <w:rsid w:val="00DA1774"/>
    <w:rsid w:val="00DA30D0"/>
    <w:rsid w:val="00DA3229"/>
    <w:rsid w:val="00DA5FD8"/>
    <w:rsid w:val="00DB2CD7"/>
    <w:rsid w:val="00DB2FF6"/>
    <w:rsid w:val="00DC49FB"/>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671E2"/>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129"/>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347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1062EB8"/>
    <w:rsid w:val="0136784A"/>
    <w:rsid w:val="01371CC8"/>
    <w:rsid w:val="01516D02"/>
    <w:rsid w:val="016967F5"/>
    <w:rsid w:val="01703F89"/>
    <w:rsid w:val="018A2335"/>
    <w:rsid w:val="01B86963"/>
    <w:rsid w:val="01CE62CC"/>
    <w:rsid w:val="01DB5615"/>
    <w:rsid w:val="01E13027"/>
    <w:rsid w:val="01E24240"/>
    <w:rsid w:val="01F75BBB"/>
    <w:rsid w:val="02316022"/>
    <w:rsid w:val="024E111E"/>
    <w:rsid w:val="026D3D2A"/>
    <w:rsid w:val="029A1F1D"/>
    <w:rsid w:val="02B938E8"/>
    <w:rsid w:val="02BA72AF"/>
    <w:rsid w:val="02C86D52"/>
    <w:rsid w:val="02D95419"/>
    <w:rsid w:val="02E50A80"/>
    <w:rsid w:val="02FA07CE"/>
    <w:rsid w:val="0302557E"/>
    <w:rsid w:val="03320FA6"/>
    <w:rsid w:val="034F159C"/>
    <w:rsid w:val="03650B17"/>
    <w:rsid w:val="037370F3"/>
    <w:rsid w:val="037A2786"/>
    <w:rsid w:val="039E4521"/>
    <w:rsid w:val="03AA066B"/>
    <w:rsid w:val="03D77831"/>
    <w:rsid w:val="0404501C"/>
    <w:rsid w:val="040F0127"/>
    <w:rsid w:val="041D5203"/>
    <w:rsid w:val="04357F8B"/>
    <w:rsid w:val="043D4EFB"/>
    <w:rsid w:val="04543F14"/>
    <w:rsid w:val="045732AD"/>
    <w:rsid w:val="046F17D7"/>
    <w:rsid w:val="047F75AA"/>
    <w:rsid w:val="0482550F"/>
    <w:rsid w:val="04835276"/>
    <w:rsid w:val="049C7105"/>
    <w:rsid w:val="04B55EE6"/>
    <w:rsid w:val="04B5691F"/>
    <w:rsid w:val="04B93899"/>
    <w:rsid w:val="04BC39C8"/>
    <w:rsid w:val="04C01FAC"/>
    <w:rsid w:val="04D90E3A"/>
    <w:rsid w:val="051B12F4"/>
    <w:rsid w:val="053E5B7B"/>
    <w:rsid w:val="05466AE8"/>
    <w:rsid w:val="055C54EF"/>
    <w:rsid w:val="056D3CA0"/>
    <w:rsid w:val="059725E9"/>
    <w:rsid w:val="05AD5A4F"/>
    <w:rsid w:val="05B61BFF"/>
    <w:rsid w:val="05C07DFA"/>
    <w:rsid w:val="05D2290B"/>
    <w:rsid w:val="05D26474"/>
    <w:rsid w:val="05E338C9"/>
    <w:rsid w:val="05F12870"/>
    <w:rsid w:val="061C614D"/>
    <w:rsid w:val="06280B1A"/>
    <w:rsid w:val="062D4CE4"/>
    <w:rsid w:val="06370110"/>
    <w:rsid w:val="06637006"/>
    <w:rsid w:val="06767901"/>
    <w:rsid w:val="067701DA"/>
    <w:rsid w:val="06A82D56"/>
    <w:rsid w:val="06D96859"/>
    <w:rsid w:val="06E53E53"/>
    <w:rsid w:val="06FB1432"/>
    <w:rsid w:val="07051A69"/>
    <w:rsid w:val="07251155"/>
    <w:rsid w:val="073D7864"/>
    <w:rsid w:val="0747222A"/>
    <w:rsid w:val="07473DE8"/>
    <w:rsid w:val="074D1945"/>
    <w:rsid w:val="074D34BC"/>
    <w:rsid w:val="076003F6"/>
    <w:rsid w:val="07B315BF"/>
    <w:rsid w:val="07BF75A7"/>
    <w:rsid w:val="07DA1461"/>
    <w:rsid w:val="07DF0D98"/>
    <w:rsid w:val="081159E1"/>
    <w:rsid w:val="08134F3B"/>
    <w:rsid w:val="082F6D2A"/>
    <w:rsid w:val="08584859"/>
    <w:rsid w:val="085D012F"/>
    <w:rsid w:val="087E3730"/>
    <w:rsid w:val="08842098"/>
    <w:rsid w:val="089F5EB8"/>
    <w:rsid w:val="08A56064"/>
    <w:rsid w:val="08A95BAD"/>
    <w:rsid w:val="08C14DF6"/>
    <w:rsid w:val="090D4B03"/>
    <w:rsid w:val="091A3B44"/>
    <w:rsid w:val="09283D12"/>
    <w:rsid w:val="09320590"/>
    <w:rsid w:val="093A52A7"/>
    <w:rsid w:val="09565D5D"/>
    <w:rsid w:val="09637FD4"/>
    <w:rsid w:val="096D63C0"/>
    <w:rsid w:val="098E4FD3"/>
    <w:rsid w:val="09970029"/>
    <w:rsid w:val="099B0AC0"/>
    <w:rsid w:val="09AE008D"/>
    <w:rsid w:val="09B36AE1"/>
    <w:rsid w:val="09CF453D"/>
    <w:rsid w:val="09D55E4E"/>
    <w:rsid w:val="0A397CA0"/>
    <w:rsid w:val="0A5A5FCB"/>
    <w:rsid w:val="0A646AFC"/>
    <w:rsid w:val="0A75623F"/>
    <w:rsid w:val="0A887860"/>
    <w:rsid w:val="0AB77E21"/>
    <w:rsid w:val="0ACF0A6D"/>
    <w:rsid w:val="0B14098C"/>
    <w:rsid w:val="0B293427"/>
    <w:rsid w:val="0B615F72"/>
    <w:rsid w:val="0B634866"/>
    <w:rsid w:val="0B7B1ED0"/>
    <w:rsid w:val="0BA62D71"/>
    <w:rsid w:val="0BC22813"/>
    <w:rsid w:val="0BD4158B"/>
    <w:rsid w:val="0C050870"/>
    <w:rsid w:val="0C2C560B"/>
    <w:rsid w:val="0C3A425B"/>
    <w:rsid w:val="0C420517"/>
    <w:rsid w:val="0C4E67D9"/>
    <w:rsid w:val="0C504D69"/>
    <w:rsid w:val="0C6F0430"/>
    <w:rsid w:val="0C815CB3"/>
    <w:rsid w:val="0C9B73C4"/>
    <w:rsid w:val="0CA36C24"/>
    <w:rsid w:val="0CC24E95"/>
    <w:rsid w:val="0CC40378"/>
    <w:rsid w:val="0CDD6F25"/>
    <w:rsid w:val="0CDF7C26"/>
    <w:rsid w:val="0CF852D3"/>
    <w:rsid w:val="0D143E16"/>
    <w:rsid w:val="0D191C73"/>
    <w:rsid w:val="0D1D34D2"/>
    <w:rsid w:val="0D324706"/>
    <w:rsid w:val="0D3452B9"/>
    <w:rsid w:val="0D3A4352"/>
    <w:rsid w:val="0D702BA2"/>
    <w:rsid w:val="0D8926A6"/>
    <w:rsid w:val="0DE25313"/>
    <w:rsid w:val="0DE81393"/>
    <w:rsid w:val="0DF92FC2"/>
    <w:rsid w:val="0E245F10"/>
    <w:rsid w:val="0E2B5076"/>
    <w:rsid w:val="0E893F41"/>
    <w:rsid w:val="0E8E2B99"/>
    <w:rsid w:val="0E9D2777"/>
    <w:rsid w:val="0EB215D1"/>
    <w:rsid w:val="0ECC668E"/>
    <w:rsid w:val="0ECE42F4"/>
    <w:rsid w:val="0EDA0300"/>
    <w:rsid w:val="0EE908C7"/>
    <w:rsid w:val="0EF5282D"/>
    <w:rsid w:val="0EF66383"/>
    <w:rsid w:val="0F0B1BA1"/>
    <w:rsid w:val="0F154FED"/>
    <w:rsid w:val="0F392B79"/>
    <w:rsid w:val="0F3B4064"/>
    <w:rsid w:val="0F4E3293"/>
    <w:rsid w:val="0F5515B6"/>
    <w:rsid w:val="0F677BFA"/>
    <w:rsid w:val="0FA81C28"/>
    <w:rsid w:val="0FB14001"/>
    <w:rsid w:val="0FC654F7"/>
    <w:rsid w:val="10056EE5"/>
    <w:rsid w:val="10102B47"/>
    <w:rsid w:val="101320FC"/>
    <w:rsid w:val="10151C8C"/>
    <w:rsid w:val="10183183"/>
    <w:rsid w:val="101A57CA"/>
    <w:rsid w:val="102179B9"/>
    <w:rsid w:val="10296224"/>
    <w:rsid w:val="102B7740"/>
    <w:rsid w:val="10690E16"/>
    <w:rsid w:val="10926A76"/>
    <w:rsid w:val="10977387"/>
    <w:rsid w:val="10A70AEA"/>
    <w:rsid w:val="10C80804"/>
    <w:rsid w:val="10C9147F"/>
    <w:rsid w:val="10D54F72"/>
    <w:rsid w:val="110636B6"/>
    <w:rsid w:val="11131C78"/>
    <w:rsid w:val="111D78AB"/>
    <w:rsid w:val="114A4A72"/>
    <w:rsid w:val="114E0005"/>
    <w:rsid w:val="115313ED"/>
    <w:rsid w:val="115D68E5"/>
    <w:rsid w:val="116556CC"/>
    <w:rsid w:val="117B4A22"/>
    <w:rsid w:val="1184741E"/>
    <w:rsid w:val="118759E4"/>
    <w:rsid w:val="118B4203"/>
    <w:rsid w:val="11B81893"/>
    <w:rsid w:val="11C01765"/>
    <w:rsid w:val="11C63877"/>
    <w:rsid w:val="11E07F7E"/>
    <w:rsid w:val="11F211CC"/>
    <w:rsid w:val="120B22FF"/>
    <w:rsid w:val="120D7A6D"/>
    <w:rsid w:val="122D0276"/>
    <w:rsid w:val="122F0FBE"/>
    <w:rsid w:val="125121F2"/>
    <w:rsid w:val="125B398F"/>
    <w:rsid w:val="125C681B"/>
    <w:rsid w:val="12670B43"/>
    <w:rsid w:val="127E0C28"/>
    <w:rsid w:val="12866CE0"/>
    <w:rsid w:val="1289009F"/>
    <w:rsid w:val="128D5A48"/>
    <w:rsid w:val="12E17F47"/>
    <w:rsid w:val="13083299"/>
    <w:rsid w:val="132672BA"/>
    <w:rsid w:val="13623382"/>
    <w:rsid w:val="136D6301"/>
    <w:rsid w:val="137B73C5"/>
    <w:rsid w:val="13897D9E"/>
    <w:rsid w:val="139B0D88"/>
    <w:rsid w:val="13A65E37"/>
    <w:rsid w:val="13AF42BC"/>
    <w:rsid w:val="13B8101F"/>
    <w:rsid w:val="13B8406E"/>
    <w:rsid w:val="13E57C56"/>
    <w:rsid w:val="13F47979"/>
    <w:rsid w:val="13F64688"/>
    <w:rsid w:val="14125A06"/>
    <w:rsid w:val="1420116D"/>
    <w:rsid w:val="146D19CD"/>
    <w:rsid w:val="149322DE"/>
    <w:rsid w:val="14F545B7"/>
    <w:rsid w:val="15132E2A"/>
    <w:rsid w:val="15361F67"/>
    <w:rsid w:val="155A1E02"/>
    <w:rsid w:val="1566266C"/>
    <w:rsid w:val="15791F29"/>
    <w:rsid w:val="15914D6F"/>
    <w:rsid w:val="15A63BE9"/>
    <w:rsid w:val="15D350D8"/>
    <w:rsid w:val="15D67D90"/>
    <w:rsid w:val="15F42E48"/>
    <w:rsid w:val="15FC75F2"/>
    <w:rsid w:val="160160AA"/>
    <w:rsid w:val="16096B27"/>
    <w:rsid w:val="16151BF6"/>
    <w:rsid w:val="16157119"/>
    <w:rsid w:val="16800FA3"/>
    <w:rsid w:val="16827137"/>
    <w:rsid w:val="16AE21CC"/>
    <w:rsid w:val="16B61078"/>
    <w:rsid w:val="16F56655"/>
    <w:rsid w:val="16F866A8"/>
    <w:rsid w:val="170E6D80"/>
    <w:rsid w:val="171C79CC"/>
    <w:rsid w:val="172A2C98"/>
    <w:rsid w:val="172B511C"/>
    <w:rsid w:val="173F3C92"/>
    <w:rsid w:val="175B1C13"/>
    <w:rsid w:val="17973BCE"/>
    <w:rsid w:val="17B263D9"/>
    <w:rsid w:val="17CB755D"/>
    <w:rsid w:val="17E23971"/>
    <w:rsid w:val="17F10C49"/>
    <w:rsid w:val="17F825C3"/>
    <w:rsid w:val="18017658"/>
    <w:rsid w:val="181A2697"/>
    <w:rsid w:val="181A4761"/>
    <w:rsid w:val="1834255D"/>
    <w:rsid w:val="18355B55"/>
    <w:rsid w:val="1846447E"/>
    <w:rsid w:val="186062EB"/>
    <w:rsid w:val="186659B0"/>
    <w:rsid w:val="18813E48"/>
    <w:rsid w:val="189C59EB"/>
    <w:rsid w:val="189F19E0"/>
    <w:rsid w:val="18D362B3"/>
    <w:rsid w:val="18DE6217"/>
    <w:rsid w:val="18EC7F39"/>
    <w:rsid w:val="18F50684"/>
    <w:rsid w:val="18FD7CB0"/>
    <w:rsid w:val="192F1F79"/>
    <w:rsid w:val="197B5E33"/>
    <w:rsid w:val="199E3700"/>
    <w:rsid w:val="19B24FD2"/>
    <w:rsid w:val="19E24532"/>
    <w:rsid w:val="1A1E39FD"/>
    <w:rsid w:val="1A5B2C8C"/>
    <w:rsid w:val="1A637576"/>
    <w:rsid w:val="1A69775F"/>
    <w:rsid w:val="1A6A573A"/>
    <w:rsid w:val="1A970CAB"/>
    <w:rsid w:val="1AAA70F6"/>
    <w:rsid w:val="1AAF60CF"/>
    <w:rsid w:val="1AD55662"/>
    <w:rsid w:val="1AD7418D"/>
    <w:rsid w:val="1ADB74E6"/>
    <w:rsid w:val="1AE42E8B"/>
    <w:rsid w:val="1AF91C6C"/>
    <w:rsid w:val="1AFE156D"/>
    <w:rsid w:val="1B077351"/>
    <w:rsid w:val="1B0B40C1"/>
    <w:rsid w:val="1B2E3C71"/>
    <w:rsid w:val="1B3200B9"/>
    <w:rsid w:val="1B353CA1"/>
    <w:rsid w:val="1B507AEB"/>
    <w:rsid w:val="1B634902"/>
    <w:rsid w:val="1B79463D"/>
    <w:rsid w:val="1B9B2745"/>
    <w:rsid w:val="1BAB1021"/>
    <w:rsid w:val="1BB25635"/>
    <w:rsid w:val="1BB4113B"/>
    <w:rsid w:val="1BBD37F9"/>
    <w:rsid w:val="1BCA3229"/>
    <w:rsid w:val="1BD048EF"/>
    <w:rsid w:val="1BED4F65"/>
    <w:rsid w:val="1BED5B30"/>
    <w:rsid w:val="1BFE6D03"/>
    <w:rsid w:val="1C304215"/>
    <w:rsid w:val="1C310710"/>
    <w:rsid w:val="1C667938"/>
    <w:rsid w:val="1C8D0873"/>
    <w:rsid w:val="1CB43DE2"/>
    <w:rsid w:val="1CC1799F"/>
    <w:rsid w:val="1CC61A8D"/>
    <w:rsid w:val="1CD6638F"/>
    <w:rsid w:val="1CD97610"/>
    <w:rsid w:val="1CDB77D0"/>
    <w:rsid w:val="1CE00D5B"/>
    <w:rsid w:val="1D021E46"/>
    <w:rsid w:val="1D0A6728"/>
    <w:rsid w:val="1D2769DE"/>
    <w:rsid w:val="1D2B2844"/>
    <w:rsid w:val="1D4F2670"/>
    <w:rsid w:val="1DB05F7A"/>
    <w:rsid w:val="1DE52E20"/>
    <w:rsid w:val="1DFB1D55"/>
    <w:rsid w:val="1E0B0A0E"/>
    <w:rsid w:val="1E1922A9"/>
    <w:rsid w:val="1E3A0FAB"/>
    <w:rsid w:val="1E47647C"/>
    <w:rsid w:val="1E47768A"/>
    <w:rsid w:val="1E7909DA"/>
    <w:rsid w:val="1E941336"/>
    <w:rsid w:val="1EA40776"/>
    <w:rsid w:val="1ED308B2"/>
    <w:rsid w:val="1F025F7A"/>
    <w:rsid w:val="1F1708FC"/>
    <w:rsid w:val="1F2E4661"/>
    <w:rsid w:val="1F3B6ED5"/>
    <w:rsid w:val="1F5F5FE6"/>
    <w:rsid w:val="1FAD6136"/>
    <w:rsid w:val="1FCC2A84"/>
    <w:rsid w:val="1FD323D3"/>
    <w:rsid w:val="1FE87C75"/>
    <w:rsid w:val="1FF03B86"/>
    <w:rsid w:val="200D7FFA"/>
    <w:rsid w:val="20304B2B"/>
    <w:rsid w:val="20550825"/>
    <w:rsid w:val="20595477"/>
    <w:rsid w:val="20733AA4"/>
    <w:rsid w:val="20934BF3"/>
    <w:rsid w:val="20F07569"/>
    <w:rsid w:val="210F5710"/>
    <w:rsid w:val="21215C8E"/>
    <w:rsid w:val="21367568"/>
    <w:rsid w:val="2165346A"/>
    <w:rsid w:val="216A1805"/>
    <w:rsid w:val="21735D08"/>
    <w:rsid w:val="21827857"/>
    <w:rsid w:val="221840E4"/>
    <w:rsid w:val="223F74BB"/>
    <w:rsid w:val="224042B3"/>
    <w:rsid w:val="224A2C76"/>
    <w:rsid w:val="22572A0F"/>
    <w:rsid w:val="225D7054"/>
    <w:rsid w:val="227224A8"/>
    <w:rsid w:val="22A16C69"/>
    <w:rsid w:val="22A2558F"/>
    <w:rsid w:val="22D65DEF"/>
    <w:rsid w:val="22D74AD1"/>
    <w:rsid w:val="22E44DEC"/>
    <w:rsid w:val="231B6A95"/>
    <w:rsid w:val="23275839"/>
    <w:rsid w:val="233A4462"/>
    <w:rsid w:val="233B7B97"/>
    <w:rsid w:val="2344555D"/>
    <w:rsid w:val="23511756"/>
    <w:rsid w:val="2353047B"/>
    <w:rsid w:val="236368A7"/>
    <w:rsid w:val="23BD52D7"/>
    <w:rsid w:val="23BF67B3"/>
    <w:rsid w:val="23E67388"/>
    <w:rsid w:val="23F84E40"/>
    <w:rsid w:val="244B509F"/>
    <w:rsid w:val="246A0B79"/>
    <w:rsid w:val="24933B0C"/>
    <w:rsid w:val="24991997"/>
    <w:rsid w:val="24A24BD0"/>
    <w:rsid w:val="24A80670"/>
    <w:rsid w:val="24B1656A"/>
    <w:rsid w:val="24B542F7"/>
    <w:rsid w:val="24BC0F94"/>
    <w:rsid w:val="25135A63"/>
    <w:rsid w:val="25252376"/>
    <w:rsid w:val="252F3DB3"/>
    <w:rsid w:val="25612F1D"/>
    <w:rsid w:val="25645F02"/>
    <w:rsid w:val="256B5567"/>
    <w:rsid w:val="25970F60"/>
    <w:rsid w:val="25A265BB"/>
    <w:rsid w:val="25A63D3C"/>
    <w:rsid w:val="25A72C87"/>
    <w:rsid w:val="25B64815"/>
    <w:rsid w:val="25C84272"/>
    <w:rsid w:val="25D3656A"/>
    <w:rsid w:val="25D4246F"/>
    <w:rsid w:val="25DB3E22"/>
    <w:rsid w:val="25DC6E89"/>
    <w:rsid w:val="25E70FEC"/>
    <w:rsid w:val="25ED4912"/>
    <w:rsid w:val="25F7424F"/>
    <w:rsid w:val="25FE31AC"/>
    <w:rsid w:val="25FF1A3A"/>
    <w:rsid w:val="265E1A0D"/>
    <w:rsid w:val="267C3B38"/>
    <w:rsid w:val="27055854"/>
    <w:rsid w:val="2740256C"/>
    <w:rsid w:val="276207C7"/>
    <w:rsid w:val="27903874"/>
    <w:rsid w:val="27987C3A"/>
    <w:rsid w:val="27B15556"/>
    <w:rsid w:val="27B63994"/>
    <w:rsid w:val="27BA160A"/>
    <w:rsid w:val="27BE249B"/>
    <w:rsid w:val="27C277F8"/>
    <w:rsid w:val="28114AD6"/>
    <w:rsid w:val="28182E44"/>
    <w:rsid w:val="282360F5"/>
    <w:rsid w:val="28270870"/>
    <w:rsid w:val="282A433D"/>
    <w:rsid w:val="282E6B86"/>
    <w:rsid w:val="284654FA"/>
    <w:rsid w:val="28720EF4"/>
    <w:rsid w:val="28F24D48"/>
    <w:rsid w:val="28F672F1"/>
    <w:rsid w:val="292907B9"/>
    <w:rsid w:val="292B0894"/>
    <w:rsid w:val="292E0CB4"/>
    <w:rsid w:val="29425BFE"/>
    <w:rsid w:val="29432A4E"/>
    <w:rsid w:val="29536D5D"/>
    <w:rsid w:val="29567B78"/>
    <w:rsid w:val="29A85575"/>
    <w:rsid w:val="29AB335F"/>
    <w:rsid w:val="29B759F8"/>
    <w:rsid w:val="29B774BE"/>
    <w:rsid w:val="29C8196B"/>
    <w:rsid w:val="29D905CA"/>
    <w:rsid w:val="29E87451"/>
    <w:rsid w:val="29FA4E6C"/>
    <w:rsid w:val="2A165171"/>
    <w:rsid w:val="2A190C14"/>
    <w:rsid w:val="2A216E33"/>
    <w:rsid w:val="2A2B01B1"/>
    <w:rsid w:val="2A2C1548"/>
    <w:rsid w:val="2A610FB0"/>
    <w:rsid w:val="2A990AED"/>
    <w:rsid w:val="2AC349C7"/>
    <w:rsid w:val="2AC7259C"/>
    <w:rsid w:val="2AD5523D"/>
    <w:rsid w:val="2AF55C77"/>
    <w:rsid w:val="2B38225D"/>
    <w:rsid w:val="2B3C092A"/>
    <w:rsid w:val="2B526E2C"/>
    <w:rsid w:val="2B574BE2"/>
    <w:rsid w:val="2B895BF4"/>
    <w:rsid w:val="2B8A1881"/>
    <w:rsid w:val="2B945497"/>
    <w:rsid w:val="2BB6698A"/>
    <w:rsid w:val="2C365F2B"/>
    <w:rsid w:val="2C366037"/>
    <w:rsid w:val="2C432ACB"/>
    <w:rsid w:val="2C442ED9"/>
    <w:rsid w:val="2C4E5FCD"/>
    <w:rsid w:val="2C6477B2"/>
    <w:rsid w:val="2C6E425C"/>
    <w:rsid w:val="2C7958CD"/>
    <w:rsid w:val="2CA933D1"/>
    <w:rsid w:val="2CB814F7"/>
    <w:rsid w:val="2CC01EA3"/>
    <w:rsid w:val="2CDC4345"/>
    <w:rsid w:val="2D0235B3"/>
    <w:rsid w:val="2D0443AC"/>
    <w:rsid w:val="2D0E37F7"/>
    <w:rsid w:val="2D3A4FC5"/>
    <w:rsid w:val="2D602D7D"/>
    <w:rsid w:val="2D7C505F"/>
    <w:rsid w:val="2DAC4B85"/>
    <w:rsid w:val="2DBB1AA7"/>
    <w:rsid w:val="2DBE25E8"/>
    <w:rsid w:val="2DFE5D03"/>
    <w:rsid w:val="2E1443D9"/>
    <w:rsid w:val="2E3317F9"/>
    <w:rsid w:val="2E33795A"/>
    <w:rsid w:val="2E3A1D77"/>
    <w:rsid w:val="2E4A41DF"/>
    <w:rsid w:val="2EAF4B59"/>
    <w:rsid w:val="2EBD556A"/>
    <w:rsid w:val="2EC5706C"/>
    <w:rsid w:val="2ECE4187"/>
    <w:rsid w:val="2EDE1B15"/>
    <w:rsid w:val="2EE26E97"/>
    <w:rsid w:val="2EE53C87"/>
    <w:rsid w:val="2EF75D63"/>
    <w:rsid w:val="2F0A25C6"/>
    <w:rsid w:val="2F151FCC"/>
    <w:rsid w:val="2F5E36B8"/>
    <w:rsid w:val="2F675913"/>
    <w:rsid w:val="2F7D58D3"/>
    <w:rsid w:val="2FA161B3"/>
    <w:rsid w:val="2FD51463"/>
    <w:rsid w:val="3001725D"/>
    <w:rsid w:val="300315A9"/>
    <w:rsid w:val="3033476B"/>
    <w:rsid w:val="3053628F"/>
    <w:rsid w:val="305A71EE"/>
    <w:rsid w:val="305E6207"/>
    <w:rsid w:val="30986C24"/>
    <w:rsid w:val="30E22145"/>
    <w:rsid w:val="30E619F2"/>
    <w:rsid w:val="31060A95"/>
    <w:rsid w:val="31066D80"/>
    <w:rsid w:val="312022F5"/>
    <w:rsid w:val="3129077B"/>
    <w:rsid w:val="313170F1"/>
    <w:rsid w:val="31356D4D"/>
    <w:rsid w:val="314953F6"/>
    <w:rsid w:val="31AF2596"/>
    <w:rsid w:val="31C0586D"/>
    <w:rsid w:val="31C56302"/>
    <w:rsid w:val="31DE5F19"/>
    <w:rsid w:val="3230083F"/>
    <w:rsid w:val="3244405C"/>
    <w:rsid w:val="329260BF"/>
    <w:rsid w:val="32A0002E"/>
    <w:rsid w:val="32C914DC"/>
    <w:rsid w:val="32CF0C2D"/>
    <w:rsid w:val="32D911D2"/>
    <w:rsid w:val="331F6196"/>
    <w:rsid w:val="333333E5"/>
    <w:rsid w:val="33656307"/>
    <w:rsid w:val="337E5304"/>
    <w:rsid w:val="338A78C4"/>
    <w:rsid w:val="338B47E2"/>
    <w:rsid w:val="339318EA"/>
    <w:rsid w:val="339E5A9E"/>
    <w:rsid w:val="33BD5350"/>
    <w:rsid w:val="33C85680"/>
    <w:rsid w:val="33D5407E"/>
    <w:rsid w:val="33D961EC"/>
    <w:rsid w:val="33DB146B"/>
    <w:rsid w:val="33E57DA9"/>
    <w:rsid w:val="33ED7DD4"/>
    <w:rsid w:val="33F262EE"/>
    <w:rsid w:val="33F33748"/>
    <w:rsid w:val="34031C96"/>
    <w:rsid w:val="34072631"/>
    <w:rsid w:val="34135A63"/>
    <w:rsid w:val="34224CEF"/>
    <w:rsid w:val="34336032"/>
    <w:rsid w:val="345C22D1"/>
    <w:rsid w:val="345E00FF"/>
    <w:rsid w:val="346253C7"/>
    <w:rsid w:val="34635855"/>
    <w:rsid w:val="347B5E28"/>
    <w:rsid w:val="34847A3C"/>
    <w:rsid w:val="34C7356F"/>
    <w:rsid w:val="34D920B1"/>
    <w:rsid w:val="34E13545"/>
    <w:rsid w:val="34EA0A90"/>
    <w:rsid w:val="34F734EA"/>
    <w:rsid w:val="35001AED"/>
    <w:rsid w:val="350B1BEC"/>
    <w:rsid w:val="35235988"/>
    <w:rsid w:val="35360623"/>
    <w:rsid w:val="353617A3"/>
    <w:rsid w:val="355F4028"/>
    <w:rsid w:val="357D1D16"/>
    <w:rsid w:val="3587165C"/>
    <w:rsid w:val="35880CD8"/>
    <w:rsid w:val="35935DB3"/>
    <w:rsid w:val="359B1AE1"/>
    <w:rsid w:val="35A06E02"/>
    <w:rsid w:val="35D82F8C"/>
    <w:rsid w:val="35DC4283"/>
    <w:rsid w:val="35DD0764"/>
    <w:rsid w:val="35E4630C"/>
    <w:rsid w:val="35F5073F"/>
    <w:rsid w:val="361615A4"/>
    <w:rsid w:val="362367D1"/>
    <w:rsid w:val="3663394B"/>
    <w:rsid w:val="36696BBA"/>
    <w:rsid w:val="367D0883"/>
    <w:rsid w:val="36AC0A35"/>
    <w:rsid w:val="36B24736"/>
    <w:rsid w:val="36C131D1"/>
    <w:rsid w:val="36F35801"/>
    <w:rsid w:val="36F40EA4"/>
    <w:rsid w:val="36F95CF8"/>
    <w:rsid w:val="37031CC2"/>
    <w:rsid w:val="37115DE2"/>
    <w:rsid w:val="37135DCE"/>
    <w:rsid w:val="374271C8"/>
    <w:rsid w:val="37652CFC"/>
    <w:rsid w:val="378243BC"/>
    <w:rsid w:val="37945BE0"/>
    <w:rsid w:val="37AC435F"/>
    <w:rsid w:val="37C60D05"/>
    <w:rsid w:val="37C96148"/>
    <w:rsid w:val="37D62CD8"/>
    <w:rsid w:val="3815057F"/>
    <w:rsid w:val="38324328"/>
    <w:rsid w:val="38324577"/>
    <w:rsid w:val="38581DB6"/>
    <w:rsid w:val="385C3885"/>
    <w:rsid w:val="385C44F4"/>
    <w:rsid w:val="38724EA7"/>
    <w:rsid w:val="387D4CFD"/>
    <w:rsid w:val="38A61964"/>
    <w:rsid w:val="38C63777"/>
    <w:rsid w:val="38DB22E7"/>
    <w:rsid w:val="38DE2CA0"/>
    <w:rsid w:val="39085E3A"/>
    <w:rsid w:val="39200E38"/>
    <w:rsid w:val="39261338"/>
    <w:rsid w:val="39290685"/>
    <w:rsid w:val="392B58E0"/>
    <w:rsid w:val="39337DBF"/>
    <w:rsid w:val="397A0069"/>
    <w:rsid w:val="397F7BA0"/>
    <w:rsid w:val="39A36643"/>
    <w:rsid w:val="39AC7E30"/>
    <w:rsid w:val="39CA765A"/>
    <w:rsid w:val="39CB3AA2"/>
    <w:rsid w:val="39DB0598"/>
    <w:rsid w:val="39E762F9"/>
    <w:rsid w:val="3A032166"/>
    <w:rsid w:val="3A2D49FE"/>
    <w:rsid w:val="3A3E24FA"/>
    <w:rsid w:val="3A714844"/>
    <w:rsid w:val="3AAC0828"/>
    <w:rsid w:val="3ACD603B"/>
    <w:rsid w:val="3B373E10"/>
    <w:rsid w:val="3B3978AE"/>
    <w:rsid w:val="3B4C5F7B"/>
    <w:rsid w:val="3B6A140F"/>
    <w:rsid w:val="3BAD2E8E"/>
    <w:rsid w:val="3BBF3EF5"/>
    <w:rsid w:val="3BD75478"/>
    <w:rsid w:val="3BDA1E6E"/>
    <w:rsid w:val="3BDA5C3B"/>
    <w:rsid w:val="3BED530E"/>
    <w:rsid w:val="3BF0725C"/>
    <w:rsid w:val="3BF36A1F"/>
    <w:rsid w:val="3C4D7D5F"/>
    <w:rsid w:val="3C515CC5"/>
    <w:rsid w:val="3C5440D6"/>
    <w:rsid w:val="3C5518C3"/>
    <w:rsid w:val="3C7667D5"/>
    <w:rsid w:val="3C782A22"/>
    <w:rsid w:val="3C9E3C6F"/>
    <w:rsid w:val="3CAE018E"/>
    <w:rsid w:val="3CCF3FF9"/>
    <w:rsid w:val="3CE57BE6"/>
    <w:rsid w:val="3D164D6F"/>
    <w:rsid w:val="3D181710"/>
    <w:rsid w:val="3D7E0493"/>
    <w:rsid w:val="3D900B10"/>
    <w:rsid w:val="3DDD3230"/>
    <w:rsid w:val="3E0555CE"/>
    <w:rsid w:val="3E3F5F0B"/>
    <w:rsid w:val="3E52197D"/>
    <w:rsid w:val="3E6F1637"/>
    <w:rsid w:val="3E7B297B"/>
    <w:rsid w:val="3E801305"/>
    <w:rsid w:val="3E8D6D8D"/>
    <w:rsid w:val="3EA740F8"/>
    <w:rsid w:val="3EC7634C"/>
    <w:rsid w:val="3ED51240"/>
    <w:rsid w:val="3EE77FC4"/>
    <w:rsid w:val="3F00083E"/>
    <w:rsid w:val="3F1D6525"/>
    <w:rsid w:val="3F2C240C"/>
    <w:rsid w:val="3F443DC2"/>
    <w:rsid w:val="3F566F6B"/>
    <w:rsid w:val="3F884AF5"/>
    <w:rsid w:val="3FB65F8A"/>
    <w:rsid w:val="40031083"/>
    <w:rsid w:val="400930F8"/>
    <w:rsid w:val="403371ED"/>
    <w:rsid w:val="40542DFD"/>
    <w:rsid w:val="407008DF"/>
    <w:rsid w:val="40764CFF"/>
    <w:rsid w:val="40776FC7"/>
    <w:rsid w:val="407A3FE4"/>
    <w:rsid w:val="40847CCC"/>
    <w:rsid w:val="40856D1A"/>
    <w:rsid w:val="408D0218"/>
    <w:rsid w:val="408D4A3B"/>
    <w:rsid w:val="40934741"/>
    <w:rsid w:val="40A80E58"/>
    <w:rsid w:val="40D304B9"/>
    <w:rsid w:val="40FB2570"/>
    <w:rsid w:val="410106D8"/>
    <w:rsid w:val="41062CCE"/>
    <w:rsid w:val="411B7A95"/>
    <w:rsid w:val="413C2916"/>
    <w:rsid w:val="414323B8"/>
    <w:rsid w:val="414F3F8E"/>
    <w:rsid w:val="41543018"/>
    <w:rsid w:val="41600B2F"/>
    <w:rsid w:val="417534FE"/>
    <w:rsid w:val="41805514"/>
    <w:rsid w:val="41882EA2"/>
    <w:rsid w:val="419423BB"/>
    <w:rsid w:val="419E3551"/>
    <w:rsid w:val="41B21361"/>
    <w:rsid w:val="41BF719B"/>
    <w:rsid w:val="41C719AD"/>
    <w:rsid w:val="41D77B12"/>
    <w:rsid w:val="421905EC"/>
    <w:rsid w:val="421A78D7"/>
    <w:rsid w:val="421D586F"/>
    <w:rsid w:val="423111D1"/>
    <w:rsid w:val="4239023C"/>
    <w:rsid w:val="423D1B4B"/>
    <w:rsid w:val="4285638E"/>
    <w:rsid w:val="42927D20"/>
    <w:rsid w:val="42A37939"/>
    <w:rsid w:val="42AE00AD"/>
    <w:rsid w:val="42B56F4D"/>
    <w:rsid w:val="42E92635"/>
    <w:rsid w:val="42F2036E"/>
    <w:rsid w:val="42F4756D"/>
    <w:rsid w:val="430714A1"/>
    <w:rsid w:val="43154187"/>
    <w:rsid w:val="435F602C"/>
    <w:rsid w:val="4374217E"/>
    <w:rsid w:val="43CB24D9"/>
    <w:rsid w:val="43D011D9"/>
    <w:rsid w:val="43D04A6C"/>
    <w:rsid w:val="43E01913"/>
    <w:rsid w:val="43E1781C"/>
    <w:rsid w:val="43E71664"/>
    <w:rsid w:val="43EC544D"/>
    <w:rsid w:val="44017ADD"/>
    <w:rsid w:val="4416566E"/>
    <w:rsid w:val="442E4213"/>
    <w:rsid w:val="445518D8"/>
    <w:rsid w:val="44591E8A"/>
    <w:rsid w:val="446453D3"/>
    <w:rsid w:val="4486160D"/>
    <w:rsid w:val="449514F5"/>
    <w:rsid w:val="44A45899"/>
    <w:rsid w:val="44AB07FF"/>
    <w:rsid w:val="44B7760C"/>
    <w:rsid w:val="44BA5E1E"/>
    <w:rsid w:val="44D72067"/>
    <w:rsid w:val="44E22E94"/>
    <w:rsid w:val="4539461C"/>
    <w:rsid w:val="457F6A75"/>
    <w:rsid w:val="459130AC"/>
    <w:rsid w:val="459B7169"/>
    <w:rsid w:val="45B14694"/>
    <w:rsid w:val="45B26A53"/>
    <w:rsid w:val="45B82675"/>
    <w:rsid w:val="45C43D5C"/>
    <w:rsid w:val="45F525F7"/>
    <w:rsid w:val="461038FA"/>
    <w:rsid w:val="46110D1E"/>
    <w:rsid w:val="46290789"/>
    <w:rsid w:val="46293946"/>
    <w:rsid w:val="466975FE"/>
    <w:rsid w:val="4679395E"/>
    <w:rsid w:val="468E09B3"/>
    <w:rsid w:val="46936FBF"/>
    <w:rsid w:val="46B25190"/>
    <w:rsid w:val="46B76D71"/>
    <w:rsid w:val="470832BB"/>
    <w:rsid w:val="47144782"/>
    <w:rsid w:val="47371B48"/>
    <w:rsid w:val="475226BA"/>
    <w:rsid w:val="47590052"/>
    <w:rsid w:val="475D3AB5"/>
    <w:rsid w:val="476D4F68"/>
    <w:rsid w:val="4788503A"/>
    <w:rsid w:val="479B74D9"/>
    <w:rsid w:val="47B12BCA"/>
    <w:rsid w:val="47B267AF"/>
    <w:rsid w:val="47B33921"/>
    <w:rsid w:val="47C2071B"/>
    <w:rsid w:val="47D4658F"/>
    <w:rsid w:val="47D52E83"/>
    <w:rsid w:val="47DA7C61"/>
    <w:rsid w:val="47E20EC8"/>
    <w:rsid w:val="47E6244A"/>
    <w:rsid w:val="47FC18D1"/>
    <w:rsid w:val="48224AEE"/>
    <w:rsid w:val="482C5DC6"/>
    <w:rsid w:val="48474B3C"/>
    <w:rsid w:val="485252EB"/>
    <w:rsid w:val="4861761A"/>
    <w:rsid w:val="48731962"/>
    <w:rsid w:val="48783969"/>
    <w:rsid w:val="487C3864"/>
    <w:rsid w:val="487D20C1"/>
    <w:rsid w:val="488D0381"/>
    <w:rsid w:val="48A26AFB"/>
    <w:rsid w:val="48AC2E35"/>
    <w:rsid w:val="48DC2E7D"/>
    <w:rsid w:val="491A7CC4"/>
    <w:rsid w:val="49381277"/>
    <w:rsid w:val="494F3F54"/>
    <w:rsid w:val="49585B7D"/>
    <w:rsid w:val="496669BC"/>
    <w:rsid w:val="496D543D"/>
    <w:rsid w:val="496F4477"/>
    <w:rsid w:val="49806658"/>
    <w:rsid w:val="49837307"/>
    <w:rsid w:val="49AF467F"/>
    <w:rsid w:val="49BB1A4E"/>
    <w:rsid w:val="4A1D35AE"/>
    <w:rsid w:val="4A360730"/>
    <w:rsid w:val="4A4B61C0"/>
    <w:rsid w:val="4A702E2C"/>
    <w:rsid w:val="4A880D43"/>
    <w:rsid w:val="4AB05975"/>
    <w:rsid w:val="4ABC0692"/>
    <w:rsid w:val="4AC422FC"/>
    <w:rsid w:val="4ACE4B74"/>
    <w:rsid w:val="4AD5511E"/>
    <w:rsid w:val="4AEF42EF"/>
    <w:rsid w:val="4AF0109C"/>
    <w:rsid w:val="4AF62F82"/>
    <w:rsid w:val="4AF7758E"/>
    <w:rsid w:val="4B0D5536"/>
    <w:rsid w:val="4B27394E"/>
    <w:rsid w:val="4B306F35"/>
    <w:rsid w:val="4B6937CC"/>
    <w:rsid w:val="4B7D7604"/>
    <w:rsid w:val="4B8B5AA7"/>
    <w:rsid w:val="4BAD50B5"/>
    <w:rsid w:val="4BD674F2"/>
    <w:rsid w:val="4BDB495B"/>
    <w:rsid w:val="4C52061B"/>
    <w:rsid w:val="4C585375"/>
    <w:rsid w:val="4C964913"/>
    <w:rsid w:val="4CC1217B"/>
    <w:rsid w:val="4CC23B24"/>
    <w:rsid w:val="4CC50CC3"/>
    <w:rsid w:val="4CD20FF1"/>
    <w:rsid w:val="4CF05A6C"/>
    <w:rsid w:val="4D161D96"/>
    <w:rsid w:val="4D255144"/>
    <w:rsid w:val="4D2E3D48"/>
    <w:rsid w:val="4D643F76"/>
    <w:rsid w:val="4D646996"/>
    <w:rsid w:val="4D7B4111"/>
    <w:rsid w:val="4E0A558F"/>
    <w:rsid w:val="4E0B6B09"/>
    <w:rsid w:val="4E744FDC"/>
    <w:rsid w:val="4E7839D8"/>
    <w:rsid w:val="4E791BEB"/>
    <w:rsid w:val="4E8D4C8E"/>
    <w:rsid w:val="4E94296B"/>
    <w:rsid w:val="4E9B3D2E"/>
    <w:rsid w:val="4E9E6533"/>
    <w:rsid w:val="4EAB4136"/>
    <w:rsid w:val="4EC86E00"/>
    <w:rsid w:val="4EF210E4"/>
    <w:rsid w:val="4F030685"/>
    <w:rsid w:val="4F101237"/>
    <w:rsid w:val="4F495C21"/>
    <w:rsid w:val="4F605168"/>
    <w:rsid w:val="4F764F2F"/>
    <w:rsid w:val="4F772B0B"/>
    <w:rsid w:val="4F871DF5"/>
    <w:rsid w:val="4F903176"/>
    <w:rsid w:val="4FBB0D11"/>
    <w:rsid w:val="4FC65AC2"/>
    <w:rsid w:val="4FCB0E7A"/>
    <w:rsid w:val="4FF7236F"/>
    <w:rsid w:val="4FFC525E"/>
    <w:rsid w:val="502B2A28"/>
    <w:rsid w:val="503A4966"/>
    <w:rsid w:val="506E3608"/>
    <w:rsid w:val="50806D2A"/>
    <w:rsid w:val="50836614"/>
    <w:rsid w:val="50A87927"/>
    <w:rsid w:val="50C245EE"/>
    <w:rsid w:val="510176DF"/>
    <w:rsid w:val="51034F1C"/>
    <w:rsid w:val="5106294F"/>
    <w:rsid w:val="51066C2D"/>
    <w:rsid w:val="510C4C60"/>
    <w:rsid w:val="51111B40"/>
    <w:rsid w:val="514D260B"/>
    <w:rsid w:val="515649BD"/>
    <w:rsid w:val="51570BEB"/>
    <w:rsid w:val="5161631A"/>
    <w:rsid w:val="516C1711"/>
    <w:rsid w:val="51773DC5"/>
    <w:rsid w:val="518F61B6"/>
    <w:rsid w:val="51BD5DE2"/>
    <w:rsid w:val="51BF57EE"/>
    <w:rsid w:val="51D50BEF"/>
    <w:rsid w:val="51D5619C"/>
    <w:rsid w:val="51EC42FE"/>
    <w:rsid w:val="51EF3670"/>
    <w:rsid w:val="51FE0A38"/>
    <w:rsid w:val="51FF1AF8"/>
    <w:rsid w:val="52011459"/>
    <w:rsid w:val="52031DC9"/>
    <w:rsid w:val="52235E32"/>
    <w:rsid w:val="52284EE3"/>
    <w:rsid w:val="52744B9C"/>
    <w:rsid w:val="5280051B"/>
    <w:rsid w:val="52970D36"/>
    <w:rsid w:val="529F1D6A"/>
    <w:rsid w:val="52AA3EE5"/>
    <w:rsid w:val="52C71795"/>
    <w:rsid w:val="52D43919"/>
    <w:rsid w:val="530B38E6"/>
    <w:rsid w:val="531755E8"/>
    <w:rsid w:val="532E0A5D"/>
    <w:rsid w:val="53371354"/>
    <w:rsid w:val="53410A4D"/>
    <w:rsid w:val="53490B9F"/>
    <w:rsid w:val="53607A99"/>
    <w:rsid w:val="538C6BBB"/>
    <w:rsid w:val="539045FD"/>
    <w:rsid w:val="53A27E9F"/>
    <w:rsid w:val="53AF7ED8"/>
    <w:rsid w:val="53CF0D1B"/>
    <w:rsid w:val="53D85066"/>
    <w:rsid w:val="53DA40FB"/>
    <w:rsid w:val="53F27440"/>
    <w:rsid w:val="542368F6"/>
    <w:rsid w:val="545408A4"/>
    <w:rsid w:val="546E7535"/>
    <w:rsid w:val="547735D9"/>
    <w:rsid w:val="54BB494C"/>
    <w:rsid w:val="54BC6AE8"/>
    <w:rsid w:val="54E72ED6"/>
    <w:rsid w:val="54F77DF2"/>
    <w:rsid w:val="55003E42"/>
    <w:rsid w:val="55036B6A"/>
    <w:rsid w:val="550F36EB"/>
    <w:rsid w:val="55146922"/>
    <w:rsid w:val="55371986"/>
    <w:rsid w:val="5541312D"/>
    <w:rsid w:val="55547175"/>
    <w:rsid w:val="555507A1"/>
    <w:rsid w:val="555B311A"/>
    <w:rsid w:val="5568703D"/>
    <w:rsid w:val="558B21E5"/>
    <w:rsid w:val="559E15AF"/>
    <w:rsid w:val="55A53026"/>
    <w:rsid w:val="55C96ABB"/>
    <w:rsid w:val="55D00842"/>
    <w:rsid w:val="55E1251C"/>
    <w:rsid w:val="55F552A2"/>
    <w:rsid w:val="55F84266"/>
    <w:rsid w:val="56271A0E"/>
    <w:rsid w:val="568E68E8"/>
    <w:rsid w:val="56A460FB"/>
    <w:rsid w:val="56AE7EFF"/>
    <w:rsid w:val="56B1161A"/>
    <w:rsid w:val="56CC73D1"/>
    <w:rsid w:val="56FC6F8A"/>
    <w:rsid w:val="570D1AAF"/>
    <w:rsid w:val="5714312F"/>
    <w:rsid w:val="572933F0"/>
    <w:rsid w:val="5773323E"/>
    <w:rsid w:val="57957C04"/>
    <w:rsid w:val="579D451E"/>
    <w:rsid w:val="57BB138E"/>
    <w:rsid w:val="57D36C06"/>
    <w:rsid w:val="57E92DB1"/>
    <w:rsid w:val="580F7744"/>
    <w:rsid w:val="5812470F"/>
    <w:rsid w:val="58492091"/>
    <w:rsid w:val="584B0170"/>
    <w:rsid w:val="584E2CBD"/>
    <w:rsid w:val="585B4705"/>
    <w:rsid w:val="58621A2C"/>
    <w:rsid w:val="58684C6D"/>
    <w:rsid w:val="58857A8C"/>
    <w:rsid w:val="58A37441"/>
    <w:rsid w:val="58A469C7"/>
    <w:rsid w:val="58AD3AD0"/>
    <w:rsid w:val="58B975F5"/>
    <w:rsid w:val="58BB0D9E"/>
    <w:rsid w:val="58C719EF"/>
    <w:rsid w:val="58D11035"/>
    <w:rsid w:val="593B6A94"/>
    <w:rsid w:val="59514622"/>
    <w:rsid w:val="59825742"/>
    <w:rsid w:val="59901EC5"/>
    <w:rsid w:val="599A4E45"/>
    <w:rsid w:val="59B92833"/>
    <w:rsid w:val="59C55745"/>
    <w:rsid w:val="59E00CEB"/>
    <w:rsid w:val="59E6386B"/>
    <w:rsid w:val="59FA37E4"/>
    <w:rsid w:val="59FC3DAF"/>
    <w:rsid w:val="5A0B66F5"/>
    <w:rsid w:val="5A111D3E"/>
    <w:rsid w:val="5A197152"/>
    <w:rsid w:val="5A293726"/>
    <w:rsid w:val="5A2F5568"/>
    <w:rsid w:val="5A482D61"/>
    <w:rsid w:val="5A756F99"/>
    <w:rsid w:val="5A7C3FC1"/>
    <w:rsid w:val="5A97705C"/>
    <w:rsid w:val="5AB24835"/>
    <w:rsid w:val="5AB25C6B"/>
    <w:rsid w:val="5ABC73C6"/>
    <w:rsid w:val="5AD362EB"/>
    <w:rsid w:val="5AD84C9D"/>
    <w:rsid w:val="5ADA20EA"/>
    <w:rsid w:val="5ADB2D80"/>
    <w:rsid w:val="5B043A6F"/>
    <w:rsid w:val="5B4B48AF"/>
    <w:rsid w:val="5B6B4B8A"/>
    <w:rsid w:val="5BD27DBF"/>
    <w:rsid w:val="5BD91608"/>
    <w:rsid w:val="5BE114F0"/>
    <w:rsid w:val="5BEC2310"/>
    <w:rsid w:val="5C05743A"/>
    <w:rsid w:val="5C2C20C8"/>
    <w:rsid w:val="5C694C01"/>
    <w:rsid w:val="5CEB16BA"/>
    <w:rsid w:val="5D0B62FC"/>
    <w:rsid w:val="5D112747"/>
    <w:rsid w:val="5D171AA6"/>
    <w:rsid w:val="5D364FE8"/>
    <w:rsid w:val="5D3E2238"/>
    <w:rsid w:val="5D753BF4"/>
    <w:rsid w:val="5D8042AF"/>
    <w:rsid w:val="5D8152D9"/>
    <w:rsid w:val="5D834282"/>
    <w:rsid w:val="5D971B39"/>
    <w:rsid w:val="5DA10173"/>
    <w:rsid w:val="5DD0573F"/>
    <w:rsid w:val="5DD80CCF"/>
    <w:rsid w:val="5DFE2CBB"/>
    <w:rsid w:val="5E09199C"/>
    <w:rsid w:val="5E201DEA"/>
    <w:rsid w:val="5E23603A"/>
    <w:rsid w:val="5E261D01"/>
    <w:rsid w:val="5E5D7959"/>
    <w:rsid w:val="5E6719CE"/>
    <w:rsid w:val="5E7A2420"/>
    <w:rsid w:val="5EBB4933"/>
    <w:rsid w:val="5EC61F45"/>
    <w:rsid w:val="5ECD0E0A"/>
    <w:rsid w:val="5EF55530"/>
    <w:rsid w:val="5F4E00A6"/>
    <w:rsid w:val="5F541951"/>
    <w:rsid w:val="5F7D4C92"/>
    <w:rsid w:val="5F836D6D"/>
    <w:rsid w:val="5F845EFD"/>
    <w:rsid w:val="5F8D20EA"/>
    <w:rsid w:val="5F8E33D5"/>
    <w:rsid w:val="5FA03E26"/>
    <w:rsid w:val="5FE14CCA"/>
    <w:rsid w:val="5FE93889"/>
    <w:rsid w:val="601139BB"/>
    <w:rsid w:val="60146A66"/>
    <w:rsid w:val="601D58E1"/>
    <w:rsid w:val="603C0054"/>
    <w:rsid w:val="605C0834"/>
    <w:rsid w:val="60845253"/>
    <w:rsid w:val="609E1455"/>
    <w:rsid w:val="60A65450"/>
    <w:rsid w:val="60B9347D"/>
    <w:rsid w:val="60BF0BF8"/>
    <w:rsid w:val="610539BD"/>
    <w:rsid w:val="610668CE"/>
    <w:rsid w:val="61090E7A"/>
    <w:rsid w:val="61153A01"/>
    <w:rsid w:val="612358D4"/>
    <w:rsid w:val="61265EB9"/>
    <w:rsid w:val="61417FF6"/>
    <w:rsid w:val="614240DC"/>
    <w:rsid w:val="61440E85"/>
    <w:rsid w:val="614E6E5C"/>
    <w:rsid w:val="61643936"/>
    <w:rsid w:val="6177155C"/>
    <w:rsid w:val="617F598B"/>
    <w:rsid w:val="618203E7"/>
    <w:rsid w:val="61B747DE"/>
    <w:rsid w:val="61BE4DF5"/>
    <w:rsid w:val="61BF7412"/>
    <w:rsid w:val="61DE4A8E"/>
    <w:rsid w:val="61FF0A5A"/>
    <w:rsid w:val="62153BB2"/>
    <w:rsid w:val="623E6E28"/>
    <w:rsid w:val="62512902"/>
    <w:rsid w:val="626C3E5F"/>
    <w:rsid w:val="62716EDA"/>
    <w:rsid w:val="62766C4A"/>
    <w:rsid w:val="62845ADB"/>
    <w:rsid w:val="62B215D8"/>
    <w:rsid w:val="62B74394"/>
    <w:rsid w:val="62D64F41"/>
    <w:rsid w:val="62D73CF8"/>
    <w:rsid w:val="63005D8F"/>
    <w:rsid w:val="632A46C3"/>
    <w:rsid w:val="632A6D6E"/>
    <w:rsid w:val="632F2E23"/>
    <w:rsid w:val="633A483D"/>
    <w:rsid w:val="633D7051"/>
    <w:rsid w:val="63514422"/>
    <w:rsid w:val="637B10A3"/>
    <w:rsid w:val="63827BC2"/>
    <w:rsid w:val="63854F9D"/>
    <w:rsid w:val="63A25DE7"/>
    <w:rsid w:val="63C44F28"/>
    <w:rsid w:val="63D94077"/>
    <w:rsid w:val="63E95E12"/>
    <w:rsid w:val="641B7DF8"/>
    <w:rsid w:val="64242EF9"/>
    <w:rsid w:val="64286ED9"/>
    <w:rsid w:val="643235BA"/>
    <w:rsid w:val="643B4B2F"/>
    <w:rsid w:val="64651FEA"/>
    <w:rsid w:val="64751038"/>
    <w:rsid w:val="647E7077"/>
    <w:rsid w:val="64831197"/>
    <w:rsid w:val="648D6EEA"/>
    <w:rsid w:val="64AC3FE2"/>
    <w:rsid w:val="64C0034A"/>
    <w:rsid w:val="64C82747"/>
    <w:rsid w:val="64E01A7E"/>
    <w:rsid w:val="64FA0541"/>
    <w:rsid w:val="650424FB"/>
    <w:rsid w:val="65070D8E"/>
    <w:rsid w:val="65143BF1"/>
    <w:rsid w:val="65155272"/>
    <w:rsid w:val="651F0212"/>
    <w:rsid w:val="651F51D2"/>
    <w:rsid w:val="652F6091"/>
    <w:rsid w:val="653051E1"/>
    <w:rsid w:val="65490BAF"/>
    <w:rsid w:val="65842251"/>
    <w:rsid w:val="65B913CC"/>
    <w:rsid w:val="65D72031"/>
    <w:rsid w:val="65DC0725"/>
    <w:rsid w:val="660C4A84"/>
    <w:rsid w:val="661D0EDA"/>
    <w:rsid w:val="661F01CD"/>
    <w:rsid w:val="66202794"/>
    <w:rsid w:val="662425C5"/>
    <w:rsid w:val="665C1690"/>
    <w:rsid w:val="668B0F61"/>
    <w:rsid w:val="66957640"/>
    <w:rsid w:val="66B92B06"/>
    <w:rsid w:val="66CD6AA7"/>
    <w:rsid w:val="66E3385F"/>
    <w:rsid w:val="673B285D"/>
    <w:rsid w:val="67426C7C"/>
    <w:rsid w:val="675E05AF"/>
    <w:rsid w:val="67820781"/>
    <w:rsid w:val="67855122"/>
    <w:rsid w:val="67862D4B"/>
    <w:rsid w:val="6797087B"/>
    <w:rsid w:val="67BB4CCD"/>
    <w:rsid w:val="67C54EDF"/>
    <w:rsid w:val="67E22526"/>
    <w:rsid w:val="67FA28E1"/>
    <w:rsid w:val="68085D57"/>
    <w:rsid w:val="681F6639"/>
    <w:rsid w:val="68434621"/>
    <w:rsid w:val="685E44D7"/>
    <w:rsid w:val="686440FE"/>
    <w:rsid w:val="6870243F"/>
    <w:rsid w:val="689E5C9A"/>
    <w:rsid w:val="68B72EF2"/>
    <w:rsid w:val="68B76834"/>
    <w:rsid w:val="68BA4D9D"/>
    <w:rsid w:val="68BC68A4"/>
    <w:rsid w:val="68BE58D5"/>
    <w:rsid w:val="68C01BA7"/>
    <w:rsid w:val="68EE0A6D"/>
    <w:rsid w:val="68FB39DC"/>
    <w:rsid w:val="691913EB"/>
    <w:rsid w:val="69237384"/>
    <w:rsid w:val="692F6986"/>
    <w:rsid w:val="693657FC"/>
    <w:rsid w:val="693C36BB"/>
    <w:rsid w:val="694C348D"/>
    <w:rsid w:val="69580CAA"/>
    <w:rsid w:val="69600362"/>
    <w:rsid w:val="69605BC9"/>
    <w:rsid w:val="69784676"/>
    <w:rsid w:val="6995729B"/>
    <w:rsid w:val="69A36F45"/>
    <w:rsid w:val="69BE35B2"/>
    <w:rsid w:val="69D32ED5"/>
    <w:rsid w:val="69D97E4A"/>
    <w:rsid w:val="6A0B0973"/>
    <w:rsid w:val="6A1C165D"/>
    <w:rsid w:val="6A2D66A3"/>
    <w:rsid w:val="6A3053F9"/>
    <w:rsid w:val="6A5120F0"/>
    <w:rsid w:val="6A6E175B"/>
    <w:rsid w:val="6A7840E4"/>
    <w:rsid w:val="6A926E98"/>
    <w:rsid w:val="6AB53F72"/>
    <w:rsid w:val="6ACE3C82"/>
    <w:rsid w:val="6AEC5C94"/>
    <w:rsid w:val="6B240A18"/>
    <w:rsid w:val="6B286EEF"/>
    <w:rsid w:val="6B3D5748"/>
    <w:rsid w:val="6B4313A0"/>
    <w:rsid w:val="6B560CBD"/>
    <w:rsid w:val="6B5D1144"/>
    <w:rsid w:val="6B785632"/>
    <w:rsid w:val="6B806DE9"/>
    <w:rsid w:val="6B9F0EC9"/>
    <w:rsid w:val="6BA173E1"/>
    <w:rsid w:val="6BA2501D"/>
    <w:rsid w:val="6BC55364"/>
    <w:rsid w:val="6BCA5D6A"/>
    <w:rsid w:val="6BDA4C0B"/>
    <w:rsid w:val="6BE56676"/>
    <w:rsid w:val="6C386F70"/>
    <w:rsid w:val="6C4F3304"/>
    <w:rsid w:val="6C5527AE"/>
    <w:rsid w:val="6C58686F"/>
    <w:rsid w:val="6C6F2E94"/>
    <w:rsid w:val="6C776D6B"/>
    <w:rsid w:val="6C7B781D"/>
    <w:rsid w:val="6C871D11"/>
    <w:rsid w:val="6CB31CA3"/>
    <w:rsid w:val="6CB516E6"/>
    <w:rsid w:val="6CBC3BB6"/>
    <w:rsid w:val="6CE00BEE"/>
    <w:rsid w:val="6CE361E1"/>
    <w:rsid w:val="6CEB7F4B"/>
    <w:rsid w:val="6D417ACA"/>
    <w:rsid w:val="6D5B2B2A"/>
    <w:rsid w:val="6D5E58F2"/>
    <w:rsid w:val="6D674704"/>
    <w:rsid w:val="6D696FA7"/>
    <w:rsid w:val="6DA5405F"/>
    <w:rsid w:val="6DCE1B19"/>
    <w:rsid w:val="6E0A5FF8"/>
    <w:rsid w:val="6E2B7F38"/>
    <w:rsid w:val="6E405DB5"/>
    <w:rsid w:val="6E4F6401"/>
    <w:rsid w:val="6E6B2ED4"/>
    <w:rsid w:val="6E763456"/>
    <w:rsid w:val="6E774A55"/>
    <w:rsid w:val="6EAD2B10"/>
    <w:rsid w:val="6EEF1B7B"/>
    <w:rsid w:val="6F1440BB"/>
    <w:rsid w:val="6F224A19"/>
    <w:rsid w:val="6F2730F4"/>
    <w:rsid w:val="6F2B6E61"/>
    <w:rsid w:val="6F343677"/>
    <w:rsid w:val="6F66297B"/>
    <w:rsid w:val="6F7013C2"/>
    <w:rsid w:val="6F7F5E42"/>
    <w:rsid w:val="6F8F58C5"/>
    <w:rsid w:val="6F917271"/>
    <w:rsid w:val="6F9A2553"/>
    <w:rsid w:val="700339FA"/>
    <w:rsid w:val="70157174"/>
    <w:rsid w:val="705A2E75"/>
    <w:rsid w:val="705C657B"/>
    <w:rsid w:val="706A102F"/>
    <w:rsid w:val="709B732E"/>
    <w:rsid w:val="70A9738A"/>
    <w:rsid w:val="70C7061C"/>
    <w:rsid w:val="70DF0EE0"/>
    <w:rsid w:val="70EA01C1"/>
    <w:rsid w:val="70F218E8"/>
    <w:rsid w:val="70F67932"/>
    <w:rsid w:val="71146D2A"/>
    <w:rsid w:val="71153AF9"/>
    <w:rsid w:val="712719CE"/>
    <w:rsid w:val="71341660"/>
    <w:rsid w:val="71346C4F"/>
    <w:rsid w:val="7136717C"/>
    <w:rsid w:val="71554BB7"/>
    <w:rsid w:val="716C4FE5"/>
    <w:rsid w:val="717A7DDD"/>
    <w:rsid w:val="71A2511C"/>
    <w:rsid w:val="71A34597"/>
    <w:rsid w:val="71AF56E8"/>
    <w:rsid w:val="71D77C45"/>
    <w:rsid w:val="71FC713D"/>
    <w:rsid w:val="72065CB6"/>
    <w:rsid w:val="723006DA"/>
    <w:rsid w:val="7251521D"/>
    <w:rsid w:val="725C1AC7"/>
    <w:rsid w:val="726D384D"/>
    <w:rsid w:val="72806024"/>
    <w:rsid w:val="72892C92"/>
    <w:rsid w:val="72952964"/>
    <w:rsid w:val="72B53FCF"/>
    <w:rsid w:val="72B92733"/>
    <w:rsid w:val="72BB0B21"/>
    <w:rsid w:val="72C070DB"/>
    <w:rsid w:val="72D37BDC"/>
    <w:rsid w:val="72ED6AAE"/>
    <w:rsid w:val="72F55806"/>
    <w:rsid w:val="730E7C48"/>
    <w:rsid w:val="731B7F7D"/>
    <w:rsid w:val="732D3DCB"/>
    <w:rsid w:val="737A2554"/>
    <w:rsid w:val="73AE3689"/>
    <w:rsid w:val="73B81B55"/>
    <w:rsid w:val="73BC5F2E"/>
    <w:rsid w:val="73C814A2"/>
    <w:rsid w:val="73D458C0"/>
    <w:rsid w:val="73EF26AB"/>
    <w:rsid w:val="73EF6EE2"/>
    <w:rsid w:val="73FC4A08"/>
    <w:rsid w:val="740A767E"/>
    <w:rsid w:val="740E0137"/>
    <w:rsid w:val="742669C5"/>
    <w:rsid w:val="742E3E6D"/>
    <w:rsid w:val="74374720"/>
    <w:rsid w:val="74380461"/>
    <w:rsid w:val="74463FBB"/>
    <w:rsid w:val="7498419C"/>
    <w:rsid w:val="74995382"/>
    <w:rsid w:val="74A70DBA"/>
    <w:rsid w:val="74A95B21"/>
    <w:rsid w:val="74C31CE5"/>
    <w:rsid w:val="750110F2"/>
    <w:rsid w:val="752134D0"/>
    <w:rsid w:val="75283F7B"/>
    <w:rsid w:val="753A25C0"/>
    <w:rsid w:val="754D2748"/>
    <w:rsid w:val="756F4D30"/>
    <w:rsid w:val="757B1D04"/>
    <w:rsid w:val="759405A2"/>
    <w:rsid w:val="75AB3C06"/>
    <w:rsid w:val="75B73F04"/>
    <w:rsid w:val="75BD3B7A"/>
    <w:rsid w:val="75D30504"/>
    <w:rsid w:val="75F85A8A"/>
    <w:rsid w:val="75FB520E"/>
    <w:rsid w:val="75FE0E5C"/>
    <w:rsid w:val="761327A5"/>
    <w:rsid w:val="761E6667"/>
    <w:rsid w:val="762B41FB"/>
    <w:rsid w:val="766D2E72"/>
    <w:rsid w:val="769514BF"/>
    <w:rsid w:val="76DA2493"/>
    <w:rsid w:val="76F1344C"/>
    <w:rsid w:val="76F8609D"/>
    <w:rsid w:val="770E4498"/>
    <w:rsid w:val="77247DF4"/>
    <w:rsid w:val="77345B8A"/>
    <w:rsid w:val="77360FEA"/>
    <w:rsid w:val="77875400"/>
    <w:rsid w:val="77A5617B"/>
    <w:rsid w:val="77C751D5"/>
    <w:rsid w:val="77CA592A"/>
    <w:rsid w:val="77D96695"/>
    <w:rsid w:val="77E70A9D"/>
    <w:rsid w:val="78014FD2"/>
    <w:rsid w:val="783838A2"/>
    <w:rsid w:val="783B2A1E"/>
    <w:rsid w:val="785960E7"/>
    <w:rsid w:val="786B0D93"/>
    <w:rsid w:val="78922173"/>
    <w:rsid w:val="789708B7"/>
    <w:rsid w:val="78BE6120"/>
    <w:rsid w:val="78CF6C9B"/>
    <w:rsid w:val="79186674"/>
    <w:rsid w:val="79214421"/>
    <w:rsid w:val="79242BFC"/>
    <w:rsid w:val="79330079"/>
    <w:rsid w:val="79477533"/>
    <w:rsid w:val="7959538B"/>
    <w:rsid w:val="797267C7"/>
    <w:rsid w:val="799E5294"/>
    <w:rsid w:val="79A23308"/>
    <w:rsid w:val="79C21B5C"/>
    <w:rsid w:val="79F028C8"/>
    <w:rsid w:val="79FE7BFD"/>
    <w:rsid w:val="7A24165A"/>
    <w:rsid w:val="7A255650"/>
    <w:rsid w:val="7A271250"/>
    <w:rsid w:val="7A384EAF"/>
    <w:rsid w:val="7A4276CB"/>
    <w:rsid w:val="7A4E2533"/>
    <w:rsid w:val="7A5810E4"/>
    <w:rsid w:val="7A5B68B8"/>
    <w:rsid w:val="7A6C2313"/>
    <w:rsid w:val="7A6F60DB"/>
    <w:rsid w:val="7A9129A1"/>
    <w:rsid w:val="7A98553E"/>
    <w:rsid w:val="7AAA58A1"/>
    <w:rsid w:val="7AB250C0"/>
    <w:rsid w:val="7AD5409F"/>
    <w:rsid w:val="7ADC4292"/>
    <w:rsid w:val="7AF1215D"/>
    <w:rsid w:val="7B594966"/>
    <w:rsid w:val="7B951C96"/>
    <w:rsid w:val="7B9609A4"/>
    <w:rsid w:val="7BB57280"/>
    <w:rsid w:val="7BC578EB"/>
    <w:rsid w:val="7BEC40C3"/>
    <w:rsid w:val="7BF14D95"/>
    <w:rsid w:val="7C067D1E"/>
    <w:rsid w:val="7C071EA3"/>
    <w:rsid w:val="7C166DFB"/>
    <w:rsid w:val="7C186FB6"/>
    <w:rsid w:val="7C256ED7"/>
    <w:rsid w:val="7C3B01FC"/>
    <w:rsid w:val="7C5E6EF9"/>
    <w:rsid w:val="7C69391B"/>
    <w:rsid w:val="7C8434E8"/>
    <w:rsid w:val="7CA21CC9"/>
    <w:rsid w:val="7CA7605E"/>
    <w:rsid w:val="7CE86283"/>
    <w:rsid w:val="7D052297"/>
    <w:rsid w:val="7D6F1F8D"/>
    <w:rsid w:val="7D79428A"/>
    <w:rsid w:val="7D896D0A"/>
    <w:rsid w:val="7D8E3744"/>
    <w:rsid w:val="7D961B39"/>
    <w:rsid w:val="7DA53AFB"/>
    <w:rsid w:val="7DAD566D"/>
    <w:rsid w:val="7DB84CE9"/>
    <w:rsid w:val="7DC664E6"/>
    <w:rsid w:val="7DCC4559"/>
    <w:rsid w:val="7DE21546"/>
    <w:rsid w:val="7DE85081"/>
    <w:rsid w:val="7DEE12F9"/>
    <w:rsid w:val="7E0421EF"/>
    <w:rsid w:val="7E073C74"/>
    <w:rsid w:val="7E0A53A5"/>
    <w:rsid w:val="7E121EFF"/>
    <w:rsid w:val="7E182FF6"/>
    <w:rsid w:val="7E3D01E3"/>
    <w:rsid w:val="7E3F4DB0"/>
    <w:rsid w:val="7E507C7D"/>
    <w:rsid w:val="7E533AF5"/>
    <w:rsid w:val="7E5635A3"/>
    <w:rsid w:val="7E602D5E"/>
    <w:rsid w:val="7E671FC8"/>
    <w:rsid w:val="7E7C28C5"/>
    <w:rsid w:val="7E8B2F05"/>
    <w:rsid w:val="7E9B65D1"/>
    <w:rsid w:val="7EAA00B7"/>
    <w:rsid w:val="7EAA66BB"/>
    <w:rsid w:val="7EE92927"/>
    <w:rsid w:val="7F0B3C85"/>
    <w:rsid w:val="7F365A5A"/>
    <w:rsid w:val="7F49050A"/>
    <w:rsid w:val="7F532813"/>
    <w:rsid w:val="7F53638E"/>
    <w:rsid w:val="7F6913C0"/>
    <w:rsid w:val="7F7B687B"/>
    <w:rsid w:val="7F9B7677"/>
    <w:rsid w:val="7FB82DBA"/>
    <w:rsid w:val="7FBF7775"/>
    <w:rsid w:val="7FD0635E"/>
    <w:rsid w:val="7FD30504"/>
    <w:rsid w:val="7FED67E9"/>
    <w:rsid w:val="7FED7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62"/>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link w:val="66"/>
    <w:qFormat/>
    <w:uiPriority w:val="0"/>
    <w:pPr>
      <w:keepNext/>
      <w:keepLines/>
      <w:spacing w:before="260" w:after="260" w:line="413" w:lineRule="auto"/>
      <w:outlineLvl w:val="2"/>
    </w:pPr>
    <w:rPr>
      <w:b/>
      <w:bCs/>
      <w:kern w:val="0"/>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2" w:lineRule="auto"/>
      <w:outlineLvl w:val="4"/>
    </w:pPr>
    <w:rPr>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9"/>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style>
  <w:style w:type="paragraph" w:styleId="13">
    <w:name w:val="Document Map"/>
    <w:basedOn w:val="1"/>
    <w:link w:val="57"/>
    <w:qFormat/>
    <w:uiPriority w:val="0"/>
    <w:rPr>
      <w:rFonts w:ascii="宋体"/>
      <w:sz w:val="18"/>
      <w:szCs w:val="18"/>
    </w:rPr>
  </w:style>
  <w:style w:type="paragraph" w:styleId="14">
    <w:name w:val="annotation text"/>
    <w:basedOn w:val="1"/>
    <w:link w:val="48"/>
    <w:qFormat/>
    <w:uiPriority w:val="0"/>
    <w:pPr>
      <w:jc w:val="left"/>
    </w:pPr>
  </w:style>
  <w:style w:type="paragraph" w:styleId="15">
    <w:name w:val="Body Text 3"/>
    <w:basedOn w:val="1"/>
    <w:qFormat/>
    <w:uiPriority w:val="0"/>
    <w:rPr>
      <w:rFonts w:ascii="宋体"/>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100"/>
    <w:qFormat/>
    <w:uiPriority w:val="0"/>
    <w:rPr>
      <w:rFonts w:ascii="宋体" w:hAnsi="Courier New"/>
      <w:szCs w:val="21"/>
    </w:rPr>
  </w:style>
  <w:style w:type="paragraph" w:styleId="19">
    <w:name w:val="toc 8"/>
    <w:basedOn w:val="1"/>
    <w:next w:val="1"/>
    <w:qFormat/>
    <w:uiPriority w:val="0"/>
    <w:pPr>
      <w:ind w:left="2940" w:leftChars="1400"/>
    </w:p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69"/>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firstLine="420" w:firstLineChars="200"/>
    </w:pPr>
    <w:rPr>
      <w:rFonts w:ascii="宋体" w:hAnsi="宋体"/>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style>
  <w:style w:type="paragraph" w:styleId="3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4">
    <w:name w:val="Normal (Web)"/>
    <w:basedOn w:val="1"/>
    <w:qFormat/>
    <w:uiPriority w:val="0"/>
    <w:pPr>
      <w:spacing w:before="100" w:beforeAutospacing="1" w:after="100" w:afterAutospacing="1"/>
      <w:jc w:val="left"/>
    </w:pPr>
    <w:rPr>
      <w:kern w:val="0"/>
      <w:sz w:val="24"/>
      <w:szCs w:val="20"/>
    </w:rPr>
  </w:style>
  <w:style w:type="paragraph" w:styleId="35">
    <w:name w:val="annotation subject"/>
    <w:basedOn w:val="14"/>
    <w:next w:val="14"/>
    <w:link w:val="47"/>
    <w:qFormat/>
    <w:uiPriority w:val="0"/>
    <w:rPr>
      <w:b/>
      <w:bCs/>
    </w:rPr>
  </w:style>
  <w:style w:type="table" w:styleId="37">
    <w:name w:val="Table Grid"/>
    <w:basedOn w:val="3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basedOn w:val="38"/>
    <w:qFormat/>
    <w:uiPriority w:val="0"/>
    <w:rPr>
      <w:color w:val="000000"/>
      <w:u w:val="none"/>
    </w:rPr>
  </w:style>
  <w:style w:type="character" w:styleId="41">
    <w:name w:val="Emphasis"/>
    <w:basedOn w:val="38"/>
    <w:qFormat/>
    <w:uiPriority w:val="0"/>
  </w:style>
  <w:style w:type="character" w:styleId="42">
    <w:name w:val="Hyperlink"/>
    <w:basedOn w:val="38"/>
    <w:qFormat/>
    <w:uiPriority w:val="99"/>
    <w:rPr>
      <w:color w:val="000000"/>
      <w:u w:val="none"/>
    </w:rPr>
  </w:style>
  <w:style w:type="character" w:styleId="43">
    <w:name w:val="annotation reference"/>
    <w:basedOn w:val="38"/>
    <w:qFormat/>
    <w:uiPriority w:val="0"/>
    <w:rPr>
      <w:sz w:val="21"/>
      <w:szCs w:val="21"/>
    </w:rPr>
  </w:style>
  <w:style w:type="character" w:customStyle="1" w:styleId="44">
    <w:name w:val="标题 1 Char"/>
    <w:link w:val="6"/>
    <w:qFormat/>
    <w:uiPriority w:val="0"/>
    <w:rPr>
      <w:b/>
      <w:bCs/>
      <w:kern w:val="44"/>
      <w:sz w:val="44"/>
      <w:szCs w:val="44"/>
    </w:rPr>
  </w:style>
  <w:style w:type="character" w:customStyle="1" w:styleId="45">
    <w:name w:val="hover25"/>
    <w:basedOn w:val="38"/>
    <w:qFormat/>
    <w:uiPriority w:val="0"/>
  </w:style>
  <w:style w:type="character" w:customStyle="1" w:styleId="46">
    <w:name w:val="red1"/>
    <w:basedOn w:val="38"/>
    <w:qFormat/>
    <w:uiPriority w:val="0"/>
    <w:rPr>
      <w:color w:val="FF0000"/>
      <w:sz w:val="18"/>
      <w:szCs w:val="18"/>
    </w:rPr>
  </w:style>
  <w:style w:type="character" w:customStyle="1" w:styleId="47">
    <w:name w:val="批注主题 Char"/>
    <w:basedOn w:val="48"/>
    <w:link w:val="35"/>
    <w:qFormat/>
    <w:uiPriority w:val="0"/>
    <w:rPr>
      <w:b/>
      <w:bCs/>
    </w:rPr>
  </w:style>
  <w:style w:type="character" w:customStyle="1" w:styleId="48">
    <w:name w:val="批注文字 Char"/>
    <w:basedOn w:val="38"/>
    <w:link w:val="14"/>
    <w:qFormat/>
    <w:uiPriority w:val="0"/>
    <w:rPr>
      <w:kern w:val="2"/>
      <w:sz w:val="21"/>
      <w:szCs w:val="24"/>
    </w:rPr>
  </w:style>
  <w:style w:type="character" w:customStyle="1" w:styleId="49">
    <w:name w:val="ca-161"/>
    <w:basedOn w:val="38"/>
    <w:qFormat/>
    <w:uiPriority w:val="0"/>
    <w:rPr>
      <w:rFonts w:hint="eastAsia" w:ascii="宋体" w:hAnsi="宋体" w:eastAsia="宋体"/>
      <w:spacing w:val="0"/>
      <w:sz w:val="21"/>
      <w:szCs w:val="21"/>
    </w:rPr>
  </w:style>
  <w:style w:type="character" w:customStyle="1" w:styleId="50">
    <w:name w:val="Char Char6"/>
    <w:qFormat/>
    <w:uiPriority w:val="0"/>
    <w:rPr>
      <w:b/>
      <w:bCs/>
      <w:kern w:val="44"/>
      <w:sz w:val="44"/>
      <w:szCs w:val="44"/>
    </w:rPr>
  </w:style>
  <w:style w:type="character" w:customStyle="1" w:styleId="51">
    <w:name w:val="blue"/>
    <w:basedOn w:val="38"/>
    <w:qFormat/>
    <w:uiPriority w:val="0"/>
    <w:rPr>
      <w:color w:val="0371C6"/>
      <w:sz w:val="21"/>
      <w:szCs w:val="21"/>
    </w:rPr>
  </w:style>
  <w:style w:type="character" w:customStyle="1" w:styleId="52">
    <w:name w:val="ca-44"/>
    <w:basedOn w:val="38"/>
    <w:qFormat/>
    <w:uiPriority w:val="0"/>
    <w:rPr>
      <w:rFonts w:hint="eastAsia" w:ascii="宋体" w:hAnsi="宋体" w:eastAsia="宋体"/>
      <w:sz w:val="21"/>
      <w:szCs w:val="21"/>
    </w:rPr>
  </w:style>
  <w:style w:type="character" w:customStyle="1" w:styleId="53">
    <w:name w:val="green1"/>
    <w:basedOn w:val="38"/>
    <w:qFormat/>
    <w:uiPriority w:val="0"/>
    <w:rPr>
      <w:color w:val="66AE00"/>
      <w:sz w:val="18"/>
      <w:szCs w:val="18"/>
    </w:rPr>
  </w:style>
  <w:style w:type="character" w:customStyle="1" w:styleId="54">
    <w:name w:val="tit"/>
    <w:basedOn w:val="38"/>
    <w:qFormat/>
    <w:uiPriority w:val="0"/>
  </w:style>
  <w:style w:type="character" w:customStyle="1" w:styleId="55">
    <w:name w:val="样式 标题 2 + Times New Roman 四号 非加粗 段前: 5 磅 段后: 0 磅 行距: 固定值 20... Char"/>
    <w:link w:val="56"/>
    <w:qFormat/>
    <w:uiPriority w:val="0"/>
    <w:rPr>
      <w:rFonts w:ascii="Times New Roman" w:hAnsi="Times New Roman" w:cs="宋体"/>
      <w:b/>
      <w:bCs/>
      <w:sz w:val="28"/>
      <w:szCs w:val="20"/>
    </w:rPr>
  </w:style>
  <w:style w:type="paragraph" w:customStyle="1" w:styleId="56">
    <w:name w:val="样式 标题 2 + Times New Roman 四号 非加粗 段前: 5 磅 段后: 0 磅 行距: 固定值 20..."/>
    <w:basedOn w:val="7"/>
    <w:link w:val="55"/>
    <w:qFormat/>
    <w:uiPriority w:val="0"/>
    <w:pPr>
      <w:spacing w:before="100" w:after="0" w:line="400" w:lineRule="exact"/>
    </w:pPr>
    <w:rPr>
      <w:rFonts w:ascii="Times New Roman" w:hAnsi="Times New Roman" w:eastAsia="宋体"/>
      <w:sz w:val="28"/>
      <w:szCs w:val="20"/>
    </w:rPr>
  </w:style>
  <w:style w:type="character" w:customStyle="1" w:styleId="57">
    <w:name w:val="文档结构图 Char"/>
    <w:basedOn w:val="38"/>
    <w:link w:val="13"/>
    <w:qFormat/>
    <w:uiPriority w:val="0"/>
    <w:rPr>
      <w:rFonts w:ascii="宋体"/>
      <w:kern w:val="2"/>
      <w:sz w:val="18"/>
      <w:szCs w:val="18"/>
    </w:rPr>
  </w:style>
  <w:style w:type="character" w:customStyle="1" w:styleId="58">
    <w:name w:val="down1"/>
    <w:basedOn w:val="38"/>
    <w:qFormat/>
    <w:uiPriority w:val="0"/>
    <w:rPr>
      <w:shd w:val="clear" w:color="auto" w:fill="DAEEF9"/>
    </w:rPr>
  </w:style>
  <w:style w:type="character" w:customStyle="1" w:styleId="59">
    <w:name w:val="red"/>
    <w:basedOn w:val="38"/>
    <w:qFormat/>
    <w:uiPriority w:val="0"/>
    <w:rPr>
      <w:color w:val="FF0000"/>
      <w:sz w:val="18"/>
      <w:szCs w:val="18"/>
    </w:rPr>
  </w:style>
  <w:style w:type="character" w:customStyle="1" w:styleId="60">
    <w:name w:val="tit1"/>
    <w:basedOn w:val="38"/>
    <w:qFormat/>
    <w:uiPriority w:val="0"/>
  </w:style>
  <w:style w:type="character" w:customStyle="1" w:styleId="61">
    <w:name w:val="green"/>
    <w:basedOn w:val="38"/>
    <w:qFormat/>
    <w:uiPriority w:val="0"/>
    <w:rPr>
      <w:color w:val="66AE00"/>
      <w:sz w:val="18"/>
      <w:szCs w:val="18"/>
    </w:rPr>
  </w:style>
  <w:style w:type="character" w:customStyle="1" w:styleId="62">
    <w:name w:val="标题 2 Char"/>
    <w:link w:val="7"/>
    <w:qFormat/>
    <w:uiPriority w:val="0"/>
    <w:rPr>
      <w:rFonts w:ascii="Arial" w:hAnsi="Arial" w:eastAsia="黑体"/>
      <w:b/>
      <w:bCs/>
      <w:sz w:val="32"/>
      <w:szCs w:val="32"/>
    </w:rPr>
  </w:style>
  <w:style w:type="character" w:customStyle="1" w:styleId="63">
    <w:name w:val="right"/>
    <w:basedOn w:val="38"/>
    <w:qFormat/>
    <w:uiPriority w:val="0"/>
    <w:rPr>
      <w:color w:val="999999"/>
      <w:sz w:val="18"/>
      <w:szCs w:val="18"/>
    </w:rPr>
  </w:style>
  <w:style w:type="character" w:customStyle="1" w:styleId="64">
    <w:name w:val="样式 标题 2 + Times New Roman 四号 非加粗 段前: 5 磅 段后: 0 磅 行距: 固定值 20...[858D7CFB-ED40-4347-BF05-701D383B685F]"/>
    <w:qFormat/>
    <w:uiPriority w:val="0"/>
    <w:rPr>
      <w:b/>
      <w:bCs/>
      <w:sz w:val="28"/>
      <w:lang w:bidi="ar-SA"/>
    </w:rPr>
  </w:style>
  <w:style w:type="character" w:customStyle="1" w:styleId="65">
    <w:name w:val="ca-141"/>
    <w:basedOn w:val="38"/>
    <w:qFormat/>
    <w:uiPriority w:val="0"/>
    <w:rPr>
      <w:rFonts w:hint="eastAsia" w:ascii="黑体" w:eastAsia="黑体"/>
      <w:sz w:val="21"/>
      <w:szCs w:val="21"/>
    </w:rPr>
  </w:style>
  <w:style w:type="character" w:customStyle="1" w:styleId="66">
    <w:name w:val="标题 3 Char"/>
    <w:link w:val="8"/>
    <w:qFormat/>
    <w:uiPriority w:val="0"/>
    <w:rPr>
      <w:b/>
      <w:bCs/>
      <w:sz w:val="32"/>
      <w:szCs w:val="32"/>
    </w:rPr>
  </w:style>
  <w:style w:type="character" w:customStyle="1" w:styleId="67">
    <w:name w:val="sl"/>
    <w:basedOn w:val="38"/>
    <w:qFormat/>
    <w:uiPriority w:val="0"/>
  </w:style>
  <w:style w:type="character" w:customStyle="1" w:styleId="68">
    <w:name w:val="ca-81"/>
    <w:basedOn w:val="38"/>
    <w:qFormat/>
    <w:uiPriority w:val="0"/>
    <w:rPr>
      <w:rFonts w:hint="eastAsia" w:ascii="宋体" w:hAnsi="宋体" w:eastAsia="宋体"/>
      <w:b/>
      <w:bCs/>
      <w:color w:val="000000"/>
      <w:spacing w:val="-20"/>
      <w:sz w:val="21"/>
      <w:szCs w:val="21"/>
    </w:rPr>
  </w:style>
  <w:style w:type="character" w:customStyle="1" w:styleId="69">
    <w:name w:val="批注框文本 Char"/>
    <w:basedOn w:val="38"/>
    <w:link w:val="22"/>
    <w:qFormat/>
    <w:uiPriority w:val="0"/>
    <w:rPr>
      <w:kern w:val="2"/>
      <w:sz w:val="18"/>
      <w:szCs w:val="18"/>
    </w:rPr>
  </w:style>
  <w:style w:type="character" w:customStyle="1" w:styleId="70">
    <w:name w:val="red2"/>
    <w:basedOn w:val="38"/>
    <w:qFormat/>
    <w:uiPriority w:val="0"/>
    <w:rPr>
      <w:color w:val="FF0000"/>
    </w:rPr>
  </w:style>
  <w:style w:type="character" w:customStyle="1" w:styleId="71">
    <w:name w:val="lsl"/>
    <w:basedOn w:val="38"/>
    <w:qFormat/>
    <w:uiPriority w:val="0"/>
  </w:style>
  <w:style w:type="character" w:customStyle="1" w:styleId="72">
    <w:name w:val="16"/>
    <w:basedOn w:val="38"/>
    <w:qFormat/>
    <w:uiPriority w:val="0"/>
    <w:rPr>
      <w:rFonts w:hint="default" w:ascii="Times New Roman" w:hAnsi="Times New Roman" w:cs="Times New Roman"/>
      <w:color w:val="0000FF"/>
      <w:sz w:val="20"/>
      <w:szCs w:val="20"/>
      <w:u w:val="single"/>
    </w:rPr>
  </w:style>
  <w:style w:type="character" w:customStyle="1" w:styleId="73">
    <w:name w:val="sr"/>
    <w:basedOn w:val="38"/>
    <w:qFormat/>
    <w:uiPriority w:val="0"/>
  </w:style>
  <w:style w:type="character" w:customStyle="1" w:styleId="74">
    <w:name w:val="down"/>
    <w:basedOn w:val="38"/>
    <w:qFormat/>
    <w:uiPriority w:val="0"/>
    <w:rPr>
      <w:shd w:val="clear" w:color="auto" w:fill="DAEEF9"/>
    </w:rPr>
  </w:style>
  <w:style w:type="character" w:customStyle="1" w:styleId="75">
    <w:name w:val="gb-jt"/>
    <w:basedOn w:val="38"/>
    <w:qFormat/>
    <w:uiPriority w:val="0"/>
  </w:style>
  <w:style w:type="character" w:customStyle="1" w:styleId="76">
    <w:name w:val="bsharetext"/>
    <w:basedOn w:val="38"/>
    <w:qFormat/>
    <w:uiPriority w:val="0"/>
  </w:style>
  <w:style w:type="character" w:customStyle="1" w:styleId="77">
    <w:name w:val="lsr"/>
    <w:basedOn w:val="38"/>
    <w:qFormat/>
    <w:uiPriority w:val="0"/>
  </w:style>
  <w:style w:type="paragraph" w:customStyle="1" w:styleId="7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9">
    <w:name w:val="Char Char Char Char"/>
    <w:basedOn w:val="1"/>
    <w:qFormat/>
    <w:uiPriority w:val="0"/>
    <w:rPr>
      <w:szCs w:val="20"/>
    </w:rPr>
  </w:style>
  <w:style w:type="paragraph" w:customStyle="1" w:styleId="80">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pa-8"/>
    <w:basedOn w:val="1"/>
    <w:qFormat/>
    <w:uiPriority w:val="0"/>
    <w:pPr>
      <w:widowControl/>
      <w:spacing w:line="240" w:lineRule="atLeast"/>
    </w:pPr>
    <w:rPr>
      <w:rFonts w:ascii="宋体" w:hAnsi="宋体" w:cs="宋体"/>
      <w:kern w:val="0"/>
      <w:sz w:val="24"/>
    </w:rPr>
  </w:style>
  <w:style w:type="paragraph" w:customStyle="1" w:styleId="83">
    <w:name w:val="pa-59"/>
    <w:basedOn w:val="1"/>
    <w:qFormat/>
    <w:uiPriority w:val="0"/>
    <w:pPr>
      <w:widowControl/>
      <w:spacing w:line="240" w:lineRule="atLeast"/>
      <w:ind w:firstLine="180"/>
      <w:jc w:val="left"/>
    </w:pPr>
    <w:rPr>
      <w:rFonts w:ascii="宋体" w:hAnsi="宋体" w:cs="宋体"/>
      <w:kern w:val="0"/>
      <w:sz w:val="24"/>
    </w:rPr>
  </w:style>
  <w:style w:type="paragraph" w:customStyle="1" w:styleId="84">
    <w:name w:val="p0"/>
    <w:basedOn w:val="1"/>
    <w:qFormat/>
    <w:uiPriority w:val="0"/>
    <w:pPr>
      <w:widowControl/>
      <w:jc w:val="left"/>
    </w:pPr>
    <w:rPr>
      <w:kern w:val="0"/>
      <w:szCs w:val="21"/>
    </w:rPr>
  </w:style>
  <w:style w:type="paragraph" w:customStyle="1" w:styleId="85">
    <w:name w:val="pa-50"/>
    <w:basedOn w:val="1"/>
    <w:qFormat/>
    <w:uiPriority w:val="0"/>
    <w:pPr>
      <w:widowControl/>
      <w:spacing w:line="240" w:lineRule="atLeast"/>
      <w:ind w:firstLine="420"/>
      <w:jc w:val="left"/>
    </w:pPr>
    <w:rPr>
      <w:rFonts w:ascii="宋体" w:hAnsi="宋体" w:cs="宋体"/>
      <w:kern w:val="0"/>
      <w:sz w:val="24"/>
    </w:rPr>
  </w:style>
  <w:style w:type="paragraph" w:customStyle="1" w:styleId="86">
    <w:name w:val="pa-55"/>
    <w:basedOn w:val="1"/>
    <w:qFormat/>
    <w:uiPriority w:val="0"/>
    <w:pPr>
      <w:widowControl/>
      <w:spacing w:line="240" w:lineRule="atLeast"/>
      <w:ind w:firstLine="80"/>
    </w:pPr>
    <w:rPr>
      <w:rFonts w:ascii="宋体" w:hAnsi="宋体" w:cs="宋体"/>
      <w:kern w:val="0"/>
      <w:sz w:val="24"/>
    </w:rPr>
  </w:style>
  <w:style w:type="paragraph" w:customStyle="1" w:styleId="87">
    <w:name w:val="Char Char Char Char1"/>
    <w:basedOn w:val="1"/>
    <w:qFormat/>
    <w:uiPriority w:val="0"/>
  </w:style>
  <w:style w:type="paragraph" w:customStyle="1" w:styleId="88">
    <w:name w:val="pa-47"/>
    <w:basedOn w:val="1"/>
    <w:qFormat/>
    <w:uiPriority w:val="0"/>
    <w:pPr>
      <w:widowControl/>
      <w:spacing w:line="240" w:lineRule="atLeast"/>
      <w:ind w:firstLine="420"/>
    </w:pPr>
    <w:rPr>
      <w:rFonts w:ascii="宋体" w:hAnsi="宋体" w:cs="宋体"/>
      <w:kern w:val="0"/>
      <w:sz w:val="24"/>
    </w:rPr>
  </w:style>
  <w:style w:type="paragraph" w:customStyle="1" w:styleId="89">
    <w:name w:val="列出段落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pa-49"/>
    <w:basedOn w:val="1"/>
    <w:qFormat/>
    <w:uiPriority w:val="0"/>
    <w:pPr>
      <w:widowControl/>
      <w:spacing w:line="240" w:lineRule="atLeast"/>
      <w:ind w:firstLine="300"/>
    </w:pPr>
    <w:rPr>
      <w:rFonts w:ascii="宋体" w:hAnsi="宋体" w:cs="宋体"/>
      <w:kern w:val="0"/>
      <w:sz w:val="24"/>
    </w:rPr>
  </w:style>
  <w:style w:type="paragraph" w:customStyle="1" w:styleId="93">
    <w:name w:val="p20"/>
    <w:basedOn w:val="1"/>
    <w:qFormat/>
    <w:uiPriority w:val="0"/>
    <w:pPr>
      <w:widowControl/>
      <w:spacing w:line="400" w:lineRule="atLeast"/>
    </w:pPr>
    <w:rPr>
      <w:kern w:val="0"/>
      <w:sz w:val="24"/>
    </w:rPr>
  </w:style>
  <w:style w:type="paragraph" w:customStyle="1" w:styleId="94">
    <w:name w:val="Char"/>
    <w:basedOn w:val="1"/>
    <w:qFormat/>
    <w:uiPriority w:val="0"/>
    <w:rPr>
      <w:szCs w:val="20"/>
    </w:rPr>
  </w:style>
  <w:style w:type="paragraph" w:customStyle="1" w:styleId="95">
    <w:name w:val="pa-53"/>
    <w:basedOn w:val="1"/>
    <w:qFormat/>
    <w:uiPriority w:val="0"/>
    <w:pPr>
      <w:widowControl/>
      <w:spacing w:line="240" w:lineRule="atLeast"/>
      <w:ind w:firstLine="380"/>
    </w:pPr>
    <w:rPr>
      <w:rFonts w:ascii="宋体" w:hAnsi="宋体" w:cs="宋体"/>
      <w:kern w:val="0"/>
      <w:sz w:val="24"/>
    </w:rPr>
  </w:style>
  <w:style w:type="paragraph" w:customStyle="1" w:styleId="96">
    <w:name w:val="TOC 3"/>
    <w:basedOn w:val="1"/>
    <w:qFormat/>
    <w:uiPriority w:val="1"/>
    <w:pPr>
      <w:spacing w:line="272" w:lineRule="exact"/>
      <w:ind w:left="940"/>
      <w:jc w:val="left"/>
    </w:pPr>
    <w:rPr>
      <w:rFonts w:ascii="宋体" w:hAnsi="宋体" w:cs="宋体"/>
      <w:kern w:val="0"/>
      <w:szCs w:val="21"/>
      <w:lang w:eastAsia="en-US"/>
    </w:rPr>
  </w:style>
  <w:style w:type="paragraph" w:customStyle="1" w:styleId="97">
    <w:name w:val="1"/>
    <w:basedOn w:val="1"/>
    <w:next w:val="1"/>
    <w:qFormat/>
    <w:uiPriority w:val="0"/>
    <w:rPr>
      <w:rFonts w:ascii="宋体"/>
      <w:kern w:val="0"/>
      <w:sz w:val="34"/>
      <w:szCs w:val="20"/>
    </w:rPr>
  </w:style>
  <w:style w:type="paragraph" w:customStyle="1" w:styleId="98">
    <w:name w:val="Table Paragraph"/>
    <w:basedOn w:val="1"/>
    <w:qFormat/>
    <w:uiPriority w:val="1"/>
    <w:pPr>
      <w:jc w:val="left"/>
    </w:pPr>
    <w:rPr>
      <w:rFonts w:ascii="宋体" w:hAnsi="宋体" w:cs="宋体"/>
      <w:kern w:val="0"/>
      <w:sz w:val="22"/>
      <w:szCs w:val="22"/>
      <w:lang w:eastAsia="en-US"/>
    </w:rPr>
  </w:style>
  <w:style w:type="character" w:customStyle="1" w:styleId="99">
    <w:name w:val="正文首行缩进 Char"/>
    <w:basedOn w:val="38"/>
    <w:link w:val="2"/>
    <w:qFormat/>
    <w:uiPriority w:val="0"/>
    <w:rPr>
      <w:kern w:val="2"/>
      <w:sz w:val="21"/>
      <w:szCs w:val="24"/>
    </w:rPr>
  </w:style>
  <w:style w:type="character" w:customStyle="1" w:styleId="100">
    <w:name w:val="纯文本 Char"/>
    <w:link w:val="18"/>
    <w:qFormat/>
    <w:uiPriority w:val="0"/>
    <w:rPr>
      <w:rFonts w:ascii="宋体" w:hAnsi="Courier New" w:cs="Courier New"/>
      <w:kern w:val="2"/>
      <w:sz w:val="21"/>
      <w:szCs w:val="21"/>
    </w:rPr>
  </w:style>
  <w:style w:type="character" w:customStyle="1" w:styleId="101">
    <w:name w:val="hover"/>
    <w:basedOn w:val="38"/>
    <w:qFormat/>
    <w:uiPriority w:val="0"/>
  </w:style>
  <w:style w:type="paragraph" w:styleId="102">
    <w:name w:val="List Paragraph"/>
    <w:basedOn w:val="1"/>
    <w:unhideWhenUsed/>
    <w:qFormat/>
    <w:uiPriority w:val="99"/>
    <w:pPr>
      <w:ind w:firstLine="420" w:firstLineChars="200"/>
    </w:pPr>
  </w:style>
  <w:style w:type="character" w:customStyle="1" w:styleId="103">
    <w:name w:val="red3"/>
    <w:basedOn w:val="38"/>
    <w:qFormat/>
    <w:uiPriority w:val="0"/>
    <w:rPr>
      <w:color w:val="CC0000"/>
    </w:rPr>
  </w:style>
  <w:style w:type="character" w:customStyle="1" w:styleId="104">
    <w:name w:val="hover24"/>
    <w:basedOn w:val="38"/>
    <w:qFormat/>
    <w:uiPriority w:val="0"/>
  </w:style>
  <w:style w:type="paragraph" w:customStyle="1" w:styleId="105">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5583</Words>
  <Characters>31829</Characters>
  <Lines>265</Lines>
  <Paragraphs>74</Paragraphs>
  <TotalTime>29</TotalTime>
  <ScaleCrop>false</ScaleCrop>
  <LinksUpToDate>false</LinksUpToDate>
  <CharactersWithSpaces>37338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2018-06-19T01:45:00Z</dcterms:created>
  <dc:creator>user</dc:creator>
  <cp:lastModifiedBy>北京东方华太工程咨询有限公司:张琳</cp:lastModifiedBy>
  <cp:lastPrinted>2020-05-09T09:35:00Z</cp:lastPrinted>
  <dcterms:modified xsi:type="dcterms:W3CDTF">2020-05-19T08:14:28Z</dcterms:modified>
  <dc:title>中华人民共和国</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