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9C" w:rsidRDefault="00463B9C" w:rsidP="002050A8">
      <w:pPr>
        <w:spacing w:line="276" w:lineRule="auto"/>
        <w:ind w:left="643" w:hangingChars="200" w:hanging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禹州市公安局执法办案中心装饰装修、电施及给排水工程</w:t>
      </w:r>
    </w:p>
    <w:p w:rsidR="00CC799C" w:rsidRDefault="00463B9C" w:rsidP="002050A8">
      <w:pPr>
        <w:spacing w:line="276" w:lineRule="auto"/>
        <w:ind w:left="643" w:hangingChars="200" w:hanging="643"/>
        <w:jc w:val="center"/>
        <w:rPr>
          <w:rFonts w:ascii="宋体" w:hAnsi="宋体" w:cs="宋体"/>
          <w:b/>
          <w:sz w:val="32"/>
          <w:szCs w:val="32"/>
          <w:lang w:val="zh-CN"/>
        </w:rPr>
      </w:pPr>
      <w:r>
        <w:rPr>
          <w:rFonts w:ascii="宋体" w:hAnsi="宋体" w:cs="宋体" w:hint="eastAsia"/>
          <w:b/>
          <w:sz w:val="32"/>
          <w:szCs w:val="32"/>
          <w:lang w:val="zh-CN"/>
        </w:rPr>
        <w:t>评标报告</w:t>
      </w:r>
    </w:p>
    <w:p w:rsidR="00CC799C" w:rsidRDefault="00463B9C">
      <w:pPr>
        <w:pStyle w:val="a7"/>
        <w:widowControl/>
        <w:numPr>
          <w:ilvl w:val="0"/>
          <w:numId w:val="1"/>
        </w:numPr>
        <w:shd w:val="clear" w:color="auto" w:fill="FFFFFF"/>
        <w:spacing w:before="227" w:line="560" w:lineRule="exact"/>
        <w:jc w:val="left"/>
        <w:rPr>
          <w:rFonts w:ascii="仿宋_GB2312" w:eastAsia="仿宋_GB2312" w:hAnsi="仿宋_GB2312" w:cs="仿宋_GB2312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  <w:shd w:val="clear" w:color="auto" w:fill="FFFFFF"/>
        </w:rPr>
        <w:t>项目概况</w:t>
      </w:r>
    </w:p>
    <w:p w:rsidR="00CC799C" w:rsidRDefault="00463B9C" w:rsidP="002050A8">
      <w:pPr>
        <w:spacing w:line="276" w:lineRule="auto"/>
        <w:ind w:left="560" w:hangingChars="200" w:hanging="560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（一）项目名称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  <w:lang w:val="zh-CN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禹州市公安局执法办案中心装饰装修、电施及给排水工程</w:t>
      </w:r>
    </w:p>
    <w:p w:rsidR="00CC799C" w:rsidRDefault="00463B9C">
      <w:pPr>
        <w:pStyle w:val="a7"/>
        <w:widowControl/>
        <w:shd w:val="clear" w:color="auto" w:fill="FFFFFF"/>
        <w:spacing w:before="227" w:line="56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（二）项目编号：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YZCG-DL2020009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  <w:lang w:val="zh-CN"/>
        </w:rPr>
        <w:t>号</w:t>
      </w:r>
    </w:p>
    <w:p w:rsidR="00CC799C" w:rsidRDefault="00463B9C">
      <w:pPr>
        <w:pStyle w:val="a7"/>
        <w:widowControl/>
        <w:shd w:val="clear" w:color="auto" w:fill="FFFFFF"/>
        <w:spacing w:before="227"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（三）招标公告发布日期：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30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日</w:t>
      </w:r>
    </w:p>
    <w:p w:rsidR="00CC799C" w:rsidRDefault="00463B9C">
      <w:pPr>
        <w:pStyle w:val="a7"/>
        <w:widowControl/>
        <w:shd w:val="clear" w:color="auto" w:fill="FFFFFF"/>
        <w:spacing w:before="227"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（四）变更公告发布日期：无</w:t>
      </w:r>
    </w:p>
    <w:p w:rsidR="00CC799C" w:rsidRDefault="00463B9C">
      <w:pPr>
        <w:pStyle w:val="a7"/>
        <w:widowControl/>
        <w:shd w:val="clear" w:color="auto" w:fill="FFFFFF"/>
        <w:spacing w:before="227"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（五）开标日期：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15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 xml:space="preserve">:30 </w:t>
      </w:r>
    </w:p>
    <w:p w:rsidR="00CC799C" w:rsidRDefault="00463B9C">
      <w:pPr>
        <w:pStyle w:val="a7"/>
        <w:widowControl/>
        <w:shd w:val="clear" w:color="auto" w:fill="FFFFFF"/>
        <w:spacing w:before="227" w:line="56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（六）采购方式：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竞争性谈判</w:t>
      </w:r>
    </w:p>
    <w:p w:rsidR="00CC799C" w:rsidRDefault="00463B9C">
      <w:pPr>
        <w:spacing w:line="360" w:lineRule="auto"/>
        <w:rPr>
          <w:rFonts w:ascii="新宋体" w:eastAsia="新宋体" w:hAnsi="新宋体" w:cs="新宋体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（七）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采购预算：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1424443.58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元（含规费、税金、安全文明施工措施费）</w:t>
      </w:r>
    </w:p>
    <w:p w:rsidR="00CC799C" w:rsidRDefault="00463B9C">
      <w:pPr>
        <w:pStyle w:val="a7"/>
        <w:widowControl/>
        <w:shd w:val="clear" w:color="auto" w:fill="FFFFFF"/>
        <w:spacing w:before="227" w:line="560" w:lineRule="exact"/>
        <w:jc w:val="left"/>
        <w:rPr>
          <w:rFonts w:ascii="新宋体" w:eastAsia="新宋体" w:hAnsi="新宋体" w:cs="新宋体"/>
          <w:color w:val="000000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（八）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计划工期：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60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日历天</w:t>
      </w:r>
    </w:p>
    <w:p w:rsidR="00CC799C" w:rsidRDefault="00463B9C">
      <w:pPr>
        <w:widowControl/>
        <w:shd w:val="clear" w:color="auto" w:fill="FFFFFF"/>
        <w:spacing w:before="226" w:line="460" w:lineRule="atLeast"/>
        <w:jc w:val="left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（九）评标办法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：最低价</w:t>
      </w:r>
    </w:p>
    <w:p w:rsidR="00CC799C" w:rsidRDefault="00463B9C">
      <w:pPr>
        <w:pStyle w:val="a7"/>
        <w:widowControl/>
        <w:shd w:val="clear" w:color="auto" w:fill="FFFFFF"/>
        <w:spacing w:before="227" w:line="56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（十）资格审查方式：资格后审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CC799C" w:rsidRDefault="00463B9C">
      <w:pPr>
        <w:widowControl/>
        <w:spacing w:before="226" w:line="440" w:lineRule="atLeast"/>
        <w:jc w:val="left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十一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招标公告刊登的媒体：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《中国政府采购网》、《河南省政府采购网》、《全国公共资源交易平台（河南省·许昌市）》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。</w:t>
      </w:r>
    </w:p>
    <w:p w:rsidR="00CC799C" w:rsidRDefault="00463B9C">
      <w:pPr>
        <w:widowControl/>
        <w:spacing w:before="226" w:line="440" w:lineRule="atLeast"/>
        <w:jc w:val="left"/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  <w:shd w:val="clear" w:color="auto" w:fill="FFFFFF"/>
        </w:rPr>
        <w:t>二、资格审查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37"/>
        <w:gridCol w:w="8509"/>
      </w:tblGrid>
      <w:tr w:rsidR="00CC799C">
        <w:trPr>
          <w:trHeight w:val="690"/>
          <w:tblCellSpacing w:w="0" w:type="dxa"/>
          <w:jc w:val="center"/>
        </w:trPr>
        <w:tc>
          <w:tcPr>
            <w:tcW w:w="937" w:type="dxa"/>
            <w:noWrap/>
            <w:vAlign w:val="center"/>
          </w:tcPr>
          <w:p w:rsidR="00CC799C" w:rsidRDefault="00463B9C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序号</w:t>
            </w:r>
          </w:p>
        </w:tc>
        <w:tc>
          <w:tcPr>
            <w:tcW w:w="8509" w:type="dxa"/>
            <w:noWrap/>
            <w:vAlign w:val="center"/>
          </w:tcPr>
          <w:p w:rsidR="00CC799C" w:rsidRDefault="00463B9C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通过资格审查的投标人</w:t>
            </w:r>
          </w:p>
        </w:tc>
      </w:tr>
      <w:tr w:rsidR="00CC799C">
        <w:trPr>
          <w:trHeight w:val="345"/>
          <w:tblCellSpacing w:w="0" w:type="dxa"/>
          <w:jc w:val="center"/>
        </w:trPr>
        <w:tc>
          <w:tcPr>
            <w:tcW w:w="937" w:type="dxa"/>
            <w:noWrap/>
            <w:vAlign w:val="center"/>
          </w:tcPr>
          <w:p w:rsidR="00CC799C" w:rsidRDefault="00463B9C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</w:p>
        </w:tc>
        <w:tc>
          <w:tcPr>
            <w:tcW w:w="8509" w:type="dxa"/>
            <w:noWrap/>
            <w:vAlign w:val="center"/>
          </w:tcPr>
          <w:p w:rsidR="00CC799C" w:rsidRDefault="00463B9C">
            <w:pPr>
              <w:pStyle w:val="a7"/>
              <w:widowControl/>
              <w:shd w:val="clear" w:color="auto" w:fill="FFFFFF"/>
              <w:spacing w:before="227" w:line="360" w:lineRule="auto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河南鼎正建筑装饰工程有限公司</w:t>
            </w:r>
          </w:p>
        </w:tc>
      </w:tr>
      <w:tr w:rsidR="00CC799C">
        <w:trPr>
          <w:trHeight w:val="535"/>
          <w:tblCellSpacing w:w="0" w:type="dxa"/>
          <w:jc w:val="center"/>
        </w:trPr>
        <w:tc>
          <w:tcPr>
            <w:tcW w:w="937" w:type="dxa"/>
            <w:noWrap/>
            <w:vAlign w:val="center"/>
          </w:tcPr>
          <w:p w:rsidR="00CC799C" w:rsidRDefault="00463B9C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lastRenderedPageBreak/>
              <w:t>2</w:t>
            </w:r>
          </w:p>
        </w:tc>
        <w:tc>
          <w:tcPr>
            <w:tcW w:w="8509" w:type="dxa"/>
            <w:noWrap/>
            <w:vAlign w:val="center"/>
          </w:tcPr>
          <w:p w:rsidR="00CC799C" w:rsidRDefault="00463B9C">
            <w:pPr>
              <w:pStyle w:val="a7"/>
              <w:widowControl/>
              <w:shd w:val="clear" w:color="auto" w:fill="FFFFFF"/>
              <w:spacing w:before="227" w:line="360" w:lineRule="auto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河南恒冠建筑工程有限公司</w:t>
            </w:r>
          </w:p>
        </w:tc>
      </w:tr>
      <w:tr w:rsidR="00CC799C">
        <w:trPr>
          <w:trHeight w:val="765"/>
          <w:tblCellSpacing w:w="0" w:type="dxa"/>
          <w:jc w:val="center"/>
        </w:trPr>
        <w:tc>
          <w:tcPr>
            <w:tcW w:w="937" w:type="dxa"/>
            <w:noWrap/>
            <w:vAlign w:val="center"/>
          </w:tcPr>
          <w:p w:rsidR="00CC799C" w:rsidRDefault="00463B9C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3</w:t>
            </w:r>
          </w:p>
        </w:tc>
        <w:tc>
          <w:tcPr>
            <w:tcW w:w="8509" w:type="dxa"/>
            <w:noWrap/>
            <w:vAlign w:val="center"/>
          </w:tcPr>
          <w:p w:rsidR="00CC799C" w:rsidRDefault="00463B9C">
            <w:pPr>
              <w:pStyle w:val="a7"/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河南东联建设工程有限公司</w:t>
            </w:r>
          </w:p>
        </w:tc>
      </w:tr>
      <w:tr w:rsidR="00CC799C">
        <w:trPr>
          <w:trHeight w:val="765"/>
          <w:tblCellSpacing w:w="0" w:type="dxa"/>
          <w:jc w:val="center"/>
        </w:trPr>
        <w:tc>
          <w:tcPr>
            <w:tcW w:w="937" w:type="dxa"/>
            <w:noWrap/>
            <w:vAlign w:val="center"/>
          </w:tcPr>
          <w:p w:rsidR="00CC799C" w:rsidRDefault="00463B9C">
            <w:pPr>
              <w:pStyle w:val="a7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4</w:t>
            </w:r>
          </w:p>
        </w:tc>
        <w:tc>
          <w:tcPr>
            <w:tcW w:w="8509" w:type="dxa"/>
            <w:noWrap/>
            <w:vAlign w:val="center"/>
          </w:tcPr>
          <w:p w:rsidR="00CC799C" w:rsidRDefault="00463B9C">
            <w:pPr>
              <w:pStyle w:val="a7"/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河南泰联建筑工程有限公司</w:t>
            </w:r>
          </w:p>
        </w:tc>
      </w:tr>
    </w:tbl>
    <w:p w:rsidR="00CC799C" w:rsidRDefault="00463B9C">
      <w:pPr>
        <w:pStyle w:val="a7"/>
        <w:widowControl/>
        <w:shd w:val="clear" w:color="auto" w:fill="FFFFFF"/>
        <w:spacing w:before="227" w:line="360" w:lineRule="auto"/>
        <w:ind w:firstLine="420"/>
        <w:jc w:val="left"/>
        <w:rPr>
          <w:rFonts w:ascii="仿宋_GB2312" w:eastAsia="仿宋_GB2312" w:hAnsi="仿宋_GB2312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河南许鋆建筑工程有限公司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由于电子投标文件中未提供证明材料的原件扫描件（或图片），未通过资格性审查。</w:t>
      </w:r>
    </w:p>
    <w:p w:rsidR="00CC799C" w:rsidRDefault="00463B9C">
      <w:pPr>
        <w:pStyle w:val="a7"/>
        <w:widowControl/>
        <w:shd w:val="clear" w:color="auto" w:fill="FFFFFF"/>
        <w:spacing w:before="227" w:line="360" w:lineRule="auto"/>
        <w:ind w:firstLine="420"/>
        <w:jc w:val="left"/>
        <w:rPr>
          <w:rFonts w:ascii="仿宋_GB2312" w:eastAsia="仿宋_GB2312" w:hAnsi="仿宋_GB2312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三、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符合性审查</w:t>
      </w:r>
    </w:p>
    <w:p w:rsidR="00CC799C" w:rsidRDefault="00463B9C">
      <w:pPr>
        <w:pStyle w:val="a7"/>
        <w:widowControl/>
        <w:shd w:val="clear" w:color="auto" w:fill="FFFFFF"/>
        <w:spacing w:before="227" w:line="360" w:lineRule="auto"/>
        <w:ind w:firstLine="420"/>
        <w:jc w:val="left"/>
        <w:rPr>
          <w:rFonts w:ascii="仿宋_GB2312" w:eastAsia="仿宋" w:hAnsi="仿宋_GB2312" w:cs="仿宋_GB2312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硬件特征码是否异常：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无异常</w:t>
      </w:r>
    </w:p>
    <w:p w:rsidR="00CC799C" w:rsidRDefault="00463B9C">
      <w:pPr>
        <w:pStyle w:val="a7"/>
        <w:widowControl/>
        <w:shd w:val="clear" w:color="auto" w:fill="FFFFFF"/>
        <w:spacing w:before="227" w:line="360" w:lineRule="auto"/>
        <w:ind w:firstLine="420"/>
        <w:jc w:val="left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通过资格审查的投标人均通过符合性审查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5"/>
        <w:gridCol w:w="1684"/>
        <w:gridCol w:w="3484"/>
        <w:gridCol w:w="3917"/>
      </w:tblGrid>
      <w:tr w:rsidR="00CC799C">
        <w:trPr>
          <w:trHeight w:val="693"/>
          <w:jc w:val="center"/>
        </w:trPr>
        <w:tc>
          <w:tcPr>
            <w:tcW w:w="10020" w:type="dxa"/>
            <w:gridSpan w:val="4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9C" w:rsidRDefault="00463B9C">
            <w:pPr>
              <w:widowControl/>
              <w:spacing w:after="150" w:line="360" w:lineRule="auto"/>
              <w:contextualSpacing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未通过符合性审查的投标人</w:t>
            </w:r>
          </w:p>
        </w:tc>
      </w:tr>
      <w:tr w:rsidR="00CC799C">
        <w:trPr>
          <w:trHeight w:val="693"/>
          <w:jc w:val="center"/>
        </w:trPr>
        <w:tc>
          <w:tcPr>
            <w:tcW w:w="935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9C" w:rsidRDefault="00463B9C">
            <w:pPr>
              <w:widowControl/>
              <w:spacing w:after="150" w:line="360" w:lineRule="auto"/>
              <w:contextualSpacing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4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9C" w:rsidRDefault="00463B9C">
            <w:pPr>
              <w:widowControl/>
              <w:spacing w:after="150" w:line="360" w:lineRule="auto"/>
              <w:contextualSpacing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投标人名称</w:t>
            </w:r>
          </w:p>
        </w:tc>
        <w:tc>
          <w:tcPr>
            <w:tcW w:w="3484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9C" w:rsidRDefault="00463B9C">
            <w:pPr>
              <w:widowControl/>
              <w:spacing w:after="150" w:line="360" w:lineRule="auto"/>
              <w:contextualSpacing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未通过原因</w:t>
            </w:r>
          </w:p>
        </w:tc>
        <w:tc>
          <w:tcPr>
            <w:tcW w:w="3917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9C" w:rsidRDefault="00463B9C">
            <w:pPr>
              <w:widowControl/>
              <w:spacing w:after="150" w:line="360" w:lineRule="auto"/>
              <w:contextualSpacing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招标文件相应条款</w:t>
            </w:r>
          </w:p>
        </w:tc>
      </w:tr>
      <w:tr w:rsidR="00CC799C">
        <w:trPr>
          <w:trHeight w:val="693"/>
          <w:jc w:val="center"/>
        </w:trPr>
        <w:tc>
          <w:tcPr>
            <w:tcW w:w="935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9C" w:rsidRDefault="00463B9C">
            <w:pPr>
              <w:widowControl/>
              <w:spacing w:after="150" w:line="360" w:lineRule="auto"/>
              <w:contextualSpacing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84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9C" w:rsidRDefault="00463B9C">
            <w:pPr>
              <w:widowControl/>
              <w:spacing w:after="150" w:line="360" w:lineRule="auto"/>
              <w:contextualSpacing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3484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9C" w:rsidRDefault="00463B9C">
            <w:pPr>
              <w:widowControl/>
              <w:spacing w:after="150" w:line="360" w:lineRule="auto"/>
              <w:contextualSpacing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3917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9C" w:rsidRDefault="00463B9C">
            <w:pPr>
              <w:widowControl/>
              <w:spacing w:after="150" w:line="360" w:lineRule="auto"/>
              <w:contextualSpacing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无</w:t>
            </w:r>
          </w:p>
        </w:tc>
      </w:tr>
    </w:tbl>
    <w:p w:rsidR="00CC799C" w:rsidRDefault="00463B9C">
      <w:pPr>
        <w:widowControl/>
        <w:numPr>
          <w:ilvl w:val="0"/>
          <w:numId w:val="2"/>
        </w:numPr>
        <w:spacing w:before="226"/>
        <w:ind w:left="280"/>
        <w:jc w:val="left"/>
        <w:rPr>
          <w:rFonts w:ascii="仿宋_GB2312" w:eastAsia="仿宋_GB2312" w:hAnsi="仿宋_GB2312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评标结果排序</w:t>
      </w:r>
    </w:p>
    <w:tbl>
      <w:tblPr>
        <w:tblStyle w:val="a8"/>
        <w:tblW w:w="9653" w:type="dxa"/>
        <w:tblInd w:w="13" w:type="dxa"/>
        <w:tblLook w:val="04A0"/>
      </w:tblPr>
      <w:tblGrid>
        <w:gridCol w:w="4923"/>
        <w:gridCol w:w="1465"/>
        <w:gridCol w:w="1412"/>
        <w:gridCol w:w="847"/>
        <w:gridCol w:w="1006"/>
      </w:tblGrid>
      <w:tr w:rsidR="00CC799C">
        <w:tc>
          <w:tcPr>
            <w:tcW w:w="4923" w:type="dxa"/>
            <w:noWrap/>
          </w:tcPr>
          <w:p w:rsidR="00CC799C" w:rsidRDefault="00463B9C">
            <w:pPr>
              <w:spacing w:line="600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投标供应商名称</w:t>
            </w:r>
          </w:p>
        </w:tc>
        <w:tc>
          <w:tcPr>
            <w:tcW w:w="1465" w:type="dxa"/>
            <w:noWrap/>
          </w:tcPr>
          <w:p w:rsidR="00CC799C" w:rsidRDefault="00463B9C"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412" w:type="dxa"/>
            <w:noWrap/>
          </w:tcPr>
          <w:p w:rsidR="00CC799C" w:rsidRDefault="00463B9C"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最终报价（元）</w:t>
            </w:r>
          </w:p>
        </w:tc>
        <w:tc>
          <w:tcPr>
            <w:tcW w:w="847" w:type="dxa"/>
            <w:noWrap/>
          </w:tcPr>
          <w:p w:rsidR="00CC799C" w:rsidRDefault="00463B9C"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1006" w:type="dxa"/>
            <w:noWrap/>
          </w:tcPr>
          <w:p w:rsidR="00CC799C" w:rsidRDefault="00CC799C"/>
        </w:tc>
      </w:tr>
      <w:tr w:rsidR="00CC799C">
        <w:trPr>
          <w:trHeight w:val="708"/>
        </w:trPr>
        <w:tc>
          <w:tcPr>
            <w:tcW w:w="4923" w:type="dxa"/>
            <w:noWrap/>
          </w:tcPr>
          <w:p w:rsidR="00CC799C" w:rsidRDefault="00463B9C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河南鼎正建筑装饰工程有限公司</w:t>
            </w:r>
          </w:p>
        </w:tc>
        <w:tc>
          <w:tcPr>
            <w:tcW w:w="1465" w:type="dxa"/>
            <w:noWrap/>
          </w:tcPr>
          <w:p w:rsidR="00CC799C" w:rsidRDefault="00463B9C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1417421.84</w:t>
            </w:r>
          </w:p>
        </w:tc>
        <w:tc>
          <w:tcPr>
            <w:tcW w:w="1412" w:type="dxa"/>
            <w:noWrap/>
          </w:tcPr>
          <w:p w:rsidR="00CC799C" w:rsidRDefault="00463B9C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1417000</w:t>
            </w:r>
          </w:p>
        </w:tc>
        <w:tc>
          <w:tcPr>
            <w:tcW w:w="847" w:type="dxa"/>
            <w:noWrap/>
          </w:tcPr>
          <w:p w:rsidR="00CC799C" w:rsidRDefault="00463B9C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06" w:type="dxa"/>
            <w:noWrap/>
          </w:tcPr>
          <w:p w:rsidR="00CC799C" w:rsidRDefault="00CC799C"/>
        </w:tc>
      </w:tr>
      <w:tr w:rsidR="00CC799C">
        <w:trPr>
          <w:trHeight w:val="682"/>
        </w:trPr>
        <w:tc>
          <w:tcPr>
            <w:tcW w:w="4923" w:type="dxa"/>
            <w:noWrap/>
          </w:tcPr>
          <w:p w:rsidR="00CC799C" w:rsidRDefault="00463B9C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河南恒冠建筑工程有限公司</w:t>
            </w:r>
          </w:p>
        </w:tc>
        <w:tc>
          <w:tcPr>
            <w:tcW w:w="1465" w:type="dxa"/>
            <w:noWrap/>
          </w:tcPr>
          <w:p w:rsidR="00CC799C" w:rsidRDefault="00463B9C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1420443.77</w:t>
            </w:r>
          </w:p>
        </w:tc>
        <w:tc>
          <w:tcPr>
            <w:tcW w:w="1412" w:type="dxa"/>
            <w:noWrap/>
          </w:tcPr>
          <w:p w:rsidR="00CC799C" w:rsidRDefault="00463B9C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1420000</w:t>
            </w:r>
          </w:p>
        </w:tc>
        <w:tc>
          <w:tcPr>
            <w:tcW w:w="847" w:type="dxa"/>
            <w:noWrap/>
          </w:tcPr>
          <w:p w:rsidR="00CC799C" w:rsidRDefault="00463B9C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06" w:type="dxa"/>
            <w:noWrap/>
          </w:tcPr>
          <w:p w:rsidR="00CC799C" w:rsidRDefault="00CC799C"/>
        </w:tc>
      </w:tr>
      <w:tr w:rsidR="00CC799C">
        <w:trPr>
          <w:trHeight w:val="682"/>
        </w:trPr>
        <w:tc>
          <w:tcPr>
            <w:tcW w:w="4923" w:type="dxa"/>
            <w:noWrap/>
          </w:tcPr>
          <w:p w:rsidR="00CC799C" w:rsidRDefault="00463B9C">
            <w:pPr>
              <w:spacing w:line="480" w:lineRule="auto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河南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工程有限公司</w:t>
            </w:r>
          </w:p>
        </w:tc>
        <w:tc>
          <w:tcPr>
            <w:tcW w:w="1465" w:type="dxa"/>
            <w:noWrap/>
          </w:tcPr>
          <w:p w:rsidR="00CC799C" w:rsidRDefault="00463B9C"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>1422366.63</w:t>
            </w:r>
          </w:p>
        </w:tc>
        <w:tc>
          <w:tcPr>
            <w:tcW w:w="1412" w:type="dxa"/>
            <w:noWrap/>
          </w:tcPr>
          <w:p w:rsidR="00CC799C" w:rsidRDefault="00463B9C"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>1422000</w:t>
            </w:r>
          </w:p>
        </w:tc>
        <w:tc>
          <w:tcPr>
            <w:tcW w:w="847" w:type="dxa"/>
            <w:noWrap/>
          </w:tcPr>
          <w:p w:rsidR="00CC799C" w:rsidRDefault="00463B9C"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06" w:type="dxa"/>
            <w:noWrap/>
          </w:tcPr>
          <w:p w:rsidR="00CC799C" w:rsidRDefault="00CC799C"/>
        </w:tc>
      </w:tr>
    </w:tbl>
    <w:p w:rsidR="00CC799C" w:rsidRDefault="00CC799C">
      <w:pPr>
        <w:pStyle w:val="a0"/>
        <w:ind w:firstLineChars="0" w:firstLine="0"/>
      </w:pPr>
    </w:p>
    <w:p w:rsidR="00CC799C" w:rsidRDefault="00463B9C">
      <w:pPr>
        <w:widowControl/>
        <w:shd w:val="clear" w:color="auto" w:fill="FFFFFF"/>
        <w:spacing w:before="226" w:line="500" w:lineRule="atLeast"/>
        <w:jc w:val="left"/>
        <w:rPr>
          <w:rFonts w:ascii="仿宋_GB2312" w:eastAsia="仿宋_GB2312" w:hAnsi="仿宋_GB2312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五、谈判小组推荐成交候选人（或采购人授权确定成交人）情况</w:t>
      </w:r>
    </w:p>
    <w:p w:rsidR="00CC799C" w:rsidRDefault="00463B9C">
      <w:pPr>
        <w:widowControl/>
        <w:spacing w:before="226"/>
        <w:jc w:val="left"/>
        <w:rPr>
          <w:rFonts w:ascii="仿宋_GB2312" w:eastAsia="仿宋_GB2312" w:hAnsi="仿宋_GB2312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第一成交候选人</w:t>
      </w:r>
    </w:p>
    <w:p w:rsidR="00CC799C" w:rsidRDefault="00463B9C">
      <w:pPr>
        <w:pStyle w:val="a7"/>
        <w:widowControl/>
        <w:shd w:val="clear" w:color="auto" w:fill="FFFFFF"/>
        <w:spacing w:before="227" w:line="360" w:lineRule="auto"/>
        <w:jc w:val="left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成交候选人（中标人）名称：河南鼎正建筑装饰工程有限公司</w:t>
      </w:r>
    </w:p>
    <w:p w:rsidR="00CC799C" w:rsidRDefault="00463B9C">
      <w:pPr>
        <w:pStyle w:val="a7"/>
        <w:widowControl/>
        <w:shd w:val="clear" w:color="auto" w:fill="FFFFFF"/>
        <w:spacing w:before="227" w:line="360" w:lineRule="auto"/>
        <w:jc w:val="left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（二）地址：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许昌市上东城小区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号楼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单元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701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室</w:t>
      </w:r>
    </w:p>
    <w:p w:rsidR="00CC799C" w:rsidRDefault="00463B9C">
      <w:pPr>
        <w:pStyle w:val="a7"/>
        <w:widowControl/>
        <w:shd w:val="clear" w:color="auto" w:fill="FFFFFF"/>
        <w:spacing w:before="227" w:line="360" w:lineRule="auto"/>
        <w:jc w:val="left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（三）联系人：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胡媛媛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联系方式：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0374-2952222</w:t>
      </w:r>
    </w:p>
    <w:p w:rsidR="00CC799C" w:rsidRDefault="00463B9C">
      <w:pPr>
        <w:pStyle w:val="a7"/>
        <w:widowControl/>
        <w:shd w:val="clear" w:color="auto" w:fill="FFFFFF"/>
        <w:spacing w:before="227" w:line="360" w:lineRule="auto"/>
        <w:jc w:val="left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（四）中标金额：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1417000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元</w:t>
      </w:r>
    </w:p>
    <w:p w:rsidR="00CC799C" w:rsidRDefault="00463B9C">
      <w:pPr>
        <w:widowControl/>
        <w:spacing w:before="226"/>
        <w:jc w:val="left"/>
        <w:rPr>
          <w:rFonts w:ascii="仿宋_GB2312" w:eastAsia="仿宋_GB2312" w:hAnsi="仿宋_GB2312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第二成交候选人</w:t>
      </w:r>
    </w:p>
    <w:p w:rsidR="00CC799C" w:rsidRDefault="00463B9C">
      <w:pPr>
        <w:pStyle w:val="a7"/>
        <w:widowControl/>
        <w:numPr>
          <w:ilvl w:val="0"/>
          <w:numId w:val="3"/>
        </w:numPr>
        <w:shd w:val="clear" w:color="auto" w:fill="FFFFFF"/>
        <w:spacing w:before="227" w:line="360" w:lineRule="auto"/>
        <w:jc w:val="left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成交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候选人（中标人）名称：河南恒冠建筑工程有限公司</w:t>
      </w:r>
    </w:p>
    <w:p w:rsidR="00CC799C" w:rsidRDefault="00463B9C">
      <w:pPr>
        <w:pStyle w:val="a7"/>
        <w:widowControl/>
        <w:shd w:val="clear" w:color="auto" w:fill="FFFFFF"/>
        <w:spacing w:before="227" w:line="360" w:lineRule="auto"/>
        <w:jc w:val="left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（二）地址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平舆县丰收路西段防水大厦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楼</w:t>
      </w:r>
    </w:p>
    <w:p w:rsidR="00CC799C" w:rsidRDefault="00463B9C">
      <w:pPr>
        <w:pStyle w:val="a7"/>
        <w:widowControl/>
        <w:shd w:val="clear" w:color="auto" w:fill="FFFFFF"/>
        <w:spacing w:before="227" w:line="360" w:lineRule="auto"/>
        <w:jc w:val="left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（三）联系人：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杨延超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联系方式：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0396-3581277</w:t>
      </w:r>
    </w:p>
    <w:p w:rsidR="00CC799C" w:rsidRDefault="00463B9C">
      <w:pPr>
        <w:pStyle w:val="a7"/>
        <w:widowControl/>
        <w:shd w:val="clear" w:color="auto" w:fill="FFFFFF"/>
        <w:spacing w:before="227" w:line="360" w:lineRule="auto"/>
        <w:jc w:val="left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（四）中标金额：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1420000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元</w:t>
      </w:r>
    </w:p>
    <w:p w:rsidR="00CC799C" w:rsidRDefault="00463B9C">
      <w:pPr>
        <w:widowControl/>
        <w:spacing w:before="226"/>
        <w:jc w:val="left"/>
        <w:rPr>
          <w:rFonts w:ascii="仿宋_GB2312" w:eastAsia="仿宋_GB2312" w:hAnsi="仿宋_GB2312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第三成交候选人</w:t>
      </w:r>
    </w:p>
    <w:p w:rsidR="00CC799C" w:rsidRDefault="00463B9C">
      <w:pPr>
        <w:pStyle w:val="a7"/>
        <w:widowControl/>
        <w:shd w:val="clear" w:color="auto" w:fill="FFFFFF"/>
        <w:spacing w:before="227" w:line="360" w:lineRule="auto"/>
        <w:jc w:val="left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（一）成交候选人（中标人）名称：河南东联建设工程有限公司</w:t>
      </w:r>
    </w:p>
    <w:p w:rsidR="00CC799C" w:rsidRDefault="00463B9C">
      <w:pPr>
        <w:pStyle w:val="a7"/>
        <w:widowControl/>
        <w:shd w:val="clear" w:color="auto" w:fill="FFFFFF"/>
        <w:spacing w:before="227" w:line="360" w:lineRule="auto"/>
        <w:jc w:val="left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（二）地址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河南省濮阳市清丰县企业服务中心</w:t>
      </w:r>
    </w:p>
    <w:p w:rsidR="00CC799C" w:rsidRDefault="00463B9C">
      <w:pPr>
        <w:pStyle w:val="a7"/>
        <w:widowControl/>
        <w:shd w:val="clear" w:color="auto" w:fill="FFFFFF"/>
        <w:spacing w:before="227" w:line="360" w:lineRule="auto"/>
        <w:jc w:val="left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（三）联系人：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姚依晴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联系方式：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0393-7228999</w:t>
      </w:r>
    </w:p>
    <w:p w:rsidR="00CC799C" w:rsidRDefault="00463B9C">
      <w:pPr>
        <w:pStyle w:val="a7"/>
        <w:widowControl/>
        <w:shd w:val="clear" w:color="auto" w:fill="FFFFFF"/>
        <w:spacing w:before="227" w:line="360" w:lineRule="auto"/>
        <w:jc w:val="left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（四）中标金额：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1422000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元</w:t>
      </w:r>
    </w:p>
    <w:p w:rsidR="00CC799C" w:rsidRDefault="00463B9C">
      <w:pPr>
        <w:widowControl/>
        <w:shd w:val="clear" w:color="auto" w:fill="FFFFFF"/>
        <w:spacing w:before="226" w:line="400" w:lineRule="atLeast"/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shd w:val="clear" w:color="auto" w:fill="FFFFFF"/>
        </w:rPr>
        <w:lastRenderedPageBreak/>
        <w:t>六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shd w:val="clear" w:color="auto" w:fill="FFFFFF"/>
        </w:rPr>
        <w:t>投标人根据谈判小组要求进行的澄清、说明或者补正：无</w:t>
      </w:r>
    </w:p>
    <w:p w:rsidR="00CC799C" w:rsidRDefault="00463B9C">
      <w:pPr>
        <w:widowControl/>
        <w:shd w:val="clear" w:color="auto" w:fill="FFFFFF"/>
        <w:spacing w:before="226" w:line="400" w:lineRule="atLeast"/>
        <w:jc w:val="left"/>
      </w:pPr>
      <w:r>
        <w:rPr>
          <w:rFonts w:ascii="仿宋_GB2312" w:eastAsia="仿宋_GB2312" w:hAnsi="仿宋_GB2312" w:cs="仿宋_GB2312" w:hint="eastAsia"/>
          <w:b/>
          <w:color w:val="333333"/>
          <w:sz w:val="28"/>
          <w:szCs w:val="28"/>
        </w:rPr>
        <w:t>七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shd w:val="clear" w:color="auto" w:fill="FFFFFF"/>
        </w:rPr>
        <w:t>是否存在谈判小组成员更换：无</w:t>
      </w:r>
    </w:p>
    <w:p w:rsidR="00CC799C" w:rsidRDefault="00463B9C">
      <w:pPr>
        <w:pStyle w:val="a7"/>
        <w:widowControl/>
        <w:shd w:val="clear" w:color="auto" w:fill="FFFFFF"/>
        <w:spacing w:before="227" w:line="360" w:lineRule="auto"/>
        <w:jc w:val="left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shd w:val="clear" w:color="auto" w:fill="FFFFFF"/>
        </w:rPr>
        <w:t>八、谈判小组成员名单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姚梅红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赵慧杰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康占锋（组长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）</w:t>
      </w:r>
    </w:p>
    <w:p w:rsidR="00CC799C" w:rsidRDefault="00463B9C">
      <w:pPr>
        <w:pStyle w:val="a7"/>
        <w:widowControl/>
        <w:shd w:val="clear" w:color="auto" w:fill="FFFFFF"/>
        <w:spacing w:before="227" w:line="360" w:lineRule="auto"/>
        <w:jc w:val="left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 xml:space="preserve">                                           2020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15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日</w:t>
      </w:r>
    </w:p>
    <w:p w:rsidR="00CC799C" w:rsidRDefault="00CC799C"/>
    <w:p w:rsidR="00CC799C" w:rsidRDefault="00CC799C"/>
    <w:sectPr w:rsidR="00CC799C" w:rsidSect="00CC799C">
      <w:pgSz w:w="11906" w:h="16838"/>
      <w:pgMar w:top="1440" w:right="1066" w:bottom="1440" w:left="13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B9C" w:rsidRDefault="00463B9C" w:rsidP="002050A8">
      <w:r>
        <w:separator/>
      </w:r>
    </w:p>
  </w:endnote>
  <w:endnote w:type="continuationSeparator" w:id="1">
    <w:p w:rsidR="00463B9C" w:rsidRDefault="00463B9C" w:rsidP="00205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B9C" w:rsidRDefault="00463B9C" w:rsidP="002050A8">
      <w:r>
        <w:separator/>
      </w:r>
    </w:p>
  </w:footnote>
  <w:footnote w:type="continuationSeparator" w:id="1">
    <w:p w:rsidR="00463B9C" w:rsidRDefault="00463B9C" w:rsidP="00205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FCDD63"/>
    <w:multiLevelType w:val="singleLevel"/>
    <w:tmpl w:val="85FCDD6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36FFA46"/>
    <w:multiLevelType w:val="singleLevel"/>
    <w:tmpl w:val="B36FFA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FCA663"/>
    <w:multiLevelType w:val="singleLevel"/>
    <w:tmpl w:val="57FCA66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721242"/>
    <w:rsid w:val="002050A8"/>
    <w:rsid w:val="00463B9C"/>
    <w:rsid w:val="00CC799C"/>
    <w:rsid w:val="242D34CD"/>
    <w:rsid w:val="3AF905EC"/>
    <w:rsid w:val="3EA462EE"/>
    <w:rsid w:val="4BF53423"/>
    <w:rsid w:val="6A721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C799C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qFormat/>
    <w:rsid w:val="00CC799C"/>
    <w:pPr>
      <w:ind w:firstLineChars="100" w:firstLine="420"/>
    </w:pPr>
    <w:rPr>
      <w:rFonts w:ascii="宋体"/>
      <w:kern w:val="0"/>
      <w:sz w:val="34"/>
      <w:szCs w:val="20"/>
    </w:rPr>
  </w:style>
  <w:style w:type="paragraph" w:styleId="a4">
    <w:name w:val="Body Text"/>
    <w:basedOn w:val="a"/>
    <w:next w:val="a0"/>
    <w:uiPriority w:val="99"/>
    <w:unhideWhenUsed/>
    <w:qFormat/>
    <w:rsid w:val="00CC799C"/>
    <w:pPr>
      <w:spacing w:after="120"/>
    </w:pPr>
  </w:style>
  <w:style w:type="paragraph" w:styleId="2">
    <w:name w:val="Body Text First Indent 2"/>
    <w:basedOn w:val="a5"/>
    <w:next w:val="a6"/>
    <w:qFormat/>
    <w:rsid w:val="00CC799C"/>
    <w:pPr>
      <w:ind w:left="840" w:firstLine="3748"/>
    </w:pPr>
  </w:style>
  <w:style w:type="paragraph" w:styleId="a5">
    <w:name w:val="Body Text Indent"/>
    <w:basedOn w:val="a"/>
    <w:next w:val="a6"/>
    <w:qFormat/>
    <w:rsid w:val="00CC799C"/>
    <w:pPr>
      <w:spacing w:after="120"/>
      <w:ind w:left="420" w:firstLine="3584"/>
    </w:pPr>
  </w:style>
  <w:style w:type="paragraph" w:styleId="a6">
    <w:name w:val="Date"/>
    <w:basedOn w:val="a"/>
    <w:next w:val="a"/>
    <w:qFormat/>
    <w:rsid w:val="00CC799C"/>
    <w:pPr>
      <w:ind w:left="100" w:firstLine="3584"/>
    </w:pPr>
  </w:style>
  <w:style w:type="paragraph" w:styleId="a7">
    <w:name w:val="Normal (Web)"/>
    <w:basedOn w:val="a"/>
    <w:qFormat/>
    <w:rsid w:val="00CC799C"/>
    <w:rPr>
      <w:sz w:val="24"/>
    </w:rPr>
  </w:style>
  <w:style w:type="table" w:styleId="a8">
    <w:name w:val="Table Grid"/>
    <w:basedOn w:val="a2"/>
    <w:uiPriority w:val="59"/>
    <w:qFormat/>
    <w:rsid w:val="00CC79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"/>
    <w:rsid w:val="00205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2050A8"/>
    <w:rPr>
      <w:kern w:val="2"/>
      <w:sz w:val="18"/>
      <w:szCs w:val="18"/>
    </w:rPr>
  </w:style>
  <w:style w:type="paragraph" w:styleId="aa">
    <w:name w:val="footer"/>
    <w:basedOn w:val="a"/>
    <w:link w:val="Char0"/>
    <w:rsid w:val="00205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2050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素颜</dc:creator>
  <cp:lastModifiedBy>中建卓越建设管理有限公司:崔培涛</cp:lastModifiedBy>
  <cp:revision>2</cp:revision>
  <dcterms:created xsi:type="dcterms:W3CDTF">2020-05-18T09:00:00Z</dcterms:created>
  <dcterms:modified xsi:type="dcterms:W3CDTF">2020-05-18T09:00:00Z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