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160" w:line="240" w:lineRule="auto"/>
        <w:ind w:right="0" w:firstLine="0"/>
        <w:jc w:val="both"/>
        <w:rPr>
          <w:rFonts w:hint="default" w:ascii="Times New Roman" w:hAnsi="Times New Roman" w:eastAsia="Times New Roman"/>
          <w:b/>
          <w:color w:val="auto"/>
          <w:position w:val="0"/>
          <w:sz w:val="52"/>
          <w:szCs w:val="52"/>
          <w:highlight w:val="none"/>
        </w:rPr>
      </w:pPr>
    </w:p>
    <w:p>
      <w:pPr>
        <w:numPr>
          <w:ilvl w:val="0"/>
          <w:numId w:val="0"/>
        </w:numPr>
        <w:autoSpaceDE w:val="0"/>
        <w:autoSpaceDN w:val="0"/>
        <w:spacing w:before="0" w:after="160" w:line="240" w:lineRule="auto"/>
        <w:ind w:right="0" w:firstLine="0"/>
        <w:jc w:val="center"/>
        <w:rPr>
          <w:rFonts w:hint="eastAsia" w:ascii="Times New Roman" w:hAnsi="Times New Roman" w:eastAsia="宋体"/>
          <w:b/>
          <w:color w:val="auto"/>
          <w:position w:val="0"/>
          <w:sz w:val="48"/>
          <w:szCs w:val="48"/>
          <w:highlight w:val="none"/>
          <w:lang w:eastAsia="zh-CN"/>
        </w:rPr>
      </w:pPr>
      <w:r>
        <w:rPr>
          <w:rFonts w:hint="eastAsia" w:eastAsia="宋体"/>
          <w:b/>
          <w:color w:val="auto"/>
          <w:position w:val="0"/>
          <w:sz w:val="48"/>
          <w:szCs w:val="48"/>
          <w:highlight w:val="none"/>
          <w:lang w:eastAsia="zh-CN"/>
        </w:rPr>
        <w:t>襄城县王洛镇大路谢村标准化厂房建设项目</w:t>
      </w:r>
    </w:p>
    <w:p>
      <w:pPr>
        <w:numPr>
          <w:ilvl w:val="0"/>
          <w:numId w:val="0"/>
        </w:numPr>
        <w:autoSpaceDE w:val="0"/>
        <w:autoSpaceDN w:val="0"/>
        <w:spacing w:before="0" w:after="160" w:line="240" w:lineRule="auto"/>
        <w:ind w:right="0" w:firstLine="0"/>
        <w:jc w:val="center"/>
        <w:rPr>
          <w:rFonts w:hint="default" w:ascii="Times New Roman" w:hAnsi="Times New Roman" w:eastAsia="Times New Roman"/>
          <w:b/>
          <w:color w:val="auto"/>
          <w:position w:val="0"/>
          <w:sz w:val="72"/>
          <w:szCs w:val="72"/>
          <w:highlight w:val="none"/>
        </w:rPr>
      </w:pPr>
    </w:p>
    <w:p>
      <w:pPr>
        <w:numPr>
          <w:ilvl w:val="0"/>
          <w:numId w:val="0"/>
        </w:numPr>
        <w:autoSpaceDE w:val="0"/>
        <w:autoSpaceDN w:val="0"/>
        <w:spacing w:before="0" w:after="160" w:line="240" w:lineRule="auto"/>
        <w:ind w:right="0" w:firstLine="0"/>
        <w:jc w:val="center"/>
        <w:rPr>
          <w:rFonts w:hint="default" w:ascii="Times New Roman" w:hAnsi="Times New Roman" w:eastAsia="Times New Roman"/>
          <w:b/>
          <w:color w:val="auto"/>
          <w:position w:val="0"/>
          <w:sz w:val="72"/>
          <w:szCs w:val="72"/>
          <w:highlight w:val="none"/>
        </w:rPr>
      </w:pPr>
    </w:p>
    <w:p>
      <w:pPr>
        <w:numPr>
          <w:ilvl w:val="0"/>
          <w:numId w:val="0"/>
        </w:numPr>
        <w:autoSpaceDE w:val="0"/>
        <w:autoSpaceDN w:val="0"/>
        <w:spacing w:before="0" w:after="160" w:line="240" w:lineRule="auto"/>
        <w:ind w:right="0" w:firstLine="0"/>
        <w:jc w:val="center"/>
        <w:rPr>
          <w:rFonts w:hint="default" w:ascii="Times New Roman" w:hAnsi="Times New Roman" w:eastAsia="Times New Roman"/>
          <w:b/>
          <w:color w:val="auto"/>
          <w:position w:val="0"/>
          <w:sz w:val="72"/>
          <w:szCs w:val="72"/>
          <w:highlight w:val="none"/>
        </w:rPr>
      </w:pPr>
      <w:r>
        <w:rPr>
          <w:rFonts w:hint="default" w:ascii="Times New Roman" w:hAnsi="Times New Roman" w:eastAsia="Times New Roman"/>
          <w:b/>
          <w:color w:val="auto"/>
          <w:position w:val="0"/>
          <w:sz w:val="72"/>
          <w:szCs w:val="72"/>
          <w:highlight w:val="none"/>
        </w:rPr>
        <w:t>施工招标文件</w:t>
      </w:r>
    </w:p>
    <w:p>
      <w:pPr>
        <w:pStyle w:val="2"/>
        <w:numPr>
          <w:ilvl w:val="0"/>
          <w:numId w:val="0"/>
        </w:numPr>
        <w:autoSpaceDE/>
        <w:autoSpaceDN/>
        <w:spacing w:before="0" w:after="120" w:line="240" w:lineRule="auto"/>
        <w:ind w:right="0" w:firstLine="420"/>
        <w:jc w:val="both"/>
        <w:rPr>
          <w:rFonts w:hint="default" w:ascii="宋体" w:hAnsi="Times New Roman" w:eastAsia="Times New Roman"/>
          <w:color w:val="auto"/>
          <w:position w:val="0"/>
          <w:sz w:val="34"/>
          <w:szCs w:val="34"/>
        </w:rPr>
      </w:pPr>
    </w:p>
    <w:p>
      <w:pPr>
        <w:numPr>
          <w:ilvl w:val="0"/>
          <w:numId w:val="0"/>
        </w:numPr>
        <w:autoSpaceDE w:val="0"/>
        <w:autoSpaceDN w:val="0"/>
        <w:spacing w:before="0" w:after="160" w:line="240" w:lineRule="auto"/>
        <w:ind w:right="0" w:firstLine="0"/>
        <w:jc w:val="center"/>
        <w:rPr>
          <w:rFonts w:hint="default" w:ascii="Times New Roman" w:hAnsi="黑体" w:eastAsia="黑体"/>
          <w:color w:val="auto"/>
          <w:position w:val="0"/>
          <w:sz w:val="30"/>
          <w:szCs w:val="30"/>
          <w:highlight w:val="none"/>
        </w:rPr>
      </w:pPr>
      <w:r>
        <w:rPr>
          <w:rFonts w:hint="default" w:ascii="Times New Roman" w:hAnsi="黑体" w:eastAsia="黑体"/>
          <w:color w:val="auto"/>
          <w:position w:val="0"/>
          <w:sz w:val="30"/>
          <w:szCs w:val="30"/>
          <w:highlight w:val="none"/>
        </w:rPr>
        <w:t>项目编号：XZ【20</w:t>
      </w:r>
      <w:r>
        <w:rPr>
          <w:rFonts w:hint="eastAsia" w:hAnsi="黑体" w:eastAsia="黑体"/>
          <w:color w:val="auto"/>
          <w:position w:val="0"/>
          <w:sz w:val="30"/>
          <w:szCs w:val="30"/>
          <w:highlight w:val="none"/>
          <w:lang w:val="en-US" w:eastAsia="zh-CN"/>
        </w:rPr>
        <w:t>20</w:t>
      </w:r>
      <w:r>
        <w:rPr>
          <w:rFonts w:hint="default" w:ascii="Times New Roman" w:hAnsi="黑体" w:eastAsia="黑体"/>
          <w:color w:val="auto"/>
          <w:position w:val="0"/>
          <w:sz w:val="30"/>
          <w:szCs w:val="30"/>
          <w:highlight w:val="none"/>
        </w:rPr>
        <w:t>】</w:t>
      </w:r>
      <w:r>
        <w:rPr>
          <w:rFonts w:hint="eastAsia" w:hAnsi="黑体" w:eastAsia="黑体"/>
          <w:color w:val="auto"/>
          <w:position w:val="0"/>
          <w:sz w:val="30"/>
          <w:szCs w:val="30"/>
          <w:highlight w:val="none"/>
          <w:lang w:val="en-US" w:eastAsia="zh-CN"/>
        </w:rPr>
        <w:t>029</w:t>
      </w:r>
      <w:r>
        <w:rPr>
          <w:rFonts w:hint="default" w:ascii="Times New Roman" w:hAnsi="黑体" w:eastAsia="黑体"/>
          <w:color w:val="auto"/>
          <w:position w:val="0"/>
          <w:sz w:val="30"/>
          <w:szCs w:val="30"/>
          <w:highlight w:val="none"/>
        </w:rPr>
        <w:t>号</w:t>
      </w:r>
    </w:p>
    <w:p>
      <w:pPr>
        <w:pStyle w:val="2"/>
        <w:numPr>
          <w:ilvl w:val="0"/>
          <w:numId w:val="0"/>
        </w:numPr>
        <w:autoSpaceDE/>
        <w:autoSpaceDN/>
        <w:spacing w:before="0" w:after="120" w:line="240" w:lineRule="auto"/>
        <w:ind w:right="0" w:firstLine="0"/>
        <w:jc w:val="both"/>
        <w:rPr>
          <w:rFonts w:hint="default" w:ascii="宋体" w:hAnsi="黑体" w:eastAsia="黑体"/>
          <w:color w:val="auto"/>
          <w:position w:val="0"/>
          <w:sz w:val="44"/>
          <w:szCs w:val="44"/>
          <w:highlight w:val="none"/>
        </w:rPr>
      </w:pPr>
    </w:p>
    <w:p>
      <w:pPr>
        <w:numPr>
          <w:ilvl w:val="0"/>
          <w:numId w:val="0"/>
        </w:numPr>
        <w:autoSpaceDE/>
        <w:autoSpaceDN/>
        <w:spacing w:before="0" w:after="160" w:line="240" w:lineRule="auto"/>
        <w:ind w:right="0" w:firstLine="640"/>
        <w:jc w:val="both"/>
        <w:rPr>
          <w:rFonts w:hint="default" w:ascii="Times New Roman" w:hAnsi="Times New Roman" w:eastAsia="Times New Roman"/>
          <w:b/>
          <w:color w:val="auto"/>
          <w:position w:val="0"/>
          <w:sz w:val="32"/>
          <w:szCs w:val="32"/>
          <w:highlight w:val="none"/>
        </w:rPr>
      </w:pPr>
      <w:r>
        <w:rPr>
          <w:rFonts w:hint="default" w:ascii="Times New Roman" w:hAnsi="Times New Roman" w:eastAsia="Times New Roman"/>
          <w:b/>
          <w:color w:val="auto"/>
          <w:position w:val="0"/>
          <w:sz w:val="32"/>
          <w:szCs w:val="32"/>
          <w:highlight w:val="none"/>
        </w:rPr>
        <w:t xml:space="preserve">            </w:t>
      </w:r>
    </w:p>
    <w:p>
      <w:pPr>
        <w:numPr>
          <w:ilvl w:val="0"/>
          <w:numId w:val="0"/>
        </w:numPr>
        <w:autoSpaceDE/>
        <w:autoSpaceDN/>
        <w:spacing w:before="0" w:after="160" w:line="600" w:lineRule="auto"/>
        <w:ind w:right="0"/>
        <w:jc w:val="both"/>
        <w:rPr>
          <w:rFonts w:hint="default" w:ascii="Times New Roman" w:hAnsi="Times New Roman" w:eastAsia="Times New Roman"/>
          <w:b/>
          <w:color w:val="auto"/>
          <w:position w:val="0"/>
          <w:sz w:val="32"/>
          <w:szCs w:val="32"/>
          <w:highlight w:val="none"/>
        </w:rPr>
      </w:pPr>
    </w:p>
    <w:p>
      <w:pPr>
        <w:pStyle w:val="2"/>
        <w:numPr>
          <w:ilvl w:val="0"/>
          <w:numId w:val="0"/>
        </w:numPr>
        <w:autoSpaceDE/>
        <w:autoSpaceDN/>
        <w:spacing w:before="0" w:after="120" w:line="240" w:lineRule="auto"/>
        <w:ind w:right="0" w:firstLine="420"/>
        <w:jc w:val="both"/>
        <w:rPr>
          <w:rFonts w:hint="default" w:ascii="宋体" w:hAnsi="Times New Roman" w:eastAsia="Times New Roman"/>
          <w:color w:val="auto"/>
          <w:position w:val="0"/>
          <w:sz w:val="34"/>
          <w:szCs w:val="34"/>
        </w:rPr>
      </w:pPr>
    </w:p>
    <w:p>
      <w:pPr>
        <w:numPr>
          <w:ilvl w:val="0"/>
          <w:numId w:val="0"/>
        </w:numPr>
        <w:autoSpaceDE/>
        <w:autoSpaceDN/>
        <w:spacing w:before="0" w:after="160" w:line="600" w:lineRule="auto"/>
        <w:ind w:right="0"/>
        <w:jc w:val="center"/>
        <w:rPr>
          <w:rFonts w:hint="eastAsia" w:ascii="Times New Roman" w:hAnsi="宋体" w:eastAsia="宋体"/>
          <w:b/>
          <w:color w:val="auto"/>
          <w:position w:val="0"/>
          <w:sz w:val="32"/>
          <w:szCs w:val="32"/>
          <w:highlight w:val="none"/>
          <w:lang w:eastAsia="zh-CN"/>
        </w:rPr>
      </w:pPr>
      <w:r>
        <w:rPr>
          <w:rFonts w:hint="default" w:ascii="Times New Roman" w:hAnsi="Times New Roman" w:eastAsia="Times New Roman"/>
          <w:b/>
          <w:color w:val="auto"/>
          <w:position w:val="0"/>
          <w:sz w:val="32"/>
          <w:szCs w:val="32"/>
          <w:highlight w:val="none"/>
        </w:rPr>
        <w:t>招 标 人：</w:t>
      </w:r>
      <w:r>
        <w:rPr>
          <w:rFonts w:hint="eastAsia" w:eastAsia="宋体"/>
          <w:b/>
          <w:color w:val="auto"/>
          <w:position w:val="0"/>
          <w:sz w:val="32"/>
          <w:szCs w:val="32"/>
          <w:highlight w:val="none"/>
          <w:lang w:eastAsia="zh-CN"/>
        </w:rPr>
        <w:t>襄城县王洛镇人民政府</w:t>
      </w:r>
    </w:p>
    <w:p>
      <w:pPr>
        <w:numPr>
          <w:ilvl w:val="0"/>
          <w:numId w:val="0"/>
        </w:numPr>
        <w:autoSpaceDE/>
        <w:autoSpaceDN/>
        <w:spacing w:before="0" w:after="160" w:line="600" w:lineRule="auto"/>
        <w:ind w:right="0"/>
        <w:jc w:val="center"/>
        <w:rPr>
          <w:rFonts w:hint="default" w:eastAsia="宋体"/>
          <w:b/>
          <w:color w:val="auto"/>
          <w:position w:val="0"/>
          <w:sz w:val="32"/>
          <w:szCs w:val="32"/>
          <w:highlight w:val="none"/>
          <w:lang w:val="en-US" w:eastAsia="zh-CN"/>
        </w:rPr>
      </w:pPr>
      <w:r>
        <w:rPr>
          <w:rFonts w:hint="default" w:eastAsia="宋体"/>
          <w:b/>
          <w:color w:val="auto"/>
          <w:position w:val="0"/>
          <w:sz w:val="32"/>
          <w:szCs w:val="32"/>
          <w:highlight w:val="none"/>
          <w:lang w:val="en-US" w:eastAsia="zh-CN"/>
        </w:rPr>
        <w:t>代理机构：</w:t>
      </w:r>
      <w:r>
        <w:rPr>
          <w:rFonts w:hint="eastAsia" w:eastAsia="宋体"/>
          <w:b/>
          <w:color w:val="auto"/>
          <w:position w:val="0"/>
          <w:sz w:val="32"/>
          <w:szCs w:val="32"/>
          <w:highlight w:val="none"/>
          <w:lang w:val="en-US" w:eastAsia="zh-CN"/>
        </w:rPr>
        <w:t>达信建设发展有限公司</w:t>
      </w:r>
    </w:p>
    <w:p>
      <w:pPr>
        <w:numPr>
          <w:ilvl w:val="0"/>
          <w:numId w:val="0"/>
        </w:numPr>
        <w:autoSpaceDE/>
        <w:autoSpaceDN/>
        <w:spacing w:before="0" w:after="160" w:line="600" w:lineRule="auto"/>
        <w:ind w:right="0" w:firstLine="3520"/>
        <w:jc w:val="both"/>
        <w:rPr>
          <w:rFonts w:hint="default" w:ascii="Times New Roman" w:hAnsi="Times New Roman" w:eastAsia="Times New Roman"/>
          <w:color w:val="auto"/>
          <w:position w:val="0"/>
          <w:sz w:val="21"/>
          <w:szCs w:val="21"/>
          <w:highlight w:val="none"/>
        </w:rPr>
        <w:sectPr>
          <w:headerReference r:id="rId3" w:type="default"/>
          <w:footerReference r:id="rId5" w:type="default"/>
          <w:headerReference r:id="rId4" w:type="even"/>
          <w:footerReference r:id="rId6" w:type="even"/>
          <w:pgSz w:w="11850" w:h="16783"/>
          <w:pgMar w:top="1304" w:right="1134" w:bottom="1304" w:left="1134" w:header="851" w:footer="992" w:gutter="0"/>
          <w:pgNumType w:fmt="decimal" w:start="1"/>
          <w:titlePg/>
          <w:docGrid w:type="linesAndChars" w:linePitch="312" w:charSpace="0"/>
        </w:sectPr>
      </w:pPr>
      <w:r>
        <w:rPr>
          <w:rFonts w:hint="default" w:ascii="Times New Roman" w:hAnsi="黑体" w:eastAsia="黑体"/>
          <w:b/>
          <w:color w:val="auto"/>
          <w:position w:val="0"/>
          <w:sz w:val="32"/>
          <w:szCs w:val="32"/>
          <w:highlight w:val="none"/>
        </w:rPr>
        <w:t>二〇二〇年</w:t>
      </w:r>
      <w:r>
        <w:rPr>
          <w:rFonts w:hint="eastAsia" w:hAnsi="黑体" w:eastAsia="黑体"/>
          <w:b/>
          <w:color w:val="auto"/>
          <w:position w:val="0"/>
          <w:sz w:val="32"/>
          <w:szCs w:val="32"/>
          <w:highlight w:val="none"/>
          <w:lang w:val="en-US" w:eastAsia="zh-CN"/>
        </w:rPr>
        <w:t>五</w:t>
      </w:r>
      <w:r>
        <w:rPr>
          <w:rFonts w:hint="default" w:ascii="Times New Roman" w:hAnsi="黑体" w:eastAsia="黑体"/>
          <w:b/>
          <w:color w:val="auto"/>
          <w:position w:val="0"/>
          <w:sz w:val="32"/>
          <w:szCs w:val="32"/>
          <w:highlight w:val="none"/>
        </w:rPr>
        <w:t>月</w:t>
      </w:r>
    </w:p>
    <w:p>
      <w:pPr>
        <w:numPr>
          <w:ilvl w:val="0"/>
          <w:numId w:val="0"/>
        </w:numPr>
        <w:autoSpaceDE/>
        <w:autoSpaceDN/>
        <w:spacing w:before="0" w:after="160" w:line="240" w:lineRule="auto"/>
        <w:ind w:right="0" w:firstLine="0"/>
        <w:jc w:val="center"/>
        <w:rPr>
          <w:rFonts w:hint="default" w:ascii="Times New Roman" w:hAnsi="宋体" w:eastAsia="宋体"/>
          <w:b/>
          <w:color w:val="auto"/>
          <w:position w:val="0"/>
          <w:sz w:val="44"/>
          <w:szCs w:val="44"/>
          <w:highlight w:val="none"/>
        </w:rPr>
      </w:pPr>
      <w:r>
        <w:rPr>
          <w:rFonts w:hint="default" w:ascii="Times New Roman" w:hAnsi="宋体" w:eastAsia="宋体"/>
          <w:b/>
          <w:color w:val="auto"/>
          <w:position w:val="0"/>
          <w:sz w:val="44"/>
          <w:szCs w:val="44"/>
          <w:highlight w:val="none"/>
        </w:rPr>
        <w:t>目  录</w:t>
      </w:r>
    </w:p>
    <w:p>
      <w:pPr>
        <w:numPr>
          <w:ilvl w:val="0"/>
          <w:numId w:val="0"/>
        </w:numPr>
        <w:autoSpaceDE/>
        <w:autoSpaceDN/>
        <w:spacing w:before="0" w:after="160" w:line="240" w:lineRule="auto"/>
        <w:ind w:right="0" w:firstLine="0"/>
        <w:jc w:val="center"/>
        <w:rPr>
          <w:rFonts w:hint="default" w:ascii="Times New Roman" w:hAnsi="宋体" w:eastAsia="宋体"/>
          <w:b/>
          <w:color w:val="auto"/>
          <w:position w:val="0"/>
          <w:sz w:val="32"/>
          <w:szCs w:val="32"/>
          <w:highlight w:val="none"/>
        </w:rPr>
      </w:pPr>
    </w:p>
    <w:p>
      <w:pPr>
        <w:pStyle w:val="21"/>
        <w:tabs>
          <w:tab w:val="right" w:leader="dot" w:pos="9638"/>
        </w:tabs>
        <w:rPr>
          <w:rFonts w:ascii="宋体" w:hAnsi="宋体" w:cs="宋体"/>
          <w:b/>
          <w:bCs/>
          <w:color w:val="auto"/>
          <w:sz w:val="28"/>
          <w:szCs w:val="28"/>
          <w:highlight w:val="none"/>
        </w:rPr>
      </w:pPr>
      <w:bookmarkStart w:id="0" w:name="_Toc11428"/>
      <w:bookmarkStart w:id="1" w:name="_Toc18564"/>
      <w:bookmarkStart w:id="2" w:name="_Toc215282124"/>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r>
        <w:rPr>
          <w:color w:val="auto"/>
          <w:highlight w:val="none"/>
        </w:rPr>
        <w:fldChar w:fldCharType="begin"/>
      </w:r>
      <w:r>
        <w:rPr>
          <w:color w:val="auto"/>
          <w:highlight w:val="none"/>
        </w:rPr>
        <w:instrText xml:space="preserve">HYPERLINK \l "_Toc11428"</w:instrText>
      </w:r>
      <w:r>
        <w:rPr>
          <w:color w:val="auto"/>
          <w:highlight w:val="none"/>
        </w:rPr>
        <w:fldChar w:fldCharType="separate"/>
      </w:r>
      <w:r>
        <w:rPr>
          <w:rFonts w:hint="eastAsia" w:ascii="宋体" w:hAnsi="宋体" w:cs="宋体"/>
          <w:b/>
          <w:bCs/>
          <w:color w:val="auto"/>
          <w:sz w:val="28"/>
          <w:szCs w:val="28"/>
          <w:highlight w:val="none"/>
        </w:rPr>
        <w:t>第一章  招标公告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_Toc11428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"_Toc15375"</w:instrText>
      </w:r>
      <w:r>
        <w:rPr>
          <w:color w:val="auto"/>
          <w:highlight w:val="none"/>
        </w:rPr>
        <w:fldChar w:fldCharType="separate"/>
      </w:r>
      <w:r>
        <w:rPr>
          <w:rFonts w:hint="eastAsia" w:ascii="宋体" w:hAnsi="宋体" w:cs="宋体"/>
          <w:b/>
          <w:bCs/>
          <w:color w:val="auto"/>
          <w:sz w:val="28"/>
          <w:szCs w:val="28"/>
          <w:highlight w:val="none"/>
        </w:rPr>
        <w:t>第二章  投标人须知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_Toc15375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7</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"_Toc20990"</w:instrText>
      </w:r>
      <w:r>
        <w:rPr>
          <w:color w:val="auto"/>
          <w:highlight w:val="none"/>
        </w:rPr>
        <w:fldChar w:fldCharType="separate"/>
      </w:r>
      <w:r>
        <w:rPr>
          <w:rFonts w:hint="eastAsia" w:ascii="宋体" w:hAnsi="宋体" w:cs="宋体"/>
          <w:b/>
          <w:bCs/>
          <w:color w:val="auto"/>
          <w:sz w:val="28"/>
          <w:szCs w:val="28"/>
          <w:highlight w:val="none"/>
        </w:rPr>
        <w:t>第三章  评标办法（</w:t>
      </w:r>
      <w:r>
        <w:rPr>
          <w:rFonts w:hint="eastAsia" w:ascii="宋体" w:hAnsi="宋体" w:cs="宋体"/>
          <w:b/>
          <w:bCs/>
          <w:color w:val="auto"/>
          <w:sz w:val="28"/>
          <w:szCs w:val="28"/>
          <w:highlight w:val="none"/>
          <w:lang w:eastAsia="zh-CN"/>
        </w:rPr>
        <w:t>综合评标法</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_Toc20990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33</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"_Toc11681"</w:instrText>
      </w:r>
      <w:r>
        <w:rPr>
          <w:color w:val="auto"/>
          <w:highlight w:val="none"/>
        </w:rPr>
        <w:fldChar w:fldCharType="separate"/>
      </w:r>
      <w:r>
        <w:rPr>
          <w:rFonts w:hint="eastAsia" w:ascii="宋体" w:hAnsi="宋体" w:cs="宋体"/>
          <w:b/>
          <w:bCs/>
          <w:color w:val="auto"/>
          <w:kern w:val="44"/>
          <w:sz w:val="28"/>
          <w:szCs w:val="28"/>
          <w:highlight w:val="none"/>
        </w:rPr>
        <w:t>第四章  合同条款及格式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_Toc11681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43</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"_Toc15573"</w:instrText>
      </w:r>
      <w:r>
        <w:rPr>
          <w:color w:val="auto"/>
          <w:highlight w:val="none"/>
        </w:rPr>
        <w:fldChar w:fldCharType="separate"/>
      </w:r>
      <w:r>
        <w:rPr>
          <w:rFonts w:hint="eastAsia" w:ascii="宋体" w:hAnsi="宋体" w:cs="宋体"/>
          <w:b/>
          <w:bCs/>
          <w:color w:val="auto"/>
          <w:kern w:val="44"/>
          <w:sz w:val="28"/>
          <w:szCs w:val="28"/>
          <w:highlight w:val="none"/>
        </w:rPr>
        <w:t>第五章  工程量清单</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_Toc15573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44</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"_Toc9650"</w:instrText>
      </w:r>
      <w:r>
        <w:rPr>
          <w:color w:val="auto"/>
          <w:highlight w:val="none"/>
        </w:rPr>
        <w:fldChar w:fldCharType="separate"/>
      </w:r>
      <w:r>
        <w:rPr>
          <w:rFonts w:hint="eastAsia" w:ascii="宋体" w:hAnsi="宋体" w:cs="宋体"/>
          <w:b/>
          <w:bCs/>
          <w:color w:val="auto"/>
          <w:sz w:val="28"/>
          <w:szCs w:val="28"/>
          <w:highlight w:val="none"/>
        </w:rPr>
        <w:t>第六章  图 纸</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_Toc9650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52</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"_Toc2791"</w:instrText>
      </w:r>
      <w:r>
        <w:rPr>
          <w:color w:val="auto"/>
          <w:highlight w:val="none"/>
        </w:rPr>
        <w:fldChar w:fldCharType="separate"/>
      </w:r>
      <w:r>
        <w:rPr>
          <w:rFonts w:hint="eastAsia" w:ascii="宋体" w:hAnsi="宋体" w:cs="宋体"/>
          <w:b/>
          <w:bCs/>
          <w:color w:val="auto"/>
          <w:sz w:val="28"/>
          <w:szCs w:val="28"/>
          <w:highlight w:val="none"/>
        </w:rPr>
        <w:t>第七章  技术标准和要求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_Toc2791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53</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"_Toc18525"</w:instrText>
      </w:r>
      <w:r>
        <w:rPr>
          <w:color w:val="auto"/>
          <w:highlight w:val="none"/>
        </w:rPr>
        <w:fldChar w:fldCharType="separate"/>
      </w:r>
      <w:r>
        <w:rPr>
          <w:rFonts w:hint="eastAsia" w:ascii="宋体" w:hAnsi="宋体" w:cs="宋体"/>
          <w:b/>
          <w:bCs/>
          <w:color w:val="auto"/>
          <w:sz w:val="28"/>
          <w:szCs w:val="28"/>
          <w:highlight w:val="none"/>
        </w:rPr>
        <w:t>第八章  投标文件格式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_Toc18525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54</w:t>
      </w:r>
      <w:r>
        <w:rPr>
          <w:rFonts w:hint="eastAsia" w:ascii="宋体" w:hAnsi="宋体" w:cs="宋体"/>
          <w:b/>
          <w:bCs/>
          <w:color w:val="auto"/>
          <w:sz w:val="28"/>
          <w:szCs w:val="28"/>
          <w:highlight w:val="none"/>
        </w:rPr>
        <w:fldChar w:fldCharType="end"/>
      </w:r>
      <w:r>
        <w:rPr>
          <w:color w:val="auto"/>
          <w:highlight w:val="none"/>
        </w:rPr>
        <w:fldChar w:fldCharType="end"/>
      </w:r>
    </w:p>
    <w:p>
      <w:pPr>
        <w:ind w:firstLine="3032" w:firstLineChars="1083"/>
        <w:rPr>
          <w:rFonts w:hAnsi="宋体" w:cs="黑体"/>
          <w:b/>
          <w:color w:val="auto"/>
          <w:sz w:val="32"/>
          <w:szCs w:val="32"/>
          <w:highlight w:val="none"/>
        </w:rPr>
      </w:pPr>
      <w:r>
        <w:rPr>
          <w:rFonts w:hint="eastAsia" w:ascii="宋体" w:hAnsi="宋体" w:cs="宋体"/>
          <w:b/>
          <w:bCs/>
          <w:color w:val="auto"/>
          <w:sz w:val="28"/>
          <w:szCs w:val="28"/>
          <w:highlight w:val="none"/>
        </w:rPr>
        <w:fldChar w:fldCharType="end"/>
      </w:r>
    </w:p>
    <w:p>
      <w:pPr>
        <w:rPr>
          <w:rFonts w:hint="default" w:ascii="宋体" w:hAnsi="宋体" w:eastAsia="宋体"/>
          <w:b/>
          <w:color w:val="auto"/>
          <w:position w:val="0"/>
          <w:sz w:val="44"/>
          <w:szCs w:val="44"/>
          <w:highlight w:val="none"/>
        </w:rPr>
      </w:pPr>
      <w:r>
        <w:rPr>
          <w:rFonts w:hint="default" w:ascii="宋体" w:hAnsi="宋体" w:eastAsia="宋体"/>
          <w:b/>
          <w:color w:val="auto"/>
          <w:position w:val="0"/>
          <w:sz w:val="44"/>
          <w:szCs w:val="44"/>
          <w:highlight w:val="none"/>
        </w:rPr>
        <w:br w:type="page"/>
      </w:r>
    </w:p>
    <w:p>
      <w:pPr>
        <w:pStyle w:val="6"/>
        <w:numPr>
          <w:ilvl w:val="0"/>
          <w:numId w:val="0"/>
        </w:numPr>
        <w:autoSpaceDE/>
        <w:autoSpaceDN/>
        <w:snapToGrid w:val="0"/>
        <w:spacing w:before="0" w:after="160" w:line="240" w:lineRule="auto"/>
        <w:ind w:right="0" w:firstLine="0"/>
        <w:jc w:val="center"/>
        <w:outlineLvl w:val="0"/>
        <w:rPr>
          <w:rFonts w:hint="default" w:ascii="宋体" w:hAnsi="宋体" w:eastAsia="宋体"/>
          <w:b/>
          <w:color w:val="auto"/>
          <w:position w:val="0"/>
          <w:sz w:val="44"/>
          <w:szCs w:val="44"/>
          <w:highlight w:val="none"/>
        </w:rPr>
      </w:pPr>
      <w:r>
        <w:rPr>
          <w:rFonts w:hint="default" w:ascii="宋体" w:hAnsi="宋体" w:eastAsia="宋体"/>
          <w:b/>
          <w:color w:val="auto"/>
          <w:position w:val="0"/>
          <w:sz w:val="44"/>
          <w:szCs w:val="44"/>
          <w:highlight w:val="none"/>
        </w:rPr>
        <w:t>第一章  招标公告</w:t>
      </w:r>
      <w:bookmarkEnd w:id="0"/>
      <w:bookmarkEnd w:id="1"/>
    </w:p>
    <w:p>
      <w:pPr>
        <w:numPr>
          <w:ilvl w:val="0"/>
          <w:numId w:val="0"/>
        </w:numPr>
        <w:autoSpaceDE/>
        <w:autoSpaceDN/>
        <w:spacing w:before="0" w:after="160" w:line="312" w:lineRule="auto"/>
        <w:ind w:right="0" w:firstLine="0"/>
        <w:jc w:val="center"/>
        <w:rPr>
          <w:rFonts w:hint="default" w:ascii="Times New Roman" w:hAnsi="Times New Roman" w:eastAsia="Times New Roman"/>
          <w:b/>
          <w:color w:val="auto"/>
          <w:position w:val="0"/>
          <w:sz w:val="32"/>
          <w:szCs w:val="32"/>
          <w:highlight w:val="none"/>
        </w:rPr>
      </w:pPr>
      <w:r>
        <w:rPr>
          <w:rFonts w:hint="eastAsia" w:eastAsia="宋体"/>
          <w:b/>
          <w:color w:val="auto"/>
          <w:position w:val="0"/>
          <w:sz w:val="32"/>
          <w:szCs w:val="32"/>
          <w:highlight w:val="none"/>
          <w:lang w:eastAsia="zh-CN"/>
        </w:rPr>
        <w:t>襄城县王洛镇大路谢村标准化厂房建设项目</w:t>
      </w:r>
      <w:r>
        <w:rPr>
          <w:rFonts w:hint="default" w:ascii="Times New Roman" w:hAnsi="Times New Roman" w:eastAsia="Times New Roman"/>
          <w:b/>
          <w:color w:val="auto"/>
          <w:position w:val="0"/>
          <w:sz w:val="32"/>
          <w:szCs w:val="32"/>
          <w:highlight w:val="none"/>
        </w:rPr>
        <w:t>招标公告</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1、招标条件</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rPr>
      </w:pPr>
      <w:r>
        <w:rPr>
          <w:rFonts w:hint="eastAsia" w:hAnsi="宋体" w:eastAsia="宋体"/>
          <w:color w:val="auto"/>
          <w:position w:val="0"/>
          <w:sz w:val="24"/>
          <w:szCs w:val="24"/>
          <w:highlight w:val="none"/>
          <w:lang w:eastAsia="zh-CN"/>
        </w:rPr>
        <w:t>襄城县王洛镇大路谢村标准化厂房建设项目</w:t>
      </w:r>
      <w:r>
        <w:rPr>
          <w:rFonts w:hint="default" w:ascii="Times New Roman" w:hAnsi="宋体" w:eastAsia="宋体"/>
          <w:color w:val="auto"/>
          <w:position w:val="0"/>
          <w:sz w:val="24"/>
          <w:szCs w:val="24"/>
          <w:highlight w:val="none"/>
        </w:rPr>
        <w:t>，已由相关部门批准建设，招标人为</w:t>
      </w:r>
      <w:r>
        <w:rPr>
          <w:rFonts w:hint="eastAsia" w:hAnsi="宋体" w:eastAsia="宋体"/>
          <w:color w:val="auto"/>
          <w:position w:val="0"/>
          <w:sz w:val="24"/>
          <w:szCs w:val="24"/>
          <w:highlight w:val="none"/>
          <w:lang w:eastAsia="zh-CN"/>
        </w:rPr>
        <w:t>襄城县王洛镇人民政府</w:t>
      </w:r>
      <w:r>
        <w:rPr>
          <w:rFonts w:hint="default" w:ascii="Times New Roman" w:hAnsi="宋体" w:eastAsia="宋体"/>
          <w:color w:val="auto"/>
          <w:position w:val="0"/>
          <w:sz w:val="24"/>
          <w:szCs w:val="24"/>
          <w:highlight w:val="none"/>
        </w:rPr>
        <w:t>。建设资金为财政资金，项目已具备招标条件，现对该项目进行公开招标。</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2、项目概况与招标内容</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2.1</w:t>
      </w:r>
      <w:r>
        <w:rPr>
          <w:rFonts w:hint="default" w:ascii="宋体" w:hAnsi="宋体" w:eastAsia="宋体"/>
          <w:color w:val="auto"/>
          <w:position w:val="0"/>
          <w:sz w:val="24"/>
          <w:szCs w:val="24"/>
          <w:highlight w:val="none"/>
        </w:rPr>
        <w:t>项目编号：</w:t>
      </w:r>
      <w:r>
        <w:rPr>
          <w:rFonts w:hint="default" w:ascii="宋体" w:hAnsi="宋体" w:eastAsia="宋体"/>
          <w:color w:val="FF0000"/>
          <w:position w:val="0"/>
          <w:sz w:val="24"/>
          <w:szCs w:val="24"/>
          <w:highlight w:val="none"/>
        </w:rPr>
        <w:t xml:space="preserve"> </w:t>
      </w:r>
      <w:r>
        <w:rPr>
          <w:rFonts w:hint="default" w:ascii="宋体" w:hAnsi="宋体" w:eastAsia="宋体"/>
          <w:color w:val="000000" w:themeColor="text1"/>
          <w:position w:val="0"/>
          <w:sz w:val="24"/>
          <w:szCs w:val="24"/>
          <w:highlight w:val="none"/>
          <w14:textFill>
            <w14:solidFill>
              <w14:schemeClr w14:val="tx1"/>
            </w14:solidFill>
          </w14:textFill>
        </w:rPr>
        <w:t>XZ【20</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20</w:t>
      </w:r>
      <w:r>
        <w:rPr>
          <w:rFonts w:hint="default" w:ascii="宋体" w:hAnsi="宋体" w:eastAsia="宋体"/>
          <w:color w:val="000000" w:themeColor="text1"/>
          <w:position w:val="0"/>
          <w:sz w:val="24"/>
          <w:szCs w:val="24"/>
          <w:highlight w:val="none"/>
          <w14:textFill>
            <w14:solidFill>
              <w14:schemeClr w14:val="tx1"/>
            </w14:solidFill>
          </w14:textFill>
        </w:rPr>
        <w:t>】</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029</w:t>
      </w:r>
      <w:r>
        <w:rPr>
          <w:rFonts w:hint="default" w:ascii="宋体" w:hAnsi="宋体" w:eastAsia="宋体"/>
          <w:color w:val="000000" w:themeColor="text1"/>
          <w:position w:val="0"/>
          <w:sz w:val="24"/>
          <w:szCs w:val="24"/>
          <w:highlight w:val="none"/>
          <w14:textFill>
            <w14:solidFill>
              <w14:schemeClr w14:val="tx1"/>
            </w14:solidFill>
          </w14:textFill>
        </w:rPr>
        <w:t>号</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2.2项目概况： </w:t>
      </w:r>
      <w:r>
        <w:rPr>
          <w:rFonts w:hint="default" w:ascii="Times New Roman" w:hAnsi="宋体" w:eastAsia="宋体"/>
          <w:color w:val="auto"/>
          <w:position w:val="0"/>
          <w:sz w:val="24"/>
          <w:szCs w:val="24"/>
          <w:highlight w:val="none"/>
          <w:lang w:eastAsia="zh-CN"/>
        </w:rPr>
        <w:t>新建标准化厂房一个</w:t>
      </w:r>
      <w:r>
        <w:rPr>
          <w:rFonts w:hint="default" w:ascii="Times New Roman" w:hAnsi="宋体" w:eastAsia="宋体"/>
          <w:color w:val="auto"/>
          <w:position w:val="0"/>
          <w:sz w:val="24"/>
          <w:szCs w:val="24"/>
          <w:highlight w:val="none"/>
          <w:lang w:val="en-US" w:eastAsia="zh-CN"/>
        </w:rPr>
        <w:t>，建筑面积803.9m2，屋面檐口高度6m，层数一层。</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lang w:val="en-US"/>
        </w:rPr>
      </w:pPr>
      <w:r>
        <w:rPr>
          <w:rFonts w:hint="default" w:ascii="Times New Roman" w:hAnsi="宋体" w:eastAsia="宋体"/>
          <w:color w:val="auto"/>
          <w:position w:val="0"/>
          <w:sz w:val="24"/>
          <w:szCs w:val="24"/>
          <w:highlight w:val="none"/>
        </w:rPr>
        <w:t>2.3招标控制价：</w:t>
      </w:r>
      <w:r>
        <w:rPr>
          <w:rFonts w:hint="eastAsia" w:ascii="Times New Roman" w:hAnsi="宋体" w:eastAsia="宋体"/>
          <w:color w:val="auto"/>
          <w:position w:val="0"/>
          <w:sz w:val="24"/>
          <w:szCs w:val="24"/>
          <w:highlight w:val="none"/>
          <w:lang w:val="en-US" w:eastAsia="zh-CN"/>
        </w:rPr>
        <w:t>810752.22元</w:t>
      </w:r>
    </w:p>
    <w:p>
      <w:pPr>
        <w:numPr>
          <w:ilvl w:val="0"/>
          <w:numId w:val="0"/>
        </w:numPr>
        <w:autoSpaceDE/>
        <w:autoSpaceDN/>
        <w:spacing w:before="0" w:after="160" w:line="360" w:lineRule="auto"/>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2.4招标范围：具体招标文件、施工图纸、工程量清单、答疑纪要和补充文件（如有）范围内的所有建设内容。</w:t>
      </w:r>
    </w:p>
    <w:p>
      <w:pPr>
        <w:numPr>
          <w:ilvl w:val="0"/>
          <w:numId w:val="0"/>
        </w:numPr>
        <w:autoSpaceDE/>
        <w:autoSpaceDN/>
        <w:spacing w:before="0" w:after="160" w:line="360" w:lineRule="auto"/>
        <w:ind w:right="0" w:firstLine="480"/>
        <w:jc w:val="left"/>
        <w:rPr>
          <w:rFonts w:hint="eastAsia" w:hAnsi="宋体" w:eastAsia="宋体"/>
          <w:color w:val="auto"/>
          <w:position w:val="0"/>
          <w:sz w:val="24"/>
          <w:szCs w:val="24"/>
          <w:highlight w:val="none"/>
          <w:lang w:val="en-US" w:eastAsia="zh-CN"/>
        </w:rPr>
      </w:pPr>
      <w:r>
        <w:rPr>
          <w:rFonts w:hint="default" w:ascii="Times New Roman" w:hAnsi="宋体" w:eastAsia="宋体"/>
          <w:color w:val="auto"/>
          <w:position w:val="0"/>
          <w:sz w:val="24"/>
          <w:szCs w:val="24"/>
          <w:highlight w:val="none"/>
        </w:rPr>
        <w:t>2.5标段划分：</w:t>
      </w:r>
      <w:r>
        <w:rPr>
          <w:rFonts w:hint="default" w:ascii="Times New Roman" w:hAnsi="Times New Roman" w:eastAsia="Times New Roman"/>
          <w:color w:val="000000" w:themeColor="text1"/>
          <w:position w:val="0"/>
          <w:sz w:val="24"/>
          <w:szCs w:val="24"/>
          <w:highlight w:val="none"/>
          <w14:textFill>
            <w14:solidFill>
              <w14:schemeClr w14:val="tx1"/>
            </w14:solidFill>
          </w14:textFill>
        </w:rPr>
        <w:t>本项目共分为</w:t>
      </w:r>
      <w:r>
        <w:rPr>
          <w:rFonts w:hint="eastAsia" w:eastAsia="宋体"/>
          <w:color w:val="000000" w:themeColor="text1"/>
          <w:position w:val="0"/>
          <w:sz w:val="24"/>
          <w:szCs w:val="24"/>
          <w:highlight w:val="none"/>
          <w:lang w:val="en-US" w:eastAsia="zh-CN"/>
          <w14:textFill>
            <w14:solidFill>
              <w14:schemeClr w14:val="tx1"/>
            </w14:solidFill>
          </w14:textFill>
        </w:rPr>
        <w:t>一</w:t>
      </w:r>
      <w:r>
        <w:rPr>
          <w:rFonts w:hint="default" w:ascii="Times New Roman" w:hAnsi="Times New Roman" w:eastAsia="Times New Roman"/>
          <w:color w:val="000000" w:themeColor="text1"/>
          <w:position w:val="0"/>
          <w:sz w:val="24"/>
          <w:szCs w:val="24"/>
          <w:highlight w:val="none"/>
          <w14:textFill>
            <w14:solidFill>
              <w14:schemeClr w14:val="tx1"/>
            </w14:solidFill>
          </w14:textFill>
        </w:rPr>
        <w:t>个标段</w:t>
      </w:r>
    </w:p>
    <w:p>
      <w:pPr>
        <w:pStyle w:val="2"/>
        <w:keepNext w:val="0"/>
        <w:keepLines w:val="0"/>
        <w:pageBreakBefore w:val="0"/>
        <w:widowControl/>
        <w:numPr>
          <w:ilvl w:val="0"/>
          <w:numId w:val="0"/>
        </w:numPr>
        <w:kinsoku/>
        <w:wordWrap/>
        <w:overflowPunct/>
        <w:topLinePunct w:val="0"/>
        <w:autoSpaceDE/>
        <w:autoSpaceDN/>
        <w:bidi w:val="0"/>
        <w:adjustRightInd/>
        <w:snapToGrid/>
        <w:spacing w:before="0" w:after="120" w:line="360" w:lineRule="auto"/>
        <w:ind w:right="0" w:firstLine="420"/>
        <w:jc w:val="both"/>
        <w:textAlignment w:val="auto"/>
        <w:rPr>
          <w:rFonts w:hint="default" w:ascii="宋体" w:hAnsi="宋体" w:eastAsia="宋体"/>
          <w:color w:val="auto"/>
          <w:position w:val="0"/>
          <w:sz w:val="24"/>
          <w:szCs w:val="24"/>
          <w:highlight w:val="none"/>
        </w:rPr>
      </w:pPr>
      <w:r>
        <w:rPr>
          <w:rFonts w:hint="default" w:ascii="宋体" w:hAnsi="Times New Roman" w:eastAsia="Times New Roman"/>
          <w:color w:val="auto"/>
          <w:position w:val="0"/>
          <w:sz w:val="24"/>
          <w:szCs w:val="24"/>
          <w:highlight w:val="none"/>
        </w:rPr>
        <w:t xml:space="preserve">  </w:t>
      </w:r>
      <w:r>
        <w:rPr>
          <w:rFonts w:hint="default" w:ascii="宋体" w:hAnsi="宋体" w:eastAsia="宋体"/>
          <w:color w:val="auto"/>
          <w:position w:val="0"/>
          <w:sz w:val="24"/>
          <w:szCs w:val="24"/>
          <w:highlight w:val="none"/>
        </w:rPr>
        <w:t>2.6计划工期：</w:t>
      </w:r>
      <w:r>
        <w:rPr>
          <w:rFonts w:hint="eastAsia" w:ascii="宋体" w:hAnsi="宋体" w:eastAsia="宋体"/>
          <w:color w:val="auto"/>
          <w:position w:val="0"/>
          <w:sz w:val="24"/>
          <w:szCs w:val="24"/>
          <w:highlight w:val="none"/>
          <w:lang w:val="en-US" w:eastAsia="zh-CN"/>
        </w:rPr>
        <w:t>60</w:t>
      </w:r>
      <w:r>
        <w:rPr>
          <w:rFonts w:hint="default" w:ascii="宋体" w:hAnsi="宋体" w:eastAsia="宋体"/>
          <w:color w:val="auto"/>
          <w:position w:val="0"/>
          <w:sz w:val="24"/>
          <w:szCs w:val="24"/>
          <w:highlight w:val="none"/>
        </w:rPr>
        <w:t>日历天/标段</w:t>
      </w:r>
    </w:p>
    <w:p>
      <w:pPr>
        <w:pStyle w:val="4"/>
        <w:numPr>
          <w:ilvl w:val="0"/>
          <w:numId w:val="0"/>
        </w:numPr>
        <w:autoSpaceDE/>
        <w:autoSpaceDN/>
        <w:snapToGrid w:val="0"/>
        <w:spacing w:before="280" w:beforeAutospacing="1" w:after="280" w:afterAutospacing="1" w:line="360" w:lineRule="auto"/>
        <w:ind w:left="480" w:right="0" w:firstLine="240"/>
        <w:jc w:val="left"/>
        <w:rPr>
          <w:rFonts w:hint="default" w:ascii="仿宋_GB2312" w:hAnsi="宋体" w:eastAsia="宋体"/>
          <w:color w:val="auto"/>
          <w:position w:val="0"/>
          <w:sz w:val="24"/>
          <w:szCs w:val="24"/>
          <w:highlight w:val="none"/>
        </w:rPr>
      </w:pPr>
      <w:r>
        <w:rPr>
          <w:rFonts w:hint="default" w:ascii="仿宋_GB2312" w:hAnsi="宋体" w:eastAsia="宋体"/>
          <w:color w:val="auto"/>
          <w:position w:val="0"/>
          <w:sz w:val="24"/>
          <w:szCs w:val="24"/>
          <w:highlight w:val="none"/>
        </w:rPr>
        <w:t>2.7质量要求：合格。</w:t>
      </w:r>
    </w:p>
    <w:p>
      <w:pPr>
        <w:numPr>
          <w:ilvl w:val="0"/>
          <w:numId w:val="0"/>
        </w:numPr>
        <w:autoSpaceDE/>
        <w:autoSpaceDN/>
        <w:spacing w:before="0" w:after="160" w:line="360" w:lineRule="auto"/>
        <w:ind w:right="0" w:firstLine="0"/>
        <w:jc w:val="both"/>
        <w:outlineLvl w:val="0"/>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3、投标人资格要求</w:t>
      </w:r>
    </w:p>
    <w:p>
      <w:pPr>
        <w:widowControl/>
        <w:spacing w:line="360" w:lineRule="auto"/>
        <w:ind w:firstLine="480" w:firstLineChars="20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3.1要求投标人须具备独立的法人资格和有效的营业执照，具有建设行政主管部门颁发的</w:t>
      </w:r>
      <w:r>
        <w:rPr>
          <w:rFonts w:hint="eastAsia" w:hAnsi="宋体" w:eastAsia="宋体"/>
          <w:color w:val="auto"/>
          <w:position w:val="0"/>
          <w:sz w:val="24"/>
          <w:szCs w:val="24"/>
          <w:highlight w:val="none"/>
          <w:lang w:val="en-US" w:eastAsia="zh-CN"/>
        </w:rPr>
        <w:t>建筑</w:t>
      </w:r>
      <w:r>
        <w:rPr>
          <w:rFonts w:hint="default" w:ascii="Times New Roman" w:hAnsi="宋体" w:eastAsia="宋体"/>
          <w:color w:val="auto"/>
          <w:position w:val="0"/>
          <w:sz w:val="24"/>
          <w:szCs w:val="24"/>
          <w:highlight w:val="none"/>
        </w:rPr>
        <w:t>工程施工总承包叁级及以上资质，并在人员、设备、资金等方面具有相应的施工能力。</w:t>
      </w:r>
    </w:p>
    <w:p>
      <w:pPr>
        <w:widowControl/>
        <w:spacing w:line="360" w:lineRule="auto"/>
        <w:ind w:firstLine="480" w:firstLineChars="20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3.2拟派项目经理须具有</w:t>
      </w:r>
      <w:r>
        <w:rPr>
          <w:rFonts w:hint="eastAsia" w:hAnsi="宋体" w:cs="宋体"/>
          <w:sz w:val="24"/>
          <w:szCs w:val="24"/>
        </w:rPr>
        <w:t>建筑</w:t>
      </w:r>
      <w:r>
        <w:rPr>
          <w:rFonts w:hint="default" w:ascii="Times New Roman" w:hAnsi="宋体" w:eastAsia="宋体"/>
          <w:color w:val="auto"/>
          <w:position w:val="0"/>
          <w:sz w:val="24"/>
          <w:szCs w:val="24"/>
          <w:highlight w:val="none"/>
        </w:rPr>
        <w:t>工程贰级及以上注册建造师资格证书（不含临时），并具有有效的安全生产考核合格证书，且未担任其他正在施工建设工程的项目经理；</w:t>
      </w:r>
    </w:p>
    <w:p>
      <w:pPr>
        <w:numPr>
          <w:ilvl w:val="0"/>
          <w:numId w:val="0"/>
        </w:numPr>
        <w:autoSpaceDE/>
        <w:autoSpaceDN/>
        <w:spacing w:before="0" w:after="160" w:line="460" w:lineRule="exact"/>
        <w:ind w:right="0" w:firstLine="480"/>
        <w:jc w:val="both"/>
        <w:outlineLvl w:val="0"/>
        <w:rPr>
          <w:rFonts w:hint="eastAsia" w:ascii="Times New Roman" w:hAnsi="宋体" w:eastAsia="宋体"/>
          <w:color w:val="auto"/>
          <w:position w:val="0"/>
          <w:sz w:val="24"/>
          <w:szCs w:val="24"/>
          <w:highlight w:val="none"/>
          <w:lang w:val="en-US" w:eastAsia="zh-CN"/>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3</w:t>
      </w:r>
      <w:r>
        <w:rPr>
          <w:rFonts w:hint="default" w:ascii="Times New Roman" w:hAnsi="宋体" w:eastAsia="宋体"/>
          <w:color w:val="auto"/>
          <w:position w:val="0"/>
          <w:sz w:val="24"/>
          <w:szCs w:val="24"/>
          <w:highlight w:val="none"/>
        </w:rPr>
        <w:t>投标企业未被列入信用中国网站信用记录失信被执行人、重大税收违法案件当事人名单</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w:t>
      </w:r>
      <w:r>
        <w:rPr>
          <w:rFonts w:hint="eastAsia" w:hAnsi="宋体" w:eastAsia="宋体"/>
          <w:color w:val="auto"/>
          <w:position w:val="0"/>
          <w:sz w:val="24"/>
          <w:szCs w:val="24"/>
          <w:highlight w:val="none"/>
          <w:lang w:val="en-US" w:eastAsia="zh-CN"/>
        </w:rPr>
        <w:t>(以上查询</w:t>
      </w:r>
      <w:r>
        <w:rPr>
          <w:rFonts w:hint="default" w:ascii="Times New Roman" w:hAnsi="宋体" w:eastAsia="宋体"/>
          <w:color w:val="auto"/>
          <w:position w:val="0"/>
          <w:sz w:val="24"/>
          <w:szCs w:val="24"/>
          <w:highlight w:val="none"/>
        </w:rPr>
        <w:t>提供报名时间内网站查询截图</w:t>
      </w:r>
      <w:r>
        <w:rPr>
          <w:rFonts w:hint="eastAsia" w:hAnsi="宋体" w:eastAsia="宋体"/>
          <w:color w:val="auto"/>
          <w:position w:val="0"/>
          <w:sz w:val="24"/>
          <w:szCs w:val="24"/>
          <w:highlight w:val="none"/>
          <w:lang w:val="en-US" w:eastAsia="zh-CN"/>
        </w:rPr>
        <w:t>)</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本标段不接受联合体投标；</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5</w:t>
      </w:r>
      <w:r>
        <w:rPr>
          <w:rFonts w:hint="default" w:ascii="Times New Roman" w:hAnsi="宋体" w:eastAsia="宋体"/>
          <w:color w:val="auto"/>
          <w:position w:val="0"/>
          <w:sz w:val="24"/>
          <w:szCs w:val="24"/>
          <w:highlight w:val="none"/>
        </w:rPr>
        <w:t>本次招标实行资格后审；</w:t>
      </w:r>
    </w:p>
    <w:p>
      <w:pPr>
        <w:numPr>
          <w:ilvl w:val="0"/>
          <w:numId w:val="1"/>
        </w:numPr>
        <w:autoSpaceDE/>
        <w:autoSpaceDN/>
        <w:spacing w:before="0" w:after="160" w:line="460" w:lineRule="exact"/>
        <w:ind w:right="0" w:firstLine="0"/>
        <w:jc w:val="both"/>
        <w:rPr>
          <w:rFonts w:hint="default" w:ascii="宋体" w:hAnsi="Times New Roman" w:eastAsia="Times New Roman"/>
          <w:color w:val="auto"/>
          <w:position w:val="0"/>
          <w:sz w:val="24"/>
          <w:szCs w:val="24"/>
          <w:highlight w:val="none"/>
        </w:rPr>
      </w:pPr>
      <w:r>
        <w:rPr>
          <w:rFonts w:hint="default" w:ascii="Times New Roman" w:hAnsi="宋体" w:eastAsia="宋体"/>
          <w:b/>
          <w:color w:val="auto"/>
          <w:position w:val="0"/>
          <w:sz w:val="24"/>
          <w:szCs w:val="24"/>
          <w:highlight w:val="none"/>
        </w:rPr>
        <w:t>网上下载招标文件</w:t>
      </w:r>
    </w:p>
    <w:p>
      <w:pPr>
        <w:numPr>
          <w:ilvl w:val="0"/>
          <w:numId w:val="0"/>
        </w:numPr>
        <w:autoSpaceDE/>
        <w:autoSpaceDN/>
        <w:spacing w:before="0" w:after="160" w:line="460" w:lineRule="exact"/>
        <w:ind w:right="0" w:rightChars="0" w:firstLine="480" w:firstLineChars="200"/>
        <w:jc w:val="both"/>
        <w:rPr>
          <w:rFonts w:hint="default" w:ascii="宋体" w:hAnsi="Times New Roman" w:eastAsia="Times New Roman"/>
          <w:color w:val="auto"/>
          <w:position w:val="0"/>
          <w:sz w:val="24"/>
          <w:szCs w:val="24"/>
          <w:highlight w:val="none"/>
        </w:rPr>
      </w:pPr>
      <w:r>
        <w:rPr>
          <w:rFonts w:hint="default" w:ascii="宋体" w:hAnsi="Times New Roman" w:eastAsia="Times New Roman"/>
          <w:color w:val="auto"/>
          <w:position w:val="0"/>
          <w:sz w:val="24"/>
          <w:szCs w:val="24"/>
          <w:highlight w:val="none"/>
        </w:rPr>
        <w:t>4.1投标人持CA数字认证证书，登录《全国公共资源交易平台（河南省·许昌市）》“系统用户注册”入口（http://ggzy.xuchang.gov.cn）进行免费注册登记（详见“常见问题解答-诚信库网上注册相关资料下载”）；</w:t>
      </w:r>
    </w:p>
    <w:p>
      <w:pPr>
        <w:pStyle w:val="29"/>
        <w:numPr>
          <w:ilvl w:val="0"/>
          <w:numId w:val="0"/>
        </w:numPr>
        <w:autoSpaceDE/>
        <w:autoSpaceDN/>
        <w:spacing w:before="280" w:beforeAutospacing="1" w:after="280" w:afterAutospacing="1" w:line="460" w:lineRule="exact"/>
        <w:ind w:right="0" w:firstLine="480"/>
        <w:jc w:val="left"/>
        <w:rPr>
          <w:rFonts w:hint="default" w:ascii="宋体" w:hAnsi="Times New Roman" w:eastAsia="Times New Roman"/>
          <w:color w:val="auto"/>
          <w:position w:val="0"/>
          <w:sz w:val="24"/>
          <w:szCs w:val="24"/>
          <w:highlight w:val="none"/>
        </w:rPr>
      </w:pPr>
      <w:r>
        <w:rPr>
          <w:rFonts w:hint="default" w:ascii="宋体" w:hAnsi="Times New Roman" w:eastAsia="Times New Roman"/>
          <w:color w:val="auto"/>
          <w:position w:val="0"/>
          <w:sz w:val="24"/>
          <w:szCs w:val="24"/>
          <w:highlight w:val="none"/>
        </w:rPr>
        <w:t>4.2在投标截止时间前登录《全国公共资源交易平台（河南省·许昌市）》“投标人/供应商登录”入口（http://</w:t>
      </w:r>
      <w:r>
        <w:rPr>
          <w:rFonts w:hint="default" w:ascii="Times New Roman" w:hAnsi="Times New Roman" w:eastAsia="Times New Roman"/>
          <w:color w:val="auto"/>
          <w:position w:val="0"/>
          <w:sz w:val="24"/>
          <w:szCs w:val="24"/>
          <w:highlight w:val="none"/>
        </w:rPr>
        <w:t>ggzy.xuchang.gov.cn</w:t>
      </w:r>
      <w:r>
        <w:rPr>
          <w:rFonts w:hint="default" w:ascii="宋体" w:hAnsi="Times New Roman" w:eastAsia="Times New Roman"/>
          <w:color w:val="auto"/>
          <w:position w:val="0"/>
          <w:sz w:val="24"/>
          <w:szCs w:val="24"/>
          <w:highlight w:val="none"/>
        </w:rPr>
        <w:t>）自行下载招标文件（详见“常见问题解答-交易系统操作手册”）。</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5、招标文件和施工图纸的获取</w:t>
      </w:r>
    </w:p>
    <w:p>
      <w:pPr>
        <w:numPr>
          <w:ilvl w:val="0"/>
          <w:numId w:val="0"/>
        </w:numPr>
        <w:tabs>
          <w:tab w:val="left" w:pos="7095"/>
        </w:tabs>
        <w:autoSpaceDE/>
        <w:autoSpaceDN/>
        <w:spacing w:before="0" w:after="160" w:line="46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5.1招标文件和工程量清单的获取：投标人于投标文件递交截止时间前均可登录</w:t>
      </w:r>
      <w:r>
        <w:rPr>
          <w:rFonts w:hint="default" w:ascii="Times New Roman" w:hAnsi="Times New Roman" w:eastAsia="Times New Roman"/>
          <w:color w:val="auto"/>
          <w:position w:val="0"/>
          <w:sz w:val="21"/>
          <w:szCs w:val="21"/>
          <w:highlight w:val="none"/>
        </w:rPr>
        <w:t>《</w:t>
      </w:r>
      <w:r>
        <w:rPr>
          <w:rFonts w:hint="default" w:ascii="Times New Roman" w:hAnsi="宋体" w:eastAsia="宋体"/>
          <w:color w:val="auto"/>
          <w:position w:val="0"/>
          <w:sz w:val="24"/>
          <w:szCs w:val="24"/>
          <w:highlight w:val="none"/>
        </w:rPr>
        <w:t>全国公共资源交易平台(河南省▪许昌市)</w:t>
      </w:r>
      <w:r>
        <w:rPr>
          <w:rFonts w:hint="default" w:ascii="Times New Roman" w:hAnsi="Times New Roman" w:eastAsia="Times New Roman"/>
          <w:color w:val="auto"/>
          <w:position w:val="0"/>
          <w:sz w:val="21"/>
          <w:szCs w:val="21"/>
          <w:highlight w:val="none"/>
        </w:rPr>
        <w:t>》</w:t>
      </w:r>
      <w:r>
        <w:rPr>
          <w:rFonts w:hint="default" w:ascii="Times New Roman" w:hAnsi="宋体" w:eastAsia="宋体"/>
          <w:color w:val="auto"/>
          <w:position w:val="0"/>
          <w:sz w:val="24"/>
          <w:szCs w:val="24"/>
          <w:highlight w:val="none"/>
        </w:rPr>
        <w:t>（http://ggzy.xuchang.gov.cn），通过“投标人/供应商登录” 入口自行下载。</w:t>
      </w:r>
    </w:p>
    <w:p>
      <w:pPr>
        <w:numPr>
          <w:ilvl w:val="0"/>
          <w:numId w:val="0"/>
        </w:numPr>
        <w:tabs>
          <w:tab w:val="left" w:pos="7095"/>
        </w:tabs>
        <w:autoSpaceDE/>
        <w:autoSpaceDN/>
        <w:spacing w:before="0" w:after="160" w:line="46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5.2施工图纸下载：按照招标文件中第二章投标人须知前附表第2.1项所给的网址自行下载。</w:t>
      </w:r>
    </w:p>
    <w:p>
      <w:pPr>
        <w:numPr>
          <w:ilvl w:val="0"/>
          <w:numId w:val="0"/>
        </w:numPr>
        <w:autoSpaceDE w:val="0"/>
        <w:autoSpaceDN w:val="0"/>
        <w:spacing w:before="0" w:after="160" w:line="46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5.3招标文件每套售价</w:t>
      </w:r>
      <w:r>
        <w:rPr>
          <w:rFonts w:hint="default" w:ascii="Times New Roman" w:hAnsi="宋体" w:eastAsia="宋体"/>
          <w:color w:val="auto"/>
          <w:position w:val="0"/>
          <w:sz w:val="24"/>
          <w:szCs w:val="24"/>
          <w:highlight w:val="none"/>
          <w:u w:val="single"/>
        </w:rPr>
        <w:t>300</w:t>
      </w:r>
      <w:r>
        <w:rPr>
          <w:rFonts w:hint="default" w:ascii="Times New Roman" w:hAnsi="宋体" w:eastAsia="宋体"/>
          <w:color w:val="auto"/>
          <w:position w:val="0"/>
          <w:sz w:val="24"/>
          <w:szCs w:val="24"/>
          <w:highlight w:val="none"/>
        </w:rPr>
        <w:t>元，于提交电子投标文件时缴纳给招标代理机构，售后不退。</w:t>
      </w:r>
    </w:p>
    <w:p>
      <w:pPr>
        <w:numPr>
          <w:ilvl w:val="0"/>
          <w:numId w:val="0"/>
        </w:numPr>
        <w:autoSpaceDE w:val="0"/>
        <w:autoSpaceDN w:val="0"/>
        <w:spacing w:before="0" w:after="160" w:line="46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6、投标文件的提交</w:t>
      </w:r>
    </w:p>
    <w:p>
      <w:pPr>
        <w:pStyle w:val="29"/>
        <w:numPr>
          <w:ilvl w:val="0"/>
          <w:numId w:val="0"/>
        </w:numPr>
        <w:autoSpaceDE/>
        <w:autoSpaceDN/>
        <w:spacing w:before="74" w:after="280" w:afterAutospacing="1" w:line="460" w:lineRule="exact"/>
        <w:ind w:right="328"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6.1全流程电子化交易项目，须提交电子介质存储的备份文件2份并分开单独密封。</w:t>
      </w:r>
    </w:p>
    <w:p>
      <w:pPr>
        <w:numPr>
          <w:ilvl w:val="0"/>
          <w:numId w:val="0"/>
        </w:numPr>
        <w:autoSpaceDE/>
        <w:autoSpaceDN/>
        <w:spacing w:before="0" w:after="160" w:line="460" w:lineRule="exact"/>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6.2电子投标文件的提交：电子投标文件应在投标文件提交截止时间（开标时间）之前成功提交至《全国公共资源交易平台(河南省▪许昌市)》公共资源交易系统，同时提交2份使用电子介质存储的备份文件。</w:t>
      </w:r>
    </w:p>
    <w:p>
      <w:pPr>
        <w:numPr>
          <w:ilvl w:val="0"/>
          <w:numId w:val="0"/>
        </w:numPr>
        <w:autoSpaceDE/>
        <w:autoSpaceDN/>
        <w:spacing w:before="0" w:after="160" w:line="460" w:lineRule="exact"/>
        <w:ind w:right="0" w:firstLine="480"/>
        <w:jc w:val="both"/>
        <w:rPr>
          <w:rFonts w:hint="default" w:ascii="宋体" w:hAnsi="宋体" w:eastAsia="宋体"/>
          <w:color w:val="000000"/>
          <w:position w:val="0"/>
          <w:sz w:val="24"/>
          <w:szCs w:val="24"/>
        </w:rPr>
      </w:pPr>
      <w:r>
        <w:rPr>
          <w:rFonts w:hint="default" w:ascii="宋体" w:hAnsi="宋体" w:eastAsia="宋体"/>
          <w:color w:val="auto"/>
          <w:position w:val="0"/>
          <w:sz w:val="24"/>
          <w:szCs w:val="24"/>
          <w:highlight w:val="none"/>
        </w:rPr>
        <w:t>6.3投标文件提交的截止时间及开标时间：</w:t>
      </w:r>
      <w:r>
        <w:rPr>
          <w:rFonts w:hint="default" w:ascii="宋体" w:hAnsi="宋体" w:eastAsia="宋体"/>
          <w:color w:val="000000" w:themeColor="text1"/>
          <w:position w:val="0"/>
          <w:sz w:val="24"/>
          <w:szCs w:val="24"/>
          <w:highlight w:val="none"/>
          <w14:textFill>
            <w14:solidFill>
              <w14:schemeClr w14:val="tx1"/>
            </w14:solidFill>
          </w14:textFill>
        </w:rPr>
        <w:t>2020年</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06</w:t>
      </w:r>
      <w:r>
        <w:rPr>
          <w:rFonts w:hint="default" w:ascii="宋体" w:hAnsi="宋体" w:eastAsia="宋体"/>
          <w:color w:val="000000" w:themeColor="text1"/>
          <w:position w:val="0"/>
          <w:sz w:val="24"/>
          <w:szCs w:val="24"/>
          <w:highlight w:val="none"/>
          <w14:textFill>
            <w14:solidFill>
              <w14:schemeClr w14:val="tx1"/>
            </w14:solidFill>
          </w14:textFill>
        </w:rPr>
        <w:t>月</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09</w:t>
      </w:r>
      <w:r>
        <w:rPr>
          <w:rFonts w:hint="default" w:ascii="宋体" w:hAnsi="宋体" w:eastAsia="宋体"/>
          <w:color w:val="000000" w:themeColor="text1"/>
          <w:position w:val="0"/>
          <w:sz w:val="24"/>
          <w:szCs w:val="24"/>
          <w:highlight w:val="none"/>
          <w14:textFill>
            <w14:solidFill>
              <w14:schemeClr w14:val="tx1"/>
            </w14:solidFill>
          </w14:textFill>
        </w:rPr>
        <w:t>日09时00分。</w:t>
      </w:r>
    </w:p>
    <w:p>
      <w:pPr>
        <w:numPr>
          <w:ilvl w:val="0"/>
          <w:numId w:val="0"/>
        </w:numPr>
        <w:autoSpaceDE/>
        <w:autoSpaceDN/>
        <w:spacing w:before="0" w:after="160" w:line="460" w:lineRule="exact"/>
        <w:ind w:right="0" w:firstLine="480" w:firstLineChars="20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6.4电子投标文件提交地点：襄城县公共资源交易中心（襄城县八七路东电子产业园12楼开标二室）；</w:t>
      </w:r>
    </w:p>
    <w:p>
      <w:pPr>
        <w:numPr>
          <w:ilvl w:val="0"/>
          <w:numId w:val="0"/>
        </w:numPr>
        <w:autoSpaceDE/>
        <w:autoSpaceDN/>
        <w:spacing w:before="0" w:after="160" w:line="460" w:lineRule="exact"/>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6.5逾期送达的或者未送达指定地点的电子介质存储的备份文件，招标人不予受理。</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7、发布公告的媒介</w:t>
      </w:r>
    </w:p>
    <w:p>
      <w:pPr>
        <w:numPr>
          <w:ilvl w:val="0"/>
          <w:numId w:val="0"/>
        </w:numPr>
        <w:autoSpaceDE/>
        <w:autoSpaceDN/>
        <w:spacing w:before="0" w:after="160" w:line="46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本公告同时在《全国公共资源交易平台(河南省▪许昌市)》、《河南省电子招标投标公共服务平台》上发布。</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8、联系方式</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招 标 人：</w:t>
      </w:r>
      <w:r>
        <w:rPr>
          <w:rFonts w:hint="eastAsia" w:hAnsi="宋体" w:eastAsia="宋体"/>
          <w:color w:val="auto"/>
          <w:position w:val="0"/>
          <w:sz w:val="24"/>
          <w:szCs w:val="24"/>
          <w:highlight w:val="none"/>
          <w:lang w:eastAsia="zh-CN"/>
        </w:rPr>
        <w:t>襄城县王洛镇人民政府</w:t>
      </w:r>
      <w:r>
        <w:rPr>
          <w:rFonts w:hint="default" w:ascii="Times New Roman" w:hAnsi="宋体" w:eastAsia="宋体"/>
          <w:color w:val="auto"/>
          <w:position w:val="0"/>
          <w:sz w:val="24"/>
          <w:szCs w:val="24"/>
          <w:highlight w:val="none"/>
        </w:rPr>
        <w:t xml:space="preserve">     </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lang w:val="en-US" w:eastAsia="zh-CN"/>
        </w:rPr>
      </w:pPr>
      <w:r>
        <w:rPr>
          <w:rFonts w:hint="default" w:ascii="Times New Roman" w:hAnsi="宋体" w:eastAsia="宋体"/>
          <w:color w:val="auto"/>
          <w:position w:val="0"/>
          <w:sz w:val="24"/>
          <w:szCs w:val="24"/>
          <w:highlight w:val="none"/>
        </w:rPr>
        <w:t>地    址：襄城县</w:t>
      </w:r>
      <w:r>
        <w:rPr>
          <w:rFonts w:hint="eastAsia" w:hAnsi="宋体" w:eastAsia="宋体"/>
          <w:color w:val="auto"/>
          <w:position w:val="0"/>
          <w:sz w:val="24"/>
          <w:szCs w:val="24"/>
          <w:highlight w:val="none"/>
          <w:lang w:eastAsia="zh-CN"/>
        </w:rPr>
        <w:t>王洛镇</w:t>
      </w:r>
    </w:p>
    <w:p>
      <w:pPr>
        <w:numPr>
          <w:ilvl w:val="0"/>
          <w:numId w:val="0"/>
        </w:numPr>
        <w:autoSpaceDE/>
        <w:autoSpaceDN/>
        <w:spacing w:before="0" w:after="160" w:line="360" w:lineRule="auto"/>
        <w:ind w:right="0" w:firstLine="480"/>
        <w:jc w:val="left"/>
        <w:rPr>
          <w:rFonts w:hint="default" w:ascii="Times New Roman" w:hAnsi="宋体" w:eastAsia="宋体"/>
          <w:color w:val="000000"/>
          <w:position w:val="0"/>
          <w:sz w:val="24"/>
          <w:szCs w:val="24"/>
          <w:highlight w:val="none"/>
          <w:lang w:val="en-US" w:eastAsia="zh-CN"/>
        </w:rPr>
      </w:pPr>
      <w:r>
        <w:rPr>
          <w:rFonts w:hint="default" w:ascii="Times New Roman" w:hAnsi="宋体" w:eastAsia="宋体"/>
          <w:color w:val="000000"/>
          <w:position w:val="0"/>
          <w:sz w:val="24"/>
          <w:szCs w:val="24"/>
          <w:highlight w:val="none"/>
        </w:rPr>
        <w:t>联 系 人：</w:t>
      </w:r>
      <w:r>
        <w:rPr>
          <w:rFonts w:hint="eastAsia" w:ascii="宋体" w:hAnsi="宋体" w:eastAsia="宋体"/>
          <w:sz w:val="28"/>
          <w:szCs w:val="28"/>
          <w:lang w:val="en-US" w:eastAsia="zh-CN"/>
        </w:rPr>
        <w:t>郜先生</w:t>
      </w:r>
      <w:r>
        <w:rPr>
          <w:rFonts w:hint="default" w:ascii="Times New Roman" w:hAnsi="宋体" w:eastAsia="宋体"/>
          <w:color w:val="000000"/>
          <w:position w:val="0"/>
          <w:sz w:val="24"/>
          <w:szCs w:val="24"/>
          <w:highlight w:val="none"/>
        </w:rPr>
        <w:t xml:space="preserve">     联系电话：</w:t>
      </w:r>
      <w:r>
        <w:rPr>
          <w:rFonts w:hint="eastAsia" w:ascii="宋体" w:hAnsi="宋体" w:eastAsia="宋体"/>
          <w:sz w:val="28"/>
          <w:szCs w:val="28"/>
          <w:lang w:val="en-US" w:eastAsia="zh-CN"/>
        </w:rPr>
        <w:t>13782279553</w:t>
      </w:r>
      <w:r>
        <w:rPr>
          <w:rFonts w:hint="default" w:ascii="Times New Roman" w:hAnsi="宋体" w:eastAsia="宋体"/>
          <w:color w:val="000000"/>
          <w:position w:val="0"/>
          <w:sz w:val="24"/>
          <w:szCs w:val="24"/>
          <w:highlight w:val="none"/>
        </w:rPr>
        <w:t xml:space="preserve">  </w:t>
      </w:r>
    </w:p>
    <w:p>
      <w:pPr>
        <w:numPr>
          <w:ilvl w:val="0"/>
          <w:numId w:val="0"/>
        </w:numPr>
        <w:autoSpaceDE/>
        <w:autoSpaceDN/>
        <w:spacing w:before="0" w:after="160" w:line="360" w:lineRule="auto"/>
        <w:ind w:right="0" w:firstLine="480"/>
        <w:jc w:val="left"/>
        <w:rPr>
          <w:rFonts w:hint="eastAsia" w:ascii="Times New Roman" w:hAnsi="宋体" w:eastAsia="宋体"/>
          <w:color w:val="auto"/>
          <w:position w:val="0"/>
          <w:sz w:val="24"/>
          <w:szCs w:val="24"/>
          <w:highlight w:val="none"/>
          <w:lang w:eastAsia="zh-CN"/>
        </w:rPr>
      </w:pPr>
      <w:r>
        <w:rPr>
          <w:rFonts w:hint="default" w:ascii="Times New Roman" w:hAnsi="宋体" w:eastAsia="宋体"/>
          <w:color w:val="auto"/>
          <w:position w:val="0"/>
          <w:sz w:val="24"/>
          <w:szCs w:val="24"/>
          <w:highlight w:val="none"/>
        </w:rPr>
        <w:t>代理机构：</w:t>
      </w:r>
      <w:r>
        <w:rPr>
          <w:rFonts w:hint="eastAsia" w:hAnsi="宋体" w:eastAsia="宋体"/>
          <w:color w:val="auto"/>
          <w:position w:val="0"/>
          <w:sz w:val="24"/>
          <w:szCs w:val="24"/>
          <w:highlight w:val="none"/>
          <w:lang w:eastAsia="zh-CN"/>
        </w:rPr>
        <w:t>达信建设发展有限公司</w:t>
      </w:r>
    </w:p>
    <w:p>
      <w:pPr>
        <w:numPr>
          <w:ilvl w:val="0"/>
          <w:numId w:val="0"/>
        </w:numPr>
        <w:autoSpaceDE/>
        <w:autoSpaceDN/>
        <w:spacing w:before="0" w:after="160" w:line="360" w:lineRule="auto"/>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地    址：许昌市城乡一体化示范区元鼎国际B座1612</w:t>
      </w:r>
    </w:p>
    <w:p>
      <w:pPr>
        <w:numPr>
          <w:ilvl w:val="0"/>
          <w:numId w:val="0"/>
        </w:numPr>
        <w:autoSpaceDE/>
        <w:autoSpaceDN/>
        <w:spacing w:before="0" w:after="160" w:line="360" w:lineRule="auto"/>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联 系 人：蔡女士         联系电话：0374-8318599</w:t>
      </w:r>
    </w:p>
    <w:p>
      <w:pPr>
        <w:numPr>
          <w:ilvl w:val="0"/>
          <w:numId w:val="0"/>
        </w:numPr>
        <w:autoSpaceDE/>
        <w:autoSpaceDN/>
        <w:spacing w:before="0" w:after="160" w:line="360" w:lineRule="auto"/>
        <w:ind w:right="0" w:firstLine="480"/>
        <w:jc w:val="right"/>
        <w:rPr>
          <w:rFonts w:hint="default" w:ascii="Times New Roman" w:hAnsi="宋体" w:eastAsia="宋体"/>
          <w:b/>
          <w:color w:val="000000" w:themeColor="text1"/>
          <w:position w:val="0"/>
          <w:sz w:val="28"/>
          <w:szCs w:val="28"/>
          <w:highlight w:val="none"/>
          <w14:textFill>
            <w14:solidFill>
              <w14:schemeClr w14:val="tx1"/>
            </w14:solidFill>
          </w14:textFill>
        </w:rPr>
      </w:pPr>
      <w:r>
        <w:rPr>
          <w:rFonts w:hint="default" w:ascii="Times New Roman" w:hAnsi="宋体" w:eastAsia="宋体"/>
          <w:color w:val="000000" w:themeColor="text1"/>
          <w:position w:val="0"/>
          <w:sz w:val="24"/>
          <w:szCs w:val="24"/>
          <w:highlight w:val="none"/>
          <w14:textFill>
            <w14:solidFill>
              <w14:schemeClr w14:val="tx1"/>
            </w14:solidFill>
          </w14:textFill>
        </w:rPr>
        <w:t>20</w:t>
      </w:r>
      <w:r>
        <w:rPr>
          <w:rFonts w:hint="eastAsia" w:hAnsi="宋体" w:eastAsia="宋体"/>
          <w:color w:val="000000" w:themeColor="text1"/>
          <w:position w:val="0"/>
          <w:sz w:val="24"/>
          <w:szCs w:val="24"/>
          <w:highlight w:val="none"/>
          <w:lang w:val="en-US" w:eastAsia="zh-CN"/>
          <w14:textFill>
            <w14:solidFill>
              <w14:schemeClr w14:val="tx1"/>
            </w14:solidFill>
          </w14:textFill>
        </w:rPr>
        <w:t>20</w:t>
      </w:r>
      <w:r>
        <w:rPr>
          <w:rFonts w:hint="default" w:ascii="Times New Roman" w:hAnsi="宋体" w:eastAsia="宋体"/>
          <w:color w:val="000000" w:themeColor="text1"/>
          <w:position w:val="0"/>
          <w:sz w:val="24"/>
          <w:szCs w:val="24"/>
          <w:highlight w:val="none"/>
          <w14:textFill>
            <w14:solidFill>
              <w14:schemeClr w14:val="tx1"/>
            </w14:solidFill>
          </w14:textFill>
        </w:rPr>
        <w:t>年</w:t>
      </w:r>
      <w:r>
        <w:rPr>
          <w:rFonts w:hint="eastAsia" w:hAnsi="宋体" w:eastAsia="宋体"/>
          <w:color w:val="000000" w:themeColor="text1"/>
          <w:position w:val="0"/>
          <w:sz w:val="24"/>
          <w:szCs w:val="24"/>
          <w:highlight w:val="none"/>
          <w:lang w:val="en-US" w:eastAsia="zh-CN"/>
          <w14:textFill>
            <w14:solidFill>
              <w14:schemeClr w14:val="tx1"/>
            </w14:solidFill>
          </w14:textFill>
        </w:rPr>
        <w:t>05</w:t>
      </w:r>
      <w:r>
        <w:rPr>
          <w:rFonts w:hint="default" w:ascii="Times New Roman" w:hAnsi="宋体" w:eastAsia="宋体"/>
          <w:color w:val="000000" w:themeColor="text1"/>
          <w:position w:val="0"/>
          <w:sz w:val="24"/>
          <w:szCs w:val="24"/>
          <w:highlight w:val="none"/>
          <w14:textFill>
            <w14:solidFill>
              <w14:schemeClr w14:val="tx1"/>
            </w14:solidFill>
          </w14:textFill>
        </w:rPr>
        <w:t>月</w:t>
      </w:r>
      <w:r>
        <w:rPr>
          <w:rFonts w:hint="eastAsia" w:hAnsi="宋体" w:eastAsia="宋体"/>
          <w:color w:val="000000" w:themeColor="text1"/>
          <w:position w:val="0"/>
          <w:sz w:val="24"/>
          <w:szCs w:val="24"/>
          <w:highlight w:val="none"/>
          <w:lang w:val="en-US" w:eastAsia="zh-CN"/>
          <w14:textFill>
            <w14:solidFill>
              <w14:schemeClr w14:val="tx1"/>
            </w14:solidFill>
          </w14:textFill>
        </w:rPr>
        <w:t>18</w:t>
      </w:r>
      <w:r>
        <w:rPr>
          <w:rFonts w:hint="default" w:ascii="Times New Roman" w:hAnsi="宋体" w:eastAsia="宋体"/>
          <w:color w:val="000000" w:themeColor="text1"/>
          <w:position w:val="0"/>
          <w:sz w:val="24"/>
          <w:szCs w:val="24"/>
          <w:highlight w:val="none"/>
          <w14:textFill>
            <w14:solidFill>
              <w14:schemeClr w14:val="tx1"/>
            </w14:solidFill>
          </w14:textFill>
        </w:rPr>
        <w:t>日</w:t>
      </w:r>
    </w:p>
    <w:p>
      <w:pPr>
        <w:numPr>
          <w:ilvl w:val="0"/>
          <w:numId w:val="0"/>
        </w:numPr>
        <w:autoSpaceDE/>
        <w:autoSpaceDN/>
        <w:spacing w:before="0" w:after="160" w:line="360" w:lineRule="auto"/>
        <w:ind w:right="0" w:firstLine="560"/>
        <w:jc w:val="both"/>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温馨提示：</w:t>
      </w:r>
    </w:p>
    <w:p>
      <w:pPr>
        <w:numPr>
          <w:ilvl w:val="0"/>
          <w:numId w:val="0"/>
        </w:numPr>
        <w:autoSpaceDE/>
        <w:autoSpaceDN/>
        <w:spacing w:before="0" w:after="160" w:line="360" w:lineRule="auto"/>
        <w:ind w:right="0" w:firstLine="560"/>
        <w:jc w:val="both"/>
        <w:rPr>
          <w:rFonts w:hint="default" w:ascii="Times New Roman" w:hAnsi="宋体" w:eastAsia="宋体"/>
          <w:b/>
          <w:color w:val="auto"/>
          <w:position w:val="0"/>
          <w:sz w:val="28"/>
          <w:szCs w:val="28"/>
          <w:highlight w:val="none"/>
        </w:rPr>
      </w:pPr>
      <w:r>
        <w:rPr>
          <w:rFonts w:hint="default" w:ascii="宋体" w:hAnsi="宋体" w:eastAsia="宋体"/>
          <w:b/>
          <w:color w:val="auto"/>
          <w:position w:val="0"/>
          <w:sz w:val="28"/>
          <w:szCs w:val="28"/>
          <w:highlight w:val="none"/>
        </w:rPr>
        <w:t>本项目为全流程电子化交易项目</w:t>
      </w:r>
      <w:r>
        <w:rPr>
          <w:rFonts w:hint="default" w:ascii="Times New Roman" w:hAnsi="宋体" w:eastAsia="宋体"/>
          <w:b/>
          <w:color w:val="auto"/>
          <w:position w:val="0"/>
          <w:sz w:val="28"/>
          <w:szCs w:val="28"/>
          <w:highlight w:val="none"/>
        </w:rPr>
        <w:t>，请认真阅读招标文件，并注意以下事项。</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1.投标人应按招标文件规定下载、编制、提交电子投标文件。开、评标现场不接受投标人递交的电子投标文件以外的其他资料。</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2.电子文件下载、制作、提交期间和开标（电子投标文件的解密）环节，投标人须使用CA数字证书（证书须在有效期内）。</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3.电子投标文件的制作。</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 投标人登录《全国公共资源交易平台（河南省·许昌市）》公共资源交易系统（http://221.14.6.70:8088/ggzy/）下载“许昌投标文件制作系统SEARUN V1.1”，按招标文件要求制作电子投标文件。</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电子投标文件的制作，参考《全国公共资源交易平台（河南省·许昌市）》公共资源交易系统——组件下载——交易系统操作手册（投标人、供应商）。</w:t>
      </w:r>
    </w:p>
    <w:p>
      <w:pPr>
        <w:numPr>
          <w:ilvl w:val="0"/>
          <w:numId w:val="0"/>
        </w:numPr>
        <w:tabs>
          <w:tab w:val="left" w:pos="7095"/>
        </w:tabs>
        <w:autoSpaceDE/>
        <w:autoSpaceDN/>
        <w:spacing w:before="0" w:after="160" w:line="360" w:lineRule="auto"/>
        <w:ind w:left="105"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 投标人须将招标文件要求的资质、业绩、荣誉及相关人员证明材料等资料原件扫描件（或图片）制作到所提交的电子投标文件中。</w:t>
      </w:r>
    </w:p>
    <w:p>
      <w:pPr>
        <w:numPr>
          <w:ilvl w:val="0"/>
          <w:numId w:val="0"/>
        </w:numPr>
        <w:tabs>
          <w:tab w:val="left" w:pos="7095"/>
        </w:tabs>
        <w:autoSpaceDE/>
        <w:autoSpaceDN/>
        <w:spacing w:before="0" w:after="160" w:line="360" w:lineRule="auto"/>
        <w:ind w:left="105"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numPr>
          <w:ilvl w:val="0"/>
          <w:numId w:val="0"/>
        </w:numPr>
        <w:tabs>
          <w:tab w:val="left" w:pos="7095"/>
        </w:tabs>
        <w:autoSpaceDE/>
        <w:autoSpaceDN/>
        <w:spacing w:before="0" w:after="160" w:line="360" w:lineRule="auto"/>
        <w:ind w:left="105"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b/>
          <w:color w:val="auto"/>
          <w:position w:val="0"/>
          <w:sz w:val="24"/>
          <w:szCs w:val="24"/>
          <w:highlight w:val="none"/>
        </w:rPr>
        <w:t>一个标段对应生成一个文件夹（xxxx项目xx标段）, 其中包含2个文件和1个文件夹。</w:t>
      </w:r>
      <w:r>
        <w:rPr>
          <w:rFonts w:hint="default" w:ascii="Times New Roman" w:hAnsi="宋体" w:eastAsia="宋体"/>
          <w:color w:val="auto"/>
          <w:position w:val="0"/>
          <w:sz w:val="24"/>
          <w:szCs w:val="24"/>
          <w:highlight w:val="none"/>
        </w:rPr>
        <w:t>后缀名为“.file”的文件用于电子投标使用，后缀名为“.PDF”的文件、“备份文件夹”使用电子介质存储，供开标现场备用。</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4.电子投标文件的提交</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4.1电子投标文件应在招标文件规定的投标文件提交截止时间（开标时间）之前成功提交至《全国公共资源交易平台（河南省·许昌市）》公共资源交易系统（http://ggzy.xuchang.gov.cn）。</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投标人应充分考虑并预留技术处理和上传数据所需时间。</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4.2 投标人对同一项目多个标段进行投标的，电子投标文件应按标段分别提交。</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 电子投标文件成功提交后，投标人应打印“投标文件提交回执单”，供开标现场备查。</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5.评标依据</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5.1采用全流程电子化交易评标时，评标委员会以电子投标文件为依据评标。</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5.2全流程电子化交易系统如因系统异常情况无法完成，将以人工方式进行。评标委员会以投标人提供的电子介质存储的备份文件为依据评标。</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招标人及其代理机构需留存电子档案时，可在质疑期满后使用CA锁从交易平台自行下载。</w:t>
      </w:r>
    </w:p>
    <w:p>
      <w:pPr>
        <w:pStyle w:val="6"/>
        <w:numPr>
          <w:ilvl w:val="0"/>
          <w:numId w:val="0"/>
        </w:numPr>
        <w:autoSpaceDE/>
        <w:autoSpaceDN/>
        <w:snapToGrid w:val="0"/>
        <w:spacing w:before="0" w:after="160" w:line="360" w:lineRule="auto"/>
        <w:ind w:right="0" w:firstLine="0"/>
        <w:jc w:val="center"/>
        <w:outlineLvl w:val="0"/>
        <w:rPr>
          <w:rFonts w:hint="default" w:ascii="宋体" w:hAnsi="黑体" w:eastAsia="黑体"/>
          <w:b w:val="0"/>
          <w:color w:val="auto"/>
          <w:position w:val="0"/>
          <w:sz w:val="36"/>
          <w:szCs w:val="36"/>
          <w:highlight w:val="none"/>
        </w:rPr>
      </w:pPr>
      <w:r>
        <w:br w:type="page"/>
      </w:r>
      <w:bookmarkStart w:id="3" w:name="_Toc1722"/>
      <w:bookmarkStart w:id="4" w:name="_Toc15375"/>
      <w:r>
        <w:rPr>
          <w:rFonts w:hint="default" w:ascii="宋体" w:hAnsi="宋体" w:eastAsia="宋体"/>
          <w:b/>
          <w:color w:val="auto"/>
          <w:position w:val="0"/>
          <w:sz w:val="44"/>
          <w:szCs w:val="44"/>
          <w:highlight w:val="none"/>
        </w:rPr>
        <w:t xml:space="preserve">第二章  </w:t>
      </w:r>
      <w:bookmarkEnd w:id="2"/>
      <w:r>
        <w:rPr>
          <w:rFonts w:hint="default" w:ascii="宋体" w:hAnsi="宋体" w:eastAsia="宋体"/>
          <w:b/>
          <w:color w:val="auto"/>
          <w:position w:val="0"/>
          <w:sz w:val="44"/>
          <w:szCs w:val="44"/>
          <w:highlight w:val="none"/>
        </w:rPr>
        <w:t>投标人须知</w:t>
      </w:r>
      <w:bookmarkEnd w:id="3"/>
      <w:bookmarkEnd w:id="4"/>
    </w:p>
    <w:p>
      <w:pPr>
        <w:numPr>
          <w:ilvl w:val="0"/>
          <w:numId w:val="0"/>
        </w:numPr>
        <w:autoSpaceDE w:val="0"/>
        <w:autoSpaceDN w:val="0"/>
        <w:spacing w:before="0" w:after="160" w:line="240" w:lineRule="auto"/>
        <w:ind w:right="0" w:firstLine="560"/>
        <w:jc w:val="center"/>
        <w:rPr>
          <w:rFonts w:hint="default" w:ascii="Times New Roman" w:hAnsi="黑体" w:eastAsia="黑体"/>
          <w:b/>
          <w:color w:val="auto"/>
          <w:position w:val="0"/>
          <w:sz w:val="28"/>
          <w:szCs w:val="28"/>
          <w:highlight w:val="none"/>
        </w:rPr>
      </w:pPr>
      <w:bookmarkStart w:id="5" w:name="_Toc283559940"/>
      <w:r>
        <w:rPr>
          <w:rFonts w:hint="default" w:ascii="Times New Roman" w:hAnsi="黑体" w:eastAsia="黑体"/>
          <w:b/>
          <w:color w:val="auto"/>
          <w:position w:val="0"/>
          <w:sz w:val="28"/>
          <w:szCs w:val="28"/>
          <w:highlight w:val="none"/>
        </w:rPr>
        <w:t>投标人须知前附表</w:t>
      </w:r>
      <w:bookmarkEnd w:id="5"/>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8"/>
        <w:gridCol w:w="6"/>
        <w:gridCol w:w="62"/>
        <w:gridCol w:w="1486"/>
        <w:gridCol w:w="802"/>
        <w:gridCol w:w="133"/>
        <w:gridCol w:w="6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条款号</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条 款 名 称</w:t>
            </w:r>
          </w:p>
        </w:tc>
        <w:tc>
          <w:tcPr>
            <w:tcW w:w="6367"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招标人</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 标 人：</w:t>
            </w:r>
            <w:r>
              <w:rPr>
                <w:rFonts w:hint="default" w:ascii="宋体" w:hAnsi="宋体" w:eastAsia="宋体"/>
                <w:color w:val="auto"/>
                <w:position w:val="0"/>
                <w:sz w:val="24"/>
                <w:szCs w:val="24"/>
                <w:highlight w:val="none"/>
                <w:lang w:eastAsia="zh-CN"/>
              </w:rPr>
              <w:t>襄城县王洛镇人民政府</w:t>
            </w:r>
            <w:r>
              <w:rPr>
                <w:rFonts w:hint="default" w:ascii="宋体" w:hAnsi="宋体" w:eastAsia="宋体"/>
                <w:color w:val="auto"/>
                <w:position w:val="0"/>
                <w:sz w:val="24"/>
                <w:szCs w:val="24"/>
                <w:highlight w:val="none"/>
              </w:rPr>
              <w:t xml:space="preserve">     </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lang w:val="en-US" w:eastAsia="zh-CN"/>
              </w:rPr>
            </w:pPr>
            <w:r>
              <w:rPr>
                <w:rFonts w:hint="default" w:ascii="宋体" w:hAnsi="宋体" w:eastAsia="宋体"/>
                <w:color w:val="auto"/>
                <w:position w:val="0"/>
                <w:sz w:val="24"/>
                <w:szCs w:val="24"/>
                <w:highlight w:val="none"/>
              </w:rPr>
              <w:t>地    址：襄城县</w:t>
            </w:r>
            <w:r>
              <w:rPr>
                <w:rFonts w:hint="default" w:ascii="宋体" w:hAnsi="宋体" w:eastAsia="宋体"/>
                <w:color w:val="auto"/>
                <w:position w:val="0"/>
                <w:sz w:val="24"/>
                <w:szCs w:val="24"/>
                <w:highlight w:val="none"/>
                <w:lang w:eastAsia="zh-CN"/>
              </w:rPr>
              <w:t>王洛镇</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联 系 人：</w:t>
            </w:r>
            <w:r>
              <w:rPr>
                <w:rFonts w:hint="default" w:ascii="宋体" w:hAnsi="宋体" w:eastAsia="宋体"/>
                <w:color w:val="auto"/>
                <w:position w:val="0"/>
                <w:sz w:val="24"/>
                <w:szCs w:val="24"/>
                <w:highlight w:val="none"/>
                <w:lang w:val="en-US" w:eastAsia="zh-CN"/>
              </w:rPr>
              <w:t>郜先生</w:t>
            </w:r>
            <w:r>
              <w:rPr>
                <w:rFonts w:hint="default" w:ascii="宋体" w:hAnsi="宋体" w:eastAsia="宋体"/>
                <w:color w:val="auto"/>
                <w:position w:val="0"/>
                <w:sz w:val="24"/>
                <w:szCs w:val="24"/>
                <w:highlight w:val="none"/>
              </w:rPr>
              <w:t xml:space="preserve">     联系电话：</w:t>
            </w:r>
            <w:r>
              <w:rPr>
                <w:rFonts w:hint="default" w:ascii="宋体" w:hAnsi="宋体" w:eastAsia="宋体"/>
                <w:color w:val="auto"/>
                <w:position w:val="0"/>
                <w:sz w:val="24"/>
                <w:szCs w:val="24"/>
                <w:highlight w:val="none"/>
                <w:lang w:val="en-US" w:eastAsia="zh-CN"/>
              </w:rPr>
              <w:t>13782279553</w:t>
            </w:r>
            <w:r>
              <w:rPr>
                <w:rFonts w:hint="default" w:ascii="宋体" w:hAnsi="宋体" w:eastAsia="宋体"/>
                <w:color w:val="auto"/>
                <w:position w:val="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代理机构</w:t>
            </w:r>
          </w:p>
        </w:tc>
        <w:tc>
          <w:tcPr>
            <w:tcW w:w="6367" w:type="dxa"/>
            <w:vAlign w:val="center"/>
          </w:tcPr>
          <w:p>
            <w:pPr>
              <w:numPr>
                <w:ilvl w:val="0"/>
                <w:numId w:val="0"/>
              </w:numPr>
              <w:autoSpaceDE w:val="0"/>
              <w:autoSpaceDN w:val="0"/>
              <w:spacing w:before="0" w:after="160" w:line="360" w:lineRule="auto"/>
              <w:ind w:right="0" w:firstLine="0"/>
              <w:jc w:val="left"/>
              <w:rPr>
                <w:rFonts w:hint="eastAsia" w:ascii="宋体" w:hAnsi="宋体" w:eastAsia="宋体"/>
                <w:color w:val="auto"/>
                <w:position w:val="0"/>
                <w:sz w:val="24"/>
                <w:szCs w:val="24"/>
                <w:highlight w:val="none"/>
                <w:lang w:eastAsia="zh-CN"/>
              </w:rPr>
            </w:pPr>
            <w:r>
              <w:rPr>
                <w:rFonts w:hint="default" w:ascii="宋体" w:hAnsi="宋体" w:eastAsia="宋体"/>
                <w:color w:val="auto"/>
                <w:position w:val="0"/>
                <w:sz w:val="24"/>
                <w:szCs w:val="24"/>
                <w:highlight w:val="none"/>
              </w:rPr>
              <w:t>代理机构：</w:t>
            </w:r>
            <w:r>
              <w:rPr>
                <w:rFonts w:hint="eastAsia" w:ascii="宋体" w:hAnsi="宋体" w:eastAsia="宋体"/>
                <w:color w:val="auto"/>
                <w:position w:val="0"/>
                <w:sz w:val="24"/>
                <w:szCs w:val="24"/>
                <w:highlight w:val="none"/>
                <w:lang w:eastAsia="zh-CN"/>
              </w:rPr>
              <w:t>达信建设发展有限公司</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地    址：许昌市城乡一体化示范区元鼎国际B座1612</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联 系 人：蔡女士         联系电话：0374-8318599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1.1.4</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项目名称</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eastAsia" w:ascii="宋体" w:hAnsi="宋体" w:eastAsia="宋体"/>
                <w:color w:val="auto"/>
                <w:position w:val="0"/>
                <w:sz w:val="24"/>
                <w:szCs w:val="24"/>
                <w:highlight w:val="none"/>
                <w:lang w:eastAsia="zh-CN"/>
              </w:rPr>
              <w:t>襄城县王洛镇大路谢村标准化厂房建设项目</w:t>
            </w:r>
            <w:r>
              <w:rPr>
                <w:rFonts w:hint="default" w:ascii="宋体" w:hAnsi="宋体" w:eastAsia="宋体"/>
                <w:color w:val="auto"/>
                <w:position w:val="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1.1.5</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建设地点</w:t>
            </w:r>
          </w:p>
        </w:tc>
        <w:tc>
          <w:tcPr>
            <w:tcW w:w="6367" w:type="dxa"/>
            <w:vAlign w:val="center"/>
          </w:tcPr>
          <w:p>
            <w:pPr>
              <w:numPr>
                <w:ilvl w:val="0"/>
                <w:numId w:val="0"/>
              </w:numPr>
              <w:autoSpaceDE w:val="0"/>
              <w:autoSpaceDN w:val="0"/>
              <w:spacing w:before="0" w:after="160" w:line="360" w:lineRule="auto"/>
              <w:ind w:right="0" w:firstLine="0"/>
              <w:jc w:val="left"/>
              <w:rPr>
                <w:rFonts w:hint="eastAsia" w:ascii="宋体" w:hAnsi="宋体" w:eastAsia="宋体"/>
                <w:color w:val="auto"/>
                <w:position w:val="0"/>
                <w:sz w:val="24"/>
                <w:szCs w:val="24"/>
                <w:highlight w:val="none"/>
                <w:lang w:eastAsia="zh-CN"/>
              </w:rPr>
            </w:pPr>
            <w:r>
              <w:rPr>
                <w:rFonts w:hint="eastAsia" w:ascii="宋体" w:hAnsi="宋体" w:eastAsia="宋体"/>
                <w:color w:val="auto"/>
                <w:position w:val="0"/>
                <w:sz w:val="24"/>
                <w:szCs w:val="24"/>
                <w:highlight w:val="none"/>
                <w:lang w:eastAsia="zh-CN"/>
              </w:rPr>
              <w:t>王洛镇大路谢村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1.2.1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资金来源</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1.2.2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出资比例</w:t>
            </w:r>
          </w:p>
        </w:tc>
        <w:tc>
          <w:tcPr>
            <w:tcW w:w="6367" w:type="dxa"/>
            <w:vAlign w:val="top"/>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1.2.3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资金落实情况</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1.3.1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招标范围</w:t>
            </w:r>
          </w:p>
        </w:tc>
        <w:tc>
          <w:tcPr>
            <w:tcW w:w="6367" w:type="dxa"/>
            <w:tcBorders>
              <w:bottom w:val="single" w:color="auto" w:sz="4" w:space="0"/>
            </w:tcBorders>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招标文件、施工图纸、工程量清单、答疑纪要和补充文件（如有）范围内的所有建设内容；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1.3.2</w:t>
            </w:r>
          </w:p>
        </w:tc>
        <w:tc>
          <w:tcPr>
            <w:tcW w:w="2489" w:type="dxa"/>
            <w:gridSpan w:val="5"/>
            <w:tcBorders>
              <w:right w:val="single" w:color="auto" w:sz="4" w:space="0"/>
            </w:tcBorders>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计划工期</w:t>
            </w:r>
          </w:p>
        </w:tc>
        <w:tc>
          <w:tcPr>
            <w:tcW w:w="6367"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eastAsia" w:ascii="宋体" w:hAnsi="宋体" w:eastAsia="宋体"/>
                <w:color w:val="000000" w:themeColor="text1"/>
                <w:position w:val="0"/>
                <w:sz w:val="24"/>
                <w:szCs w:val="24"/>
                <w:highlight w:val="none"/>
                <w:lang w:val="en-US" w:eastAsia="zh-CN"/>
                <w14:textFill>
                  <w14:solidFill>
                    <w14:schemeClr w14:val="tx1"/>
                  </w14:solidFill>
                </w14:textFill>
              </w:rPr>
              <w:t>60</w:t>
            </w:r>
            <w:r>
              <w:rPr>
                <w:rFonts w:hint="default" w:ascii="宋体" w:hAnsi="宋体" w:eastAsia="宋体"/>
                <w:color w:val="000000" w:themeColor="text1"/>
                <w:position w:val="0"/>
                <w:sz w:val="24"/>
                <w:szCs w:val="24"/>
                <w:highlight w:val="none"/>
                <w14:textFill>
                  <w14:solidFill>
                    <w14:schemeClr w14:val="tx1"/>
                  </w14:solidFill>
                </w14:textFill>
              </w:rPr>
              <w:t>日历天/标段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1.3.3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质量要求</w:t>
            </w:r>
          </w:p>
        </w:tc>
        <w:tc>
          <w:tcPr>
            <w:tcW w:w="6367" w:type="dxa"/>
            <w:tcBorders>
              <w:top w:val="single" w:color="auto" w:sz="4" w:space="0"/>
            </w:tcBorders>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1.4.1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000000"/>
                <w:position w:val="0"/>
                <w:sz w:val="24"/>
                <w:szCs w:val="24"/>
                <w:highlight w:val="none"/>
              </w:rPr>
              <w:t>投标人资质条件</w:t>
            </w:r>
          </w:p>
        </w:tc>
        <w:tc>
          <w:tcPr>
            <w:tcW w:w="6367" w:type="dxa"/>
            <w:vAlign w:val="center"/>
          </w:tcPr>
          <w:p>
            <w:pPr>
              <w:widowControl/>
              <w:spacing w:line="360" w:lineRule="auto"/>
              <w:ind w:firstLine="240" w:firstLineChars="10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w:t>
            </w:r>
            <w:r>
              <w:rPr>
                <w:rFonts w:hint="eastAsia" w:ascii="Times New Roman" w:hAnsi="宋体" w:eastAsia="宋体"/>
                <w:color w:val="auto"/>
                <w:position w:val="0"/>
                <w:sz w:val="24"/>
                <w:szCs w:val="24"/>
                <w:highlight w:val="none"/>
                <w:lang w:val="en-US" w:eastAsia="zh-CN"/>
              </w:rPr>
              <w:t>.</w:t>
            </w:r>
            <w:r>
              <w:rPr>
                <w:rFonts w:hint="default" w:ascii="Times New Roman" w:hAnsi="宋体" w:eastAsia="宋体"/>
                <w:color w:val="auto"/>
                <w:position w:val="0"/>
                <w:sz w:val="24"/>
                <w:szCs w:val="24"/>
                <w:highlight w:val="none"/>
              </w:rPr>
              <w:t>要求投标人须具备独立的法人资格和有效的营业执照，具有建设行政主管部门颁发的</w:t>
            </w:r>
            <w:r>
              <w:rPr>
                <w:rFonts w:hint="eastAsia" w:hAnsi="宋体" w:eastAsia="宋体"/>
                <w:color w:val="auto"/>
                <w:position w:val="0"/>
                <w:sz w:val="24"/>
                <w:szCs w:val="24"/>
                <w:highlight w:val="none"/>
                <w:lang w:val="en-US" w:eastAsia="zh-CN"/>
              </w:rPr>
              <w:t>建筑</w:t>
            </w:r>
            <w:r>
              <w:rPr>
                <w:rFonts w:hint="default" w:ascii="Times New Roman" w:hAnsi="宋体" w:eastAsia="宋体"/>
                <w:color w:val="auto"/>
                <w:position w:val="0"/>
                <w:sz w:val="24"/>
                <w:szCs w:val="24"/>
                <w:highlight w:val="none"/>
              </w:rPr>
              <w:t>工程施工总承包叁级及以上资质，并在人员、设备、资金等方面具有相应的施工能力。</w:t>
            </w:r>
          </w:p>
          <w:p>
            <w:pPr>
              <w:widowControl/>
              <w:spacing w:line="360" w:lineRule="auto"/>
              <w:ind w:firstLine="240" w:firstLineChars="10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w:t>
            </w:r>
            <w:r>
              <w:rPr>
                <w:rFonts w:hint="eastAsia" w:ascii="Times New Roman" w:hAnsi="宋体" w:eastAsia="宋体"/>
                <w:color w:val="auto"/>
                <w:position w:val="0"/>
                <w:sz w:val="24"/>
                <w:szCs w:val="24"/>
                <w:highlight w:val="none"/>
                <w:lang w:val="en-US" w:eastAsia="zh-CN"/>
              </w:rPr>
              <w:t>.</w:t>
            </w:r>
            <w:r>
              <w:rPr>
                <w:rFonts w:hint="default" w:ascii="Times New Roman" w:hAnsi="宋体" w:eastAsia="宋体"/>
                <w:color w:val="auto"/>
                <w:position w:val="0"/>
                <w:sz w:val="24"/>
                <w:szCs w:val="24"/>
                <w:highlight w:val="none"/>
              </w:rPr>
              <w:t>拟派项目经理须具有</w:t>
            </w:r>
            <w:r>
              <w:rPr>
                <w:rFonts w:hint="eastAsia" w:hAnsi="宋体" w:cs="宋体"/>
                <w:sz w:val="24"/>
                <w:szCs w:val="24"/>
              </w:rPr>
              <w:t>建筑</w:t>
            </w:r>
            <w:r>
              <w:rPr>
                <w:rFonts w:hint="default" w:ascii="Times New Roman" w:hAnsi="宋体" w:eastAsia="宋体"/>
                <w:color w:val="auto"/>
                <w:position w:val="0"/>
                <w:sz w:val="24"/>
                <w:szCs w:val="24"/>
                <w:highlight w:val="none"/>
              </w:rPr>
              <w:t>工程贰级及以上注册建造师资格证书（不含临时），并具有有效的安全生产考核合格证书，且未担任其他正在施工建设工程的项目经理；</w:t>
            </w:r>
          </w:p>
          <w:p>
            <w:pPr>
              <w:numPr>
                <w:ilvl w:val="0"/>
                <w:numId w:val="0"/>
              </w:numPr>
              <w:autoSpaceDE/>
              <w:autoSpaceDN/>
              <w:spacing w:before="0" w:after="160" w:line="460" w:lineRule="exact"/>
              <w:ind w:right="0" w:firstLine="240" w:firstLineChars="100"/>
              <w:jc w:val="both"/>
              <w:outlineLvl w:val="0"/>
              <w:rPr>
                <w:rFonts w:hint="eastAsia" w:ascii="Times New Roman" w:hAnsi="宋体" w:eastAsia="宋体"/>
                <w:color w:val="auto"/>
                <w:position w:val="0"/>
                <w:sz w:val="24"/>
                <w:szCs w:val="24"/>
                <w:highlight w:val="none"/>
                <w:lang w:val="en-US" w:eastAsia="zh-CN"/>
              </w:rPr>
            </w:pPr>
            <w:r>
              <w:rPr>
                <w:rFonts w:hint="default" w:ascii="Times New Roman" w:hAnsi="宋体" w:eastAsia="宋体"/>
                <w:color w:val="auto"/>
                <w:position w:val="0"/>
                <w:sz w:val="24"/>
                <w:szCs w:val="24"/>
                <w:highlight w:val="none"/>
              </w:rPr>
              <w:t>3</w:t>
            </w:r>
            <w:r>
              <w:rPr>
                <w:rFonts w:hint="eastAsia" w:ascii="Times New Roman" w:hAnsi="宋体" w:eastAsia="宋体"/>
                <w:color w:val="auto"/>
                <w:position w:val="0"/>
                <w:sz w:val="24"/>
                <w:szCs w:val="24"/>
                <w:highlight w:val="none"/>
                <w:lang w:val="en-US" w:eastAsia="zh-CN"/>
              </w:rPr>
              <w:t>.</w:t>
            </w:r>
            <w:r>
              <w:rPr>
                <w:rFonts w:hint="default" w:ascii="Times New Roman" w:hAnsi="宋体" w:eastAsia="宋体"/>
                <w:color w:val="auto"/>
                <w:position w:val="0"/>
                <w:sz w:val="24"/>
                <w:szCs w:val="24"/>
                <w:highlight w:val="none"/>
              </w:rPr>
              <w:t>投标企业未被列入信用中国网站信用记录失信被执行人、重大税收违法案件当事人名单</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w:t>
            </w:r>
            <w:r>
              <w:rPr>
                <w:rFonts w:hint="eastAsia" w:hAnsi="宋体" w:eastAsia="宋体"/>
                <w:color w:val="auto"/>
                <w:position w:val="0"/>
                <w:sz w:val="24"/>
                <w:szCs w:val="24"/>
                <w:highlight w:val="none"/>
                <w:lang w:val="en-US" w:eastAsia="zh-CN"/>
              </w:rPr>
              <w:t>(以上查询</w:t>
            </w:r>
            <w:r>
              <w:rPr>
                <w:rFonts w:hint="default" w:ascii="Times New Roman" w:hAnsi="宋体" w:eastAsia="宋体"/>
                <w:color w:val="auto"/>
                <w:position w:val="0"/>
                <w:sz w:val="24"/>
                <w:szCs w:val="24"/>
                <w:highlight w:val="none"/>
              </w:rPr>
              <w:t>提供报名时间内网站查询截图</w:t>
            </w:r>
            <w:r>
              <w:rPr>
                <w:rFonts w:hint="eastAsia" w:hAnsi="宋体" w:eastAsia="宋体"/>
                <w:color w:val="auto"/>
                <w:position w:val="0"/>
                <w:sz w:val="24"/>
                <w:szCs w:val="24"/>
                <w:highlight w:val="none"/>
                <w:lang w:val="en-US" w:eastAsia="zh-CN"/>
              </w:rPr>
              <w:t>)</w:t>
            </w:r>
          </w:p>
          <w:p>
            <w:pPr>
              <w:numPr>
                <w:ilvl w:val="0"/>
                <w:numId w:val="0"/>
              </w:numPr>
              <w:autoSpaceDE/>
              <w:autoSpaceDN/>
              <w:spacing w:before="0" w:after="160" w:line="460" w:lineRule="exact"/>
              <w:ind w:right="0" w:firstLine="240" w:firstLineChars="100"/>
              <w:jc w:val="both"/>
              <w:outlineLvl w:val="0"/>
              <w:rPr>
                <w:rFonts w:hint="default" w:ascii="Times New Roman" w:hAnsi="宋体" w:eastAsia="宋体"/>
                <w:color w:val="auto"/>
                <w:position w:val="0"/>
                <w:sz w:val="24"/>
                <w:szCs w:val="24"/>
                <w:highlight w:val="none"/>
              </w:rPr>
            </w:pPr>
            <w:r>
              <w:rPr>
                <w:rFonts w:hint="eastAsia" w:hAnsi="宋体" w:eastAsia="宋体"/>
                <w:color w:val="auto"/>
                <w:position w:val="0"/>
                <w:sz w:val="24"/>
                <w:szCs w:val="24"/>
                <w:highlight w:val="none"/>
                <w:lang w:val="en-US" w:eastAsia="zh-CN"/>
              </w:rPr>
              <w:t>4 .</w:t>
            </w:r>
            <w:r>
              <w:rPr>
                <w:rFonts w:hint="default" w:ascii="Times New Roman" w:hAnsi="宋体" w:eastAsia="宋体"/>
                <w:color w:val="auto"/>
                <w:position w:val="0"/>
                <w:sz w:val="24"/>
                <w:szCs w:val="24"/>
                <w:highlight w:val="none"/>
              </w:rPr>
              <w:t>本标段不接受联合体投标；</w:t>
            </w:r>
          </w:p>
          <w:p>
            <w:pPr>
              <w:numPr>
                <w:ilvl w:val="0"/>
                <w:numId w:val="0"/>
              </w:numPr>
              <w:autoSpaceDE/>
              <w:autoSpaceDN/>
              <w:spacing w:before="0" w:after="160" w:line="460" w:lineRule="exact"/>
              <w:ind w:right="0" w:firstLine="240" w:firstLineChars="100"/>
              <w:jc w:val="both"/>
              <w:outlineLvl w:val="0"/>
              <w:rPr>
                <w:rFonts w:hint="default" w:ascii="宋体" w:hAnsi="宋体" w:eastAsia="宋体"/>
                <w:color w:val="auto"/>
                <w:position w:val="0"/>
                <w:sz w:val="24"/>
                <w:szCs w:val="24"/>
                <w:highlight w:val="none"/>
              </w:rPr>
            </w:pPr>
            <w:r>
              <w:rPr>
                <w:rFonts w:hint="eastAsia" w:hAnsi="宋体" w:eastAsia="宋体"/>
                <w:color w:val="auto"/>
                <w:position w:val="0"/>
                <w:sz w:val="24"/>
                <w:szCs w:val="24"/>
                <w:highlight w:val="none"/>
                <w:lang w:val="en-US" w:eastAsia="zh-CN"/>
              </w:rPr>
              <w:t>5.</w:t>
            </w:r>
            <w:r>
              <w:rPr>
                <w:rFonts w:hint="default" w:ascii="Times New Roman" w:hAnsi="宋体" w:eastAsia="宋体"/>
                <w:color w:val="auto"/>
                <w:position w:val="0"/>
                <w:sz w:val="24"/>
                <w:szCs w:val="24"/>
                <w:highlight w:val="none"/>
              </w:rPr>
              <w:t>本次招标实行资格后审；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1.4.2</w:t>
            </w:r>
          </w:p>
        </w:tc>
        <w:tc>
          <w:tcPr>
            <w:tcW w:w="2489" w:type="dxa"/>
            <w:gridSpan w:val="5"/>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是否接受联合体投标</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1.9.1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踏勘现场</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不组织，由投标人自行勘察现场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1.10.1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投标预备会</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1.10.2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投标人提出问题的截止时间</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递交投标文件截止之日10日前通过公共资源交易系统电子平台发出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1.10.3</w:t>
            </w:r>
          </w:p>
        </w:tc>
        <w:tc>
          <w:tcPr>
            <w:tcW w:w="2489" w:type="dxa"/>
            <w:gridSpan w:val="5"/>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招标人澄清的时间</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递交投标文件截止之日15日前通过公共资源交易系统电子平台发出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分包</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1.12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偏离</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2.1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招标文件及图纸</w:t>
            </w:r>
          </w:p>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的获取</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招标文件和工程量清单的获取：投标人于投标文件递交截止时间前均可登录《全国公共资源交易平台（河南省·许昌市）》（http://ggzy.xuchang.gov.cn），通过“投标人/供应商登录”后自行下载。</w:t>
            </w:r>
          </w:p>
          <w:p>
            <w:pPr>
              <w:numPr>
                <w:ilvl w:val="0"/>
                <w:numId w:val="0"/>
              </w:numPr>
              <w:autoSpaceDE/>
              <w:autoSpaceDN/>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color w:val="000000"/>
                <w:position w:val="0"/>
                <w:sz w:val="24"/>
                <w:szCs w:val="24"/>
                <w:highlight w:val="none"/>
              </w:rPr>
              <w:t>图纸下载链接：无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2.1.1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构成招标文件的其他材料</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图纸答疑，经备案的招标文件补充和修改文件（如有）。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2.2.1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投标人要求澄清招标文件的截止时间</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自收到异议之日起3日内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2.2.2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投标截止时间</w:t>
            </w:r>
          </w:p>
        </w:tc>
        <w:tc>
          <w:tcPr>
            <w:tcW w:w="6367" w:type="dxa"/>
            <w:vAlign w:val="top"/>
          </w:tcPr>
          <w:p>
            <w:pPr>
              <w:numPr>
                <w:ilvl w:val="0"/>
                <w:numId w:val="0"/>
              </w:numPr>
              <w:autoSpaceDE/>
              <w:autoSpaceDN/>
              <w:spacing w:before="0" w:after="160" w:line="460" w:lineRule="exact"/>
              <w:ind w:right="0" w:firstLine="0"/>
              <w:jc w:val="both"/>
              <w:rPr>
                <w:rFonts w:hint="default" w:ascii="宋体" w:hAnsi="宋体" w:eastAsia="宋体"/>
                <w:color w:val="auto"/>
                <w:position w:val="0"/>
                <w:sz w:val="24"/>
                <w:szCs w:val="24"/>
                <w:highlight w:val="none"/>
              </w:rPr>
            </w:pPr>
            <w:r>
              <w:rPr>
                <w:rFonts w:hint="default" w:ascii="宋体" w:hAnsi="宋体" w:eastAsia="宋体"/>
                <w:color w:val="000000" w:themeColor="text1"/>
                <w:position w:val="0"/>
                <w:sz w:val="24"/>
                <w:szCs w:val="24"/>
                <w:highlight w:val="none"/>
                <w14:textFill>
                  <w14:solidFill>
                    <w14:schemeClr w14:val="tx1"/>
                  </w14:solidFill>
                </w14:textFill>
              </w:rPr>
              <w:t>2020年</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06</w:t>
            </w:r>
            <w:r>
              <w:rPr>
                <w:rFonts w:hint="default" w:ascii="宋体" w:hAnsi="宋体" w:eastAsia="宋体"/>
                <w:color w:val="000000" w:themeColor="text1"/>
                <w:position w:val="0"/>
                <w:sz w:val="24"/>
                <w:szCs w:val="24"/>
                <w:highlight w:val="none"/>
                <w14:textFill>
                  <w14:solidFill>
                    <w14:schemeClr w14:val="tx1"/>
                  </w14:solidFill>
                </w14:textFill>
              </w:rPr>
              <w:t>月</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09</w:t>
            </w:r>
            <w:r>
              <w:rPr>
                <w:rFonts w:hint="default" w:ascii="宋体" w:hAnsi="宋体" w:eastAsia="宋体"/>
                <w:color w:val="000000" w:themeColor="text1"/>
                <w:position w:val="0"/>
                <w:sz w:val="24"/>
                <w:szCs w:val="24"/>
                <w:highlight w:val="none"/>
                <w14:textFill>
                  <w14:solidFill>
                    <w14:schemeClr w14:val="tx1"/>
                  </w14:solidFill>
                </w14:textFill>
              </w:rPr>
              <w:t>日09时00分。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2.2.3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投标人确认收到招标文件澄清的时间</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2.3.1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投标人确认收到招标文件修改的时间</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3.1.1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构成投标文件的其他材料</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3.3.1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投标有效期</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60日历天（自投标截止之日算起）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3.4.1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投标保证金须知</w:t>
            </w:r>
          </w:p>
        </w:tc>
        <w:tc>
          <w:tcPr>
            <w:tcW w:w="6367" w:type="dxa"/>
            <w:vAlign w:val="center"/>
          </w:tcPr>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1、因投标人的原因无法及时退还投标（竞买）保证金、滞留三年以上的，投标（竞买）保证金上缴财政。</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2、自文件发布之日起，投标人需进行基本户备案（建设工程项目），已备案的基本户开户银行、账户发生变化的，须重新办理备案手续。备案后方可提交投标（竞买）保证金。</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3、基本户备案流程： </w:t>
            </w:r>
          </w:p>
          <w:p>
            <w:pPr>
              <w:numPr>
                <w:ilvl w:val="0"/>
                <w:numId w:val="0"/>
              </w:numPr>
              <w:autoSpaceDE w:val="0"/>
              <w:autoSpaceDN w:val="0"/>
              <w:spacing w:before="0" w:after="160" w:line="360" w:lineRule="auto"/>
              <w:ind w:left="120"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4、特殊情况处理</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3.4.2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000000"/>
                <w:position w:val="0"/>
                <w:sz w:val="24"/>
                <w:szCs w:val="24"/>
                <w:highlight w:val="none"/>
              </w:rPr>
              <w:t>投标保证金</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投标保证金递交截止时间同投标截止时间。</w:t>
            </w:r>
          </w:p>
          <w:p>
            <w:pPr>
              <w:numPr>
                <w:ilvl w:val="0"/>
                <w:numId w:val="0"/>
              </w:numPr>
              <w:autoSpaceDE w:val="0"/>
              <w:autoSpaceDN w:val="0"/>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金额：</w:t>
            </w:r>
          </w:p>
          <w:p>
            <w:pPr>
              <w:numPr>
                <w:ilvl w:val="0"/>
                <w:numId w:val="0"/>
              </w:numPr>
              <w:autoSpaceDE w:val="0"/>
              <w:autoSpaceDN w:val="0"/>
              <w:spacing w:before="0" w:after="160" w:line="360" w:lineRule="auto"/>
              <w:ind w:right="0" w:firstLine="0"/>
              <w:jc w:val="left"/>
              <w:rPr>
                <w:rFonts w:hint="default" w:ascii="宋体" w:hAnsi="宋体" w:eastAsia="宋体"/>
                <w:b/>
                <w:color w:val="000000" w:themeColor="text1"/>
                <w:position w:val="0"/>
                <w:sz w:val="24"/>
                <w:szCs w:val="24"/>
                <w:highlight w:val="none"/>
                <w14:textFill>
                  <w14:solidFill>
                    <w14:schemeClr w14:val="tx1"/>
                  </w14:solidFill>
                </w14:textFill>
              </w:rPr>
            </w:pPr>
            <w:r>
              <w:rPr>
                <w:rFonts w:hint="default" w:ascii="宋体" w:hAnsi="宋体" w:eastAsia="宋体"/>
                <w:b/>
                <w:color w:val="000000" w:themeColor="text1"/>
                <w:position w:val="0"/>
                <w:sz w:val="24"/>
                <w:szCs w:val="24"/>
                <w:highlight w:val="none"/>
                <w14:textFill>
                  <w14:solidFill>
                    <w14:schemeClr w14:val="tx1"/>
                  </w14:solidFill>
                </w14:textFill>
              </w:rPr>
              <w:t xml:space="preserve">   小写：</w:t>
            </w:r>
            <w:r>
              <w:rPr>
                <w:rFonts w:hint="eastAsia" w:ascii="宋体" w:hAnsi="宋体" w:eastAsia="宋体"/>
                <w:b/>
                <w:color w:val="000000" w:themeColor="text1"/>
                <w:position w:val="0"/>
                <w:sz w:val="24"/>
                <w:szCs w:val="24"/>
                <w:highlight w:val="none"/>
                <w:u w:val="single"/>
                <w:lang w:val="en-US" w:eastAsia="zh-CN"/>
                <w14:textFill>
                  <w14:solidFill>
                    <w14:schemeClr w14:val="tx1"/>
                  </w14:solidFill>
                </w14:textFill>
              </w:rPr>
              <w:t>15000</w:t>
            </w:r>
            <w:r>
              <w:rPr>
                <w:rFonts w:hint="default" w:ascii="宋体" w:hAnsi="宋体" w:eastAsia="宋体"/>
                <w:b/>
                <w:color w:val="000000" w:themeColor="text1"/>
                <w:position w:val="0"/>
                <w:sz w:val="24"/>
                <w:szCs w:val="24"/>
                <w:highlight w:val="none"/>
                <w14:textFill>
                  <w14:solidFill>
                    <w14:schemeClr w14:val="tx1"/>
                  </w14:solidFill>
                </w14:textFill>
              </w:rPr>
              <w:t>元；  大写：</w:t>
            </w:r>
            <w:r>
              <w:rPr>
                <w:rFonts w:hint="eastAsia" w:ascii="宋体" w:hAnsi="宋体" w:eastAsia="宋体"/>
                <w:b/>
                <w:color w:val="000000" w:themeColor="text1"/>
                <w:position w:val="0"/>
                <w:sz w:val="24"/>
                <w:szCs w:val="24"/>
                <w:highlight w:val="none"/>
                <w:u w:val="single"/>
                <w:lang w:val="en-US" w:eastAsia="zh-CN"/>
                <w14:textFill>
                  <w14:solidFill>
                    <w14:schemeClr w14:val="tx1"/>
                  </w14:solidFill>
                </w14:textFill>
              </w:rPr>
              <w:t>壹万伍仟</w:t>
            </w:r>
            <w:r>
              <w:rPr>
                <w:rFonts w:hint="default" w:ascii="宋体" w:hAnsi="宋体" w:eastAsia="宋体"/>
                <w:b/>
                <w:color w:val="000000" w:themeColor="text1"/>
                <w:position w:val="0"/>
                <w:sz w:val="24"/>
                <w:szCs w:val="24"/>
                <w:highlight w:val="none"/>
                <w:u w:val="single"/>
                <w14:textFill>
                  <w14:solidFill>
                    <w14:schemeClr w14:val="tx1"/>
                  </w14:solidFill>
                </w14:textFill>
              </w:rPr>
              <w:t>元整</w:t>
            </w:r>
            <w:r>
              <w:rPr>
                <w:rFonts w:hint="default" w:ascii="宋体" w:hAnsi="宋体" w:eastAsia="宋体"/>
                <w:b/>
                <w:color w:val="000000" w:themeColor="text1"/>
                <w:position w:val="0"/>
                <w:sz w:val="24"/>
                <w:szCs w:val="24"/>
                <w:highlight w:val="none"/>
                <w14:textFill>
                  <w14:solidFill>
                    <w14:schemeClr w14:val="tx1"/>
                  </w14:solidFill>
                </w14:textFill>
              </w:rPr>
              <w:t xml:space="preserve"> ；</w:t>
            </w:r>
          </w:p>
          <w:p>
            <w:pPr>
              <w:autoSpaceDE w:val="0"/>
              <w:autoSpaceDN w:val="0"/>
              <w:adjustRightInd w:val="0"/>
              <w:spacing w:line="360" w:lineRule="auto"/>
              <w:jc w:val="left"/>
              <w:rPr>
                <w:rFonts w:ascii="宋体" w:hAnsi="宋体"/>
                <w:bCs/>
                <w:sz w:val="24"/>
              </w:rPr>
            </w:pPr>
            <w:r>
              <w:rPr>
                <w:rFonts w:hint="eastAsia" w:ascii="宋体" w:hAnsi="宋体"/>
                <w:bCs/>
                <w:sz w:val="24"/>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宋体" w:hAnsi="宋体"/>
                <w:bCs/>
                <w:sz w:val="24"/>
              </w:rPr>
            </w:pPr>
            <w:r>
              <w:rPr>
                <w:rFonts w:hint="eastAsia" w:ascii="宋体" w:hAnsi="宋体"/>
                <w:bCs/>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宋体" w:hAnsi="宋体"/>
                <w:bCs/>
                <w:sz w:val="24"/>
              </w:rPr>
            </w:pPr>
            <w:r>
              <w:rPr>
                <w:rFonts w:hint="eastAsia" w:ascii="宋体" w:hAnsi="宋体"/>
                <w:bCs/>
                <w:sz w:val="24"/>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pPr>
              <w:autoSpaceDE w:val="0"/>
              <w:autoSpaceDN w:val="0"/>
              <w:adjustRightInd w:val="0"/>
              <w:spacing w:line="360" w:lineRule="auto"/>
              <w:jc w:val="left"/>
              <w:rPr>
                <w:rFonts w:ascii="宋体" w:hAnsi="宋体"/>
                <w:bCs/>
                <w:sz w:val="24"/>
              </w:rPr>
            </w:pPr>
            <w:r>
              <w:rPr>
                <w:rFonts w:hint="eastAsia" w:ascii="宋体" w:hAnsi="宋体"/>
                <w:bCs/>
                <w:sz w:val="24"/>
              </w:rPr>
              <w:t>2、投标保证金缴纳方式：</w:t>
            </w:r>
          </w:p>
          <w:p>
            <w:pPr>
              <w:autoSpaceDE w:val="0"/>
              <w:autoSpaceDN w:val="0"/>
              <w:adjustRightInd w:val="0"/>
              <w:spacing w:line="360" w:lineRule="auto"/>
              <w:jc w:val="left"/>
              <w:rPr>
                <w:rFonts w:ascii="宋体" w:hAnsi="宋体"/>
                <w:bCs/>
                <w:sz w:val="24"/>
              </w:rPr>
            </w:pPr>
            <w:r>
              <w:rPr>
                <w:rFonts w:hint="eastAsia" w:ascii="宋体" w:hAnsi="宋体"/>
                <w:bCs/>
                <w:sz w:val="24"/>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宋体" w:hAnsi="宋体"/>
                <w:bCs/>
                <w:sz w:val="24"/>
              </w:rPr>
            </w:pPr>
            <w:r>
              <w:rPr>
                <w:rFonts w:hint="eastAsia" w:ascii="宋体" w:hAnsi="宋体"/>
                <w:bCs/>
                <w:sz w:val="24"/>
              </w:rPr>
              <w:t>2.2成功缴纳后重新登录前述系统，依次点击“会员向导”→“参与投标”→“保证金绑定”→“绑定”进行投标保证金绑定。</w:t>
            </w:r>
          </w:p>
          <w:p>
            <w:pPr>
              <w:autoSpaceDE w:val="0"/>
              <w:autoSpaceDN w:val="0"/>
              <w:adjustRightInd w:val="0"/>
              <w:spacing w:line="360" w:lineRule="auto"/>
              <w:jc w:val="left"/>
              <w:rPr>
                <w:rFonts w:ascii="宋体" w:hAnsi="宋体"/>
                <w:bCs/>
                <w:sz w:val="24"/>
              </w:rPr>
            </w:pPr>
            <w:r>
              <w:rPr>
                <w:rFonts w:hint="eastAsia" w:ascii="宋体" w:hAnsi="宋体"/>
                <w:bCs/>
                <w:sz w:val="24"/>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spacing w:line="360" w:lineRule="auto"/>
              <w:jc w:val="left"/>
              <w:rPr>
                <w:rFonts w:ascii="宋体" w:hAnsi="宋体"/>
                <w:bCs/>
                <w:sz w:val="24"/>
              </w:rPr>
            </w:pPr>
            <w:r>
              <w:rPr>
                <w:rFonts w:hint="eastAsia" w:ascii="宋体" w:hAnsi="宋体"/>
                <w:bCs/>
                <w:sz w:val="24"/>
              </w:rPr>
              <w:t>2.4 每个投标人每个项目每个标段只有唯一缴纳账号，切勿重复缴纳或错误缴纳。</w:t>
            </w:r>
          </w:p>
          <w:p>
            <w:pPr>
              <w:autoSpaceDE w:val="0"/>
              <w:autoSpaceDN w:val="0"/>
              <w:adjustRightInd w:val="0"/>
              <w:spacing w:line="360" w:lineRule="auto"/>
              <w:jc w:val="left"/>
              <w:rPr>
                <w:rFonts w:ascii="宋体" w:hAnsi="宋体"/>
                <w:bCs/>
                <w:sz w:val="24"/>
              </w:rPr>
            </w:pPr>
            <w:r>
              <w:rPr>
                <w:rFonts w:hint="eastAsia" w:ascii="宋体" w:hAnsi="宋体"/>
                <w:bCs/>
                <w:sz w:val="24"/>
              </w:rPr>
              <w:t>3、未按上述规定操作引起的无效投标，由投标人自行负责。</w:t>
            </w:r>
          </w:p>
          <w:p>
            <w:pPr>
              <w:autoSpaceDE w:val="0"/>
              <w:autoSpaceDN w:val="0"/>
              <w:adjustRightInd w:val="0"/>
              <w:spacing w:line="360" w:lineRule="auto"/>
              <w:jc w:val="left"/>
              <w:rPr>
                <w:rFonts w:ascii="宋体" w:hAnsi="宋体"/>
                <w:bCs/>
                <w:sz w:val="24"/>
              </w:rPr>
            </w:pPr>
            <w:r>
              <w:rPr>
                <w:rFonts w:hint="eastAsia" w:ascii="宋体" w:hAnsi="宋体"/>
                <w:bCs/>
                <w:sz w:val="24"/>
              </w:rPr>
              <w:t>4、汇款凭证无须备注项目编号和项目名称。</w:t>
            </w:r>
          </w:p>
          <w:p>
            <w:pPr>
              <w:autoSpaceDE w:val="0"/>
              <w:autoSpaceDN w:val="0"/>
              <w:adjustRightInd w:val="0"/>
              <w:spacing w:line="360" w:lineRule="auto"/>
              <w:jc w:val="left"/>
              <w:rPr>
                <w:rFonts w:ascii="宋体" w:hAnsi="宋体"/>
                <w:bCs/>
                <w:sz w:val="24"/>
              </w:rPr>
            </w:pPr>
            <w:r>
              <w:rPr>
                <w:rFonts w:hint="eastAsia" w:ascii="宋体" w:hAnsi="宋体"/>
                <w:bCs/>
                <w:sz w:val="24"/>
              </w:rPr>
              <w:t>5、出现以下情形造成的投标保证金无效，由投标人自行负责。</w:t>
            </w:r>
          </w:p>
          <w:p>
            <w:pPr>
              <w:autoSpaceDE w:val="0"/>
              <w:autoSpaceDN w:val="0"/>
              <w:adjustRightInd w:val="0"/>
              <w:spacing w:line="360" w:lineRule="auto"/>
              <w:jc w:val="left"/>
              <w:rPr>
                <w:rFonts w:ascii="宋体" w:hAnsi="宋体"/>
                <w:bCs/>
                <w:sz w:val="24"/>
              </w:rPr>
            </w:pPr>
            <w:r>
              <w:rPr>
                <w:rFonts w:hint="eastAsia" w:ascii="宋体" w:hAnsi="宋体"/>
                <w:bCs/>
                <w:sz w:val="24"/>
              </w:rPr>
              <w:t>(1)投标保证金未从投标人的基本账户转出；</w:t>
            </w:r>
          </w:p>
          <w:p>
            <w:pPr>
              <w:autoSpaceDE w:val="0"/>
              <w:autoSpaceDN w:val="0"/>
              <w:adjustRightInd w:val="0"/>
              <w:spacing w:line="360" w:lineRule="auto"/>
              <w:jc w:val="left"/>
              <w:rPr>
                <w:rFonts w:ascii="宋体" w:hAnsi="宋体"/>
                <w:bCs/>
                <w:sz w:val="24"/>
              </w:rPr>
            </w:pPr>
            <w:r>
              <w:rPr>
                <w:rFonts w:hint="eastAsia" w:ascii="宋体" w:hAnsi="宋体"/>
                <w:bCs/>
                <w:sz w:val="24"/>
              </w:rPr>
              <w:t>(2)投标保证金未按照招标文件划分的标段依次转账。</w:t>
            </w:r>
          </w:p>
          <w:p>
            <w:pPr>
              <w:autoSpaceDE w:val="0"/>
              <w:autoSpaceDN w:val="0"/>
              <w:adjustRightInd w:val="0"/>
              <w:spacing w:line="360" w:lineRule="auto"/>
              <w:jc w:val="left"/>
              <w:rPr>
                <w:rFonts w:ascii="宋体" w:hAnsi="宋体"/>
                <w:bCs/>
                <w:sz w:val="24"/>
              </w:rPr>
            </w:pPr>
            <w:r>
              <w:rPr>
                <w:rFonts w:hint="eastAsia" w:ascii="宋体" w:hAnsi="宋体"/>
                <w:bCs/>
                <w:sz w:val="24"/>
              </w:rPr>
              <w:t>6、《保证金缴纳绑定操作指南》获取方法：</w:t>
            </w:r>
          </w:p>
          <w:p>
            <w:pPr>
              <w:autoSpaceDE w:val="0"/>
              <w:autoSpaceDN w:val="0"/>
              <w:adjustRightInd w:val="0"/>
              <w:spacing w:line="360" w:lineRule="auto"/>
              <w:jc w:val="left"/>
              <w:rPr>
                <w:rFonts w:ascii="宋体" w:hAnsi="宋体"/>
                <w:bCs/>
                <w:sz w:val="24"/>
              </w:rPr>
            </w:pPr>
            <w:r>
              <w:rPr>
                <w:rFonts w:hint="eastAsia" w:ascii="宋体" w:hAnsi="宋体"/>
                <w:bCs/>
                <w:sz w:val="24"/>
              </w:rPr>
              <w:t>登录许昌公共资源交易系统-组件下载-《保证金缴纳绑定操作指南》。</w:t>
            </w:r>
          </w:p>
          <w:p>
            <w:pPr>
              <w:autoSpaceDE w:val="0"/>
              <w:autoSpaceDN w:val="0"/>
              <w:adjustRightInd w:val="0"/>
              <w:spacing w:line="360" w:lineRule="auto"/>
              <w:jc w:val="left"/>
              <w:rPr>
                <w:rFonts w:ascii="宋体" w:hAnsi="宋体"/>
                <w:bCs/>
                <w:sz w:val="24"/>
              </w:rPr>
            </w:pPr>
            <w:r>
              <w:rPr>
                <w:rFonts w:hint="eastAsia" w:ascii="宋体" w:hAnsi="宋体"/>
                <w:bCs/>
                <w:sz w:val="24"/>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spacing w:line="360" w:lineRule="auto"/>
              <w:jc w:val="left"/>
              <w:rPr>
                <w:rFonts w:ascii="宋体" w:hAnsi="宋体"/>
                <w:bCs/>
                <w:sz w:val="24"/>
              </w:rPr>
            </w:pPr>
            <w:r>
              <w:rPr>
                <w:rFonts w:hint="eastAsia" w:ascii="宋体" w:hAnsi="宋体"/>
                <w:bCs/>
                <w:sz w:val="24"/>
              </w:rPr>
              <w:t>8、投标保证金须知：</w:t>
            </w:r>
          </w:p>
          <w:p>
            <w:pPr>
              <w:autoSpaceDE w:val="0"/>
              <w:autoSpaceDN w:val="0"/>
              <w:adjustRightInd w:val="0"/>
              <w:spacing w:line="360" w:lineRule="auto"/>
              <w:jc w:val="left"/>
              <w:rPr>
                <w:rFonts w:ascii="宋体" w:hAnsi="宋体"/>
                <w:bCs/>
                <w:sz w:val="24"/>
              </w:rPr>
            </w:pPr>
            <w:r>
              <w:rPr>
                <w:rFonts w:hint="eastAsia" w:ascii="宋体" w:hAnsi="宋体"/>
                <w:bCs/>
                <w:sz w:val="24"/>
              </w:rPr>
              <w:t>（1）因投标人的原因无法及时退还投标（竞买）保证金、滞留三年以上的，投标（竞买）保证金上缴财政。</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eastAsia" w:ascii="宋体" w:hAnsi="宋体"/>
                <w:bCs/>
                <w:sz w:val="24"/>
              </w:rPr>
              <w:t>（2）自文件发布之日起，投标人需进行基本户备案（建设工程项目），已备案的基本户开户银行、账户发生变化的，须重新办理备案手续。备案后方可提交投标（竞买）保证金。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3.5.2</w:t>
            </w:r>
          </w:p>
        </w:tc>
        <w:tc>
          <w:tcPr>
            <w:tcW w:w="2489" w:type="dxa"/>
            <w:gridSpan w:val="5"/>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近年财务状况要求</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color w:val="auto"/>
                <w:position w:val="0"/>
                <w:sz w:val="24"/>
                <w:szCs w:val="24"/>
                <w:highlight w:val="none"/>
              </w:rPr>
              <w:t>近年，指201</w:t>
            </w:r>
            <w:r>
              <w:rPr>
                <w:rFonts w:hint="eastAsia" w:ascii="宋体" w:hAnsi="宋体" w:eastAsia="宋体"/>
                <w:color w:val="auto"/>
                <w:position w:val="0"/>
                <w:sz w:val="24"/>
                <w:szCs w:val="24"/>
                <w:highlight w:val="none"/>
                <w:lang w:val="en-US" w:eastAsia="zh-CN"/>
              </w:rPr>
              <w:t>7</w:t>
            </w:r>
            <w:r>
              <w:rPr>
                <w:rFonts w:hint="default" w:ascii="宋体" w:hAnsi="宋体" w:eastAsia="宋体"/>
                <w:color w:val="auto"/>
                <w:position w:val="0"/>
                <w:sz w:val="24"/>
                <w:szCs w:val="24"/>
                <w:highlight w:val="none"/>
              </w:rPr>
              <w:t>、201</w:t>
            </w:r>
            <w:r>
              <w:rPr>
                <w:rFonts w:hint="eastAsia" w:ascii="宋体" w:hAnsi="宋体" w:eastAsia="宋体"/>
                <w:color w:val="auto"/>
                <w:position w:val="0"/>
                <w:sz w:val="24"/>
                <w:szCs w:val="24"/>
                <w:highlight w:val="none"/>
                <w:lang w:val="en-US" w:eastAsia="zh-CN"/>
              </w:rPr>
              <w:t>8</w:t>
            </w:r>
            <w:r>
              <w:rPr>
                <w:rFonts w:hint="default" w:ascii="宋体" w:hAnsi="宋体" w:eastAsia="宋体"/>
                <w:color w:val="auto"/>
                <w:position w:val="0"/>
                <w:sz w:val="24"/>
                <w:szCs w:val="24"/>
                <w:highlight w:val="none"/>
              </w:rPr>
              <w:t>、201</w:t>
            </w:r>
            <w:r>
              <w:rPr>
                <w:rFonts w:hint="eastAsia" w:ascii="宋体" w:hAnsi="宋体" w:eastAsia="宋体"/>
                <w:color w:val="auto"/>
                <w:position w:val="0"/>
                <w:sz w:val="24"/>
                <w:szCs w:val="24"/>
                <w:highlight w:val="none"/>
                <w:lang w:val="en-US" w:eastAsia="zh-CN"/>
              </w:rPr>
              <w:t>9</w:t>
            </w:r>
            <w:r>
              <w:rPr>
                <w:rFonts w:hint="default" w:ascii="宋体" w:hAnsi="宋体" w:eastAsia="宋体"/>
                <w:color w:val="auto"/>
                <w:position w:val="0"/>
                <w:sz w:val="24"/>
                <w:szCs w:val="24"/>
                <w:highlight w:val="none"/>
              </w:rPr>
              <w:t>年度（对于成立不足三年的投标单位，从成立当年算起；）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3.5.3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近年完成的类似项目</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类似项目（201</w:t>
            </w:r>
            <w:r>
              <w:rPr>
                <w:rFonts w:hint="eastAsia" w:ascii="宋体" w:hAnsi="宋体" w:eastAsia="宋体"/>
                <w:color w:val="auto"/>
                <w:position w:val="0"/>
                <w:sz w:val="24"/>
                <w:szCs w:val="24"/>
                <w:highlight w:val="none"/>
                <w:lang w:val="en-US" w:eastAsia="zh-CN"/>
              </w:rPr>
              <w:t>7</w:t>
            </w:r>
            <w:r>
              <w:rPr>
                <w:rFonts w:hint="default" w:ascii="宋体" w:hAnsi="宋体" w:eastAsia="宋体"/>
                <w:color w:val="auto"/>
                <w:position w:val="0"/>
                <w:sz w:val="24"/>
                <w:szCs w:val="24"/>
                <w:highlight w:val="none"/>
              </w:rPr>
              <w:t>年以来）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3.5.5</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近年发生的诉讼及仲裁</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（1）有效时间以提交投标文件截止时间前36个月为准。</w:t>
            </w:r>
          </w:p>
          <w:p>
            <w:pPr>
              <w:pStyle w:val="2"/>
              <w:numPr>
                <w:ilvl w:val="0"/>
                <w:numId w:val="0"/>
              </w:numPr>
              <w:autoSpaceDE/>
              <w:autoSpaceDN/>
              <w:spacing w:before="0" w:after="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（2）近年发生的诉讼和仲裁情况仅限于认定投标人有违法行为的，且与履行施工承包合同有关的案件。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3.6</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是否允许递交备选投标方案</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3.7.3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签字或盖章要求</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电子投标文件：按招标文件要求加盖电子印章和法人电子印章。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3.7.4</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投标文件份数</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1、电子投标文件</w:t>
            </w:r>
          </w:p>
          <w:p>
            <w:pPr>
              <w:numPr>
                <w:ilvl w:val="0"/>
                <w:numId w:val="0"/>
              </w:numPr>
              <w:autoSpaceDE w:val="0"/>
              <w:autoSpaceDN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（1）成功上传至《全国公共资源交易平台（河南省·许昌市）》公共资源交易系统电子投标文件1份（文件格式为：XX公司XXX项目编号XXX标段.file）。</w:t>
            </w:r>
          </w:p>
          <w:p>
            <w:pPr>
              <w:numPr>
                <w:ilvl w:val="0"/>
                <w:numId w:val="0"/>
              </w:numPr>
              <w:autoSpaceDE w:val="0"/>
              <w:autoSpaceDN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（2）使用电子介质存储的投标文件</w:t>
            </w:r>
            <w:r>
              <w:rPr>
                <w:rFonts w:hint="default" w:ascii="宋体" w:hAnsi="宋体" w:eastAsia="宋体"/>
                <w:color w:val="000000" w:themeColor="text1"/>
                <w:position w:val="0"/>
                <w:sz w:val="24"/>
                <w:szCs w:val="24"/>
                <w:highlight w:val="none"/>
                <w14:textFill>
                  <w14:solidFill>
                    <w14:schemeClr w14:val="tx1"/>
                  </w14:solidFill>
                </w14:textFill>
              </w:rPr>
              <w:t>2份</w:t>
            </w:r>
            <w:r>
              <w:rPr>
                <w:rFonts w:hint="default" w:ascii="宋体" w:hAnsi="宋体" w:eastAsia="宋体"/>
                <w:color w:val="auto"/>
                <w:position w:val="0"/>
                <w:sz w:val="24"/>
                <w:szCs w:val="24"/>
                <w:highlight w:val="none"/>
              </w:rPr>
              <w:t>文件格式为：xxx公司XXX（项目编号）.bin）（所提交的电子介质储存的投标文件需分开密封且每份电子介质储存的投标文件需包括本次投标文件的全部内容）。</w:t>
            </w:r>
          </w:p>
          <w:p>
            <w:pPr>
              <w:numPr>
                <w:ilvl w:val="0"/>
                <w:numId w:val="0"/>
              </w:numPr>
              <w:autoSpaceDE w:val="0"/>
              <w:autoSpaceDN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注:投标人提交的电子投标文件，必须是通过“许昌投标文件制作系统SEARUN V1.1”制作，并经过签章和加密后生成的电子投标文件。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3.7.5</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密封要求</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使用电子介质存储的投标文件单独密封、盖章，并在开标前递交开标现场。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4.1.2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封套上写明</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投标人名称：</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招标人名称：　</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u w:val="single"/>
              </w:rPr>
              <w:t xml:space="preserve">        （工程名称）     </w:t>
            </w:r>
            <w:r>
              <w:rPr>
                <w:rFonts w:hint="default" w:ascii="宋体" w:hAnsi="宋体" w:eastAsia="宋体"/>
                <w:color w:val="auto"/>
                <w:position w:val="0"/>
                <w:sz w:val="24"/>
                <w:szCs w:val="24"/>
                <w:highlight w:val="none"/>
              </w:rPr>
              <w:t>投标文件</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4.2.2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递交投标文件地点</w:t>
            </w:r>
          </w:p>
        </w:tc>
        <w:tc>
          <w:tcPr>
            <w:tcW w:w="6367" w:type="dxa"/>
            <w:vAlign w:val="center"/>
          </w:tcPr>
          <w:p>
            <w:pPr>
              <w:numPr>
                <w:ilvl w:val="0"/>
                <w:numId w:val="2"/>
              </w:numPr>
              <w:tabs>
                <w:tab w:val="left" w:pos="0"/>
              </w:tabs>
              <w:autoSpaceDE/>
              <w:autoSpaceDN/>
              <w:bidi w:val="0"/>
              <w:spacing w:before="0" w:after="160" w:line="360" w:lineRule="auto"/>
              <w:ind w:left="0" w:right="0" w:hanging="648"/>
              <w:jc w:val="both"/>
              <w:rPr>
                <w:rFonts w:hint="default" w:ascii="宋体" w:hAnsi="宋体" w:eastAsia="宋体"/>
                <w:color w:val="auto"/>
                <w:position w:val="0"/>
                <w:sz w:val="24"/>
                <w:szCs w:val="24"/>
                <w:u w:val="single"/>
              </w:rPr>
            </w:pPr>
            <w:r>
              <w:rPr>
                <w:rFonts w:hint="default" w:ascii="宋体" w:hAnsi="宋体" w:eastAsia="宋体"/>
                <w:color w:val="auto"/>
                <w:position w:val="0"/>
                <w:sz w:val="24"/>
                <w:szCs w:val="24"/>
                <w:highlight w:val="none"/>
              </w:rPr>
              <w:t>襄城县公共资源交易中心（襄城县八七路东电子产业园12楼开标二室）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4.2.3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是否退还投标文件</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5.1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开标时间和地点</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开标时间：同投标截止时间</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开标地点：襄城县公共资源交易中心（襄城县八七路东电子产业园12楼开标二室）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5.2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开标程序</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见招标文件第二章  投标人须知第5.2条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6.1.1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评标委员会的组建</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评标委员会构成：</w:t>
            </w:r>
            <w:r>
              <w:rPr>
                <w:rFonts w:hint="default" w:ascii="宋体" w:hAnsi="宋体" w:eastAsia="宋体"/>
                <w:color w:val="auto"/>
                <w:position w:val="0"/>
                <w:sz w:val="24"/>
                <w:szCs w:val="24"/>
                <w:highlight w:val="none"/>
                <w:lang w:val="en-US" w:eastAsia="zh-CN"/>
              </w:rPr>
              <w:t>5</w:t>
            </w:r>
            <w:r>
              <w:rPr>
                <w:rFonts w:hint="default" w:ascii="宋体" w:hAnsi="宋体" w:eastAsia="宋体"/>
                <w:color w:val="auto"/>
                <w:position w:val="0"/>
                <w:sz w:val="24"/>
                <w:szCs w:val="24"/>
                <w:highlight w:val="none"/>
              </w:rPr>
              <w:t>人，招标人代表</w:t>
            </w:r>
            <w:r>
              <w:rPr>
                <w:rFonts w:hint="default" w:ascii="宋体" w:hAnsi="宋体" w:eastAsia="宋体"/>
                <w:color w:val="auto"/>
                <w:position w:val="0"/>
                <w:sz w:val="24"/>
                <w:szCs w:val="24"/>
                <w:highlight w:val="none"/>
                <w:lang w:val="en-US" w:eastAsia="zh-CN"/>
              </w:rPr>
              <w:t>1</w:t>
            </w:r>
            <w:r>
              <w:rPr>
                <w:rFonts w:hint="default" w:ascii="宋体" w:hAnsi="宋体" w:eastAsia="宋体"/>
                <w:color w:val="auto"/>
                <w:position w:val="0"/>
                <w:sz w:val="24"/>
                <w:szCs w:val="24"/>
                <w:highlight w:val="none"/>
              </w:rPr>
              <w:t>人和从河南省综合评标专家库中随机抽取</w:t>
            </w:r>
            <w:r>
              <w:rPr>
                <w:rFonts w:hint="default" w:ascii="宋体" w:hAnsi="宋体" w:eastAsia="宋体"/>
                <w:color w:val="auto"/>
                <w:position w:val="0"/>
                <w:sz w:val="24"/>
                <w:szCs w:val="24"/>
                <w:highlight w:val="none"/>
                <w:lang w:val="en-US" w:eastAsia="zh-CN"/>
              </w:rPr>
              <w:t>4</w:t>
            </w:r>
            <w:r>
              <w:rPr>
                <w:rFonts w:hint="default" w:ascii="宋体" w:hAnsi="宋体" w:eastAsia="宋体"/>
                <w:color w:val="auto"/>
                <w:position w:val="0"/>
                <w:sz w:val="24"/>
                <w:szCs w:val="24"/>
                <w:highlight w:val="none"/>
              </w:rPr>
              <w:t>人（其中注册造价工程师不少于</w:t>
            </w:r>
            <w:r>
              <w:rPr>
                <w:rFonts w:hint="default" w:ascii="宋体" w:hAnsi="宋体" w:eastAsia="宋体"/>
                <w:color w:val="auto"/>
                <w:position w:val="0"/>
                <w:sz w:val="24"/>
                <w:szCs w:val="24"/>
                <w:highlight w:val="none"/>
                <w:lang w:val="en-US" w:eastAsia="zh-CN"/>
              </w:rPr>
              <w:t>2</w:t>
            </w:r>
            <w:r>
              <w:rPr>
                <w:rFonts w:hint="default" w:ascii="宋体" w:hAnsi="宋体" w:eastAsia="宋体"/>
                <w:color w:val="auto"/>
                <w:position w:val="0"/>
                <w:sz w:val="24"/>
                <w:szCs w:val="24"/>
                <w:highlight w:val="none"/>
              </w:rPr>
              <w:t>人）。</w:t>
            </w:r>
          </w:p>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评标专家确定方式：从河南省综合评标专家库中随机抽取。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是否授权评标委员会确定中标人</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否，推荐的中标候选人数：1-3名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4" w:type="dxa"/>
            <w:gridSpan w:val="2"/>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7.3</w:t>
            </w:r>
          </w:p>
        </w:tc>
        <w:tc>
          <w:tcPr>
            <w:tcW w:w="2483" w:type="dxa"/>
            <w:gridSpan w:val="4"/>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000000" w:themeColor="text1"/>
                <w:position w:val="0"/>
                <w:sz w:val="24"/>
                <w:szCs w:val="2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履约保证金</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color w:val="000000" w:themeColor="text1"/>
                <w:position w:val="0"/>
                <w:sz w:val="24"/>
                <w:szCs w:val="2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是否要求中标人提交履约保证金：</w:t>
            </w:r>
          </w:p>
          <w:p>
            <w:pPr>
              <w:numPr>
                <w:ilvl w:val="0"/>
                <w:numId w:val="0"/>
              </w:numPr>
              <w:autoSpaceDE w:val="0"/>
              <w:autoSpaceDN w:val="0"/>
              <w:spacing w:before="0" w:after="160" w:line="360" w:lineRule="auto"/>
              <w:ind w:right="0" w:firstLine="0"/>
              <w:jc w:val="left"/>
              <w:rPr>
                <w:rFonts w:hint="default" w:ascii="宋体" w:hAnsi="宋体" w:eastAsia="宋体"/>
                <w:color w:val="000000" w:themeColor="text1"/>
                <w:position w:val="0"/>
                <w:sz w:val="24"/>
                <w:szCs w:val="24"/>
                <w:highlight w:val="none"/>
                <w14:textFill>
                  <w14:solidFill>
                    <w14:schemeClr w14:val="tx1"/>
                  </w14:solidFill>
                </w14:textFill>
              </w:rPr>
            </w:pPr>
            <w:r>
              <w:rPr>
                <w:rFonts w:hint="eastAsia" w:ascii="宋体" w:hAnsi="宋体" w:eastAsia="宋体"/>
                <w:color w:val="000000" w:themeColor="text1"/>
                <w:position w:val="0"/>
                <w:sz w:val="24"/>
                <w:szCs w:val="24"/>
                <w:highlight w:val="none"/>
                <w:lang w:val="en-US" w:eastAsia="zh-CN"/>
                <w14:textFill>
                  <w14:solidFill>
                    <w14:schemeClr w14:val="tx1"/>
                  </w14:solidFill>
                </w14:textFill>
              </w:rPr>
              <w:t>无</w:t>
            </w:r>
            <w:r>
              <w:rPr>
                <w:rFonts w:hint="default" w:ascii="宋体" w:hAnsi="宋体" w:eastAsia="宋体"/>
                <w:color w:val="000000" w:themeColor="text1"/>
                <w:position w:val="0"/>
                <w:sz w:val="24"/>
                <w:szCs w:val="24"/>
                <w:highlight w:val="none"/>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54" w:type="dxa"/>
            <w:gridSpan w:val="7"/>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6" w:type="dxa"/>
            <w:gridSpan w:val="3"/>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10.1.1</w:t>
            </w:r>
          </w:p>
        </w:tc>
        <w:tc>
          <w:tcPr>
            <w:tcW w:w="1486"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类似项目</w:t>
            </w:r>
          </w:p>
        </w:tc>
        <w:tc>
          <w:tcPr>
            <w:tcW w:w="7302" w:type="dxa"/>
            <w:gridSpan w:val="3"/>
            <w:vAlign w:val="center"/>
          </w:tcPr>
          <w:p>
            <w:pPr>
              <w:numPr>
                <w:ilvl w:val="0"/>
                <w:numId w:val="0"/>
              </w:numPr>
              <w:autoSpaceDE/>
              <w:autoSpaceDN/>
              <w:spacing w:before="0" w:after="160" w:line="460" w:lineRule="exact"/>
              <w:ind w:right="0" w:firstLine="0"/>
              <w:jc w:val="left"/>
              <w:rPr>
                <w:rFonts w:hint="default"/>
                <w:lang w:val="en-US" w:eastAsia="zh-CN"/>
              </w:rPr>
            </w:pPr>
            <w:r>
              <w:rPr>
                <w:rFonts w:hint="default" w:hAnsi="宋体" w:eastAsia="宋体"/>
                <w:color w:val="000000" w:themeColor="text1"/>
                <w:position w:val="0"/>
                <w:sz w:val="24"/>
                <w:szCs w:val="24"/>
                <w:highlight w:val="none"/>
                <w:lang w:val="en-US" w:eastAsia="zh-CN"/>
                <w14:textFill>
                  <w14:solidFill>
                    <w14:schemeClr w14:val="tx1"/>
                  </w14:solidFill>
                </w14:textFill>
              </w:rPr>
              <w:t>是指承建</w:t>
            </w:r>
            <w:r>
              <w:rPr>
                <w:rFonts w:hint="eastAsia" w:hAnsi="宋体" w:eastAsia="宋体"/>
                <w:color w:val="000000" w:themeColor="text1"/>
                <w:position w:val="0"/>
                <w:sz w:val="24"/>
                <w:szCs w:val="24"/>
                <w:highlight w:val="none"/>
                <w:lang w:val="en-US" w:eastAsia="zh-CN"/>
                <w14:textFill>
                  <w14:solidFill>
                    <w14:schemeClr w14:val="tx1"/>
                  </w14:solidFill>
                </w14:textFill>
              </w:rPr>
              <w:t>过</w:t>
            </w:r>
            <w:r>
              <w:rPr>
                <w:rFonts w:hint="default" w:hAnsi="宋体" w:eastAsia="宋体"/>
                <w:color w:val="000000" w:themeColor="text1"/>
                <w:position w:val="0"/>
                <w:sz w:val="24"/>
                <w:szCs w:val="24"/>
                <w:highlight w:val="none"/>
                <w:lang w:val="en-US" w:eastAsia="zh-CN"/>
                <w14:textFill>
                  <w14:solidFill>
                    <w14:schemeClr w14:val="tx1"/>
                  </w14:solidFill>
                </w14:textFill>
              </w:rPr>
              <w:t>类似</w:t>
            </w:r>
            <w:r>
              <w:rPr>
                <w:rFonts w:hint="eastAsia" w:hAnsi="宋体" w:eastAsia="宋体"/>
                <w:color w:val="000000" w:themeColor="text1"/>
                <w:position w:val="0"/>
                <w:sz w:val="24"/>
                <w:szCs w:val="24"/>
                <w:highlight w:val="none"/>
                <w:lang w:val="en-US" w:eastAsia="zh-CN"/>
                <w14:textFill>
                  <w14:solidFill>
                    <w14:schemeClr w14:val="tx1"/>
                  </w14:solidFill>
                </w14:textFill>
              </w:rPr>
              <w:t>建筑工程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10.2招标控制价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10.2.1</w:t>
            </w:r>
          </w:p>
        </w:tc>
        <w:tc>
          <w:tcPr>
            <w:tcW w:w="2288" w:type="dxa"/>
            <w:gridSpan w:val="2"/>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b/>
                <w:color w:val="000000"/>
                <w:position w:val="0"/>
                <w:sz w:val="24"/>
                <w:szCs w:val="24"/>
                <w:highlight w:val="none"/>
              </w:rPr>
              <w:t>招</w:t>
            </w:r>
            <w:r>
              <w:rPr>
                <w:rFonts w:hint="default" w:ascii="宋体" w:hAnsi="宋体" w:eastAsia="宋体"/>
                <w:color w:val="000000"/>
                <w:position w:val="0"/>
                <w:sz w:val="24"/>
                <w:szCs w:val="24"/>
                <w:highlight w:val="none"/>
              </w:rPr>
              <w:t>标控制</w:t>
            </w:r>
            <w:r>
              <w:rPr>
                <w:rFonts w:hint="default" w:ascii="宋体" w:hAnsi="宋体" w:eastAsia="宋体"/>
                <w:b/>
                <w:color w:val="000000"/>
                <w:position w:val="0"/>
                <w:sz w:val="24"/>
                <w:szCs w:val="24"/>
                <w:highlight w:val="none"/>
              </w:rPr>
              <w:t>价</w:t>
            </w:r>
          </w:p>
        </w:tc>
        <w:tc>
          <w:tcPr>
            <w:tcW w:w="6500" w:type="dxa"/>
            <w:gridSpan w:val="2"/>
            <w:vAlign w:val="center"/>
          </w:tcPr>
          <w:p>
            <w:pPr>
              <w:numPr>
                <w:ilvl w:val="0"/>
                <w:numId w:val="0"/>
              </w:numPr>
              <w:autoSpaceDE/>
              <w:autoSpaceDN/>
              <w:spacing w:before="0" w:after="160" w:line="360" w:lineRule="auto"/>
              <w:ind w:right="0" w:firstLine="0"/>
              <w:jc w:val="both"/>
              <w:rPr>
                <w:rFonts w:hint="default" w:ascii="宋体" w:hAnsi="宋体" w:eastAsia="宋体"/>
                <w:color w:val="000000" w:themeColor="text1"/>
                <w:position w:val="0"/>
                <w:sz w:val="24"/>
                <w:szCs w:val="2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本工程设招标控制价：</w:t>
            </w:r>
          </w:p>
          <w:p>
            <w:pPr>
              <w:numPr>
                <w:ilvl w:val="0"/>
                <w:numId w:val="0"/>
              </w:numPr>
              <w:autoSpaceDE/>
              <w:autoSpaceDN/>
              <w:spacing w:before="0" w:after="160" w:line="460" w:lineRule="exact"/>
              <w:ind w:right="0" w:firstLine="480" w:firstLineChars="200"/>
              <w:jc w:val="left"/>
              <w:rPr>
                <w:rFonts w:hint="default" w:ascii="Times New Roman" w:hAnsi="宋体" w:eastAsia="宋体"/>
                <w:color w:val="000000" w:themeColor="text1"/>
                <w:position w:val="0"/>
                <w:sz w:val="24"/>
                <w:szCs w:val="24"/>
                <w:highlight w:val="none"/>
                <w14:textFill>
                  <w14:solidFill>
                    <w14:schemeClr w14:val="tx1"/>
                  </w14:solidFill>
                </w14:textFill>
              </w:rPr>
            </w:pPr>
            <w:r>
              <w:rPr>
                <w:rFonts w:hint="default" w:ascii="Times New Roman" w:hAnsi="宋体" w:eastAsia="宋体"/>
                <w:color w:val="000000" w:themeColor="text1"/>
                <w:position w:val="0"/>
                <w:sz w:val="24"/>
                <w:szCs w:val="24"/>
                <w:highlight w:val="none"/>
                <w14:textFill>
                  <w14:solidFill>
                    <w14:schemeClr w14:val="tx1"/>
                  </w14:solidFill>
                </w14:textFill>
              </w:rPr>
              <w:t>小写：</w:t>
            </w:r>
            <w:r>
              <w:rPr>
                <w:rFonts w:hint="default" w:ascii="Times New Roman" w:hAnsi="宋体" w:eastAsia="宋体"/>
                <w:color w:val="000000" w:themeColor="text1"/>
                <w:position w:val="0"/>
                <w:sz w:val="24"/>
                <w:szCs w:val="24"/>
                <w:highlight w:val="none"/>
                <w:lang w:val="en-US" w:eastAsia="zh-CN"/>
                <w14:textFill>
                  <w14:solidFill>
                    <w14:schemeClr w14:val="tx1"/>
                  </w14:solidFill>
                </w14:textFill>
              </w:rPr>
              <w:t>810752.22</w:t>
            </w:r>
            <w:r>
              <w:rPr>
                <w:rFonts w:hint="default" w:ascii="Times New Roman" w:hAnsi="宋体" w:eastAsia="宋体"/>
                <w:color w:val="000000" w:themeColor="text1"/>
                <w:position w:val="0"/>
                <w:sz w:val="24"/>
                <w:szCs w:val="24"/>
                <w:highlight w:val="none"/>
                <w14:textFill>
                  <w14:solidFill>
                    <w14:schemeClr w14:val="tx1"/>
                  </w14:solidFill>
                </w14:textFill>
              </w:rPr>
              <w:t>元</w:t>
            </w:r>
          </w:p>
          <w:p>
            <w:pPr>
              <w:pStyle w:val="2"/>
              <w:numPr>
                <w:ilvl w:val="0"/>
                <w:numId w:val="0"/>
              </w:numPr>
              <w:autoSpaceDE/>
              <w:autoSpaceDN/>
              <w:spacing w:before="0" w:after="120" w:line="240" w:lineRule="auto"/>
              <w:ind w:right="0" w:firstLine="480" w:firstLineChars="200"/>
              <w:jc w:val="both"/>
              <w:rPr>
                <w:rFonts w:hint="eastAsia" w:ascii="宋体" w:hAnsi="Times New Roman" w:eastAsia="宋体"/>
                <w:color w:val="000000" w:themeColor="text1"/>
                <w:position w:val="0"/>
                <w:sz w:val="34"/>
                <w:szCs w:val="34"/>
                <w:lang w:val="en-US" w:eastAsia="zh-CN"/>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大写：</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捌拾壹万零柒佰伍拾贰元贰角贰分</w:t>
            </w:r>
          </w:p>
          <w:p>
            <w:pPr>
              <w:numPr>
                <w:ilvl w:val="0"/>
                <w:numId w:val="0"/>
              </w:numPr>
              <w:autoSpaceDE w:val="0"/>
              <w:autoSpaceDN w:val="0"/>
              <w:spacing w:before="0" w:after="160" w:line="360" w:lineRule="auto"/>
              <w:ind w:right="0" w:firstLine="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招标控制价：包括安全文明施工措施费、规费、税金。</w:t>
            </w:r>
          </w:p>
          <w:p>
            <w:pPr>
              <w:numPr>
                <w:ilvl w:val="0"/>
                <w:numId w:val="0"/>
              </w:numPr>
              <w:autoSpaceDE w:val="0"/>
              <w:autoSpaceDN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b/>
                <w:color w:val="auto"/>
                <w:position w:val="0"/>
                <w:sz w:val="24"/>
                <w:szCs w:val="24"/>
                <w:highlight w:val="none"/>
              </w:rPr>
              <w:t>凡投标人的投标报价高于招标控制价（不含等于“招标控制价”）的，该投标人的投标文件应予拒绝。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10.3“暗标”评审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2421" w:type="dxa"/>
            <w:gridSpan w:val="3"/>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技术标是否采用“暗标”评审方式</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left="240" w:right="0" w:hanging="24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10.4投标人代表出席开标会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b/>
                <w:color w:val="auto"/>
                <w:position w:val="0"/>
                <w:sz w:val="24"/>
                <w:szCs w:val="24"/>
                <w:highlight w:val="none"/>
              </w:rPr>
              <w:t>开标时各投标人的法定代表人或授权委托人持身份证原件及授权委托书和，到开标现场签到，缺席或逾期不到者视为放弃。各投标单位参加会议人数不得多于</w:t>
            </w:r>
            <w:r>
              <w:rPr>
                <w:rFonts w:hint="eastAsia" w:ascii="宋体" w:hAnsi="宋体" w:eastAsia="宋体"/>
                <w:b/>
                <w:color w:val="auto"/>
                <w:position w:val="0"/>
                <w:sz w:val="24"/>
                <w:szCs w:val="24"/>
                <w:highlight w:val="none"/>
                <w:lang w:val="en-US" w:eastAsia="zh-CN"/>
              </w:rPr>
              <w:t>二</w:t>
            </w:r>
            <w:r>
              <w:rPr>
                <w:rFonts w:hint="default" w:ascii="宋体" w:hAnsi="宋体" w:eastAsia="宋体"/>
                <w:b/>
                <w:color w:val="auto"/>
                <w:position w:val="0"/>
                <w:sz w:val="24"/>
                <w:szCs w:val="24"/>
                <w:highlight w:val="none"/>
              </w:rPr>
              <w:t xml:space="preserve">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10.5中标公示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b/>
                <w:color w:val="auto"/>
                <w:position w:val="0"/>
                <w:sz w:val="24"/>
                <w:szCs w:val="24"/>
                <w:highlight w:val="none"/>
              </w:rPr>
            </w:pPr>
            <w:r>
              <w:rPr>
                <w:rFonts w:hint="default" w:ascii="宋体" w:hAnsi="宋体" w:eastAsia="宋体"/>
                <w:color w:val="auto"/>
                <w:position w:val="0"/>
                <w:sz w:val="24"/>
                <w:szCs w:val="24"/>
                <w:highlight w:val="none"/>
              </w:rPr>
              <w:t>1、在中标通知书发出前，招标人将中标候选人的情况在《全国公共资源交易平台（河南省·许昌市）》、《河南省电子招标投标公共服务平台》予以公示，公示期不少于3日。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10.6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10.7重新招标的其他情形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10.8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10.9监  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本项目的招标投标活动及其相关当事人应当接受有管辖权的建设工程招标投标行政监督部门依法实施的监督。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10.10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构成本招标文件的各个组成文件应互为解释，互为说明；</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1、如有不明确或不一致，构成合同文件组成内容，以合同文件约定内容为准，且以专用合同条款约定的合同文件优先顺序解释；</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2、除招标文件中有特别规定外，仅适用于招标投标阶段的规定，按招标公告（投标邀请书）、投标人须知、评标办法、投标文件格式的先后顺序解释；</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3、同一组成文件中就同一事项的规定或约定不一致的，以编排顺序在后者为准；</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4、同一组成文件不同版本之间有不一致的，以形成时间在后者为准。</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napToGrid w:val="0"/>
              <w:spacing w:before="0" w:after="160" w:line="360" w:lineRule="auto"/>
              <w:ind w:right="0" w:firstLine="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10.11招标人补充的其他内容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napToGrid w:val="0"/>
              <w:spacing w:before="0" w:after="160" w:line="360" w:lineRule="auto"/>
              <w:ind w:right="0" w:firstLine="0"/>
              <w:jc w:val="both"/>
              <w:rPr>
                <w:rFonts w:hint="default" w:ascii="宋体" w:hAnsi="宋体" w:eastAsia="宋体"/>
                <w:color w:val="auto"/>
                <w:position w:val="0"/>
                <w:sz w:val="24"/>
                <w:szCs w:val="24"/>
                <w:highlight w:val="none"/>
              </w:rPr>
            </w:pPr>
            <w:bookmarkStart w:id="6" w:name="_Toc225243456"/>
            <w:bookmarkStart w:id="7" w:name="_Toc283559965"/>
            <w:r>
              <w:rPr>
                <w:rFonts w:hint="default" w:ascii="宋体" w:hAnsi="宋体" w:eastAsia="宋体"/>
                <w:color w:val="auto"/>
                <w:position w:val="0"/>
                <w:sz w:val="24"/>
                <w:szCs w:val="24"/>
                <w:highlight w:val="none"/>
              </w:rPr>
              <w:t>10.11.1 投标文件的拒收</w:t>
            </w:r>
            <w:bookmarkEnd w:id="6"/>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val="0"/>
              <w:autoSpaceDN w:val="0"/>
              <w:snapToGrid w:val="0"/>
              <w:spacing w:before="0" w:after="160" w:line="360" w:lineRule="auto"/>
              <w:ind w:right="0" w:firstLine="480"/>
              <w:jc w:val="left"/>
              <w:outlineLvl w:val="0"/>
              <w:rPr>
                <w:rFonts w:hint="default" w:ascii="宋体" w:hAnsi="宋体" w:eastAsia="宋体"/>
                <w:color w:val="auto"/>
                <w:position w:val="0"/>
                <w:sz w:val="24"/>
                <w:szCs w:val="24"/>
                <w:highlight w:val="none"/>
              </w:rPr>
            </w:pPr>
            <w:bookmarkStart w:id="8" w:name="_Toc28556"/>
            <w:r>
              <w:rPr>
                <w:rFonts w:hint="default" w:ascii="宋体" w:hAnsi="宋体" w:eastAsia="宋体"/>
                <w:color w:val="auto"/>
                <w:position w:val="0"/>
                <w:sz w:val="24"/>
                <w:szCs w:val="24"/>
                <w:highlight w:val="none"/>
              </w:rPr>
              <w:t>1、逾期送达的或者未送达指定地点的投标文件；</w:t>
            </w:r>
            <w:bookmarkEnd w:id="8"/>
          </w:p>
          <w:p>
            <w:pPr>
              <w:numPr>
                <w:ilvl w:val="0"/>
                <w:numId w:val="0"/>
              </w:numPr>
              <w:autoSpaceDE w:val="0"/>
              <w:autoSpaceDN w:val="0"/>
              <w:snapToGrid w:val="0"/>
              <w:spacing w:before="0" w:after="160" w:line="360" w:lineRule="auto"/>
              <w:ind w:right="0" w:firstLine="480"/>
              <w:jc w:val="left"/>
              <w:outlineLvl w:val="0"/>
              <w:rPr>
                <w:rFonts w:hint="default" w:ascii="宋体" w:hAnsi="宋体" w:eastAsia="宋体"/>
                <w:color w:val="auto"/>
                <w:position w:val="0"/>
                <w:sz w:val="24"/>
                <w:szCs w:val="24"/>
                <w:highlight w:val="none"/>
              </w:rPr>
            </w:pPr>
            <w:bookmarkStart w:id="9" w:name="_Toc2922"/>
            <w:r>
              <w:rPr>
                <w:rFonts w:hint="default" w:ascii="宋体" w:hAnsi="宋体" w:eastAsia="宋体"/>
                <w:color w:val="auto"/>
                <w:position w:val="0"/>
                <w:sz w:val="24"/>
                <w:szCs w:val="24"/>
                <w:highlight w:val="none"/>
              </w:rPr>
              <w:t>2、投标文件未按招标文件要求密封的；</w:t>
            </w:r>
            <w:bookmarkEnd w:id="9"/>
          </w:p>
          <w:p>
            <w:pPr>
              <w:numPr>
                <w:ilvl w:val="0"/>
                <w:numId w:val="0"/>
              </w:numPr>
              <w:autoSpaceDE w:val="0"/>
              <w:autoSpaceDN w:val="0"/>
              <w:snapToGrid w:val="0"/>
              <w:spacing w:before="0" w:after="160" w:line="360" w:lineRule="auto"/>
              <w:ind w:right="0" w:firstLine="480"/>
              <w:jc w:val="left"/>
              <w:outlineLvl w:val="0"/>
              <w:rPr>
                <w:rFonts w:hint="default" w:ascii="宋体" w:hAnsi="宋体" w:eastAsia="宋体"/>
                <w:color w:val="auto"/>
                <w:position w:val="0"/>
                <w:sz w:val="24"/>
                <w:szCs w:val="24"/>
                <w:highlight w:val="none"/>
              </w:rPr>
            </w:pPr>
            <w:bookmarkStart w:id="10" w:name="_Toc9790"/>
            <w:r>
              <w:rPr>
                <w:rFonts w:hint="default" w:ascii="宋体" w:hAnsi="宋体" w:eastAsia="宋体"/>
                <w:color w:val="auto"/>
                <w:position w:val="0"/>
                <w:sz w:val="24"/>
                <w:szCs w:val="24"/>
                <w:highlight w:val="none"/>
              </w:rPr>
              <w:t>3、未按招标文件要求缴纳投标保证金的；</w:t>
            </w:r>
            <w:bookmarkEnd w:id="10"/>
          </w:p>
          <w:p>
            <w:pPr>
              <w:numPr>
                <w:ilvl w:val="0"/>
                <w:numId w:val="0"/>
              </w:numPr>
              <w:autoSpaceDE w:val="0"/>
              <w:autoSpaceDN w:val="0"/>
              <w:spacing w:before="0" w:after="160" w:line="360" w:lineRule="auto"/>
              <w:ind w:right="0" w:firstLine="480"/>
              <w:jc w:val="left"/>
              <w:outlineLvl w:val="0"/>
              <w:rPr>
                <w:rFonts w:hint="default" w:ascii="宋体" w:hAnsi="宋体" w:eastAsia="宋体"/>
                <w:color w:val="auto"/>
                <w:position w:val="0"/>
                <w:sz w:val="24"/>
                <w:szCs w:val="24"/>
                <w:highlight w:val="none"/>
              </w:rPr>
            </w:pPr>
            <w:bookmarkStart w:id="11" w:name="_Toc5670"/>
            <w:r>
              <w:rPr>
                <w:rFonts w:hint="default" w:ascii="宋体" w:hAnsi="宋体" w:eastAsia="宋体"/>
                <w:color w:val="auto"/>
                <w:position w:val="0"/>
                <w:sz w:val="24"/>
                <w:szCs w:val="24"/>
                <w:highlight w:val="none"/>
              </w:rPr>
              <w:t>4、开标时法定代表人或授权委托人（持有效的授权委托书）未携带本人身份证到开标现场并签到的；</w:t>
            </w:r>
            <w:bookmarkEnd w:id="11"/>
          </w:p>
          <w:p>
            <w:pPr>
              <w:numPr>
                <w:ilvl w:val="0"/>
                <w:numId w:val="0"/>
              </w:numPr>
              <w:autoSpaceDE w:val="0"/>
              <w:autoSpaceDN w:val="0"/>
              <w:snapToGrid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5、未通过《全国公共资源交易平台（河南省▪许昌市）》系统下载招标文件的。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val="0"/>
              <w:autoSpaceDN w:val="0"/>
              <w:snapToGrid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10.12 特别提示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2、潜在投标人如对招标文件有异议，请在规定时间内在《全国公共资源交易平台（河南省·许昌市）》公共资源交易系统中提出，以其他方式递交的异议不予接受。</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3、投标人在投标截止时间前应随时关注《全国公共资源交易平台（河南省·许昌市）》公共资源交易系统发出的有关本项目的答疑、修改等相关内容。</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4、本项目试行全流程电子化交易，如因系统异常情况无法完成，将以人工方式进行。</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5、投标文件依据最终的招标文件进行编制。如果招标文件发生变更，投标人应以招标人最终发出的电子招标文件为准，编制投标文件，务请投标人随时关注项目变更信息。</w:t>
            </w:r>
          </w:p>
          <w:p>
            <w:pPr>
              <w:numPr>
                <w:ilvl w:val="0"/>
                <w:numId w:val="0"/>
              </w:numPr>
              <w:tabs>
                <w:tab w:val="left" w:pos="7095"/>
              </w:tabs>
              <w:autoSpaceDE/>
              <w:autoSpaceDN/>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6、投标人电子投标文件成功提交后，应打印“投标文件提交回执单”，供开标现场备查。</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7、商务标投标文件制作注意事项：</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7.1 投标人登录《全国公共资源交易平台（河南省·许昌市）》公共资源交易系统下载“许昌投标文件制作系统SEARUN V1.1” 和操作手册（工程项目），按招标文件要求制作商务标投标文件。</w:t>
            </w:r>
          </w:p>
          <w:p>
            <w:pPr>
              <w:numPr>
                <w:ilvl w:val="0"/>
                <w:numId w:val="0"/>
              </w:numPr>
              <w:autoSpaceDE w:val="0"/>
              <w:autoSpaceDN w:val="0"/>
              <w:snapToGrid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7.2 商务标投标文件制作技术咨询：0374-2961598。</w:t>
            </w:r>
          </w:p>
        </w:tc>
      </w:tr>
    </w:tbl>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12" w:name="_Toc283559947"/>
      <w:bookmarkStart w:id="13" w:name="_Toc283559990"/>
      <w:r>
        <w:rPr>
          <w:rFonts w:hint="default" w:ascii="Times New Roman" w:hAnsi="宋体" w:eastAsia="宋体"/>
          <w:b/>
          <w:color w:val="auto"/>
          <w:position w:val="0"/>
          <w:sz w:val="24"/>
          <w:szCs w:val="24"/>
          <w:highlight w:val="none"/>
        </w:rPr>
        <w:t>1. 总则</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 项目概况</w:t>
      </w:r>
      <w:r>
        <w:rPr>
          <w:rFonts w:hint="default" w:ascii="Times New Roman" w:hAnsi="宋体" w:eastAsia="宋体"/>
          <w:b/>
          <w:color w:val="auto"/>
          <w:position w:val="0"/>
          <w:sz w:val="24"/>
          <w:szCs w:val="24"/>
          <w:highlight w:val="none"/>
        </w:rPr>
        <w:tab/>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1.1.1根据《中华人民共和国招标投标法》等有关法律、法规和规章的规定，本招标项目已具备招标条件，现对本工程进行施工招标。</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1.1.2 本招标项目招标人：见投标人须知前附表。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1.1.3 本招标项目招标代理机构：见投标人须知前附表。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1.1.4 本招标项目名称：见投标人须知前附表。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1.1.5 本标段建设地点：见投标人须知前附表。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1.2 资金来源和落实情况</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1.2.1 本招标项目的资金来源：见投标人须知前附表。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1.2.2 本招标项目的出资比例：见投标人须知前附表。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1.2.2本招标项目的资金落实情况：见投标人须知前附表。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 招标范围、工期和质量要求</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1.3.1 本招标项目的招标范围：见投标人须知前附表。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1.3.2 本招标项目的工期要求：见投标人须知前附表。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1.3.3 本招标项目的质量要求：见投标人须知前附表。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1.4 投标人及项目经理资格要求</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1.4.1投标人、项目经理资格要求：见投标人须知前附表。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1.4.2 投标人资格要求（详见投标人须知前附表）, 投标人须知前附表规定接受联合体投标的，除应符合投标人须知前附表的要求外，还应遵守以下规定：</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（1）联合体各方应招标文件提供的格式签订联合体协议书，明确联合体牵头人和各方的权利义务；</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（2）同一专业的单位组成的联合体，应当按照资质等级较低的单位确定联合体的资质等级。</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（3）联合体各方不得再以自己名义单独或参加其他联合体在同一标段中投标。</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投标人不得存在下列情形之一：</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（1）为招标人不具有独立法人资格的附属机构（单位）；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（2）为本标段前期准备提供设计或咨询服务的；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（3）为本标段的监理人；</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（4）为本标段的代建人；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（5）为本标段提供招标代理服务的；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（6）与本标段的监理人或代建人或招标代理机构同为一个法定代表人的；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（7）与本标段的监理人或代建人或招标代理机构相互控股或参股的；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（8）与本标段的监理人或代建人或招标代理机构相互任职或工作的；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（9）被责令停业的；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（10）被暂停或取消投标资格的；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（11）财产被接管或冻结的；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（12）在最近三年内有骗取中标或严重违约或重大工程质量问题的。</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14" w:name="_Toc152042311"/>
      <w:bookmarkStart w:id="15" w:name="_Toc179632552"/>
      <w:bookmarkStart w:id="16" w:name="_Toc144974503"/>
      <w:bookmarkStart w:id="17" w:name="_Toc152045535"/>
      <w:r>
        <w:rPr>
          <w:rFonts w:hint="default" w:ascii="Times New Roman" w:hAnsi="宋体" w:eastAsia="宋体"/>
          <w:b/>
          <w:color w:val="auto"/>
          <w:position w:val="0"/>
          <w:sz w:val="24"/>
          <w:szCs w:val="24"/>
          <w:highlight w:val="none"/>
        </w:rPr>
        <w:t>1.5 费用承担</w:t>
      </w:r>
      <w:bookmarkEnd w:id="14"/>
      <w:bookmarkEnd w:id="15"/>
      <w:bookmarkEnd w:id="16"/>
      <w:bookmarkEnd w:id="17"/>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投标人准备和参加投标活动发生的费用自理</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18" w:name="_Toc152045536"/>
      <w:bookmarkStart w:id="19" w:name="_Toc179632553"/>
      <w:bookmarkStart w:id="20" w:name="_Toc152042312"/>
      <w:bookmarkStart w:id="21" w:name="_Toc144974504"/>
      <w:r>
        <w:rPr>
          <w:rFonts w:hint="default" w:ascii="Times New Roman" w:hAnsi="宋体" w:eastAsia="宋体"/>
          <w:b/>
          <w:color w:val="auto"/>
          <w:position w:val="0"/>
          <w:sz w:val="24"/>
          <w:szCs w:val="24"/>
          <w:highlight w:val="none"/>
        </w:rPr>
        <w:t>1.6 保密</w:t>
      </w:r>
      <w:bookmarkEnd w:id="18"/>
      <w:bookmarkEnd w:id="19"/>
      <w:bookmarkEnd w:id="20"/>
      <w:bookmarkEnd w:id="21"/>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参与招标投标活动的各方应对招标文件和投标文件中的商业和技术等秘密保密，违者应对由此造成的后果承担法律责任。 </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22" w:name="_Toc144974505"/>
      <w:bookmarkStart w:id="23" w:name="_Toc152042313"/>
      <w:bookmarkStart w:id="24" w:name="_Toc152045537"/>
      <w:bookmarkStart w:id="25" w:name="_Toc179632554"/>
      <w:r>
        <w:rPr>
          <w:rFonts w:hint="default" w:ascii="Times New Roman" w:hAnsi="宋体" w:eastAsia="宋体"/>
          <w:b/>
          <w:color w:val="auto"/>
          <w:position w:val="0"/>
          <w:sz w:val="24"/>
          <w:szCs w:val="24"/>
          <w:highlight w:val="none"/>
        </w:rPr>
        <w:t>1.7 语言</w:t>
      </w:r>
      <w:bookmarkEnd w:id="22"/>
      <w:r>
        <w:rPr>
          <w:rFonts w:hint="default" w:ascii="Times New Roman" w:hAnsi="宋体" w:eastAsia="宋体"/>
          <w:b/>
          <w:color w:val="auto"/>
          <w:position w:val="0"/>
          <w:sz w:val="24"/>
          <w:szCs w:val="24"/>
          <w:highlight w:val="none"/>
        </w:rPr>
        <w:t>文字</w:t>
      </w:r>
      <w:bookmarkEnd w:id="23"/>
      <w:bookmarkEnd w:id="24"/>
      <w:bookmarkEnd w:id="25"/>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除专用术语外，与招标投标有关的语言均使用中文。必要时专用术语应附有中文注释。</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26" w:name="_Toc179632555"/>
      <w:bookmarkStart w:id="27" w:name="_Toc152045538"/>
      <w:bookmarkStart w:id="28" w:name="_Toc152042314"/>
      <w:bookmarkStart w:id="29" w:name="_Toc144974506"/>
      <w:r>
        <w:rPr>
          <w:rFonts w:hint="default" w:ascii="Times New Roman" w:hAnsi="宋体" w:eastAsia="宋体"/>
          <w:b/>
          <w:color w:val="auto"/>
          <w:position w:val="0"/>
          <w:sz w:val="24"/>
          <w:szCs w:val="24"/>
          <w:highlight w:val="none"/>
        </w:rPr>
        <w:t>1.8 计量单位</w:t>
      </w:r>
      <w:bookmarkEnd w:id="26"/>
      <w:bookmarkEnd w:id="27"/>
      <w:bookmarkEnd w:id="28"/>
      <w:bookmarkEnd w:id="29"/>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所有计量均采用中华人民共和国法定计量单位。</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1.9 踏勘现场</w:t>
      </w:r>
      <w:bookmarkEnd w:id="12"/>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1.9.1 不组织。          </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1.9.2 投标人踏勘现场发生的费用自理。</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1.9.3 除招标人的原因外，投标人自行负责在踏勘现场中所发生的人员伤亡和财产损失。</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1.9.4 招标人在踏勘现场中介绍的工程场地和相关的周边环境情况，供投标人在编制投标文件时参考，招标人不对投标人据此作出的判断和决策负责。</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30" w:name="_Toc283559948"/>
      <w:r>
        <w:rPr>
          <w:rFonts w:hint="default" w:ascii="Times New Roman" w:hAnsi="宋体" w:eastAsia="宋体"/>
          <w:b/>
          <w:color w:val="auto"/>
          <w:position w:val="0"/>
          <w:sz w:val="24"/>
          <w:szCs w:val="24"/>
          <w:highlight w:val="none"/>
        </w:rPr>
        <w:t>1.10 投标预备会</w:t>
      </w:r>
      <w:bookmarkEnd w:id="30"/>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1.10.1 招标人不召开投标预备会。</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1.10.2 投标人应在投标人须知前附表规定的时间前，将问题在公共资源交易系统电子平台上提出。</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1.10.3 招标人在投标人须知前附表规定的时间内，将对投标人所提问题的澄清，在公共资源交易系统电子平台上予以澄清。该澄清内容为招标文件的组成部分。</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31" w:name="_Toc283559949"/>
      <w:r>
        <w:rPr>
          <w:rFonts w:hint="default" w:ascii="Times New Roman" w:hAnsi="宋体" w:eastAsia="宋体"/>
          <w:b/>
          <w:color w:val="auto"/>
          <w:position w:val="0"/>
          <w:sz w:val="24"/>
          <w:szCs w:val="24"/>
          <w:highlight w:val="none"/>
        </w:rPr>
        <w:t>1.11 分包</w:t>
      </w:r>
      <w:bookmarkEnd w:id="31"/>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不允许。</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32" w:name="_Toc283559950"/>
      <w:r>
        <w:rPr>
          <w:rFonts w:hint="default" w:ascii="Times New Roman" w:hAnsi="宋体" w:eastAsia="宋体"/>
          <w:b/>
          <w:color w:val="auto"/>
          <w:position w:val="0"/>
          <w:sz w:val="24"/>
          <w:szCs w:val="24"/>
          <w:highlight w:val="none"/>
        </w:rPr>
        <w:t>1.12 偏离</w:t>
      </w:r>
      <w:bookmarkEnd w:id="32"/>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投标人须知前附表允许投标文件偏离招标文件某些要求的，偏离应当符合招标文件规定的偏离范围和幅度。</w:t>
      </w:r>
    </w:p>
    <w:p>
      <w:pPr>
        <w:pStyle w:val="47"/>
        <w:numPr>
          <w:ilvl w:val="0"/>
          <w:numId w:val="0"/>
        </w:numPr>
        <w:autoSpaceDE w:val="0"/>
        <w:autoSpaceDN w:val="0"/>
        <w:spacing w:before="0" w:after="160" w:line="450" w:lineRule="exact"/>
        <w:ind w:right="0" w:firstLine="480"/>
        <w:jc w:val="both"/>
        <w:rPr>
          <w:rFonts w:hint="default" w:ascii="宋体" w:hAnsi="宋体" w:eastAsia="宋体"/>
          <w:b/>
          <w:color w:val="auto"/>
          <w:position w:val="0"/>
          <w:sz w:val="24"/>
          <w:szCs w:val="24"/>
          <w:highlight w:val="none"/>
        </w:rPr>
      </w:pPr>
      <w:bookmarkStart w:id="33" w:name="_Toc283559951"/>
      <w:r>
        <w:rPr>
          <w:rFonts w:hint="default" w:ascii="宋体" w:hAnsi="宋体" w:eastAsia="宋体"/>
          <w:b/>
          <w:color w:val="auto"/>
          <w:position w:val="0"/>
          <w:sz w:val="24"/>
          <w:szCs w:val="24"/>
          <w:highlight w:val="none"/>
        </w:rPr>
        <w:t>2. 招标文件</w:t>
      </w:r>
      <w:bookmarkEnd w:id="33"/>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34" w:name="_Toc283559952"/>
      <w:r>
        <w:rPr>
          <w:rFonts w:hint="default" w:ascii="Times New Roman" w:hAnsi="宋体" w:eastAsia="宋体"/>
          <w:b/>
          <w:color w:val="auto"/>
          <w:position w:val="0"/>
          <w:sz w:val="24"/>
          <w:szCs w:val="24"/>
          <w:highlight w:val="none"/>
        </w:rPr>
        <w:t>2.1 招标文件的组成</w:t>
      </w:r>
      <w:bookmarkEnd w:id="34"/>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本招标文件包括：</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（1）招标公告；</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（2）投标人须知；</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（3）评标办法；</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（4）合同条款及格式；</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（5）工程量清单； </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（6）图纸； </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（7）技术标准和要求；</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（8）投标文件格式；</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（9）投标人须知前附表规定的其他材料；</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根据本章第2.2 款和第2.3 款对招标文件所作的澄清、修改，构成招标文件的组成部分。</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35" w:name="_Toc283559953"/>
      <w:r>
        <w:rPr>
          <w:rFonts w:hint="default" w:ascii="Times New Roman" w:hAnsi="宋体" w:eastAsia="宋体"/>
          <w:b/>
          <w:color w:val="auto"/>
          <w:position w:val="0"/>
          <w:sz w:val="24"/>
          <w:szCs w:val="24"/>
          <w:highlight w:val="none"/>
        </w:rPr>
        <w:t>2.2 招标文件的澄清</w:t>
      </w:r>
      <w:bookmarkEnd w:id="35"/>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bookmarkStart w:id="36" w:name="_Toc283559954"/>
      <w:r>
        <w:rPr>
          <w:rFonts w:hint="default" w:ascii="Times New Roman" w:hAnsi="宋体" w:eastAsia="宋体"/>
          <w:color w:val="auto"/>
          <w:position w:val="0"/>
          <w:sz w:val="24"/>
          <w:szCs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default" w:ascii="Times New Roman" w:hAnsi="宋体" w:eastAsia="宋体"/>
          <w:b/>
          <w:color w:val="auto"/>
          <w:position w:val="0"/>
          <w:sz w:val="24"/>
          <w:szCs w:val="24"/>
          <w:highlight w:val="none"/>
        </w:rPr>
        <w:t>如未提出异议，视为全面接受。</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2.2.3 所有澄清、答疑全部以《全国公共资源交易平台（河南省·许昌市）》公共资源交易系统发出的为准，不再接受书面形式的递交。</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2.3 招标文件的修改</w:t>
      </w:r>
      <w:bookmarkEnd w:id="36"/>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2.3.2 当招标文件、补充通知、答疑纪要，内容相互矛盾时，以最后发出的通知或纪要为准。</w:t>
      </w:r>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bookmarkStart w:id="37" w:name="_Toc144974514"/>
      <w:bookmarkStart w:id="38" w:name="_Toc152045546"/>
      <w:bookmarkStart w:id="39" w:name="_Toc179632564"/>
      <w:bookmarkStart w:id="40" w:name="_Toc152042322"/>
      <w:r>
        <w:rPr>
          <w:rFonts w:hint="default" w:ascii="Times New Roman" w:hAnsi="宋体" w:eastAsia="宋体"/>
          <w:b/>
          <w:color w:val="auto"/>
          <w:position w:val="0"/>
          <w:sz w:val="24"/>
          <w:szCs w:val="24"/>
          <w:highlight w:val="none"/>
        </w:rPr>
        <w:t>3. 投标文件</w:t>
      </w:r>
      <w:bookmarkEnd w:id="37"/>
      <w:bookmarkEnd w:id="38"/>
      <w:bookmarkEnd w:id="39"/>
      <w:bookmarkEnd w:id="40"/>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bookmarkStart w:id="41" w:name="_Toc278443453"/>
      <w:r>
        <w:rPr>
          <w:rFonts w:hint="default" w:ascii="Times New Roman" w:hAnsi="宋体" w:eastAsia="宋体"/>
          <w:b/>
          <w:color w:val="auto"/>
          <w:position w:val="0"/>
          <w:sz w:val="24"/>
          <w:szCs w:val="24"/>
          <w:highlight w:val="none"/>
        </w:rPr>
        <w:t>3.1投标文件由商务标、综合标和技术标三部分组成。</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3.1.1  商务标组成：</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已标价工程量清单</w:t>
      </w:r>
    </w:p>
    <w:p>
      <w:pPr>
        <w:numPr>
          <w:ilvl w:val="0"/>
          <w:numId w:val="0"/>
        </w:numPr>
        <w:autoSpaceDE w:val="0"/>
        <w:autoSpaceDN w:val="0"/>
        <w:spacing w:before="0" w:after="160" w:line="420" w:lineRule="exact"/>
        <w:ind w:right="0" w:firstLine="480"/>
        <w:jc w:val="left"/>
        <w:outlineLvl w:val="0"/>
        <w:rPr>
          <w:rFonts w:hint="default" w:ascii="Times New Roman" w:hAnsi="宋体" w:eastAsia="宋体"/>
          <w:color w:val="auto"/>
          <w:position w:val="0"/>
          <w:sz w:val="24"/>
          <w:szCs w:val="24"/>
          <w:highlight w:val="none"/>
        </w:rPr>
      </w:pPr>
      <w:bookmarkStart w:id="42" w:name="_Toc8758"/>
      <w:r>
        <w:rPr>
          <w:rFonts w:hint="default" w:ascii="Times New Roman" w:hAnsi="宋体" w:eastAsia="宋体"/>
          <w:color w:val="auto"/>
          <w:position w:val="0"/>
          <w:sz w:val="24"/>
          <w:szCs w:val="24"/>
          <w:highlight w:val="none"/>
        </w:rPr>
        <w:t>3.1.2综合标组成：</w:t>
      </w:r>
      <w:bookmarkEnd w:id="42"/>
    </w:p>
    <w:p>
      <w:pPr>
        <w:numPr>
          <w:ilvl w:val="0"/>
          <w:numId w:val="0"/>
        </w:numPr>
        <w:autoSpaceDE w:val="0"/>
        <w:autoSpaceDN w:val="0"/>
        <w:spacing w:before="0" w:after="160" w:line="420" w:lineRule="exact"/>
        <w:ind w:right="0" w:firstLine="480"/>
        <w:jc w:val="left"/>
        <w:outlineLvl w:val="0"/>
        <w:rPr>
          <w:rFonts w:hint="default" w:ascii="Times New Roman" w:hAnsi="宋体" w:eastAsia="宋体"/>
          <w:color w:val="auto"/>
          <w:position w:val="0"/>
          <w:sz w:val="24"/>
          <w:szCs w:val="24"/>
          <w:highlight w:val="none"/>
        </w:rPr>
      </w:pPr>
      <w:bookmarkStart w:id="43" w:name="_Toc21470"/>
      <w:r>
        <w:rPr>
          <w:rFonts w:hint="default" w:ascii="Times New Roman" w:hAnsi="宋体" w:eastAsia="宋体"/>
          <w:color w:val="auto"/>
          <w:position w:val="0"/>
          <w:sz w:val="24"/>
          <w:szCs w:val="24"/>
          <w:highlight w:val="none"/>
        </w:rPr>
        <w:t>（1）投标函及投标函附录；</w:t>
      </w:r>
      <w:bookmarkEnd w:id="43"/>
    </w:p>
    <w:p>
      <w:pPr>
        <w:numPr>
          <w:ilvl w:val="0"/>
          <w:numId w:val="0"/>
        </w:numPr>
        <w:autoSpaceDE w:val="0"/>
        <w:autoSpaceDN w:val="0"/>
        <w:spacing w:before="0" w:after="160" w:line="420" w:lineRule="exact"/>
        <w:ind w:right="0" w:firstLine="480"/>
        <w:jc w:val="left"/>
        <w:outlineLvl w:val="0"/>
        <w:rPr>
          <w:rFonts w:hint="eastAsia" w:ascii="Times New Roman" w:hAnsi="宋体" w:eastAsia="宋体"/>
          <w:color w:val="auto"/>
          <w:position w:val="0"/>
          <w:sz w:val="24"/>
          <w:szCs w:val="24"/>
          <w:highlight w:val="none"/>
          <w:lang w:eastAsia="zh-CN"/>
        </w:rPr>
      </w:pPr>
      <w:bookmarkStart w:id="44" w:name="_Toc16850"/>
      <w:r>
        <w:rPr>
          <w:rFonts w:hint="default" w:ascii="Times New Roman" w:hAnsi="宋体" w:eastAsia="宋体"/>
          <w:color w:val="auto"/>
          <w:position w:val="0"/>
          <w:sz w:val="24"/>
          <w:szCs w:val="24"/>
          <w:highlight w:val="none"/>
        </w:rPr>
        <w:t>（2）法定代表人身份证明、授权委托书</w:t>
      </w:r>
      <w:bookmarkEnd w:id="44"/>
      <w:r>
        <w:rPr>
          <w:rFonts w:hint="eastAsia" w:hAnsi="宋体" w:eastAsia="宋体"/>
          <w:color w:val="auto"/>
          <w:position w:val="0"/>
          <w:sz w:val="24"/>
          <w:szCs w:val="24"/>
          <w:highlight w:val="none"/>
          <w:lang w:eastAsia="zh-CN"/>
        </w:rPr>
        <w:t>；</w:t>
      </w:r>
    </w:p>
    <w:p>
      <w:pPr>
        <w:numPr>
          <w:ilvl w:val="0"/>
          <w:numId w:val="0"/>
        </w:numPr>
        <w:autoSpaceDE w:val="0"/>
        <w:autoSpaceDN w:val="0"/>
        <w:spacing w:before="0" w:after="160" w:line="420" w:lineRule="exact"/>
        <w:ind w:right="0" w:firstLine="480"/>
        <w:jc w:val="left"/>
        <w:outlineLvl w:val="0"/>
        <w:rPr>
          <w:rFonts w:hint="default" w:ascii="Times New Roman" w:hAnsi="宋体" w:eastAsia="宋体"/>
          <w:color w:val="auto"/>
          <w:position w:val="0"/>
          <w:sz w:val="24"/>
          <w:szCs w:val="24"/>
          <w:highlight w:val="none"/>
        </w:rPr>
      </w:pPr>
      <w:bookmarkStart w:id="45" w:name="_Toc8670"/>
      <w:r>
        <w:rPr>
          <w:rFonts w:hint="default" w:ascii="Times New Roman" w:hAnsi="宋体" w:eastAsia="宋体"/>
          <w:color w:val="auto"/>
          <w:position w:val="0"/>
          <w:sz w:val="24"/>
          <w:szCs w:val="24"/>
          <w:highlight w:val="none"/>
        </w:rPr>
        <w:t>（3）投标保证金；</w:t>
      </w:r>
      <w:bookmarkEnd w:id="45"/>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6" w:name="_Toc11248"/>
      <w:r>
        <w:rPr>
          <w:rFonts w:hint="default" w:ascii="Times New Roman" w:hAnsi="宋体" w:eastAsia="宋体"/>
          <w:color w:val="auto"/>
          <w:position w:val="0"/>
          <w:sz w:val="24"/>
          <w:szCs w:val="24"/>
          <w:highlight w:val="none"/>
        </w:rPr>
        <w:t>（4）项目管理机构配备情况；</w:t>
      </w:r>
      <w:bookmarkEnd w:id="46"/>
      <w:r>
        <w:rPr>
          <w:rFonts w:hint="default" w:ascii="Times New Roman" w:hAnsi="宋体" w:eastAsia="宋体"/>
          <w:color w:val="auto"/>
          <w:position w:val="0"/>
          <w:sz w:val="24"/>
          <w:szCs w:val="24"/>
          <w:highlight w:val="none"/>
        </w:rPr>
        <w:t xml:space="preserve"> </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7" w:name="_Toc22350"/>
      <w:r>
        <w:rPr>
          <w:rFonts w:hint="default" w:ascii="Times New Roman" w:hAnsi="宋体" w:eastAsia="宋体"/>
          <w:color w:val="auto"/>
          <w:position w:val="0"/>
          <w:sz w:val="24"/>
          <w:szCs w:val="24"/>
          <w:highlight w:val="none"/>
        </w:rPr>
        <w:t>（5）投标单位基本信息表；</w:t>
      </w:r>
      <w:bookmarkEnd w:id="47"/>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8" w:name="_Toc24554"/>
      <w:r>
        <w:rPr>
          <w:rFonts w:hint="default" w:ascii="Times New Roman" w:hAnsi="宋体" w:eastAsia="宋体"/>
          <w:color w:val="auto"/>
          <w:position w:val="0"/>
          <w:sz w:val="24"/>
          <w:szCs w:val="24"/>
          <w:highlight w:val="none"/>
        </w:rPr>
        <w:t>（6）资格证明文件；</w:t>
      </w:r>
      <w:bookmarkEnd w:id="48"/>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9" w:name="_Toc12192"/>
      <w:r>
        <w:rPr>
          <w:rFonts w:hint="default" w:ascii="Times New Roman" w:hAnsi="宋体" w:eastAsia="宋体"/>
          <w:color w:val="auto"/>
          <w:position w:val="0"/>
          <w:sz w:val="24"/>
          <w:szCs w:val="24"/>
          <w:highlight w:val="none"/>
        </w:rPr>
        <w:t>（7）</w:t>
      </w:r>
      <w:bookmarkEnd w:id="49"/>
      <w:r>
        <w:rPr>
          <w:rFonts w:hint="default" w:ascii="Times New Roman" w:hAnsi="宋体" w:eastAsia="宋体"/>
          <w:color w:val="auto"/>
          <w:position w:val="0"/>
          <w:sz w:val="24"/>
          <w:szCs w:val="24"/>
          <w:highlight w:val="none"/>
        </w:rPr>
        <w:t>近年完成的类似项目情况；</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0" w:name="_Toc9930"/>
      <w:r>
        <w:rPr>
          <w:rFonts w:hint="default" w:ascii="Times New Roman" w:hAnsi="宋体" w:eastAsia="宋体"/>
          <w:color w:val="auto"/>
          <w:position w:val="0"/>
          <w:sz w:val="24"/>
          <w:szCs w:val="24"/>
          <w:highlight w:val="none"/>
        </w:rPr>
        <w:t>（8）</w:t>
      </w:r>
      <w:bookmarkEnd w:id="50"/>
      <w:r>
        <w:rPr>
          <w:rFonts w:hint="default" w:ascii="Times New Roman" w:hAnsi="宋体" w:eastAsia="宋体"/>
          <w:color w:val="auto"/>
          <w:position w:val="0"/>
          <w:sz w:val="24"/>
          <w:szCs w:val="24"/>
          <w:highlight w:val="none"/>
        </w:rPr>
        <w:t>正在施工的和新承接的项目情况；</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1" w:name="_Toc26009"/>
      <w:r>
        <w:rPr>
          <w:rFonts w:hint="default" w:ascii="Times New Roman" w:hAnsi="宋体" w:eastAsia="宋体"/>
          <w:color w:val="auto"/>
          <w:position w:val="0"/>
          <w:sz w:val="24"/>
          <w:szCs w:val="24"/>
          <w:highlight w:val="none"/>
        </w:rPr>
        <w:t>（9）</w:t>
      </w:r>
      <w:bookmarkEnd w:id="51"/>
      <w:r>
        <w:rPr>
          <w:rFonts w:hint="default" w:ascii="Times New Roman" w:hAnsi="宋体" w:eastAsia="宋体"/>
          <w:color w:val="auto"/>
          <w:position w:val="0"/>
          <w:sz w:val="24"/>
          <w:szCs w:val="24"/>
          <w:highlight w:val="none"/>
        </w:rPr>
        <w:t>近年发生的诉讼及仲裁；</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2" w:name="_Toc30392"/>
      <w:r>
        <w:rPr>
          <w:rFonts w:hint="default" w:ascii="Times New Roman" w:hAnsi="宋体" w:eastAsia="宋体"/>
          <w:color w:val="auto"/>
          <w:position w:val="0"/>
          <w:sz w:val="24"/>
          <w:szCs w:val="24"/>
          <w:highlight w:val="none"/>
        </w:rPr>
        <w:t>（10）</w:t>
      </w:r>
      <w:bookmarkEnd w:id="52"/>
      <w:r>
        <w:rPr>
          <w:rFonts w:hint="default" w:ascii="Times New Roman" w:hAnsi="宋体" w:eastAsia="宋体"/>
          <w:color w:val="auto"/>
          <w:position w:val="0"/>
          <w:sz w:val="24"/>
          <w:szCs w:val="24"/>
          <w:highlight w:val="none"/>
        </w:rPr>
        <w:t>其它材料；</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3.1.3  技术标组成：</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（1）内容完整性；</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3" w:name="_Toc9002"/>
      <w:r>
        <w:rPr>
          <w:rFonts w:hint="default" w:ascii="Times New Roman" w:hAnsi="宋体" w:eastAsia="宋体"/>
          <w:color w:val="auto"/>
          <w:position w:val="0"/>
          <w:sz w:val="24"/>
          <w:szCs w:val="24"/>
          <w:highlight w:val="none"/>
        </w:rPr>
        <w:t>（2）主要施工方案和技术措施；</w:t>
      </w:r>
      <w:bookmarkEnd w:id="53"/>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4" w:name="_Toc20640"/>
      <w:r>
        <w:rPr>
          <w:rFonts w:hint="default" w:ascii="Times New Roman" w:hAnsi="宋体" w:eastAsia="宋体"/>
          <w:color w:val="auto"/>
          <w:position w:val="0"/>
          <w:sz w:val="24"/>
          <w:szCs w:val="24"/>
          <w:highlight w:val="none"/>
        </w:rPr>
        <w:t>（3）质量管理体系与措施；</w:t>
      </w:r>
      <w:bookmarkEnd w:id="54"/>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5" w:name="_Toc18285"/>
      <w:r>
        <w:rPr>
          <w:rFonts w:hint="default" w:ascii="Times New Roman" w:hAnsi="宋体" w:eastAsia="宋体"/>
          <w:color w:val="auto"/>
          <w:position w:val="0"/>
          <w:sz w:val="24"/>
          <w:szCs w:val="24"/>
          <w:highlight w:val="none"/>
        </w:rPr>
        <w:t>（4）安全管理体系与措施；</w:t>
      </w:r>
      <w:bookmarkEnd w:id="55"/>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6" w:name="_Toc11563"/>
      <w:r>
        <w:rPr>
          <w:rFonts w:hint="default" w:ascii="Times New Roman" w:hAnsi="宋体" w:eastAsia="宋体"/>
          <w:color w:val="auto"/>
          <w:position w:val="0"/>
          <w:sz w:val="24"/>
          <w:szCs w:val="24"/>
          <w:highlight w:val="none"/>
        </w:rPr>
        <w:t>（5）文明施工、环境保护管理体系及施工现场扬尘治理措施；</w:t>
      </w:r>
      <w:bookmarkEnd w:id="56"/>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（6）工程保证措施；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（7）拟投入资源配备计划；</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（8）施工进度表与网络计划图；</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（9）施工总平面图布置；</w:t>
      </w:r>
    </w:p>
    <w:p>
      <w:pPr>
        <w:numPr>
          <w:ilvl w:val="0"/>
          <w:numId w:val="0"/>
        </w:numPr>
        <w:tabs>
          <w:tab w:val="left" w:pos="1260"/>
        </w:tabs>
        <w:autoSpaceDE w:val="0"/>
        <w:autoSpaceDN w:val="0"/>
        <w:spacing w:before="0" w:after="160" w:line="460" w:lineRule="exact"/>
        <w:ind w:right="0" w:firstLine="24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（10）技术创新的应用措施；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（11）采用新工艺、新技术、新设备、新材料、BIM等的程度；</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（12）施工现场实施信息化监控和数据处理；</w:t>
      </w:r>
    </w:p>
    <w:p>
      <w:pPr>
        <w:pStyle w:val="2"/>
        <w:numPr>
          <w:ilvl w:val="0"/>
          <w:numId w:val="0"/>
        </w:numPr>
        <w:autoSpaceDE/>
        <w:autoSpaceDN/>
        <w:spacing w:before="0" w:after="120" w:line="240" w:lineRule="auto"/>
        <w:ind w:right="0" w:firstLine="480"/>
        <w:jc w:val="both"/>
        <w:rPr>
          <w:rFonts w:hint="default" w:ascii="宋体" w:hAnsi="Times New Roman" w:eastAsia="Times New Roman"/>
          <w:color w:val="auto"/>
          <w:position w:val="0"/>
          <w:sz w:val="34"/>
          <w:szCs w:val="34"/>
          <w:highlight w:val="none"/>
        </w:rPr>
      </w:pPr>
      <w:r>
        <w:rPr>
          <w:rFonts w:hint="default" w:ascii="宋体" w:hAnsi="宋体" w:eastAsia="宋体"/>
          <w:color w:val="auto"/>
          <w:position w:val="0"/>
          <w:sz w:val="24"/>
          <w:szCs w:val="24"/>
          <w:highlight w:val="none"/>
        </w:rPr>
        <w:t>（13）风险管理措施；</w:t>
      </w:r>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3.2 投标报价</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bookmarkStart w:id="57" w:name="OLE_LINK21"/>
      <w:r>
        <w:rPr>
          <w:rFonts w:hint="default" w:ascii="Times New Roman" w:hAnsi="宋体" w:eastAsia="宋体"/>
          <w:color w:val="auto"/>
          <w:position w:val="0"/>
          <w:sz w:val="24"/>
          <w:szCs w:val="24"/>
          <w:highlight w:val="none"/>
        </w:rPr>
        <w:t>3.2.1 投标人应按第五章“工程量清单”的要求填写相应表格。</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3.2.2 投标人在投标截止时间前修改投标函中的投标总报价，应同时修改第五章“工程量清单”中的相应报价。此修改须符合本章第4.3款的有关要求。</w:t>
      </w:r>
      <w:bookmarkEnd w:id="57"/>
    </w:p>
    <w:p>
      <w:pPr>
        <w:numPr>
          <w:ilvl w:val="0"/>
          <w:numId w:val="0"/>
        </w:numPr>
        <w:tabs>
          <w:tab w:val="left" w:pos="1260"/>
        </w:tabs>
        <w:autoSpaceDE w:val="0"/>
        <w:autoSpaceDN w:val="0"/>
        <w:spacing w:before="0" w:after="160" w:line="500" w:lineRule="exact"/>
        <w:ind w:right="0" w:firstLine="480"/>
        <w:jc w:val="left"/>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3.2.3“规费和税金”的规定按照住建部《建设工程工程量清单计价规范》（GB50500-2013）及省住建厅有关规定，规费和税金应按规定费（税）率足额计取，即费（税）率不可竞争。</w:t>
      </w:r>
    </w:p>
    <w:p>
      <w:pPr>
        <w:numPr>
          <w:ilvl w:val="0"/>
          <w:numId w:val="0"/>
        </w:numPr>
        <w:tabs>
          <w:tab w:val="left" w:pos="1260"/>
        </w:tabs>
        <w:autoSpaceDE w:val="0"/>
        <w:autoSpaceDN w:val="0"/>
        <w:spacing w:before="0" w:after="160" w:line="500" w:lineRule="exact"/>
        <w:ind w:right="0" w:firstLine="0"/>
        <w:jc w:val="left"/>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规费、安全文明施工措施费、暂列金额与专业暂估价、增值税计入投标总报价，并在投标函、投标函附录中单列，不参与商务标评审。</w:t>
      </w:r>
    </w:p>
    <w:p>
      <w:pPr>
        <w:numPr>
          <w:ilvl w:val="0"/>
          <w:numId w:val="0"/>
        </w:numPr>
        <w:tabs>
          <w:tab w:val="left" w:pos="3060"/>
        </w:tabs>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3.3 投标有效期</w:t>
      </w:r>
      <w:bookmarkEnd w:id="41"/>
      <w:r>
        <w:rPr>
          <w:rFonts w:hint="default" w:ascii="Times New Roman" w:hAnsi="宋体" w:eastAsia="宋体"/>
          <w:b/>
          <w:color w:val="auto"/>
          <w:position w:val="0"/>
          <w:sz w:val="24"/>
          <w:szCs w:val="24"/>
          <w:highlight w:val="none"/>
        </w:rPr>
        <w:tab/>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3.3.1 在投标人须知前附表规定的投标有效期内，投标人不得要求撤销或修改其投标文件。</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numPr>
          <w:ilvl w:val="0"/>
          <w:numId w:val="0"/>
        </w:numPr>
        <w:tabs>
          <w:tab w:val="left" w:pos="3060"/>
        </w:tabs>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58" w:name="_Toc282436964"/>
      <w:bookmarkStart w:id="59" w:name="_Toc283559960"/>
      <w:r>
        <w:rPr>
          <w:rFonts w:hint="default" w:ascii="Times New Roman" w:hAnsi="宋体" w:eastAsia="宋体"/>
          <w:b/>
          <w:color w:val="auto"/>
          <w:position w:val="0"/>
          <w:sz w:val="24"/>
          <w:szCs w:val="24"/>
          <w:highlight w:val="none"/>
        </w:rPr>
        <w:t xml:space="preserve">3.4 </w:t>
      </w:r>
      <w:bookmarkEnd w:id="58"/>
      <w:r>
        <w:rPr>
          <w:rFonts w:hint="default" w:ascii="Times New Roman" w:hAnsi="宋体" w:eastAsia="宋体"/>
          <w:b/>
          <w:color w:val="auto"/>
          <w:position w:val="0"/>
          <w:sz w:val="24"/>
          <w:szCs w:val="24"/>
          <w:highlight w:val="none"/>
        </w:rPr>
        <w:t>投标保证金</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3.4.1 投标保证金的基本户备案：按《投标人须知前附表》第3.4.2条规定。</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3.4.1.1 自招标文件发布之日起，投标人需进行基本户备案（建设工程项目），已备案的基本户开户银行、账户发生变化的，须重新办理备案手续。备案后方可提交投标（竞买）保证金。</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3.4.1.2 基本户备案流程：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建设项目的投标人登录注册网址：http://ggzy.xuchang.gov.cn，进行系统用户注册，在注册流程中“银行账户”环节，增加“账户类别-基本账户”，填写投标人基本账户信息，扫描上传基本户开户许可证（两者信息必须相符），保存备案信息，提交并绑定CA后可缴纳、绑定投标保证金。</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 投标保证金缴纳：按《投标人须知前附表》第3.4.2条规定。</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使用银行转帐方式的，于截止时间前通过投标人基本账户将款项一次足额递交、成功绑定，以收款人到账时间为准，在途资金无效，视为未按时交纳。同时投标人应承担节假日银行系统不能支付的风险。</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3.4.2.2 投标保证金缴纳方式：</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投标人网上报名后，登录http://ggzy.xuchang.gov.cn系统，依次点击“会员向导”→“参与投标”→“费用缴纳说明”→“保证金缴纳说明单”，获取缴费说明单，根据每个标段的缴纳说明单在缴纳截止时间前缴纳；</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成功缴纳后重新登录前述系统，依次点击“会员向导”→“参与投标”→“保证金绑定”→“绑定”进行投标保证金绑定。</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3.4.2.3 每个投标人每个项目每个标段只有唯一缴纳账号，切勿重复缴纳或错误缴纳。</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3.4.2.4未按上述规定操作引起的无效投标，由投标人自行负责。</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3.4.2.5汇款凭证无须备注项目编号和项目名称。</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3.4.2.6 出现以下情形造成的投标保证金无效，由投标人自行负责。</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(1)投标保证金未从投标人的基本账户转出；</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(2)投标保证金未按照招标文件划分的标段转账。</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3.4.2.7 《保证金缴纳绑定操作指南》获取方法：</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登录许昌公共资源交易系统-组件下载-《保证金缴纳绑定操作指南》</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3.4.3 投标人不按本章第3.4.2项要求提交投标保证金的，拒收其投标文件。</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3.4.4 投标保证金的退还：</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（2）法定期限内未签订书面合同的，按照有关规定向中标人和其他中标候选人退还投标保证金及银行同期活期存款利息。</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（3）项目废标或招标人终止招标的，在此后5个工作日内退还投标保证金及银行同期活期存利息。</w:t>
      </w:r>
      <w:r>
        <w:rPr>
          <w:rFonts w:hint="default" w:ascii="Times New Roman" w:hAnsi="宋体" w:eastAsia="宋体"/>
          <w:color w:val="auto"/>
          <w:position w:val="0"/>
          <w:sz w:val="24"/>
          <w:szCs w:val="24"/>
          <w:highlight w:val="none"/>
        </w:rPr>
        <w:br w:type="textWrapping" w:clear="all"/>
      </w:r>
      <w:r>
        <w:rPr>
          <w:rFonts w:hint="default" w:ascii="Times New Roman" w:hAnsi="宋体" w:eastAsia="宋体"/>
          <w:color w:val="auto"/>
          <w:position w:val="0"/>
          <w:sz w:val="24"/>
          <w:szCs w:val="24"/>
          <w:highlight w:val="none"/>
        </w:rPr>
        <w:t xml:space="preserve">    （4）投标活动中出现质疑、投诉的，中标候选人、质疑人和被质疑人、投诉人和被投诉人的投标保证金暂停退还。</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（5）相关投标人有违法违规行为的项目，其投标保证金暂不退还，待行政监督部门对相关情况处置后，按照有关规定办理。</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（6）因投标人的原因无法及时退还投标（竞买）保证金、滞留三年以上的，投标（竞买）保证金上缴同级国库。</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（7）退还投标保证金，除另有规定外，一般以转账方式一次性退还至投标保证金的原提交账户。</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（8）特殊情况处理</w:t>
      </w:r>
    </w:p>
    <w:p>
      <w:pPr>
        <w:keepNext w:val="0"/>
        <w:keepLines w:val="0"/>
        <w:pageBreakBefore w:val="0"/>
        <w:widowControl/>
        <w:numPr>
          <w:ilvl w:val="0"/>
          <w:numId w:val="0"/>
        </w:numPr>
        <w:tabs>
          <w:tab w:val="left" w:pos="1260"/>
        </w:tabs>
        <w:kinsoku/>
        <w:wordWrap/>
        <w:overflowPunct/>
        <w:topLinePunct w:val="0"/>
        <w:autoSpaceDE w:val="0"/>
        <w:autoSpaceDN w:val="0"/>
        <w:bidi w:val="0"/>
        <w:adjustRightInd/>
        <w:snapToGrid/>
        <w:spacing w:before="0" w:after="160" w:line="360" w:lineRule="auto"/>
        <w:ind w:right="0" w:firstLine="482"/>
        <w:jc w:val="left"/>
        <w:textAlignment w:val="auto"/>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投标过程中因账户开户银行、银行账号发生变化，不能按照来款途径原路返还投标保证金的，投标人须提供原账户开户银行相关证明及新开账户开户许可证，到襄城县公共资源交易中心1209室工程股办理退款手续。</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3.4.5投标人有下列情形之一的，不予退还投标保证金：</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（1）在招标文件要求提交投标文件的截止时间后至投标文件有效期满前撤回投标的；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（2）中标通知书发出后，中标人无故放弃中标项目或无正当理由在规定时间内不与招标人签订合同或未按招标文件规定提交履约担保的；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（3）将中标项目转让给他人，或者在投标文件中未说明，且未经招标人同意，将中标项目分包给他人的；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（4）投标人在招投标活动中弄虚作假、围标串标、骗取中标等，并经招投标行政监督部门调查核实的；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（5）拒绝履行合同义务的；</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（7）相关法律、法规规定不予退还的其它情形。 </w:t>
      </w:r>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3.5 资格审查资料</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3.5.1 “投标人基本情况表”应附投标人营业执照副本、资质证书副本和安全生产许可证等材料的原件扫描件或图片。</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3.5.2 “近年财务状况表”应附经会计师事务所或审计机构审计的财务会计报表，包括资产负债表、现金流量表、利润表和财务情况说明书的原件扫描件或图片，具体年份要求见投标人须知前附表。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3.5.3 “近年完成的类似项目情况表”应附提供施工合同的原件扫描件或图片，具体年份要求见投标人须知前附表。 </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3.5.4 “正在施工和新承接的项目情况表”应附中标通知书和合同协议书的原件扫描件或图片。 </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3.5.5 “近年发生的诉讼及仲裁情况”应说明相关情况，并附法院或仲裁机构作出的判决、裁决等有关法律文书原件扫描件或图片，具体年份要求见投标人须知前附表。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 xml:space="preserve">3.6 </w:t>
      </w:r>
      <w:bookmarkStart w:id="60" w:name="_Toc179632571"/>
      <w:bookmarkStart w:id="61" w:name="_Toc152045553"/>
      <w:bookmarkStart w:id="62" w:name="_Toc144974521"/>
      <w:bookmarkStart w:id="63" w:name="_Toc152042329"/>
      <w:r>
        <w:rPr>
          <w:rFonts w:hint="default" w:ascii="Times New Roman" w:hAnsi="宋体" w:eastAsia="宋体"/>
          <w:b/>
          <w:color w:val="auto"/>
          <w:position w:val="0"/>
          <w:sz w:val="24"/>
          <w:szCs w:val="24"/>
          <w:highlight w:val="none"/>
        </w:rPr>
        <w:t>备选投标方案</w:t>
      </w:r>
      <w:bookmarkEnd w:id="60"/>
      <w:bookmarkEnd w:id="61"/>
      <w:bookmarkEnd w:id="62"/>
      <w:bookmarkEnd w:id="63"/>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3.7 投标文件的编制</w:t>
      </w:r>
      <w:bookmarkEnd w:id="59"/>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3.7.2 投标文件应当对招标文件有关工期、投标有效期、质量要求、招标范围作出响应，否则按无效标处理。</w:t>
      </w:r>
    </w:p>
    <w:p>
      <w:pPr>
        <w:numPr>
          <w:ilvl w:val="0"/>
          <w:numId w:val="0"/>
        </w:numPr>
        <w:tabs>
          <w:tab w:val="left" w:pos="7095"/>
        </w:tabs>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3.7.3 投标人编制的投标文件应分为商务标、综合标和技术标。</w:t>
      </w:r>
    </w:p>
    <w:p>
      <w:pPr>
        <w:numPr>
          <w:ilvl w:val="0"/>
          <w:numId w:val="0"/>
        </w:numPr>
        <w:tabs>
          <w:tab w:val="left" w:pos="7095"/>
        </w:tabs>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3.7.4 投标人登录许昌公共资源交易系统下载“许昌投标文件制作系统SEARUN V1.1”，按招标文件要求制作电子投标文件（包括含工程量清单的商务标投标文件）。</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3.7.5 使用电子介质存储的备份文件</w:t>
      </w:r>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rPr>
        <w:t>份。</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3.7.6 同时生成与电子投标文件内容、水印码、</w:t>
      </w:r>
      <w:r>
        <w:rPr>
          <w:rFonts w:hint="default" w:ascii="Times New Roman" w:hAnsi="宋体" w:eastAsia="宋体"/>
          <w:b/>
          <w:color w:val="auto"/>
          <w:position w:val="0"/>
          <w:sz w:val="24"/>
          <w:szCs w:val="24"/>
          <w:highlight w:val="none"/>
        </w:rPr>
        <w:t>电子签章</w:t>
      </w:r>
      <w:r>
        <w:rPr>
          <w:rFonts w:hint="default" w:ascii="Times New Roman" w:hAnsi="宋体" w:eastAsia="宋体"/>
          <w:color w:val="auto"/>
          <w:position w:val="0"/>
          <w:sz w:val="24"/>
          <w:szCs w:val="24"/>
          <w:highlight w:val="none"/>
        </w:rPr>
        <w:t>一致的PDF文件。</w:t>
      </w:r>
      <w:bookmarkStart w:id="64" w:name="_Toc283559961"/>
    </w:p>
    <w:p>
      <w:pPr>
        <w:numPr>
          <w:ilvl w:val="0"/>
          <w:numId w:val="0"/>
        </w:numPr>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w:t>
      </w:r>
      <w:r>
        <w:rPr>
          <w:rFonts w:hint="default" w:ascii="Times New Roman" w:hAnsi="宋体" w:eastAsia="宋体"/>
          <w:b/>
          <w:color w:val="auto"/>
          <w:position w:val="0"/>
          <w:sz w:val="24"/>
          <w:szCs w:val="24"/>
          <w:highlight w:val="none"/>
        </w:rPr>
        <w:t>3.7.9 商务标投标文件制作注意事项：</w:t>
      </w:r>
    </w:p>
    <w:p>
      <w:pPr>
        <w:numPr>
          <w:ilvl w:val="0"/>
          <w:numId w:val="0"/>
        </w:numPr>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3.7.9.1 投标人登录《全国公共资源交易平台（河南省·许昌市）》公共资源交易系统下载“许昌投标文件制作系统SEARUN V1.1” 和操作手册（工程项目），按招标文件要求制作商务标投标文件。</w:t>
      </w:r>
    </w:p>
    <w:p>
      <w:pPr>
        <w:numPr>
          <w:ilvl w:val="0"/>
          <w:numId w:val="0"/>
        </w:numPr>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3.7.9.2 商务标投标文件制作技术咨询：0374-2961598。</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4. 投标</w:t>
      </w:r>
      <w:bookmarkEnd w:id="64"/>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5" w:name="_Toc283559962"/>
      <w:r>
        <w:rPr>
          <w:rFonts w:hint="default" w:ascii="Times New Roman" w:hAnsi="宋体" w:eastAsia="宋体"/>
          <w:b/>
          <w:color w:val="auto"/>
          <w:position w:val="0"/>
          <w:sz w:val="24"/>
          <w:szCs w:val="24"/>
          <w:highlight w:val="none"/>
        </w:rPr>
        <w:t>4.1 投标文件的密封和标记</w:t>
      </w:r>
      <w:bookmarkEnd w:id="65"/>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4.1.1 使用电子介质存储的投标文件应单独密封，并加盖单位公章，法定代表人或委托代理人签名，在投标截止时间前递交。</w:t>
      </w:r>
    </w:p>
    <w:p>
      <w:pPr>
        <w:numPr>
          <w:ilvl w:val="0"/>
          <w:numId w:val="0"/>
        </w:numPr>
        <w:autoSpaceDE/>
        <w:autoSpaceDN/>
        <w:spacing w:before="0" w:after="160" w:line="42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4.1.2 未按本章第4.1.1项要求密封和加写标记的投标文件，招标人不予受理。</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4.2 投标文件的提交</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4.2.1 投标人应在投标人须知前附表中规定的投标截止时间前成功上传电子投标文件、现场提交电子介质存储的投标文件。</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4.2.2 投标人提交电子介质存储的投标文件地点：见投标人须知前附表。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4.2.3 除投标人须知前附表另有规定外，投标人所提交的电子投标文件、及电子介质存储的投标文件不予退还。</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4.2.4 逾期送达的或者未送达指定地点的电子介质存储的投标文件，招标人不予受理。</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6" w:name="_Toc283559964"/>
      <w:r>
        <w:rPr>
          <w:rFonts w:hint="default" w:ascii="Times New Roman" w:hAnsi="宋体" w:eastAsia="宋体"/>
          <w:b/>
          <w:color w:val="auto"/>
          <w:position w:val="0"/>
          <w:sz w:val="24"/>
          <w:szCs w:val="24"/>
          <w:highlight w:val="none"/>
        </w:rPr>
        <w:t>4.3 投标文件的修改与撤回</w:t>
      </w:r>
      <w:bookmarkEnd w:id="66"/>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4.3.1 在本章第2.2.2 项规定的投标截止时间前，投标人可以修改或撤回已提交的电子投标文件修改或撤回应以书面形式通知招标人。</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4.3.2 投标人修改或撤回已提交电子投标文件的书面通知应按照投标人须知前附表第3.7.3 项的要求签字或盖章。招标人收到书面通知后，向投标人出具签收凭证。</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4.3.3 修改的内容为投标文件的组成部分。修改的电子投标文件应按照本章第3条、第4条规定进行编制、密封、标记和提交，并标明“修改”字样。</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bookmarkStart w:id="67" w:name="_Toc283559967"/>
      <w:r>
        <w:rPr>
          <w:rFonts w:hint="default" w:ascii="宋体" w:hAnsi="宋体" w:eastAsia="宋体"/>
          <w:b/>
          <w:color w:val="auto"/>
          <w:position w:val="0"/>
          <w:sz w:val="24"/>
          <w:szCs w:val="24"/>
          <w:highlight w:val="none"/>
        </w:rPr>
        <w:t>5. 开标</w:t>
      </w:r>
      <w:bookmarkEnd w:id="67"/>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8" w:name="_Toc283559968"/>
      <w:r>
        <w:rPr>
          <w:rFonts w:hint="default" w:ascii="Times New Roman" w:hAnsi="宋体" w:eastAsia="宋体"/>
          <w:b/>
          <w:color w:val="auto"/>
          <w:position w:val="0"/>
          <w:sz w:val="24"/>
          <w:szCs w:val="24"/>
          <w:highlight w:val="none"/>
        </w:rPr>
        <w:t>5.1 开标时间和地点</w:t>
      </w:r>
      <w:bookmarkEnd w:id="68"/>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招标人在投标人须知前附表第2.2.2项规定的投标截止时间（开标时间）和投标人须知前附表规定的地点公开开标，并邀请所有投标人的法定代表人或授权委托人准时参加。</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9" w:name="_Toc283559970"/>
      <w:r>
        <w:rPr>
          <w:rFonts w:hint="default" w:ascii="Times New Roman" w:hAnsi="宋体" w:eastAsia="宋体"/>
          <w:b/>
          <w:color w:val="auto"/>
          <w:position w:val="0"/>
          <w:sz w:val="24"/>
          <w:szCs w:val="24"/>
          <w:highlight w:val="none"/>
        </w:rPr>
        <w:t>5.2 开标、解密、唱标程序</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5.2.1主持人按下列程序进行开标：</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（1）宣布投标截止时间，并公布招标人、代理机构、监督部门名称；</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（2）宣布开标纪律；</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（3）公布在投标截止时间前递交投标文件的投标人名称和投标保证金缴纳情况；</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（4）电子投标文件解密；</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（5）宣布唱标顺序，按已定顺序唱标，唱标内容为：投标人名称、投标报价、质量目标、工期及其他内容，并记录；</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（6）现场抽取参与计算评标基准价的K值并宣布，同时公布招标控制价；</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（7）投标人代表、招标人代表、监标人、记录人等有关人员在开标记录上签字确认；</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（8）开标结束。</w:t>
      </w:r>
    </w:p>
    <w:p>
      <w:pPr>
        <w:numPr>
          <w:ilvl w:val="0"/>
          <w:numId w:val="0"/>
        </w:numPr>
        <w:autoSpaceDE/>
        <w:autoSpaceDN/>
        <w:spacing w:before="0" w:after="160" w:line="24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5.2.2 电子投标文件的解密</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5.2.2.1本项目为全流程电子化交易项目，电子投标文件采用双重加密。在投标截止时间到达后，分标段进行解密。</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(1)投标人解密：投标人使用本单位CA数字证书远程或现场进行解密。需现场使用一体机进行解密的，请在代理机构引导下进行。</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(2)代理机构解密：代理机构按电子投标文件到达交易系统的先后顺序，使用本单位CA数字证书进行再次解密。</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5.2.2.2电子投标文件解密异常情况处理</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（1）因电子交易系统异常无法解密电子投标文件的，以人工方式进行。</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6. 评标</w:t>
      </w:r>
      <w:bookmarkEnd w:id="69"/>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0" w:name="_Toc283559971"/>
      <w:r>
        <w:rPr>
          <w:rFonts w:hint="default" w:ascii="Times New Roman" w:hAnsi="宋体" w:eastAsia="宋体"/>
          <w:b/>
          <w:color w:val="auto"/>
          <w:position w:val="0"/>
          <w:sz w:val="24"/>
          <w:szCs w:val="24"/>
          <w:highlight w:val="none"/>
        </w:rPr>
        <w:t>6.1 评标委员会</w:t>
      </w:r>
      <w:bookmarkEnd w:id="70"/>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6.1.1 评标由招标人依法组建的评标委员会负责。评标委员会成员由相关技术、经济等方面的专家组成，组成人数见投标人须知前附表。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6.1.2 评标委员会成员有下列情形之一的，应当回避：</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（1）招标人或投标人的主要负责人的近亲属；</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（2）项目主管部门或者行政监督部门的人员；</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（3）与投标人有经济利益关系，可能影响对投标公正评审的；</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（4）曾因在招标、评标以及其他与招标投标有关活动中从事违法行为而受过行政处罚或刑事处罚的。</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1" w:name="_Toc283559972"/>
      <w:r>
        <w:rPr>
          <w:rFonts w:hint="default" w:ascii="Times New Roman" w:hAnsi="宋体" w:eastAsia="宋体"/>
          <w:b/>
          <w:color w:val="auto"/>
          <w:position w:val="0"/>
          <w:sz w:val="24"/>
          <w:szCs w:val="24"/>
          <w:highlight w:val="none"/>
        </w:rPr>
        <w:t>6.2 评标原则</w:t>
      </w:r>
      <w:bookmarkEnd w:id="71"/>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评标活动遵循公平、公正、科学和择优的原则。</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2" w:name="_Toc283559973"/>
      <w:r>
        <w:rPr>
          <w:rFonts w:hint="default" w:ascii="Times New Roman" w:hAnsi="宋体" w:eastAsia="宋体"/>
          <w:b/>
          <w:color w:val="auto"/>
          <w:position w:val="0"/>
          <w:sz w:val="24"/>
          <w:szCs w:val="24"/>
          <w:highlight w:val="none"/>
        </w:rPr>
        <w:t>6.3 评标</w:t>
      </w:r>
      <w:bookmarkEnd w:id="72"/>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评标委员会按照第三章“评标办法”规定的方法、评审因素、标准和程序对投标文件进行评审。第三章“评标办法”没有规定的方法、评审因素和标准，不作为评标依据。</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bookmarkStart w:id="73" w:name="_Toc283559974"/>
      <w:r>
        <w:rPr>
          <w:rFonts w:hint="default" w:ascii="宋体" w:hAnsi="宋体" w:eastAsia="宋体"/>
          <w:b/>
          <w:color w:val="auto"/>
          <w:position w:val="0"/>
          <w:sz w:val="24"/>
          <w:szCs w:val="24"/>
          <w:highlight w:val="none"/>
        </w:rPr>
        <w:t>7. 合同授予</w:t>
      </w:r>
      <w:bookmarkEnd w:id="73"/>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4" w:name="_Toc283559975"/>
      <w:r>
        <w:rPr>
          <w:rFonts w:hint="default" w:ascii="Times New Roman" w:hAnsi="宋体" w:eastAsia="宋体"/>
          <w:b/>
          <w:color w:val="auto"/>
          <w:position w:val="0"/>
          <w:sz w:val="24"/>
          <w:szCs w:val="24"/>
          <w:highlight w:val="none"/>
        </w:rPr>
        <w:t>7.1 定标方式</w:t>
      </w:r>
      <w:bookmarkEnd w:id="74"/>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除投标人须知前附表规定评标委员会直接确定中标人外，招标人依据评标委员会推荐的中标候选人确定中标人，评标委员会推荐中标候选人的人数见投标人须知前附表。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5" w:name="_Toc283559976"/>
      <w:r>
        <w:rPr>
          <w:rFonts w:hint="default" w:ascii="Times New Roman" w:hAnsi="宋体" w:eastAsia="宋体"/>
          <w:b/>
          <w:color w:val="auto"/>
          <w:position w:val="0"/>
          <w:sz w:val="24"/>
          <w:szCs w:val="24"/>
          <w:highlight w:val="none"/>
        </w:rPr>
        <w:t>7.2 中标通知</w:t>
      </w:r>
      <w:bookmarkEnd w:id="75"/>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在本章第3.3 款规定的投标有效期内，招标人以书面形式向中标人发出中标通知书，同时将中标结果通知未中标的投标人。</w:t>
      </w:r>
      <w:bookmarkStart w:id="76" w:name="_Toc152042345"/>
      <w:bookmarkStart w:id="77" w:name="_Toc179632587"/>
      <w:bookmarkStart w:id="78" w:name="_Toc152045569"/>
      <w:bookmarkStart w:id="79" w:name="_Toc144974537"/>
    </w:p>
    <w:p>
      <w:pPr>
        <w:numPr>
          <w:ilvl w:val="0"/>
          <w:numId w:val="0"/>
        </w:numPr>
        <w:autoSpaceDE w:val="0"/>
        <w:autoSpaceDN w:val="0"/>
        <w:spacing w:before="0" w:after="160" w:line="360" w:lineRule="auto"/>
        <w:ind w:right="0" w:firstLine="480"/>
        <w:jc w:val="left"/>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b/>
          <w:color w:val="auto"/>
          <w:position w:val="0"/>
          <w:sz w:val="24"/>
          <w:szCs w:val="24"/>
          <w:highlight w:val="none"/>
        </w:rPr>
        <w:t>7.3 履约担保</w:t>
      </w:r>
    </w:p>
    <w:p>
      <w:pPr>
        <w:numPr>
          <w:ilvl w:val="0"/>
          <w:numId w:val="0"/>
        </w:numPr>
        <w:autoSpaceDE w:val="0"/>
        <w:autoSpaceDN w:val="0"/>
        <w:spacing w:before="0" w:after="160" w:line="360" w:lineRule="auto"/>
        <w:ind w:right="0" w:firstLine="480"/>
        <w:jc w:val="left"/>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rPr>
        <w:t>7.3.1 在签订合同前，中标人应按投标人须知前附表规定的金额、担保形式和招标文件第四章“合同条款及格式”规定的履约担保格式向招标人提交履约担保。</w:t>
      </w:r>
    </w:p>
    <w:p>
      <w:pPr>
        <w:numPr>
          <w:ilvl w:val="0"/>
          <w:numId w:val="0"/>
        </w:numPr>
        <w:autoSpaceDE w:val="0"/>
        <w:autoSpaceDN w:val="0"/>
        <w:spacing w:before="0" w:after="160" w:line="360" w:lineRule="auto"/>
        <w:ind w:right="0" w:firstLine="480"/>
        <w:jc w:val="left"/>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rPr>
        <w:t>7.3.2 中标人不能按本章第7.3.1 项要求提交履约担保的，视为放弃中标，其投标保证金不予退还，给招标人造成的损失超过投标保证金数额的，中标人还应当对超过部分予以赔偿。</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7.</w:t>
      </w:r>
      <w:bookmarkEnd w:id="76"/>
      <w:bookmarkEnd w:id="77"/>
      <w:bookmarkEnd w:id="78"/>
      <w:bookmarkEnd w:id="79"/>
      <w:bookmarkStart w:id="80" w:name="_Toc283559977"/>
      <w:r>
        <w:rPr>
          <w:rFonts w:hint="default" w:ascii="Times New Roman" w:hAnsi="宋体" w:eastAsia="宋体"/>
          <w:b/>
          <w:color w:val="auto"/>
          <w:position w:val="0"/>
          <w:sz w:val="24"/>
          <w:szCs w:val="24"/>
          <w:highlight w:val="none"/>
        </w:rPr>
        <w:t>4签订合同</w:t>
      </w:r>
      <w:bookmarkEnd w:id="80"/>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7.4.2 发出中标通知书后，招标人无正当理由拒签合同的，招标人向中标人退还投标保证金；给中标人造成损失的，还应当赔偿损失。</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1" w:name="_Toc283559978"/>
      <w:r>
        <w:rPr>
          <w:rFonts w:hint="default" w:ascii="Times New Roman" w:hAnsi="宋体" w:eastAsia="宋体"/>
          <w:b/>
          <w:color w:val="auto"/>
          <w:position w:val="0"/>
          <w:sz w:val="24"/>
          <w:szCs w:val="24"/>
          <w:highlight w:val="none"/>
        </w:rPr>
        <w:t>8. 重新招标和不再招标</w:t>
      </w:r>
      <w:bookmarkEnd w:id="81"/>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2" w:name="_Toc283559979"/>
      <w:r>
        <w:rPr>
          <w:rFonts w:hint="default" w:ascii="Times New Roman" w:hAnsi="宋体" w:eastAsia="宋体"/>
          <w:b/>
          <w:color w:val="auto"/>
          <w:position w:val="0"/>
          <w:sz w:val="24"/>
          <w:szCs w:val="24"/>
          <w:highlight w:val="none"/>
        </w:rPr>
        <w:t>8.1 重新招标</w:t>
      </w:r>
      <w:bookmarkEnd w:id="82"/>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有下列情形之一的，招标人将重新招标：</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（1）投标截止时间止，投标人少于3个的；</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（2）经评标委员会评审后否决所有投标的。</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3" w:name="_Toc283559980"/>
      <w:r>
        <w:rPr>
          <w:rFonts w:hint="default" w:ascii="Times New Roman" w:hAnsi="宋体" w:eastAsia="宋体"/>
          <w:b/>
          <w:color w:val="auto"/>
          <w:position w:val="0"/>
          <w:sz w:val="24"/>
          <w:szCs w:val="24"/>
          <w:highlight w:val="none"/>
        </w:rPr>
        <w:t>8.2 不再招标</w:t>
      </w:r>
      <w:bookmarkEnd w:id="83"/>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重新招标后投标人仍少于3个，属于必须审批或核准的工程建设项目，经原审批或核准部门批准后不再进行招标。</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bookmarkStart w:id="84" w:name="_Toc283559981"/>
      <w:r>
        <w:rPr>
          <w:rFonts w:hint="default" w:ascii="宋体" w:hAnsi="宋体" w:eastAsia="宋体"/>
          <w:b/>
          <w:color w:val="auto"/>
          <w:position w:val="0"/>
          <w:sz w:val="24"/>
          <w:szCs w:val="24"/>
          <w:highlight w:val="none"/>
        </w:rPr>
        <w:t>9. 纪律和监督</w:t>
      </w:r>
      <w:bookmarkEnd w:id="84"/>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5" w:name="_Toc283559982"/>
      <w:r>
        <w:rPr>
          <w:rFonts w:hint="default" w:ascii="Times New Roman" w:hAnsi="宋体" w:eastAsia="宋体"/>
          <w:b/>
          <w:color w:val="auto"/>
          <w:position w:val="0"/>
          <w:sz w:val="24"/>
          <w:szCs w:val="24"/>
          <w:highlight w:val="none"/>
        </w:rPr>
        <w:t>9.1 对招标人的纪律要求</w:t>
      </w:r>
      <w:bookmarkEnd w:id="85"/>
      <w:r>
        <w:rPr>
          <w:rFonts w:hint="default" w:ascii="Times New Roman" w:hAnsi="宋体" w:eastAsia="宋体"/>
          <w:b/>
          <w:color w:val="auto"/>
          <w:position w:val="0"/>
          <w:sz w:val="24"/>
          <w:szCs w:val="24"/>
          <w:highlight w:val="none"/>
        </w:rPr>
        <w:tab/>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招标人不得泄漏招标投标活动中应当保密的信息和资料，不得与投标人串通损害国家利益、社会公共利益或者他人合法权益。</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6" w:name="_Toc283559983"/>
      <w:r>
        <w:rPr>
          <w:rFonts w:hint="default" w:ascii="Times New Roman" w:hAnsi="宋体" w:eastAsia="宋体"/>
          <w:b/>
          <w:color w:val="auto"/>
          <w:position w:val="0"/>
          <w:sz w:val="24"/>
          <w:szCs w:val="24"/>
          <w:highlight w:val="none"/>
        </w:rPr>
        <w:t>9.2 对投标人的纪律要求</w:t>
      </w:r>
      <w:bookmarkEnd w:id="86"/>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7" w:name="_Toc283559984"/>
      <w:r>
        <w:rPr>
          <w:rFonts w:hint="default" w:ascii="Times New Roman" w:hAnsi="宋体" w:eastAsia="宋体"/>
          <w:b/>
          <w:color w:val="auto"/>
          <w:position w:val="0"/>
          <w:sz w:val="24"/>
          <w:szCs w:val="24"/>
          <w:highlight w:val="none"/>
        </w:rPr>
        <w:t>9.3 对评标委员会成员的纪律要求</w:t>
      </w:r>
      <w:bookmarkEnd w:id="87"/>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8" w:name="_Toc283559985"/>
      <w:r>
        <w:rPr>
          <w:rFonts w:hint="default" w:ascii="Times New Roman" w:hAnsi="宋体" w:eastAsia="宋体"/>
          <w:b/>
          <w:color w:val="auto"/>
          <w:position w:val="0"/>
          <w:sz w:val="24"/>
          <w:szCs w:val="24"/>
          <w:highlight w:val="none"/>
        </w:rPr>
        <w:t>9.4 对与评标活动有关的工作人员的纪律要求</w:t>
      </w:r>
      <w:bookmarkEnd w:id="88"/>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9" w:name="_Toc283559986"/>
      <w:r>
        <w:rPr>
          <w:rFonts w:hint="default" w:ascii="Times New Roman" w:hAnsi="宋体" w:eastAsia="宋体"/>
          <w:b/>
          <w:color w:val="auto"/>
          <w:position w:val="0"/>
          <w:sz w:val="24"/>
          <w:szCs w:val="24"/>
          <w:highlight w:val="none"/>
        </w:rPr>
        <w:t>9.5 投诉</w:t>
      </w:r>
      <w:bookmarkEnd w:id="89"/>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投标人和其他利害关系人认为本次招标活动违反法律、法规和规章规定的，有权向有关行政监督部门投诉。</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bookmarkStart w:id="90" w:name="_Toc283559987"/>
      <w:r>
        <w:rPr>
          <w:rFonts w:hint="default" w:ascii="宋体" w:hAnsi="宋体" w:eastAsia="宋体"/>
          <w:b/>
          <w:color w:val="auto"/>
          <w:position w:val="0"/>
          <w:sz w:val="24"/>
          <w:szCs w:val="24"/>
          <w:highlight w:val="none"/>
        </w:rPr>
        <w:t>10. 需要补充的其他内容</w:t>
      </w:r>
      <w:bookmarkEnd w:id="90"/>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需要补充的其他内容：见投标人须知前附表。</w:t>
      </w:r>
    </w:p>
    <w:p>
      <w:pPr>
        <w:numPr>
          <w:ilvl w:val="0"/>
          <w:numId w:val="0"/>
        </w:numPr>
        <w:autoSpaceDE/>
        <w:autoSpaceDN/>
        <w:spacing w:before="240" w:after="240" w:line="400" w:lineRule="exact"/>
        <w:ind w:right="0" w:firstLine="480"/>
        <w:jc w:val="both"/>
        <w:rPr>
          <w:rFonts w:hint="default" w:ascii="Times New Roman" w:hAnsi="宋体" w:eastAsia="宋体"/>
          <w:color w:val="auto"/>
          <w:position w:val="0"/>
          <w:sz w:val="24"/>
          <w:szCs w:val="24"/>
          <w:highlight w:val="none"/>
        </w:rPr>
      </w:pPr>
      <w:r>
        <w:br w:type="page"/>
      </w:r>
      <w:r>
        <w:rPr>
          <w:rFonts w:hint="default" w:ascii="Times New Roman" w:hAnsi="宋体" w:eastAsia="宋体"/>
          <w:color w:val="auto"/>
          <w:position w:val="0"/>
          <w:sz w:val="24"/>
          <w:szCs w:val="24"/>
          <w:highlight w:val="none"/>
        </w:rPr>
        <w:t>附表一：</w:t>
      </w:r>
    </w:p>
    <w:p>
      <w:pPr>
        <w:numPr>
          <w:ilvl w:val="0"/>
          <w:numId w:val="0"/>
        </w:numPr>
        <w:autoSpaceDE/>
        <w:autoSpaceDN/>
        <w:spacing w:before="240" w:after="240" w:line="400" w:lineRule="exact"/>
        <w:ind w:right="0" w:firstLine="560"/>
        <w:jc w:val="center"/>
        <w:rPr>
          <w:rFonts w:hint="default" w:ascii="Times New Roman" w:hAnsi="宋体" w:eastAsia="宋体"/>
          <w:color w:val="auto"/>
          <w:position w:val="0"/>
          <w:sz w:val="28"/>
          <w:szCs w:val="28"/>
          <w:highlight w:val="none"/>
        </w:rPr>
      </w:pPr>
      <w:r>
        <w:rPr>
          <w:rFonts w:hint="default" w:ascii="Times New Roman" w:hAnsi="宋体" w:eastAsia="宋体"/>
          <w:color w:val="auto"/>
          <w:position w:val="0"/>
          <w:sz w:val="28"/>
          <w:szCs w:val="28"/>
          <w:highlight w:val="none"/>
        </w:rPr>
        <w:t>问题澄清通知</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编号：</w:t>
      </w:r>
      <w:r>
        <w:rPr>
          <w:rFonts w:hint="default" w:ascii="Times New Roman" w:hAnsi="宋体" w:eastAsia="宋体"/>
          <w:color w:val="auto"/>
          <w:position w:val="0"/>
          <w:sz w:val="24"/>
          <w:szCs w:val="24"/>
          <w:highlight w:val="none"/>
          <w:u w:val="single"/>
        </w:rPr>
        <w:t xml:space="preserve">                  </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（投标人名称）：</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（项目名称）招标的评标委员会，对你方的投标文件进行了仔细的审查，现需你方对本通知所附质疑问卷中的问题以书面形式予以澄清、说明或者补正。</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请将上述问题的澄清、说明或者补正于</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年</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月</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日</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时前密封递交至</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 （详细地址）。</w:t>
      </w: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附件：质疑问卷</w:t>
      </w:r>
    </w:p>
    <w:p>
      <w:pPr>
        <w:numPr>
          <w:ilvl w:val="0"/>
          <w:numId w:val="0"/>
        </w:numPr>
        <w:autoSpaceDE/>
        <w:autoSpaceDN/>
        <w:spacing w:before="0" w:after="160" w:line="480" w:lineRule="exact"/>
        <w:ind w:right="0"/>
        <w:jc w:val="both"/>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 xml:space="preserve"> （项目名称）</w:t>
      </w:r>
      <w:r>
        <w:rPr>
          <w:rFonts w:hint="default" w:ascii="Times New Roman" w:hAnsi="Times New Roman" w:eastAsia="Times New Roman"/>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招标评标委员会</w:t>
      </w:r>
    </w:p>
    <w:p>
      <w:pPr>
        <w:numPr>
          <w:ilvl w:val="0"/>
          <w:numId w:val="0"/>
        </w:numPr>
        <w:autoSpaceDE/>
        <w:autoSpaceDN/>
        <w:spacing w:before="0" w:after="160" w:line="480" w:lineRule="exact"/>
        <w:ind w:right="0" w:firstLine="480"/>
        <w:jc w:val="both"/>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rPr>
        <w:t>（经评标委员会授权的招标人代表签字或招标人加盖单位章）</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年</w:t>
      </w: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月</w:t>
      </w: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日</w:t>
      </w: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附表二：问题的澄清</w:t>
      </w:r>
    </w:p>
    <w:p>
      <w:pPr>
        <w:numPr>
          <w:ilvl w:val="0"/>
          <w:numId w:val="0"/>
        </w:numPr>
        <w:autoSpaceDE/>
        <w:autoSpaceDN/>
        <w:spacing w:before="240" w:after="240" w:line="480" w:lineRule="exact"/>
        <w:ind w:right="0" w:firstLine="560"/>
        <w:jc w:val="center"/>
        <w:rPr>
          <w:rFonts w:hint="default" w:ascii="Times New Roman" w:hAnsi="宋体" w:eastAsia="宋体"/>
          <w:color w:val="auto"/>
          <w:position w:val="0"/>
          <w:sz w:val="28"/>
          <w:szCs w:val="28"/>
          <w:highlight w:val="none"/>
        </w:rPr>
      </w:pPr>
      <w:r>
        <w:rPr>
          <w:rFonts w:hint="default" w:ascii="Times New Roman" w:hAnsi="宋体" w:eastAsia="宋体"/>
          <w:color w:val="auto"/>
          <w:position w:val="0"/>
          <w:sz w:val="28"/>
          <w:szCs w:val="28"/>
          <w:highlight w:val="none"/>
        </w:rPr>
        <w:t>问题的澄清、说明或补正</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编号：</w:t>
      </w:r>
      <w:r>
        <w:rPr>
          <w:rFonts w:hint="default" w:ascii="Times New Roman" w:hAnsi="宋体" w:eastAsia="宋体"/>
          <w:color w:val="auto"/>
          <w:position w:val="0"/>
          <w:sz w:val="24"/>
          <w:szCs w:val="24"/>
          <w:highlight w:val="none"/>
          <w:u w:val="single"/>
        </w:rPr>
        <w:t xml:space="preserve">                  </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（项目名称）招标评标委员会：</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问题澄清通知（编号：</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）已收悉，现澄清、说明或者补正如下：</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wordWrap w:val="0"/>
        <w:autoSpaceDE/>
        <w:autoSpaceDN/>
        <w:spacing w:before="0" w:after="160" w:line="480" w:lineRule="exact"/>
        <w:ind w:right="0"/>
        <w:jc w:val="righ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（盖单位章） </w:t>
      </w:r>
    </w:p>
    <w:p>
      <w:pPr>
        <w:numPr>
          <w:ilvl w:val="0"/>
          <w:numId w:val="0"/>
        </w:numPr>
        <w:wordWrap w:val="0"/>
        <w:autoSpaceDE/>
        <w:autoSpaceDN/>
        <w:spacing w:before="120" w:after="120" w:line="480" w:lineRule="exact"/>
        <w:ind w:right="210" w:firstLine="480"/>
        <w:jc w:val="righ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法定代表人或其委托代理人：</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（签字） </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年</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月</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日</w:t>
      </w: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1"/>
          <w:szCs w:val="21"/>
          <w:highlight w:val="none"/>
        </w:rPr>
      </w:pPr>
    </w:p>
    <w:p>
      <w:pPr>
        <w:numPr>
          <w:ilvl w:val="0"/>
          <w:numId w:val="0"/>
        </w:numPr>
        <w:autoSpaceDE/>
        <w:autoSpaceDN/>
        <w:snapToGrid w:val="0"/>
        <w:spacing w:before="0" w:after="160" w:line="360" w:lineRule="auto"/>
        <w:ind w:right="0" w:firstLine="0"/>
        <w:jc w:val="center"/>
        <w:rPr>
          <w:rFonts w:hint="default" w:ascii="Times New Roman" w:hAnsi="宋体" w:eastAsia="宋体"/>
          <w:b/>
          <w:color w:val="auto"/>
          <w:position w:val="0"/>
          <w:sz w:val="36"/>
          <w:szCs w:val="36"/>
          <w:highlight w:val="none"/>
        </w:rPr>
      </w:pPr>
    </w:p>
    <w:p>
      <w:pPr>
        <w:pStyle w:val="6"/>
        <w:numPr>
          <w:ilvl w:val="0"/>
          <w:numId w:val="0"/>
        </w:numPr>
        <w:autoSpaceDE/>
        <w:autoSpaceDN/>
        <w:snapToGrid w:val="0"/>
        <w:spacing w:before="0" w:after="160" w:line="360" w:lineRule="auto"/>
        <w:ind w:right="0" w:firstLine="0"/>
        <w:jc w:val="center"/>
        <w:outlineLvl w:val="0"/>
        <w:rPr>
          <w:rFonts w:hint="default" w:ascii="新宋体" w:hAnsi="新宋体" w:eastAsia="新宋体"/>
          <w:b/>
          <w:color w:val="auto"/>
          <w:position w:val="0"/>
          <w:sz w:val="24"/>
          <w:szCs w:val="24"/>
          <w:highlight w:val="none"/>
        </w:rPr>
      </w:pPr>
      <w:r>
        <w:br w:type="page"/>
      </w:r>
      <w:bookmarkStart w:id="91" w:name="_Toc1109"/>
      <w:bookmarkStart w:id="92" w:name="_Toc20990"/>
      <w:r>
        <w:rPr>
          <w:rFonts w:hint="default" w:ascii="宋体" w:hAnsi="宋体" w:eastAsia="宋体"/>
          <w:b/>
          <w:color w:val="auto"/>
          <w:position w:val="0"/>
          <w:sz w:val="44"/>
          <w:szCs w:val="44"/>
          <w:highlight w:val="none"/>
        </w:rPr>
        <w:t>第三章 评标办法（综合评标法）</w:t>
      </w:r>
      <w:bookmarkEnd w:id="91"/>
      <w:bookmarkEnd w:id="92"/>
    </w:p>
    <w:p>
      <w:pPr>
        <w:numPr>
          <w:ilvl w:val="0"/>
          <w:numId w:val="0"/>
        </w:numPr>
        <w:autoSpaceDE/>
        <w:autoSpaceDN/>
        <w:snapToGrid w:val="0"/>
        <w:spacing w:before="0" w:after="160" w:line="430" w:lineRule="exact"/>
        <w:ind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一、评标应遵循公正、公平、择优的原则严格按照招标文件进行。</w:t>
      </w:r>
    </w:p>
    <w:p>
      <w:pPr>
        <w:numPr>
          <w:ilvl w:val="0"/>
          <w:numId w:val="0"/>
        </w:numPr>
        <w:autoSpaceDE/>
        <w:autoSpaceDN/>
        <w:snapToGrid w:val="0"/>
        <w:spacing w:before="0" w:after="160" w:line="430" w:lineRule="exact"/>
        <w:ind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二、评标由招标人依法组建的评标委员会负责</w:t>
      </w:r>
      <w:r>
        <w:rPr>
          <w:rFonts w:hint="eastAsia" w:ascii="新宋体" w:hAnsi="新宋体" w:eastAsia="新宋体"/>
          <w:color w:val="auto"/>
          <w:position w:val="0"/>
          <w:sz w:val="24"/>
          <w:szCs w:val="24"/>
          <w:highlight w:val="none"/>
          <w:lang w:eastAsia="zh-CN"/>
        </w:rPr>
        <w:t>；</w:t>
      </w:r>
      <w:r>
        <w:rPr>
          <w:rFonts w:hint="default" w:ascii="新宋体" w:hAnsi="新宋体" w:eastAsia="新宋体"/>
          <w:color w:val="auto"/>
          <w:position w:val="0"/>
          <w:sz w:val="24"/>
          <w:szCs w:val="24"/>
          <w:highlight w:val="none"/>
          <w:lang w:val="en-US" w:eastAsia="zh-CN"/>
        </w:rPr>
        <w:t>5</w:t>
      </w:r>
      <w:r>
        <w:rPr>
          <w:rFonts w:hint="default" w:ascii="新宋体" w:hAnsi="新宋体" w:eastAsia="新宋体"/>
          <w:color w:val="auto"/>
          <w:position w:val="0"/>
          <w:sz w:val="24"/>
          <w:szCs w:val="24"/>
          <w:highlight w:val="none"/>
        </w:rPr>
        <w:t>人，招标人代表</w:t>
      </w:r>
      <w:r>
        <w:rPr>
          <w:rFonts w:hint="default" w:ascii="新宋体" w:hAnsi="新宋体" w:eastAsia="新宋体"/>
          <w:color w:val="auto"/>
          <w:position w:val="0"/>
          <w:sz w:val="24"/>
          <w:szCs w:val="24"/>
          <w:highlight w:val="none"/>
          <w:lang w:val="en-US" w:eastAsia="zh-CN"/>
        </w:rPr>
        <w:t>1</w:t>
      </w:r>
      <w:r>
        <w:rPr>
          <w:rFonts w:hint="default" w:ascii="新宋体" w:hAnsi="新宋体" w:eastAsia="新宋体"/>
          <w:color w:val="auto"/>
          <w:position w:val="0"/>
          <w:sz w:val="24"/>
          <w:szCs w:val="24"/>
          <w:highlight w:val="none"/>
        </w:rPr>
        <w:t>人和从河南省综合评标专家库中随机抽取</w:t>
      </w:r>
      <w:r>
        <w:rPr>
          <w:rFonts w:hint="default" w:ascii="新宋体" w:hAnsi="新宋体" w:eastAsia="新宋体"/>
          <w:color w:val="auto"/>
          <w:position w:val="0"/>
          <w:sz w:val="24"/>
          <w:szCs w:val="24"/>
          <w:highlight w:val="none"/>
          <w:lang w:val="en-US" w:eastAsia="zh-CN"/>
        </w:rPr>
        <w:t>4</w:t>
      </w:r>
      <w:r>
        <w:rPr>
          <w:rFonts w:hint="default" w:ascii="新宋体" w:hAnsi="新宋体" w:eastAsia="新宋体"/>
          <w:color w:val="auto"/>
          <w:position w:val="0"/>
          <w:sz w:val="24"/>
          <w:szCs w:val="24"/>
          <w:highlight w:val="none"/>
        </w:rPr>
        <w:t>人（其中注册造价工程师不少于</w:t>
      </w:r>
      <w:r>
        <w:rPr>
          <w:rFonts w:hint="default" w:ascii="新宋体" w:hAnsi="新宋体" w:eastAsia="新宋体"/>
          <w:color w:val="auto"/>
          <w:position w:val="0"/>
          <w:sz w:val="24"/>
          <w:szCs w:val="24"/>
          <w:highlight w:val="none"/>
          <w:lang w:val="en-US" w:eastAsia="zh-CN"/>
        </w:rPr>
        <w:t>2</w:t>
      </w:r>
      <w:r>
        <w:rPr>
          <w:rFonts w:hint="default" w:ascii="新宋体" w:hAnsi="新宋体" w:eastAsia="新宋体"/>
          <w:color w:val="auto"/>
          <w:position w:val="0"/>
          <w:sz w:val="24"/>
          <w:szCs w:val="24"/>
          <w:highlight w:val="none"/>
        </w:rPr>
        <w:t>人），其中评标委员会的组成人员中工程造价专家应不少于五分之二，与投标人有利害关系的专家不得进入评标委员会。</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三、</w:t>
      </w:r>
      <w:r>
        <w:rPr>
          <w:rFonts w:hint="default" w:ascii="新宋体" w:hAnsi="新宋体" w:eastAsia="新宋体"/>
          <w:color w:val="auto"/>
          <w:position w:val="0"/>
          <w:sz w:val="24"/>
          <w:szCs w:val="24"/>
          <w:highlight w:val="none"/>
        </w:rPr>
        <w:t>评标采用综合评标法，是指评标委员会根据招标文件要求，应从技术标、商务标、综合标三部分进行综合评审</w:t>
      </w:r>
      <w:r>
        <w:rPr>
          <w:rFonts w:hint="default" w:ascii="Times New Roman" w:hAnsi="宋体" w:eastAsia="宋体"/>
          <w:color w:val="auto"/>
          <w:position w:val="0"/>
          <w:sz w:val="24"/>
          <w:szCs w:val="24"/>
          <w:highlight w:val="none"/>
        </w:rPr>
        <w:t>。</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四、评标程序为：</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（一）清标；</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（二）初步评审；</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（三）详细评审；</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（四）问题的澄清、说明或补正；</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（五）推荐中标候选人；</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（六）评标现场宣布中标候选人确定结果并在指定媒体上进行公示。</w:t>
      </w:r>
    </w:p>
    <w:p>
      <w:pPr>
        <w:numPr>
          <w:ilvl w:val="0"/>
          <w:numId w:val="0"/>
        </w:numPr>
        <w:autoSpaceDE/>
        <w:autoSpaceDN/>
        <w:snapToGrid w:val="0"/>
        <w:spacing w:before="0" w:after="160" w:line="430" w:lineRule="exact"/>
        <w:ind w:right="0" w:firstLine="480"/>
        <w:jc w:val="both"/>
        <w:rPr>
          <w:rFonts w:hint="default" w:ascii="新宋体" w:hAnsi="新宋体" w:eastAsia="新宋体"/>
          <w:b/>
          <w:color w:val="auto"/>
          <w:position w:val="0"/>
          <w:sz w:val="24"/>
          <w:szCs w:val="24"/>
          <w:highlight w:val="none"/>
        </w:rPr>
      </w:pPr>
      <w:r>
        <w:rPr>
          <w:rFonts w:hint="default" w:ascii="Times New Roman" w:hAnsi="宋体" w:eastAsia="宋体"/>
          <w:color w:val="auto"/>
          <w:position w:val="0"/>
          <w:sz w:val="24"/>
          <w:szCs w:val="24"/>
          <w:highlight w:val="none"/>
        </w:rPr>
        <w:t>五、清标</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 xml:space="preserve">评标委员会按招标文件及商务标清标内容（附件1）要求对投标文件的符合性、响应性、资格条件和重大偏差等逐一进行评审。初步评审主要包括以下内容：  </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（一）电子投标文件是否按招标文件要求签字盖章（无需逐页签字盖章）；</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（二）投标联合体是否提交共同投标协议（允许联合体投标的）；</w:t>
      </w:r>
    </w:p>
    <w:p>
      <w:pPr>
        <w:numPr>
          <w:ilvl w:val="0"/>
          <w:numId w:val="0"/>
        </w:numPr>
        <w:autoSpaceDE/>
        <w:autoSpaceDN/>
        <w:spacing w:before="0" w:after="160" w:line="440" w:lineRule="exact"/>
        <w:ind w:right="0" w:firstLine="480"/>
        <w:jc w:val="both"/>
        <w:rPr>
          <w:rFonts w:hint="eastAsia" w:hAnsi="宋体" w:eastAsia="宋体"/>
          <w:sz w:val="24"/>
        </w:rPr>
      </w:pPr>
      <w:r>
        <w:rPr>
          <w:rFonts w:hint="default" w:ascii="新宋体" w:hAnsi="新宋体" w:eastAsia="新宋体"/>
          <w:color w:val="auto"/>
          <w:position w:val="0"/>
          <w:sz w:val="24"/>
          <w:szCs w:val="24"/>
        </w:rPr>
        <w:t>（三）投标人是否符合国家或者招标文件规定的资格条件，注册建造师注册单位与投标人是否一致；</w:t>
      </w:r>
      <w:r>
        <w:rPr>
          <w:rFonts w:hint="eastAsia" w:hAnsi="宋体" w:eastAsia="宋体"/>
          <w:sz w:val="24"/>
        </w:rPr>
        <w:t xml:space="preserve">  </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eastAsia" w:hAnsi="宋体" w:eastAsia="宋体"/>
          <w:sz w:val="24"/>
        </w:rPr>
        <w:t>（四）投标人是否按招标文件要求缴纳投标保证金或提供投标保函；</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五</w:t>
      </w:r>
      <w:r>
        <w:rPr>
          <w:rFonts w:hint="default" w:ascii="新宋体" w:hAnsi="新宋体" w:eastAsia="新宋体"/>
          <w:color w:val="auto"/>
          <w:position w:val="0"/>
          <w:sz w:val="24"/>
          <w:szCs w:val="24"/>
        </w:rPr>
        <w:t xml:space="preserve">）同一投标人是否提交两个以上不同的投标文件或者投标报价，但招标文件要求提交备选投标的除外； </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六</w:t>
      </w:r>
      <w:r>
        <w:rPr>
          <w:rFonts w:hint="default" w:ascii="新宋体" w:hAnsi="新宋体" w:eastAsia="新宋体"/>
          <w:color w:val="auto"/>
          <w:position w:val="0"/>
          <w:sz w:val="24"/>
          <w:szCs w:val="24"/>
        </w:rPr>
        <w:t>）投标报价是否高于招标文件设定的最高投标限价；</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七</w:t>
      </w:r>
      <w:r>
        <w:rPr>
          <w:rFonts w:hint="default" w:ascii="新宋体" w:hAnsi="新宋体" w:eastAsia="新宋体"/>
          <w:color w:val="auto"/>
          <w:position w:val="0"/>
          <w:sz w:val="24"/>
          <w:szCs w:val="24"/>
        </w:rPr>
        <w:t>）投标范围、工期、工程质量、投标有效期、付款方式是否符合招标文件规定；</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八</w:t>
      </w:r>
      <w:r>
        <w:rPr>
          <w:rFonts w:hint="default" w:ascii="新宋体" w:hAnsi="新宋体" w:eastAsia="新宋体"/>
          <w:color w:val="auto"/>
          <w:position w:val="0"/>
          <w:sz w:val="24"/>
          <w:szCs w:val="24"/>
        </w:rPr>
        <w:t>）投标人是否有串通投标、弄虚作假、行贿等违法行为。</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九</w:t>
      </w:r>
      <w:r>
        <w:rPr>
          <w:rFonts w:hint="default" w:ascii="新宋体" w:hAnsi="新宋体" w:eastAsia="新宋体"/>
          <w:color w:val="auto"/>
          <w:position w:val="0"/>
          <w:sz w:val="24"/>
          <w:szCs w:val="24"/>
        </w:rPr>
        <w:t>）评标委员会在评标过程中，发现投标文件中除不符合法律法规规定的情形外，还存在下列情况之一的，也可按否决投标处理。</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（1）未按招标文件规定编制各项报价的；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（2）投标报价与其组成部分、工程量清单项目合价与综合单价、综合单价与人材机用量相互矛盾，致使评标委员会无法正常评审判定的；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（3）规费和安全文明施工费违反工程造价计价有关规定的；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（4）分部分项工程项目、措施项目报价中的项目编码、项目名称、项目特征、计量单位和工程量与招标文件的清单不一致的；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（5）未按照招标文件所列明的暂列金额、暂估价编制投标报价的；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（6）住房和城乡建设部《标准施工招标文件》规定的其他否决投标条件。</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numPr>
          <w:ilvl w:val="0"/>
          <w:numId w:val="0"/>
        </w:numPr>
        <w:autoSpaceDE/>
        <w:autoSpaceDN/>
        <w:spacing w:before="0" w:after="160" w:line="360" w:lineRule="auto"/>
        <w:ind w:right="0" w:firstLine="480"/>
        <w:jc w:val="both"/>
        <w:rPr>
          <w:rFonts w:hint="default" w:ascii="新宋体" w:hAnsi="新宋体" w:eastAsia="新宋体"/>
          <w:b/>
          <w:color w:val="auto"/>
          <w:position w:val="0"/>
          <w:sz w:val="24"/>
          <w:szCs w:val="24"/>
        </w:rPr>
      </w:pPr>
      <w:r>
        <w:rPr>
          <w:rFonts w:hint="default" w:ascii="Times New Roman" w:hAnsi="宋体" w:eastAsia="宋体"/>
          <w:b/>
          <w:color w:val="auto"/>
          <w:position w:val="0"/>
          <w:sz w:val="24"/>
          <w:szCs w:val="24"/>
        </w:rPr>
        <w:t>备注：不同投标人电子投标文件记录的网卡MAC地址、CPU序号、硬盘序列号等硬件特征码均</w:t>
      </w:r>
      <w:r>
        <w:rPr>
          <w:rFonts w:hint="eastAsia" w:hAnsi="宋体" w:eastAsia="宋体"/>
          <w:b/>
          <w:color w:val="auto"/>
          <w:position w:val="0"/>
          <w:sz w:val="24"/>
          <w:szCs w:val="24"/>
          <w:lang w:val="en-US" w:eastAsia="zh-CN"/>
        </w:rPr>
        <w:t>一致</w:t>
      </w:r>
      <w:r>
        <w:rPr>
          <w:rFonts w:hint="default" w:ascii="Times New Roman" w:hAnsi="宋体" w:eastAsia="宋体"/>
          <w:b/>
          <w:color w:val="auto"/>
          <w:position w:val="0"/>
          <w:sz w:val="24"/>
          <w:szCs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（九）商务标清标内容。</w:t>
      </w:r>
    </w:p>
    <w:tbl>
      <w:tblPr>
        <w:tblStyle w:val="31"/>
        <w:tblW w:w="0" w:type="auto"/>
        <w:jc w:val="center"/>
        <w:tblLayout w:type="autofit"/>
        <w:tblCellMar>
          <w:top w:w="0" w:type="dxa"/>
          <w:left w:w="108" w:type="dxa"/>
          <w:bottom w:w="0" w:type="dxa"/>
          <w:right w:w="108" w:type="dxa"/>
        </w:tblCellMar>
      </w:tblPr>
      <w:tblGrid>
        <w:gridCol w:w="434"/>
        <w:gridCol w:w="598"/>
        <w:gridCol w:w="3156"/>
        <w:gridCol w:w="4174"/>
        <w:gridCol w:w="756"/>
        <w:gridCol w:w="736"/>
      </w:tblGrid>
      <w:tr>
        <w:tblPrEx>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序号</w:t>
            </w:r>
          </w:p>
        </w:tc>
        <w:tc>
          <w:tcPr>
            <w:tcW w:w="3340" w:type="dxa"/>
            <w:vMerge w:val="restart"/>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清标内容</w:t>
            </w:r>
          </w:p>
        </w:tc>
        <w:tc>
          <w:tcPr>
            <w:tcW w:w="1540" w:type="dxa"/>
            <w:gridSpan w:val="2"/>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清标结果</w:t>
            </w:r>
          </w:p>
        </w:tc>
      </w:tr>
      <w:tr>
        <w:tblPrEx>
          <w:tblCellMar>
            <w:top w:w="0" w:type="dxa"/>
            <w:left w:w="108" w:type="dxa"/>
            <w:bottom w:w="0" w:type="dxa"/>
            <w:right w:w="108" w:type="dxa"/>
          </w:tblCellMar>
        </w:tblPrEx>
        <w:trPr>
          <w:trHeight w:val="282"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3340" w:type="dxa"/>
            <w:vMerge w:val="continue"/>
            <w:tcBorders>
              <w:top w:val="single" w:color="auto" w:sz="4" w:space="0"/>
              <w:left w:val="nil"/>
              <w:bottom w:val="single" w:color="auto" w:sz="4" w:space="0"/>
              <w:right w:val="single" w:color="auto" w:sz="4" w:space="0"/>
            </w:tcBorders>
            <w:vAlign w:val="center"/>
          </w:tcPr>
          <w:p/>
        </w:tc>
        <w:tc>
          <w:tcPr>
            <w:tcW w:w="4442" w:type="dxa"/>
            <w:vMerge w:val="continue"/>
            <w:tcBorders>
              <w:top w:val="single" w:color="auto" w:sz="4" w:space="0"/>
              <w:left w:val="nil"/>
              <w:bottom w:val="single" w:color="auto" w:sz="4" w:space="0"/>
              <w:right w:val="single" w:color="auto" w:sz="4" w:space="0"/>
            </w:tcBorders>
            <w:vAlign w:val="center"/>
          </w:tcP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w:t>
            </w: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否</w:t>
            </w:r>
          </w:p>
        </w:tc>
      </w:tr>
      <w:tr>
        <w:tblPrEx>
          <w:tblCellMar>
            <w:top w:w="0" w:type="dxa"/>
            <w:left w:w="108" w:type="dxa"/>
            <w:bottom w:w="0" w:type="dxa"/>
            <w:right w:w="108" w:type="dxa"/>
          </w:tblCellMar>
        </w:tblPrEx>
        <w:trPr>
          <w:trHeight w:val="473"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1.1</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项目总报价</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23" w:hRule="atLeas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1.2</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单项工程费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1.3</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单位工程费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641"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2.1</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75"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2.2</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2.3</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2.4</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2.5</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8"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2.6</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2.7</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2.8</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材料单价</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85"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3.1</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安全文明施工费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3.2</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4.1</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其它项目费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4.2</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暂列金额</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4.3</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专业工程暂估价</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4.4</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计日工</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应与招标人数量一致</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4.5</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总承包服务费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是否按招标文件要求计算</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5</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规费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6</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增值税</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7</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782" w:type="dxa"/>
            <w:gridSpan w:val="2"/>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bl>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注：不在上述范围内且不具有实质性影响的内容，均不能作为清标的依据或理由。</w:t>
      </w:r>
    </w:p>
    <w:p>
      <w:pPr>
        <w:numPr>
          <w:ilvl w:val="0"/>
          <w:numId w:val="0"/>
        </w:numPr>
        <w:autoSpaceDE/>
        <w:autoSpaceDN/>
        <w:snapToGrid w:val="0"/>
        <w:spacing w:before="0" w:after="160" w:line="360" w:lineRule="auto"/>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初步评审经审查后应写出评审意见。</w:t>
      </w:r>
    </w:p>
    <w:p>
      <w:pPr>
        <w:numPr>
          <w:ilvl w:val="0"/>
          <w:numId w:val="0"/>
        </w:numPr>
        <w:autoSpaceDE/>
        <w:autoSpaceDN/>
        <w:snapToGrid w:val="0"/>
        <w:spacing w:before="0" w:after="160" w:line="360" w:lineRule="auto"/>
        <w:ind w:right="0" w:firstLine="480"/>
        <w:jc w:val="both"/>
        <w:rPr>
          <w:rFonts w:hint="default" w:ascii="Times New Roman" w:hAnsi="宋体" w:eastAsia="宋体"/>
          <w:color w:val="auto"/>
          <w:position w:val="0"/>
          <w:sz w:val="24"/>
          <w:szCs w:val="24"/>
        </w:rPr>
      </w:pPr>
      <w:r>
        <w:rPr>
          <w:rFonts w:hint="default" w:ascii="新宋体" w:hAnsi="新宋体" w:eastAsia="新宋体"/>
          <w:b/>
          <w:color w:val="auto"/>
          <w:position w:val="0"/>
          <w:sz w:val="24"/>
          <w:szCs w:val="24"/>
        </w:rPr>
        <w:t>六、</w:t>
      </w:r>
      <w:r>
        <w:rPr>
          <w:rFonts w:hint="default" w:ascii="Times New Roman" w:hAnsi="宋体" w:eastAsia="宋体"/>
          <w:b/>
          <w:color w:val="auto"/>
          <w:position w:val="0"/>
          <w:sz w:val="24"/>
          <w:szCs w:val="24"/>
        </w:rPr>
        <w:t>详细评审</w:t>
      </w:r>
    </w:p>
    <w:p>
      <w:pPr>
        <w:numPr>
          <w:ilvl w:val="0"/>
          <w:numId w:val="0"/>
        </w:numPr>
        <w:autoSpaceDE/>
        <w:autoSpaceDN/>
        <w:snapToGrid w:val="0"/>
        <w:spacing w:before="0" w:after="160" w:line="36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w:t>
      </w:r>
      <w:r>
        <w:rPr>
          <w:rFonts w:hint="default" w:ascii="Times New Roman" w:hAnsi="宋体" w:eastAsia="宋体"/>
          <w:b/>
          <w:color w:val="auto"/>
          <w:position w:val="0"/>
          <w:sz w:val="24"/>
          <w:szCs w:val="24"/>
        </w:rPr>
        <w:t>（一）技术标（25分）</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58"/>
        <w:gridCol w:w="1250"/>
        <w:gridCol w:w="1160"/>
        <w:gridCol w:w="5081"/>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序号</w:t>
            </w:r>
          </w:p>
        </w:tc>
        <w:tc>
          <w:tcPr>
            <w:tcW w:w="1276"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内容</w:t>
            </w:r>
          </w:p>
        </w:tc>
        <w:tc>
          <w:tcPr>
            <w:tcW w:w="117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分值</w:t>
            </w:r>
          </w:p>
        </w:tc>
        <w:tc>
          <w:tcPr>
            <w:tcW w:w="5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评审标准</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w:t>
            </w:r>
          </w:p>
        </w:tc>
        <w:tc>
          <w:tcPr>
            <w:tcW w:w="1276"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内容完整性</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0-0.5分</w:t>
            </w:r>
          </w:p>
        </w:tc>
        <w:tc>
          <w:tcPr>
            <w:tcW w:w="5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技术标的主要内容具有完整性，符合招标文件的要求。</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技术标不符合招标文件要求。</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主要施工方案与技术措施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1-3分</w:t>
            </w: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施工方案（含工程特点、施工重点与难点及绿色施工）总体安排合理，运用先进、合理的施工工艺、施工机械；对施工难点有先进和合理的建议。</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施工方案（含工程特点、施工重点与难点及绿色施工）总体安排合理，施工工艺、施工机械合理、可行；对施工难点有合理的建议。</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质量管理体系与措施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204" w:type="dxa"/>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4</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安全管理体系与措施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1-2分</w:t>
            </w:r>
          </w:p>
        </w:tc>
        <w:tc>
          <w:tcPr>
            <w:tcW w:w="5204" w:type="dxa"/>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4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5</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文明施工、环境保护管理体系及施工现场扬尘治理措施  </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1-3分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6</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工期保证措施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工期承诺满足招标文件要求，工期保证措施合理且有针对性，有具体的违约责任承诺。</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工期承诺满足招标文件要求，工期保证措施基本合理，有具体的违约责任承诺。</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7</w:t>
            </w:r>
          </w:p>
        </w:tc>
        <w:tc>
          <w:tcPr>
            <w:tcW w:w="1276"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拟投入资源配备计划</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0.5-2分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1.机械：投入计划与进度计划呼应，采用先进机械设备且配置合理、先进，满足安全技术规范和施工进度需要；PC构件运输、安装设备满足施工要求；</w:t>
            </w:r>
          </w:p>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2.劳动力：投入计划与进度计划呼应，较好满足施工需要，调配投入计划合理、准确；</w:t>
            </w:r>
          </w:p>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3.主要物资计划：主要物资（含PC构件的供应需求）投入计划与进度计划呼应，较好满足施工需要，调配投入计划合理、准确。</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1.机械：投入计划与进度计划呼应，机械设备配置基本合理，满足安全技术规范和施工进度需要；</w:t>
            </w:r>
          </w:p>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2.劳动力：投入计划与进度计划呼应，基本满足施工需要，调配投入计划基本合理；</w:t>
            </w:r>
          </w:p>
          <w:p>
            <w:pPr>
              <w:numPr>
                <w:ilvl w:val="0"/>
                <w:numId w:val="0"/>
              </w:numPr>
              <w:autoSpaceDE/>
              <w:autoSpaceDN/>
              <w:spacing w:before="0" w:after="160" w:line="300" w:lineRule="exact"/>
              <w:ind w:right="0" w:firstLine="0"/>
              <w:jc w:val="both"/>
              <w:rPr>
                <w:rFonts w:hint="default" w:ascii="Times New Roman" w:hAnsi="宋体" w:eastAsia="宋体"/>
                <w:color w:val="auto"/>
                <w:spacing w:val="-4"/>
                <w:position w:val="0"/>
                <w:sz w:val="24"/>
                <w:szCs w:val="24"/>
              </w:rPr>
            </w:pPr>
            <w:r>
              <w:rPr>
                <w:rFonts w:hint="default" w:ascii="Times New Roman" w:hAnsi="宋体" w:eastAsia="宋体"/>
                <w:color w:val="auto"/>
                <w:spacing w:val="-4"/>
                <w:position w:val="0"/>
                <w:sz w:val="24"/>
                <w:szCs w:val="24"/>
              </w:rPr>
              <w:t>3.主要物资计划：主要物资（含PC构件的供应需求）投入计划与进度计划呼应，基本满足施工需要，调配投入计划基本合理。</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8</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施工进度表与网络计划图</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0.5-2分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关键线路清晰、准确、完整、计划编制合理、可行、满足招标文件对工期的要求。</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关键线路基本准确，计划编制基本可行。</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9</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施工总平面图布置</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0.5-1分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总体布置有针对性、合理、能较好满足施工需要，符合安全、文明施工要求；材料堆放有序。</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总体布置基本合理、基本满足施工需要。</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10</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技术创新的应用实施措施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（1）节能减排、（2）绿色施工、（3）工艺创新、（4）装配式建筑等技术创新的应用实施措施符合工程情况，具有针对性、可行性、经济适用性。</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spacing w:val="-8"/>
                <w:position w:val="0"/>
                <w:sz w:val="24"/>
                <w:szCs w:val="24"/>
              </w:rPr>
              <w:t>（1）节能减排、（2）绿色施工、（3）工艺创新、（4）装配式建筑等技术创新的应用实施措施基本符合工程情况，具有针</w:t>
            </w:r>
            <w:r>
              <w:rPr>
                <w:rFonts w:hint="default" w:ascii="Times New Roman" w:hAnsi="宋体" w:eastAsia="宋体"/>
                <w:color w:val="auto"/>
                <w:position w:val="0"/>
                <w:sz w:val="24"/>
                <w:szCs w:val="24"/>
              </w:rPr>
              <w:t>对性。</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11</w:t>
            </w:r>
          </w:p>
        </w:tc>
        <w:tc>
          <w:tcPr>
            <w:tcW w:w="1276"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采用新工艺、新技术、新设备、新材料、BIM等的程度</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采用新工艺、新技术、新设备、新材料、BIM等的程度满足设计要求，符合施工需要和相应技术标准等规定，经济适用。</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采用新工艺、新技术、新设备、新材料、BIM等的程度满足设计要求， 基本符合施工要求和相应技术标准等规定。</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w:t>
            </w:r>
          </w:p>
        </w:tc>
        <w:tc>
          <w:tcPr>
            <w:tcW w:w="1276"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施工现场实施信息化监控和数据处理</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0.5-1.5分</w:t>
            </w: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施工现场实施信息化监控和数据处理系统布置合理，满足需要。</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施工现场实施信息化监控和数据处理系统布置基本符合需要。</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0.5＜得分≤1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13</w:t>
            </w:r>
          </w:p>
        </w:tc>
        <w:tc>
          <w:tcPr>
            <w:tcW w:w="1276"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风险管理措施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风险防控管理措施齐全，风险预控符合规范要求，风险控制要点定位准确，各阶段风险控制及应急措施得力。</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风险防控管理措施基本齐全，风险预控符合规范要求，风险控制要点定位基本准确，有各阶段风险控制及应急措施。</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43" w:type="dxa"/>
            <w:gridSpan w:val="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合计</w:t>
            </w:r>
          </w:p>
        </w:tc>
        <w:tc>
          <w:tcPr>
            <w:tcW w:w="117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10-25分</w:t>
            </w: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10≤得分≤25</w:t>
            </w:r>
          </w:p>
        </w:tc>
      </w:tr>
    </w:tbl>
    <w:p>
      <w:pPr>
        <w:pStyle w:val="2"/>
        <w:numPr>
          <w:ilvl w:val="0"/>
          <w:numId w:val="0"/>
        </w:numPr>
        <w:autoSpaceDE/>
        <w:autoSpaceDN/>
        <w:spacing w:before="0" w:after="120" w:line="240" w:lineRule="auto"/>
        <w:ind w:right="0" w:firstLine="240"/>
        <w:jc w:val="both"/>
        <w:rPr>
          <w:rFonts w:hint="default" w:ascii="宋体" w:hAnsi="Times New Roman" w:eastAsia="Times New Roman"/>
          <w:color w:val="auto"/>
          <w:position w:val="0"/>
          <w:sz w:val="34"/>
          <w:szCs w:val="34"/>
        </w:rPr>
      </w:pPr>
      <w:r>
        <w:rPr>
          <w:rFonts w:hint="default" w:ascii="宋体" w:hAnsi="宋体" w:eastAsia="宋体"/>
          <w:color w:val="auto"/>
          <w:position w:val="0"/>
          <w:sz w:val="24"/>
          <w:szCs w:val="24"/>
        </w:rPr>
        <w:t xml:space="preserve">  以上项目若有缺项，该项为0分。</w:t>
      </w:r>
    </w:p>
    <w:p>
      <w:pPr>
        <w:numPr>
          <w:ilvl w:val="0"/>
          <w:numId w:val="0"/>
        </w:numPr>
        <w:autoSpaceDE/>
        <w:autoSpaceDN/>
        <w:snapToGrid w:val="0"/>
        <w:spacing w:before="0" w:after="160" w:line="360" w:lineRule="auto"/>
        <w:ind w:right="0" w:firstLine="0"/>
        <w:jc w:val="both"/>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 xml:space="preserve">   （二）商务标（50分）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1.投标报价的评审，共计30分。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工程量清单报价评标基准价计算公式为：</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评标基准价＝最高投标限价×K+投标报价×（1－K）。</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其中：K为最高投标限价权重系数，取值范围为0.3≤K≤0.5，在开标现场随机抽取。K值在取值区间内间隔为0.1，由招标人确定。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2.分部分项工程项目清单单价评审，共计10分。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从最高投标限价中分部分项工程项目权重最大的前10-30项清单项目中抽取15项，在剩余的分部分项工程项目清单项目中抽取5项。</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综合单价基准值是以各有效投标报价中（当有效投标人5名及以上时，去掉1个最高、1个最低值）对应抽取清单项目综合单价的算术平均值。</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投标人报价在综合单价基准值95%–103%范围内（不含95%和103%）的，每项得0.5分；在综合单价基准值90%–95%范围内（含90%和95%）每项得0.25分。满分共计10分。超出该范围的不得分。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3.措施项目费的评审（不含安全文明措施费），共计5分。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4.主要材料单价的评审，共计5分。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从最高投标限价中材料总价权重最大的前10-20项材料中抽取6项，在剩余材料中抽取4项。</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主要材料单价基准值是以各有效投标报价中（当有效投标人5名及以上时，去掉1个最高、1个最低值）对应抽取材料单价的算术平均值。</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当投标人报价在材料单价基准值95%–103%范围内（不含95%和103%）每项得0.5分，在材料单价基准值90%–95%范围内（含90%和95%）每项得0.25分。超出该范围的不得分。</w:t>
      </w:r>
    </w:p>
    <w:p>
      <w:pPr>
        <w:numPr>
          <w:ilvl w:val="0"/>
          <w:numId w:val="0"/>
        </w:numPr>
        <w:autoSpaceDE/>
        <w:autoSpaceDN/>
        <w:snapToGrid w:val="0"/>
        <w:spacing w:before="0" w:after="160" w:line="360" w:lineRule="auto"/>
        <w:ind w:right="0" w:firstLine="481"/>
        <w:jc w:val="both"/>
        <w:rPr>
          <w:rFonts w:hint="default" w:ascii="Times New Roman" w:hAnsi="宋体" w:eastAsia="宋体"/>
          <w:b/>
          <w:color w:val="auto"/>
          <w:position w:val="0"/>
          <w:sz w:val="24"/>
          <w:szCs w:val="24"/>
        </w:rPr>
      </w:pPr>
      <w:r>
        <w:rPr>
          <w:rFonts w:hint="default" w:ascii="Times New Roman" w:hAnsi="宋体" w:eastAsia="宋体"/>
          <w:color w:val="auto"/>
          <w:position w:val="0"/>
          <w:sz w:val="24"/>
          <w:szCs w:val="24"/>
        </w:rPr>
        <w:t>针对上述2、4款项中部分分部分项工程项目数量较少、施工工艺简单、主材种类较少而不能满足最低抽项要求的，应将所有分部分项工程项目或主要材料项目纳入评审范围。</w:t>
      </w:r>
    </w:p>
    <w:p>
      <w:pPr>
        <w:numPr>
          <w:ilvl w:val="0"/>
          <w:numId w:val="0"/>
        </w:numPr>
        <w:autoSpaceDE/>
        <w:autoSpaceDN/>
        <w:snapToGrid w:val="0"/>
        <w:spacing w:before="0" w:after="160" w:line="400" w:lineRule="exact"/>
        <w:ind w:right="0" w:firstLine="481"/>
        <w:jc w:val="both"/>
        <w:rPr>
          <w:rFonts w:hint="default" w:ascii="Times New Roman" w:hAnsi="Times New Roman" w:eastAsia="Times New Roman"/>
          <w:strike/>
          <w:color w:val="auto"/>
          <w:position w:val="0"/>
          <w:sz w:val="24"/>
          <w:szCs w:val="24"/>
        </w:rPr>
      </w:pPr>
      <w:r>
        <w:rPr>
          <w:rFonts w:hint="default" w:ascii="Times New Roman" w:hAnsi="宋体" w:eastAsia="宋体"/>
          <w:b/>
          <w:color w:val="auto"/>
          <w:position w:val="0"/>
          <w:sz w:val="24"/>
          <w:szCs w:val="24"/>
        </w:rPr>
        <w:t>（三）综合标（25分）</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0"/>
        <w:gridCol w:w="1417"/>
        <w:gridCol w:w="5894"/>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序号</w:t>
            </w:r>
          </w:p>
        </w:tc>
        <w:tc>
          <w:tcPr>
            <w:tcW w:w="1417"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项     目</w:t>
            </w:r>
          </w:p>
        </w:tc>
        <w:tc>
          <w:tcPr>
            <w:tcW w:w="589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  审   标   准</w:t>
            </w:r>
          </w:p>
        </w:tc>
        <w:tc>
          <w:tcPr>
            <w:tcW w:w="151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评审计分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w:t>
            </w:r>
          </w:p>
        </w:tc>
        <w:tc>
          <w:tcPr>
            <w:tcW w:w="1417"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企业业绩</w:t>
            </w:r>
          </w:p>
        </w:tc>
        <w:tc>
          <w:tcPr>
            <w:tcW w:w="5894" w:type="dxa"/>
            <w:vAlign w:val="top"/>
          </w:tcPr>
          <w:p>
            <w:pPr>
              <w:pStyle w:val="47"/>
              <w:numPr>
                <w:ilvl w:val="0"/>
                <w:numId w:val="0"/>
              </w:numPr>
              <w:autoSpaceDE w:val="0"/>
              <w:autoSpaceDN w:val="0"/>
              <w:spacing w:before="0" w:after="160" w:line="276" w:lineRule="auto"/>
              <w:ind w:right="0" w:firstLine="0"/>
              <w:jc w:val="left"/>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201</w:t>
            </w:r>
            <w:r>
              <w:rPr>
                <w:rFonts w:hint="eastAsia"/>
                <w:color w:val="auto"/>
                <w:position w:val="0"/>
                <w:sz w:val="24"/>
                <w:szCs w:val="24"/>
                <w:highlight w:val="none"/>
                <w:lang w:val="en-US" w:eastAsia="zh-CN"/>
              </w:rPr>
              <w:t>7</w:t>
            </w:r>
            <w:r>
              <w:rPr>
                <w:rFonts w:hint="default" w:ascii="宋体" w:hAnsi="宋体" w:eastAsia="宋体"/>
                <w:color w:val="auto"/>
                <w:position w:val="0"/>
                <w:sz w:val="24"/>
                <w:szCs w:val="24"/>
                <w:highlight w:val="none"/>
              </w:rPr>
              <w:t>年</w:t>
            </w:r>
            <w:r>
              <w:rPr>
                <w:rFonts w:hint="eastAsia"/>
                <w:color w:val="auto"/>
                <w:position w:val="0"/>
                <w:sz w:val="24"/>
                <w:szCs w:val="24"/>
                <w:highlight w:val="none"/>
                <w:lang w:val="en-US" w:eastAsia="zh-CN"/>
              </w:rPr>
              <w:t>5</w:t>
            </w:r>
            <w:r>
              <w:rPr>
                <w:rFonts w:hint="default" w:ascii="宋体" w:hAnsi="宋体" w:eastAsia="宋体"/>
                <w:color w:val="auto"/>
                <w:position w:val="0"/>
                <w:sz w:val="24"/>
                <w:szCs w:val="24"/>
                <w:highlight w:val="none"/>
              </w:rPr>
              <w:t>月1日以来企业具有类似业绩者每项得</w:t>
            </w:r>
            <w:r>
              <w:rPr>
                <w:rFonts w:hint="eastAsia"/>
                <w:color w:val="auto"/>
                <w:position w:val="0"/>
                <w:sz w:val="24"/>
                <w:szCs w:val="24"/>
                <w:highlight w:val="none"/>
                <w:lang w:val="en-US" w:eastAsia="zh-CN"/>
              </w:rPr>
              <w:t>2</w:t>
            </w:r>
            <w:r>
              <w:rPr>
                <w:rFonts w:hint="default" w:ascii="宋体" w:hAnsi="宋体" w:eastAsia="宋体"/>
                <w:color w:val="auto"/>
                <w:position w:val="0"/>
                <w:sz w:val="24"/>
                <w:szCs w:val="24"/>
                <w:highlight w:val="none"/>
              </w:rPr>
              <w:t>分，本项最高得4分。（以施工合同为准）</w:t>
            </w:r>
          </w:p>
        </w:tc>
        <w:tc>
          <w:tcPr>
            <w:tcW w:w="1513"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0≤得分≤4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w:t>
            </w:r>
          </w:p>
        </w:tc>
        <w:tc>
          <w:tcPr>
            <w:tcW w:w="1417"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项目</w:t>
            </w:r>
            <w:r>
              <w:rPr>
                <w:rFonts w:hint="eastAsia"/>
                <w:color w:val="auto"/>
                <w:position w:val="0"/>
                <w:sz w:val="24"/>
                <w:szCs w:val="24"/>
                <w:highlight w:val="none"/>
                <w:lang w:val="en-US" w:eastAsia="zh-CN"/>
              </w:rPr>
              <w:t>负责人</w:t>
            </w:r>
            <w:r>
              <w:rPr>
                <w:rFonts w:hint="default" w:ascii="宋体" w:hAnsi="宋体" w:eastAsia="宋体"/>
                <w:color w:val="auto"/>
                <w:position w:val="0"/>
                <w:sz w:val="24"/>
                <w:szCs w:val="24"/>
                <w:highlight w:val="none"/>
              </w:rPr>
              <w:t>业绩</w:t>
            </w:r>
          </w:p>
        </w:tc>
        <w:tc>
          <w:tcPr>
            <w:tcW w:w="5894" w:type="dxa"/>
            <w:vAlign w:val="center"/>
          </w:tcPr>
          <w:p>
            <w:pPr>
              <w:pStyle w:val="47"/>
              <w:numPr>
                <w:ilvl w:val="0"/>
                <w:numId w:val="0"/>
              </w:numPr>
              <w:autoSpaceDE w:val="0"/>
              <w:autoSpaceDN w:val="0"/>
              <w:spacing w:before="0" w:after="160" w:line="276" w:lineRule="auto"/>
              <w:ind w:right="0" w:firstLine="0"/>
              <w:jc w:val="left"/>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201</w:t>
            </w:r>
            <w:r>
              <w:rPr>
                <w:rFonts w:hint="eastAsia"/>
                <w:color w:val="auto"/>
                <w:position w:val="0"/>
                <w:sz w:val="24"/>
                <w:szCs w:val="24"/>
                <w:highlight w:val="none"/>
                <w:lang w:val="en-US" w:eastAsia="zh-CN"/>
              </w:rPr>
              <w:t>7</w:t>
            </w:r>
            <w:r>
              <w:rPr>
                <w:rFonts w:hint="default" w:ascii="宋体" w:hAnsi="宋体" w:eastAsia="宋体"/>
                <w:color w:val="auto"/>
                <w:position w:val="0"/>
                <w:sz w:val="24"/>
                <w:szCs w:val="24"/>
                <w:highlight w:val="none"/>
              </w:rPr>
              <w:t>年</w:t>
            </w:r>
            <w:r>
              <w:rPr>
                <w:rFonts w:hint="eastAsia"/>
                <w:color w:val="auto"/>
                <w:position w:val="0"/>
                <w:sz w:val="24"/>
                <w:szCs w:val="24"/>
                <w:highlight w:val="none"/>
                <w:lang w:val="en-US" w:eastAsia="zh-CN"/>
              </w:rPr>
              <w:t>5</w:t>
            </w:r>
            <w:r>
              <w:rPr>
                <w:rFonts w:hint="default" w:ascii="宋体" w:hAnsi="宋体" w:eastAsia="宋体"/>
                <w:color w:val="auto"/>
                <w:position w:val="0"/>
                <w:sz w:val="24"/>
                <w:szCs w:val="24"/>
                <w:highlight w:val="none"/>
              </w:rPr>
              <w:t>月1日以来项目负责人（项目经理）具有类似业绩者每项得</w:t>
            </w:r>
            <w:r>
              <w:rPr>
                <w:rFonts w:hint="eastAsia"/>
                <w:color w:val="auto"/>
                <w:position w:val="0"/>
                <w:sz w:val="24"/>
                <w:szCs w:val="24"/>
                <w:highlight w:val="none"/>
                <w:lang w:val="en-US" w:eastAsia="zh-CN"/>
              </w:rPr>
              <w:t>3</w:t>
            </w:r>
            <w:r>
              <w:rPr>
                <w:rFonts w:hint="default" w:ascii="宋体" w:hAnsi="宋体" w:eastAsia="宋体"/>
                <w:color w:val="auto"/>
                <w:position w:val="0"/>
                <w:sz w:val="24"/>
                <w:szCs w:val="24"/>
                <w:highlight w:val="none"/>
              </w:rPr>
              <w:t>分，本项最高得6分。（以施工合同为准）</w:t>
            </w:r>
          </w:p>
        </w:tc>
        <w:tc>
          <w:tcPr>
            <w:tcW w:w="1513"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0≤得分≤6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w:t>
            </w:r>
          </w:p>
        </w:tc>
        <w:tc>
          <w:tcPr>
            <w:tcW w:w="1417" w:type="dxa"/>
            <w:vMerge w:val="restart"/>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优惠承诺</w:t>
            </w: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优惠承诺应是书面的符合工程实际情况，确保依法依规，优惠合理，详实可行。</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3＜得分≤4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tc>
        <w:tc>
          <w:tcPr>
            <w:tcW w:w="1417" w:type="dxa"/>
            <w:vMerge w:val="continue"/>
            <w:vAlign w:val="center"/>
          </w:tcP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优惠承诺符合工程实际情况，确保依法依规，优惠基本合理，基本详实可行。</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1≤得分≤3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4</w:t>
            </w:r>
          </w:p>
        </w:tc>
        <w:tc>
          <w:tcPr>
            <w:tcW w:w="1417" w:type="dxa"/>
            <w:vMerge w:val="restart"/>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履职尽责承诺</w:t>
            </w: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具有全面、详实、可行、合法有效的书面保证技术措施落实到位的承诺和落实不到位的处理承诺，其中包括各关键岗位人员（</w:t>
            </w:r>
            <w:r>
              <w:rPr>
                <w:rFonts w:hint="default" w:ascii="新宋体" w:hAnsi="新宋体" w:eastAsia="新宋体"/>
                <w:color w:val="auto"/>
                <w:position w:val="0"/>
                <w:sz w:val="24"/>
                <w:szCs w:val="24"/>
              </w:rPr>
              <w:t>项目负责人（项目经理）</w:t>
            </w:r>
            <w:r>
              <w:rPr>
                <w:rFonts w:hint="default" w:ascii="宋体" w:hAnsi="宋体" w:eastAsia="宋体"/>
                <w:color w:val="auto"/>
                <w:position w:val="0"/>
                <w:sz w:val="24"/>
                <w:szCs w:val="24"/>
                <w:highlight w:val="none"/>
              </w:rPr>
              <w:t>、技术负责人、施工员、质量（检）员、安全员、材料员、资料员）的在岗、更换等履职尽责承诺，提供承包商履约保证。</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2＜得分≤3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tc>
        <w:tc>
          <w:tcPr>
            <w:tcW w:w="1417" w:type="dxa"/>
            <w:vMerge w:val="continue"/>
            <w:vAlign w:val="center"/>
          </w:tcP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具有可行、合法有效的书面保证技术措施落实到位的承诺和落实不到位的处理承诺，其中包括各关键岗位人员（项目负责人（项目经理）、技术负责人、施工员、质量（检）员、安全员、材料员、资料员）的在岗、更换等履职尽责承诺，提承包商履约保证。</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5</w:t>
            </w:r>
          </w:p>
        </w:tc>
        <w:tc>
          <w:tcPr>
            <w:tcW w:w="1417"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企业信用（含纳税诚信）</w:t>
            </w:r>
          </w:p>
        </w:tc>
        <w:tc>
          <w:tcPr>
            <w:tcW w:w="5894" w:type="dxa"/>
            <w:vAlign w:val="center"/>
          </w:tcPr>
          <w:p>
            <w:pPr>
              <w:pStyle w:val="2"/>
              <w:numPr>
                <w:ilvl w:val="0"/>
                <w:numId w:val="0"/>
              </w:numPr>
              <w:autoSpaceDE/>
              <w:autoSpaceDN/>
              <w:spacing w:before="0" w:after="120" w:line="240" w:lineRule="auto"/>
              <w:ind w:right="0" w:firstLine="0"/>
              <w:jc w:val="both"/>
              <w:rPr>
                <w:rFonts w:hint="default" w:ascii="宋体" w:hAnsi="宋体" w:eastAsia="宋体" w:cs="Times New Roman"/>
                <w:color w:val="auto"/>
                <w:w w:val="100"/>
                <w:position w:val="0"/>
                <w:sz w:val="24"/>
                <w:szCs w:val="24"/>
                <w:highlight w:val="none"/>
                <w:shd w:val="clear"/>
                <w:lang w:val="en-US" w:eastAsia="zh-CN"/>
              </w:rPr>
            </w:pPr>
            <w:r>
              <w:rPr>
                <w:rFonts w:hint="default" w:ascii="宋体" w:hAnsi="宋体" w:eastAsia="宋体" w:cs="Times New Roman"/>
                <w:color w:val="auto"/>
                <w:w w:val="100"/>
                <w:position w:val="0"/>
                <w:sz w:val="24"/>
                <w:szCs w:val="24"/>
                <w:highlight w:val="none"/>
                <w:shd w:val="clear"/>
                <w:lang w:val="en-US" w:eastAsia="zh-CN"/>
              </w:rPr>
              <w:t>1、</w:t>
            </w:r>
            <w:r>
              <w:rPr>
                <w:rFonts w:hint="default" w:ascii="宋体" w:hAnsi="宋体" w:eastAsia="宋体" w:cs="Times New Roman"/>
                <w:color w:val="auto"/>
                <w:w w:val="100"/>
                <w:position w:val="0"/>
                <w:sz w:val="24"/>
                <w:szCs w:val="24"/>
                <w:highlight w:val="none"/>
                <w:shd w:val="clear"/>
              </w:rPr>
              <w:t>企业201</w:t>
            </w:r>
            <w:r>
              <w:rPr>
                <w:rFonts w:hint="default" w:ascii="宋体" w:hAnsi="宋体" w:eastAsia="宋体" w:cs="Times New Roman"/>
                <w:color w:val="auto"/>
                <w:w w:val="100"/>
                <w:position w:val="0"/>
                <w:sz w:val="24"/>
                <w:szCs w:val="24"/>
                <w:highlight w:val="none"/>
                <w:shd w:val="clear"/>
                <w:lang w:val="en-US" w:eastAsia="zh-CN"/>
              </w:rPr>
              <w:t>7</w:t>
            </w:r>
            <w:r>
              <w:rPr>
                <w:rFonts w:hint="default" w:ascii="宋体" w:hAnsi="宋体" w:eastAsia="宋体" w:cs="Times New Roman"/>
                <w:color w:val="auto"/>
                <w:w w:val="100"/>
                <w:position w:val="0"/>
                <w:sz w:val="24"/>
                <w:szCs w:val="24"/>
                <w:highlight w:val="none"/>
                <w:shd w:val="clear"/>
              </w:rPr>
              <w:t>年</w:t>
            </w:r>
            <w:r>
              <w:rPr>
                <w:rFonts w:hint="default" w:ascii="宋体" w:hAnsi="宋体" w:eastAsia="宋体" w:cs="Times New Roman"/>
                <w:color w:val="auto"/>
                <w:w w:val="100"/>
                <w:position w:val="0"/>
                <w:sz w:val="24"/>
                <w:szCs w:val="24"/>
                <w:highlight w:val="none"/>
                <w:shd w:val="clear"/>
                <w:lang w:val="en-US" w:eastAsia="zh-CN"/>
              </w:rPr>
              <w:t>5</w:t>
            </w:r>
            <w:r>
              <w:rPr>
                <w:rFonts w:hint="default" w:ascii="宋体" w:hAnsi="宋体" w:eastAsia="宋体" w:cs="Times New Roman"/>
                <w:color w:val="auto"/>
                <w:w w:val="100"/>
                <w:position w:val="0"/>
                <w:sz w:val="24"/>
                <w:szCs w:val="24"/>
                <w:highlight w:val="none"/>
                <w:shd w:val="clear"/>
              </w:rPr>
              <w:t>月1日以来，获得过市级及以上安全先进企业的得</w:t>
            </w:r>
            <w:r>
              <w:rPr>
                <w:rFonts w:hint="default" w:ascii="宋体" w:hAnsi="宋体" w:eastAsia="宋体" w:cs="Times New Roman"/>
                <w:color w:val="auto"/>
                <w:w w:val="100"/>
                <w:position w:val="0"/>
                <w:sz w:val="24"/>
                <w:szCs w:val="24"/>
                <w:highlight w:val="none"/>
                <w:shd w:val="clear"/>
                <w:lang w:val="en-US" w:eastAsia="zh-CN"/>
              </w:rPr>
              <w:t>1</w:t>
            </w:r>
            <w:r>
              <w:rPr>
                <w:rFonts w:hint="default" w:ascii="宋体" w:hAnsi="宋体" w:eastAsia="宋体" w:cs="Times New Roman"/>
                <w:color w:val="auto"/>
                <w:w w:val="100"/>
                <w:position w:val="0"/>
                <w:sz w:val="24"/>
                <w:szCs w:val="24"/>
                <w:highlight w:val="none"/>
                <w:shd w:val="clear"/>
              </w:rPr>
              <w:t>分，获得市级及以上质量管理先进企业得</w:t>
            </w:r>
            <w:r>
              <w:rPr>
                <w:rFonts w:hint="default" w:ascii="宋体" w:hAnsi="宋体" w:eastAsia="宋体" w:cs="Times New Roman"/>
                <w:color w:val="auto"/>
                <w:w w:val="100"/>
                <w:position w:val="0"/>
                <w:sz w:val="24"/>
                <w:szCs w:val="24"/>
                <w:highlight w:val="none"/>
                <w:shd w:val="clear"/>
                <w:lang w:val="en-US" w:eastAsia="zh-CN"/>
              </w:rPr>
              <w:t>1</w:t>
            </w:r>
            <w:r>
              <w:rPr>
                <w:rFonts w:hint="default" w:ascii="宋体" w:hAnsi="宋体" w:eastAsia="宋体" w:cs="Times New Roman"/>
                <w:color w:val="auto"/>
                <w:w w:val="100"/>
                <w:position w:val="0"/>
                <w:sz w:val="24"/>
                <w:szCs w:val="24"/>
                <w:highlight w:val="none"/>
                <w:shd w:val="clear"/>
              </w:rPr>
              <w:t>分，本项最高得</w:t>
            </w:r>
            <w:r>
              <w:rPr>
                <w:rFonts w:hint="default" w:ascii="宋体" w:hAnsi="宋体" w:eastAsia="宋体" w:cs="Times New Roman"/>
                <w:color w:val="auto"/>
                <w:w w:val="100"/>
                <w:position w:val="0"/>
                <w:sz w:val="24"/>
                <w:szCs w:val="24"/>
                <w:highlight w:val="none"/>
                <w:shd w:val="clear"/>
                <w:lang w:val="en-US" w:eastAsia="zh-CN"/>
              </w:rPr>
              <w:t>2</w:t>
            </w:r>
            <w:r>
              <w:rPr>
                <w:rFonts w:hint="default" w:ascii="宋体" w:hAnsi="宋体" w:eastAsia="宋体" w:cs="Times New Roman"/>
                <w:color w:val="auto"/>
                <w:w w:val="100"/>
                <w:position w:val="0"/>
                <w:sz w:val="24"/>
                <w:szCs w:val="24"/>
                <w:highlight w:val="none"/>
                <w:shd w:val="clear"/>
              </w:rPr>
              <w:t>分（以获奖证书为准）。</w:t>
            </w:r>
            <w:r>
              <w:rPr>
                <w:rFonts w:hint="default" w:ascii="宋体" w:hAnsi="宋体" w:eastAsia="宋体" w:cs="Times New Roman"/>
                <w:color w:val="auto"/>
                <w:w w:val="100"/>
                <w:position w:val="0"/>
                <w:sz w:val="24"/>
                <w:szCs w:val="24"/>
                <w:highlight w:val="none"/>
                <w:shd w:val="clear"/>
                <w:lang w:val="en-US" w:eastAsia="zh-CN"/>
              </w:rPr>
              <w:t xml:space="preserve">          2、企业</w:t>
            </w:r>
            <w:r>
              <w:rPr>
                <w:rFonts w:hint="default" w:ascii="宋体" w:hAnsi="宋体" w:eastAsia="宋体" w:cs="Times New Roman"/>
                <w:color w:val="auto"/>
                <w:w w:val="100"/>
                <w:position w:val="0"/>
                <w:sz w:val="24"/>
                <w:szCs w:val="24"/>
                <w:highlight w:val="none"/>
                <w:shd w:val="clear"/>
              </w:rPr>
              <w:t>201</w:t>
            </w:r>
            <w:r>
              <w:rPr>
                <w:rFonts w:hint="default" w:ascii="宋体" w:hAnsi="宋体" w:eastAsia="宋体" w:cs="Times New Roman"/>
                <w:color w:val="auto"/>
                <w:w w:val="100"/>
                <w:position w:val="0"/>
                <w:sz w:val="24"/>
                <w:szCs w:val="24"/>
                <w:highlight w:val="none"/>
                <w:shd w:val="clear"/>
                <w:lang w:val="en-US" w:eastAsia="zh-CN"/>
              </w:rPr>
              <w:t>7</w:t>
            </w:r>
            <w:r>
              <w:rPr>
                <w:rFonts w:hint="default" w:ascii="宋体" w:hAnsi="宋体" w:eastAsia="宋体" w:cs="Times New Roman"/>
                <w:color w:val="auto"/>
                <w:w w:val="100"/>
                <w:position w:val="0"/>
                <w:sz w:val="24"/>
                <w:szCs w:val="24"/>
                <w:highlight w:val="none"/>
                <w:shd w:val="clear"/>
              </w:rPr>
              <w:t>年</w:t>
            </w:r>
            <w:r>
              <w:rPr>
                <w:rFonts w:hint="default" w:ascii="宋体" w:hAnsi="宋体" w:eastAsia="宋体" w:cs="Times New Roman"/>
                <w:color w:val="auto"/>
                <w:w w:val="100"/>
                <w:position w:val="0"/>
                <w:sz w:val="24"/>
                <w:szCs w:val="24"/>
                <w:highlight w:val="none"/>
                <w:shd w:val="clear"/>
                <w:lang w:val="en-US" w:eastAsia="zh-CN"/>
              </w:rPr>
              <w:t>5</w:t>
            </w:r>
            <w:r>
              <w:rPr>
                <w:rFonts w:hint="default" w:ascii="宋体" w:hAnsi="宋体" w:eastAsia="宋体" w:cs="Times New Roman"/>
                <w:color w:val="auto"/>
                <w:w w:val="100"/>
                <w:position w:val="0"/>
                <w:sz w:val="24"/>
                <w:szCs w:val="24"/>
                <w:highlight w:val="none"/>
                <w:shd w:val="clear"/>
              </w:rPr>
              <w:t>月1日以来，获得过市级及以上</w:t>
            </w:r>
            <w:r>
              <w:rPr>
                <w:rFonts w:hint="default" w:ascii="宋体" w:hAnsi="宋体" w:eastAsia="宋体" w:cs="Times New Roman"/>
                <w:color w:val="auto"/>
                <w:w w:val="100"/>
                <w:position w:val="0"/>
                <w:sz w:val="24"/>
                <w:szCs w:val="24"/>
                <w:highlight w:val="none"/>
                <w:shd w:val="clear"/>
                <w:lang w:val="en-US" w:eastAsia="zh-CN"/>
              </w:rPr>
              <w:t>先进企业的的1分</w:t>
            </w:r>
            <w:r>
              <w:rPr>
                <w:rFonts w:hint="default" w:ascii="宋体" w:hAnsi="宋体" w:eastAsia="宋体" w:cs="Times New Roman"/>
                <w:color w:val="auto"/>
                <w:w w:val="100"/>
                <w:position w:val="0"/>
                <w:sz w:val="24"/>
                <w:szCs w:val="24"/>
                <w:highlight w:val="none"/>
                <w:shd w:val="clear"/>
              </w:rPr>
              <w:t>（以获奖证书为准）。</w:t>
            </w:r>
          </w:p>
          <w:p>
            <w:pPr>
              <w:pStyle w:val="2"/>
              <w:numPr>
                <w:ilvl w:val="0"/>
                <w:numId w:val="0"/>
              </w:numPr>
              <w:autoSpaceDE/>
              <w:autoSpaceDN/>
              <w:spacing w:before="0" w:after="120" w:line="240" w:lineRule="auto"/>
              <w:ind w:right="0" w:firstLine="0"/>
              <w:jc w:val="both"/>
              <w:rPr>
                <w:rFonts w:hint="default" w:ascii="宋体" w:hAnsi="宋体" w:eastAsia="宋体"/>
                <w:color w:val="auto"/>
                <w:position w:val="0"/>
                <w:sz w:val="32"/>
                <w:szCs w:val="32"/>
              </w:rPr>
            </w:pPr>
            <w:r>
              <w:rPr>
                <w:rFonts w:hint="default" w:ascii="宋体" w:hAnsi="宋体" w:eastAsia="宋体" w:cs="Times New Roman"/>
                <w:color w:val="auto"/>
                <w:w w:val="100"/>
                <w:position w:val="0"/>
                <w:sz w:val="24"/>
                <w:szCs w:val="24"/>
                <w:highlight w:val="none"/>
                <w:shd w:val="clear"/>
                <w:lang w:val="en-US" w:eastAsia="zh-CN"/>
              </w:rPr>
              <w:t>3、</w:t>
            </w:r>
            <w:r>
              <w:rPr>
                <w:rFonts w:hint="default" w:ascii="宋体" w:hAnsi="宋体" w:eastAsia="宋体" w:cs="Times New Roman"/>
                <w:color w:val="auto"/>
                <w:w w:val="100"/>
                <w:position w:val="0"/>
                <w:sz w:val="24"/>
                <w:szCs w:val="24"/>
                <w:highlight w:val="none"/>
                <w:shd w:val="clear"/>
              </w:rPr>
              <w:t>企业201</w:t>
            </w:r>
            <w:r>
              <w:rPr>
                <w:rFonts w:hint="default" w:ascii="宋体" w:hAnsi="宋体" w:eastAsia="宋体" w:cs="Times New Roman"/>
                <w:color w:val="auto"/>
                <w:w w:val="100"/>
                <w:position w:val="0"/>
                <w:sz w:val="24"/>
                <w:szCs w:val="24"/>
                <w:highlight w:val="none"/>
                <w:shd w:val="clear"/>
                <w:lang w:val="en-US" w:eastAsia="zh-CN"/>
              </w:rPr>
              <w:t>7</w:t>
            </w:r>
            <w:r>
              <w:rPr>
                <w:rFonts w:hint="default" w:ascii="宋体" w:hAnsi="宋体" w:eastAsia="宋体" w:cs="Times New Roman"/>
                <w:color w:val="auto"/>
                <w:w w:val="100"/>
                <w:position w:val="0"/>
                <w:sz w:val="24"/>
                <w:szCs w:val="24"/>
                <w:highlight w:val="none"/>
                <w:shd w:val="clear"/>
              </w:rPr>
              <w:t>年</w:t>
            </w:r>
            <w:r>
              <w:rPr>
                <w:rFonts w:hint="default" w:ascii="宋体" w:hAnsi="宋体" w:eastAsia="宋体" w:cs="Times New Roman"/>
                <w:color w:val="auto"/>
                <w:w w:val="100"/>
                <w:position w:val="0"/>
                <w:sz w:val="24"/>
                <w:szCs w:val="24"/>
                <w:highlight w:val="none"/>
                <w:shd w:val="clear"/>
                <w:lang w:val="en-US" w:eastAsia="zh-CN"/>
              </w:rPr>
              <w:t>5</w:t>
            </w:r>
            <w:r>
              <w:rPr>
                <w:rFonts w:hint="default" w:ascii="宋体" w:hAnsi="宋体" w:eastAsia="宋体" w:cs="Times New Roman"/>
                <w:color w:val="auto"/>
                <w:w w:val="100"/>
                <w:position w:val="0"/>
                <w:sz w:val="24"/>
                <w:szCs w:val="24"/>
                <w:highlight w:val="none"/>
                <w:shd w:val="clear"/>
              </w:rPr>
              <w:t>月1日以来，</w:t>
            </w:r>
            <w:r>
              <w:rPr>
                <w:rFonts w:hint="default" w:ascii="宋体" w:hAnsi="宋体" w:eastAsia="宋体" w:cs="Times New Roman"/>
                <w:color w:val="auto"/>
                <w:w w:val="100"/>
                <w:position w:val="0"/>
                <w:sz w:val="24"/>
                <w:szCs w:val="24"/>
                <w:highlight w:val="none"/>
                <w:shd w:val="clear"/>
                <w:lang w:val="en-US" w:eastAsia="zh-CN"/>
              </w:rPr>
              <w:t>获得过</w:t>
            </w:r>
            <w:r>
              <w:rPr>
                <w:rFonts w:hint="default" w:ascii="宋体" w:hAnsi="宋体" w:eastAsia="宋体" w:cs="Times New Roman"/>
                <w:color w:val="auto"/>
                <w:w w:val="100"/>
                <w:position w:val="0"/>
                <w:sz w:val="24"/>
                <w:szCs w:val="24"/>
                <w:highlight w:val="none"/>
                <w:shd w:val="clear"/>
              </w:rPr>
              <w:t>市级及以上</w:t>
            </w:r>
            <w:r>
              <w:rPr>
                <w:rFonts w:hint="default" w:ascii="宋体" w:hAnsi="宋体" w:eastAsia="宋体" w:cs="Times New Roman"/>
                <w:color w:val="auto"/>
                <w:w w:val="100"/>
                <w:position w:val="0"/>
                <w:sz w:val="24"/>
                <w:szCs w:val="24"/>
                <w:highlight w:val="none"/>
                <w:shd w:val="clear"/>
                <w:lang w:val="en-US" w:eastAsia="zh-CN"/>
              </w:rPr>
              <w:t>AAA级企业信用等级证书的得1分</w:t>
            </w:r>
            <w:r>
              <w:rPr>
                <w:rFonts w:hint="default" w:ascii="宋体" w:hAnsi="宋体" w:eastAsia="宋体" w:cs="Times New Roman"/>
                <w:color w:val="auto"/>
                <w:w w:val="100"/>
                <w:position w:val="0"/>
                <w:sz w:val="24"/>
                <w:szCs w:val="24"/>
                <w:highlight w:val="none"/>
                <w:shd w:val="clear"/>
              </w:rPr>
              <w:t>（以获奖证书为准）</w:t>
            </w:r>
            <w:r>
              <w:rPr>
                <w:rFonts w:hint="default" w:ascii="宋体" w:hAnsi="宋体" w:eastAsia="宋体" w:cs="Times New Roman"/>
                <w:color w:val="auto"/>
                <w:w w:val="100"/>
                <w:position w:val="0"/>
                <w:sz w:val="24"/>
                <w:szCs w:val="24"/>
                <w:highlight w:val="none"/>
                <w:shd w:val="clear"/>
                <w:lang w:val="en-US" w:eastAsia="zh-CN"/>
              </w:rPr>
              <w:t>。</w:t>
            </w:r>
          </w:p>
        </w:tc>
        <w:tc>
          <w:tcPr>
            <w:tcW w:w="1513"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0≤得分≤4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FF0000"/>
                <w:position w:val="0"/>
                <w:sz w:val="24"/>
                <w:szCs w:val="24"/>
              </w:rPr>
            </w:pPr>
            <w:r>
              <w:rPr>
                <w:rFonts w:hint="default" w:ascii="Times New Roman" w:hAnsi="宋体" w:eastAsia="宋体"/>
                <w:color w:val="auto"/>
                <w:position w:val="0"/>
                <w:sz w:val="24"/>
                <w:szCs w:val="24"/>
              </w:rPr>
              <w:t>6</w:t>
            </w:r>
          </w:p>
        </w:tc>
        <w:tc>
          <w:tcPr>
            <w:tcW w:w="1417" w:type="dxa"/>
            <w:shd w:val="clear" w:color="auto" w:fill="FFFFFF" w:themeFill="background1"/>
            <w:vAlign w:val="center"/>
          </w:tcPr>
          <w:p>
            <w:pPr>
              <w:numPr>
                <w:ilvl w:val="0"/>
                <w:numId w:val="0"/>
              </w:numPr>
              <w:autoSpaceDE/>
              <w:autoSpaceDN/>
              <w:spacing w:before="0" w:after="160" w:line="360" w:lineRule="auto"/>
              <w:ind w:right="0" w:firstLine="0"/>
              <w:jc w:val="center"/>
              <w:rPr>
                <w:rFonts w:hint="default" w:ascii="Times New Roman" w:hAnsi="宋体" w:eastAsia="宋体"/>
                <w:color w:val="FF0000"/>
                <w:position w:val="0"/>
                <w:sz w:val="32"/>
                <w:szCs w:val="32"/>
              </w:rPr>
            </w:pPr>
            <w:r>
              <w:rPr>
                <w:rFonts w:hint="default" w:ascii="宋体" w:hAnsi="宋体" w:eastAsia="宋体"/>
                <w:color w:val="auto"/>
                <w:position w:val="0"/>
                <w:sz w:val="24"/>
                <w:szCs w:val="24"/>
                <w:highlight w:val="none"/>
              </w:rPr>
              <w:t>项目</w:t>
            </w:r>
            <w:r>
              <w:rPr>
                <w:rFonts w:hint="eastAsia" w:ascii="宋体" w:hAnsi="宋体" w:eastAsia="宋体"/>
                <w:color w:val="auto"/>
                <w:position w:val="0"/>
                <w:sz w:val="24"/>
                <w:szCs w:val="24"/>
                <w:highlight w:val="none"/>
                <w:lang w:val="en-US" w:eastAsia="zh-CN"/>
              </w:rPr>
              <w:t>负责人</w:t>
            </w:r>
            <w:r>
              <w:rPr>
                <w:rFonts w:hint="default" w:ascii="宋体" w:hAnsi="宋体" w:eastAsia="宋体"/>
                <w:color w:val="auto"/>
                <w:position w:val="0"/>
                <w:sz w:val="24"/>
                <w:szCs w:val="24"/>
                <w:highlight w:val="none"/>
              </w:rPr>
              <w:t>信用</w:t>
            </w:r>
          </w:p>
        </w:tc>
        <w:tc>
          <w:tcPr>
            <w:tcW w:w="5894" w:type="dxa"/>
            <w:shd w:val="clear" w:color="auto" w:fill="FFFFFF" w:themeFill="background1"/>
            <w:vAlign w:val="center"/>
          </w:tcPr>
          <w:p>
            <w:pPr>
              <w:pStyle w:val="2"/>
              <w:numPr>
                <w:ilvl w:val="0"/>
                <w:numId w:val="0"/>
              </w:numPr>
              <w:autoSpaceDE/>
              <w:autoSpaceDN/>
              <w:spacing w:before="0" w:after="120" w:line="240" w:lineRule="auto"/>
              <w:ind w:right="0" w:firstLine="0"/>
              <w:jc w:val="both"/>
              <w:rPr>
                <w:rFonts w:hint="default" w:ascii="宋体" w:hAnsi="宋体" w:eastAsia="宋体"/>
                <w:color w:val="auto"/>
                <w:position w:val="0"/>
                <w:sz w:val="32"/>
                <w:szCs w:val="32"/>
                <w:lang w:val="en-US" w:eastAsia="zh-CN"/>
              </w:rPr>
            </w:pPr>
            <w:r>
              <w:rPr>
                <w:rFonts w:hint="eastAsia" w:ascii="宋体" w:hAnsi="宋体" w:eastAsia="宋体" w:cs="Times New Roman"/>
                <w:color w:val="auto"/>
                <w:w w:val="100"/>
                <w:position w:val="0"/>
                <w:sz w:val="24"/>
                <w:szCs w:val="24"/>
                <w:highlight w:val="none"/>
                <w:shd w:val="clear"/>
                <w:lang w:val="en-US" w:eastAsia="zh-CN"/>
              </w:rPr>
              <w:t>获得过省级“安全文明工地”的得2分。</w:t>
            </w:r>
          </w:p>
        </w:tc>
        <w:tc>
          <w:tcPr>
            <w:tcW w:w="1513"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0≤得分≤2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730" w:type="dxa"/>
            <w:vAlign w:val="top"/>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7</w:t>
            </w:r>
          </w:p>
        </w:tc>
        <w:tc>
          <w:tcPr>
            <w:tcW w:w="1417"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招标人意见</w:t>
            </w:r>
          </w:p>
        </w:tc>
        <w:tc>
          <w:tcPr>
            <w:tcW w:w="5894" w:type="dxa"/>
            <w:vAlign w:val="center"/>
          </w:tcPr>
          <w:p>
            <w:pPr>
              <w:numPr>
                <w:ilvl w:val="0"/>
                <w:numId w:val="0"/>
              </w:numPr>
              <w:autoSpaceDE/>
              <w:autoSpaceDN/>
              <w:spacing w:before="0" w:after="160" w:line="360" w:lineRule="auto"/>
              <w:ind w:right="0" w:firstLine="0"/>
              <w:jc w:val="both"/>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由招标人酌情打分。</w:t>
            </w:r>
          </w:p>
        </w:tc>
        <w:tc>
          <w:tcPr>
            <w:tcW w:w="1513"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Times New Roman" w:hAnsi="Times New Roman" w:eastAsia="Times New Roman"/>
                <w:color w:val="auto"/>
                <w:position w:val="0"/>
                <w:sz w:val="21"/>
                <w:szCs w:val="21"/>
              </w:rPr>
              <w:t>0≤得分≤</w:t>
            </w:r>
            <w:r>
              <w:rPr>
                <w:rFonts w:hint="eastAsia" w:eastAsia="宋体"/>
                <w:color w:val="auto"/>
                <w:position w:val="0"/>
                <w:sz w:val="21"/>
                <w:szCs w:val="21"/>
                <w:lang w:val="en-US" w:eastAsia="zh-CN"/>
              </w:rPr>
              <w:t>2</w:t>
            </w:r>
            <w:r>
              <w:rPr>
                <w:rFonts w:hint="default" w:ascii="Times New Roman" w:hAnsi="Times New Roman" w:eastAsia="Times New Roman"/>
                <w:color w:val="auto"/>
                <w:position w:val="0"/>
                <w:sz w:val="21"/>
                <w:szCs w:val="21"/>
              </w:rPr>
              <w:t>分</w:t>
            </w:r>
          </w:p>
        </w:tc>
      </w:tr>
    </w:tbl>
    <w:p>
      <w:pPr>
        <w:numPr>
          <w:ilvl w:val="0"/>
          <w:numId w:val="0"/>
        </w:numPr>
        <w:autoSpaceDE/>
        <w:autoSpaceDN/>
        <w:snapToGrid w:val="0"/>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b/>
          <w:color w:val="auto"/>
          <w:position w:val="0"/>
          <w:sz w:val="24"/>
          <w:szCs w:val="24"/>
          <w:highlight w:val="none"/>
        </w:rPr>
        <w:t>（一）投标人综合得分</w:t>
      </w:r>
    </w:p>
    <w:p>
      <w:pPr>
        <w:numPr>
          <w:ilvl w:val="0"/>
          <w:numId w:val="0"/>
        </w:numPr>
        <w:autoSpaceDE/>
        <w:autoSpaceDN/>
        <w:snapToGrid w:val="0"/>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投标人综合得分＝技术标得分＋商务标得分＋综合标得分</w:t>
      </w:r>
    </w:p>
    <w:p>
      <w:pPr>
        <w:numPr>
          <w:ilvl w:val="0"/>
          <w:numId w:val="0"/>
        </w:numPr>
        <w:autoSpaceDE/>
        <w:autoSpaceDN/>
        <w:snapToGrid w:val="0"/>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b/>
          <w:color w:val="auto"/>
          <w:position w:val="0"/>
          <w:sz w:val="24"/>
          <w:szCs w:val="24"/>
          <w:highlight w:val="none"/>
        </w:rPr>
        <w:t>（二）投标人的最终得分及中标候选人排序</w:t>
      </w:r>
      <w:r>
        <w:rPr>
          <w:rFonts w:hint="default" w:ascii="Times New Roman" w:hAnsi="宋体" w:eastAsia="宋体"/>
          <w:color w:val="auto"/>
          <w:position w:val="0"/>
          <w:sz w:val="24"/>
          <w:szCs w:val="24"/>
          <w:highlight w:val="none"/>
        </w:rPr>
        <w:t xml:space="preserve"> </w:t>
      </w:r>
    </w:p>
    <w:p>
      <w:pPr>
        <w:numPr>
          <w:ilvl w:val="0"/>
          <w:numId w:val="0"/>
        </w:numPr>
        <w:autoSpaceDE/>
        <w:autoSpaceDN/>
        <w:snapToGrid w:val="0"/>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评标委员会按照投标人的最终得分，由高到低排序，向招标人推荐1-3名中标候选人。当得分相等时，依次以商务标、综合标、技术标得分高低进行排序；若三项得分均相等时，可以通过公开随机抽取方式确定中标候选人的排序。 </w:t>
      </w:r>
    </w:p>
    <w:p>
      <w:pPr>
        <w:numPr>
          <w:ilvl w:val="0"/>
          <w:numId w:val="0"/>
        </w:numPr>
        <w:autoSpaceDE/>
        <w:autoSpaceDN/>
        <w:snapToGrid w:val="0"/>
        <w:spacing w:before="0" w:after="160" w:line="40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numPr>
          <w:ilvl w:val="0"/>
          <w:numId w:val="0"/>
        </w:numPr>
        <w:autoSpaceDE/>
        <w:autoSpaceDN/>
        <w:snapToGrid w:val="0"/>
        <w:spacing w:before="0" w:after="160" w:line="40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八、定标</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新宋体" w:hAnsi="新宋体" w:eastAsia="新宋体"/>
          <w:color w:val="auto"/>
          <w:position w:val="0"/>
          <w:sz w:val="24"/>
          <w:szCs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default" w:ascii="Times New Roman" w:hAnsi="宋体" w:eastAsia="宋体"/>
          <w:color w:val="auto"/>
          <w:position w:val="0"/>
          <w:sz w:val="24"/>
          <w:szCs w:val="24"/>
          <w:highlight w:val="none"/>
        </w:rPr>
        <w:t>。</w:t>
      </w:r>
    </w:p>
    <w:p>
      <w:pPr>
        <w:pStyle w:val="48"/>
        <w:numPr>
          <w:ilvl w:val="0"/>
          <w:numId w:val="0"/>
        </w:numPr>
        <w:autoSpaceDE/>
        <w:autoSpaceDN/>
        <w:snapToGrid w:val="0"/>
        <w:spacing w:before="0" w:after="0" w:line="440" w:lineRule="exact"/>
        <w:ind w:right="0" w:firstLine="48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九、评标报告</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评标委员会根据投标人须知前附表7.1条的规定向招标人提交评标报告。评标报告应当由全体评标委员会成员签字，并于评标结束时抄送有关行政监督部门。</w:t>
      </w:r>
    </w:p>
    <w:p>
      <w:pPr>
        <w:pStyle w:val="48"/>
        <w:numPr>
          <w:ilvl w:val="0"/>
          <w:numId w:val="0"/>
        </w:numPr>
        <w:autoSpaceDE/>
        <w:autoSpaceDN/>
        <w:snapToGrid w:val="0"/>
        <w:spacing w:before="0" w:after="0" w:line="440" w:lineRule="exact"/>
        <w:ind w:right="0" w:firstLine="48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十、公示</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十一、特殊情况的处置程序</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11.1关于澄清、说明或补正</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11.2关于评标活动暂停</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11.2.1评标委员会应当执行连续评标的原则，按评标办法中规定的程序、内容、方法、标准完成全部评标工作。只有发生不可抗力导致评标工作无法继续时，评标活动方可暂停。</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11.2.2发生评标暂停情况时，评标委员会应当封存全部投标文件和评标记录，待不可抗力的影响结束且具备继续评标的条件时，由原评标委员会继续评标。</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11.3关于评标中途更换评标委员会成员</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11.3.1除非发生下列情况之一，评标委员会成员不得在评标中途更换：</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（1）因不可抗拒的客观原因，不能到场或需在评标中途退出评标活动。</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（2）根据法律法规规定，某个或某几个评标委员会成员需要回避。</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11.3.2退出评标的评标委员会成员，其已完成的评标行为无效。由招标人根据本招标文件规定的评标委员会成员产生方式另行确定替代者进行评标。</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11.4记名投票</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在任何评标环节中，需评标委员会就某项定性的评审结论做出表决的，由评标委员会全体成员按照少数服从多数的原则，以记名投票方式表决。</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11.5评标委员会对评标结果有异议的</w:t>
      </w:r>
    </w:p>
    <w:p>
      <w:pPr>
        <w:numPr>
          <w:ilvl w:val="0"/>
          <w:numId w:val="0"/>
        </w:numPr>
        <w:autoSpaceDE/>
        <w:autoSpaceDN/>
        <w:snapToGrid w:val="0"/>
        <w:spacing w:before="0" w:after="160" w:line="440" w:lineRule="exact"/>
        <w:ind w:right="0" w:firstLine="468"/>
        <w:jc w:val="both"/>
        <w:rPr>
          <w:rFonts w:hint="default" w:ascii="Times New Roman" w:hAnsi="宋体" w:eastAsia="宋体"/>
          <w:color w:val="auto"/>
          <w:spacing w:val="-3"/>
          <w:position w:val="0"/>
          <w:sz w:val="24"/>
          <w:szCs w:val="24"/>
          <w:highlight w:val="none"/>
        </w:rPr>
      </w:pPr>
      <w:r>
        <w:rPr>
          <w:rFonts w:hint="default" w:ascii="Times New Roman" w:hAnsi="宋体" w:eastAsia="宋体"/>
          <w:color w:val="auto"/>
          <w:spacing w:val="-3"/>
          <w:position w:val="0"/>
          <w:sz w:val="24"/>
          <w:szCs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6"/>
        <w:numPr>
          <w:ilvl w:val="0"/>
          <w:numId w:val="0"/>
        </w:numPr>
        <w:autoSpaceDE/>
        <w:autoSpaceDN/>
        <w:snapToGrid w:val="0"/>
        <w:spacing w:before="0" w:after="160" w:line="360" w:lineRule="auto"/>
        <w:ind w:right="0" w:firstLine="0"/>
        <w:jc w:val="center"/>
        <w:outlineLvl w:val="0"/>
        <w:rPr>
          <w:rFonts w:hint="default" w:ascii="宋体" w:hAnsi="黑体" w:eastAsia="黑体"/>
          <w:b w:val="0"/>
          <w:color w:val="auto"/>
          <w:position w:val="0"/>
          <w:sz w:val="36"/>
          <w:szCs w:val="36"/>
          <w:highlight w:val="none"/>
        </w:rPr>
      </w:pPr>
      <w:r>
        <w:br w:type="page"/>
      </w:r>
      <w:bookmarkStart w:id="93" w:name="_Toc9153"/>
      <w:bookmarkStart w:id="94" w:name="_Toc11681"/>
      <w:r>
        <w:rPr>
          <w:rFonts w:hint="default" w:ascii="宋体" w:hAnsi="宋体" w:eastAsia="宋体"/>
          <w:b/>
          <w:color w:val="auto"/>
          <w:position w:val="0"/>
          <w:sz w:val="44"/>
          <w:szCs w:val="44"/>
          <w:highlight w:val="none"/>
        </w:rPr>
        <w:t>第四章 合同条款及格式</w:t>
      </w:r>
      <w:bookmarkEnd w:id="13"/>
      <w:bookmarkEnd w:id="93"/>
      <w:bookmarkEnd w:id="94"/>
    </w:p>
    <w:p>
      <w:pPr>
        <w:numPr>
          <w:ilvl w:val="0"/>
          <w:numId w:val="0"/>
        </w:numPr>
        <w:autoSpaceDE/>
        <w:autoSpaceDN/>
        <w:spacing w:before="0" w:after="160" w:line="240" w:lineRule="auto"/>
        <w:ind w:right="0" w:firstLine="880"/>
        <w:jc w:val="center"/>
        <w:rPr>
          <w:rFonts w:hint="default" w:ascii="黑体" w:hAnsi="黑体" w:eastAsia="黑体"/>
          <w:color w:val="auto"/>
          <w:position w:val="0"/>
          <w:sz w:val="44"/>
          <w:szCs w:val="44"/>
          <w:highlight w:val="none"/>
        </w:rPr>
      </w:pPr>
      <w:bookmarkStart w:id="95" w:name="_Toc278443518"/>
      <w:r>
        <w:rPr>
          <w:rFonts w:hint="default" w:ascii="黑体" w:hAnsi="黑体" w:eastAsia="黑体"/>
          <w:color w:val="auto"/>
          <w:position w:val="0"/>
          <w:sz w:val="44"/>
          <w:szCs w:val="44"/>
          <w:highlight w:val="none"/>
        </w:rPr>
        <w:t>（GF—2017—0201）</w:t>
      </w:r>
    </w:p>
    <w:p>
      <w:pPr>
        <w:numPr>
          <w:ilvl w:val="0"/>
          <w:numId w:val="0"/>
        </w:numPr>
        <w:tabs>
          <w:tab w:val="left" w:pos="5000"/>
        </w:tabs>
        <w:autoSpaceDE/>
        <w:autoSpaceDN/>
        <w:spacing w:before="0" w:after="160" w:line="360" w:lineRule="auto"/>
        <w:ind w:right="0" w:firstLine="640"/>
        <w:jc w:val="both"/>
        <w:rPr>
          <w:rFonts w:hint="default" w:ascii="Times New Roman" w:hAnsi="宋体" w:eastAsia="宋体"/>
          <w:b/>
          <w:color w:val="auto"/>
          <w:position w:val="0"/>
          <w:sz w:val="32"/>
          <w:szCs w:val="32"/>
          <w:highlight w:val="none"/>
        </w:rPr>
      </w:pPr>
      <w:bookmarkStart w:id="96" w:name="_Toc278443514"/>
      <w:r>
        <w:rPr>
          <w:rFonts w:hint="default" w:ascii="Times New Roman" w:hAnsi="宋体" w:eastAsia="宋体"/>
          <w:b/>
          <w:color w:val="auto"/>
          <w:position w:val="0"/>
          <w:sz w:val="32"/>
          <w:szCs w:val="32"/>
          <w:highlight w:val="none"/>
        </w:rPr>
        <w:t>采用由中华人民共和国住房和城乡建设部与国家工商行政管理局联合制定的《建设工程施工合同》(GF2017-0201)签订合</w:t>
      </w:r>
      <w:bookmarkEnd w:id="96"/>
      <w:r>
        <w:rPr>
          <w:rFonts w:hint="default" w:ascii="Times New Roman" w:hAnsi="宋体" w:eastAsia="宋体"/>
          <w:b/>
          <w:color w:val="auto"/>
          <w:position w:val="0"/>
          <w:sz w:val="32"/>
          <w:szCs w:val="32"/>
          <w:highlight w:val="none"/>
        </w:rPr>
        <w:t>同。</w:t>
      </w: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pStyle w:val="6"/>
        <w:numPr>
          <w:ilvl w:val="0"/>
          <w:numId w:val="0"/>
        </w:numPr>
        <w:autoSpaceDE/>
        <w:autoSpaceDN/>
        <w:snapToGrid w:val="0"/>
        <w:spacing w:before="0" w:after="160" w:line="360" w:lineRule="auto"/>
        <w:ind w:right="0" w:firstLine="0"/>
        <w:jc w:val="center"/>
        <w:outlineLvl w:val="0"/>
        <w:rPr>
          <w:rFonts w:hint="default" w:ascii="宋体" w:hAnsi="黑体" w:eastAsia="黑体"/>
          <w:b w:val="0"/>
          <w:color w:val="auto"/>
          <w:position w:val="0"/>
          <w:sz w:val="36"/>
          <w:szCs w:val="36"/>
          <w:highlight w:val="none"/>
        </w:rPr>
      </w:pPr>
      <w:bookmarkStart w:id="97" w:name="_Toc15573"/>
      <w:r>
        <w:rPr>
          <w:rFonts w:hint="default" w:ascii="宋体" w:hAnsi="宋体" w:eastAsia="宋体"/>
          <w:b/>
          <w:color w:val="auto"/>
          <w:position w:val="0"/>
          <w:sz w:val="44"/>
          <w:szCs w:val="44"/>
          <w:highlight w:val="none"/>
        </w:rPr>
        <w:t>第五章 工程量清单</w:t>
      </w:r>
      <w:bookmarkEnd w:id="97"/>
    </w:p>
    <w:p>
      <w:pPr>
        <w:numPr>
          <w:ilvl w:val="0"/>
          <w:numId w:val="0"/>
        </w:numPr>
        <w:autoSpaceDE/>
        <w:autoSpaceDN/>
        <w:spacing w:before="0" w:after="160" w:line="360" w:lineRule="auto"/>
        <w:ind w:right="0" w:firstLine="480"/>
        <w:jc w:val="both"/>
        <w:rPr>
          <w:rFonts w:hint="default" w:ascii="新宋体" w:hAnsi="新宋体" w:eastAsia="新宋体"/>
          <w:b/>
          <w:color w:val="auto"/>
          <w:position w:val="0"/>
          <w:sz w:val="24"/>
          <w:szCs w:val="24"/>
          <w:highlight w:val="none"/>
        </w:rPr>
      </w:pPr>
      <w:r>
        <w:rPr>
          <w:rFonts w:hint="default" w:ascii="新宋体" w:hAnsi="新宋体" w:eastAsia="新宋体"/>
          <w:b/>
          <w:color w:val="auto"/>
          <w:position w:val="0"/>
          <w:sz w:val="24"/>
          <w:szCs w:val="24"/>
          <w:highlight w:val="none"/>
        </w:rPr>
        <w:t>1、工程量清单说明</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1.2 本工程量清单应与招标文件中的投标人须知、通用合同条款、专用合同条款、技术标准和要求及图纸等章节内容一起阅读和理解。</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u w:val="single"/>
        </w:rPr>
      </w:pPr>
      <w:r>
        <w:rPr>
          <w:rFonts w:hint="default" w:ascii="新宋体" w:hAnsi="新宋体" w:eastAsia="新宋体"/>
          <w:color w:val="auto"/>
          <w:position w:val="0"/>
          <w:sz w:val="24"/>
          <w:szCs w:val="24"/>
          <w:highlight w:val="none"/>
        </w:rPr>
        <w:t>1.4补充子目的子目特征、计量单位、工程量计算规则及工作内容说明如下：</w:t>
      </w:r>
      <w:r>
        <w:rPr>
          <w:rFonts w:hint="default" w:ascii="新宋体" w:hAnsi="新宋体" w:eastAsia="新宋体"/>
          <w:color w:val="auto"/>
          <w:position w:val="0"/>
          <w:sz w:val="24"/>
          <w:szCs w:val="24"/>
          <w:highlight w:val="none"/>
          <w:u w:val="single"/>
        </w:rPr>
        <w:t>本工程使用《建设工程工程量清单计价规范》GB50500-2013、《河南省房屋建筑与装饰工程预算定额（2016）》、《河南省安装通用预算定额（2016）》（A建筑工程）以及相关造价文件及其配套的计价方法、调整文件及综合解释等；</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1.5 本条第1.1款中约定的计量和计价规则适用于合同履约过程中工程量计量与价款支付、工程变更、索赔和工程结算。</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1.6 本条与下述第2条和第3条的说明内容是构成合同文件的已标价工程量清单的组成部分。</w:t>
      </w:r>
    </w:p>
    <w:p>
      <w:pPr>
        <w:numPr>
          <w:ilvl w:val="0"/>
          <w:numId w:val="0"/>
        </w:numPr>
        <w:autoSpaceDE/>
        <w:autoSpaceDN/>
        <w:spacing w:before="0" w:after="160" w:line="360" w:lineRule="auto"/>
        <w:ind w:right="0" w:firstLine="480"/>
        <w:jc w:val="both"/>
        <w:rPr>
          <w:rFonts w:hint="default" w:ascii="新宋体" w:hAnsi="新宋体" w:eastAsia="新宋体"/>
          <w:b/>
          <w:color w:val="auto"/>
          <w:position w:val="0"/>
          <w:sz w:val="24"/>
          <w:szCs w:val="24"/>
          <w:highlight w:val="none"/>
        </w:rPr>
      </w:pPr>
      <w:r>
        <w:rPr>
          <w:rFonts w:hint="default" w:ascii="新宋体" w:hAnsi="新宋体" w:eastAsia="新宋体"/>
          <w:b/>
          <w:color w:val="auto"/>
          <w:position w:val="0"/>
          <w:sz w:val="24"/>
          <w:szCs w:val="24"/>
          <w:highlight w:val="none"/>
        </w:rPr>
        <w:t>2、投标报价说明</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 xml:space="preserve"> 投标报价应根据招标文件中的有关计价要求，并按照下列依据自主报价。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lang w:val="en-US" w:eastAsia="zh-CN"/>
        </w:rPr>
      </w:pPr>
      <w:bookmarkStart w:id="98" w:name="_Toc13370"/>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《建设工程工程量清单计价规范》GB 50500-2013、《河南省</w:t>
      </w:r>
      <w:r>
        <w:rPr>
          <w:rFonts w:hint="default" w:ascii="Times New Roman" w:hAnsi="宋体" w:eastAsia="宋体"/>
          <w:color w:val="auto"/>
          <w:position w:val="0"/>
          <w:sz w:val="24"/>
          <w:szCs w:val="24"/>
          <w:highlight w:val="none"/>
          <w:lang w:eastAsia="zh-CN"/>
        </w:rPr>
        <w:t>房屋建筑与装饰工程预算定额</w:t>
      </w:r>
      <w:r>
        <w:rPr>
          <w:rFonts w:hint="default" w:ascii="Times New Roman" w:hAnsi="宋体" w:eastAsia="宋体"/>
          <w:color w:val="auto"/>
          <w:position w:val="0"/>
          <w:sz w:val="24"/>
          <w:szCs w:val="24"/>
          <w:highlight w:val="none"/>
        </w:rPr>
        <w:t>》</w:t>
      </w:r>
      <w:r>
        <w:rPr>
          <w:rFonts w:hint="default" w:ascii="Times New Roman"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lang w:val="en-US" w:eastAsia="zh-CN"/>
        </w:rPr>
        <w:t>HA-01-31-2016</w:t>
      </w:r>
      <w:r>
        <w:rPr>
          <w:rFonts w:hint="default" w:ascii="Times New Roman" w:hAnsi="宋体" w:eastAsia="宋体"/>
          <w:color w:val="auto"/>
          <w:position w:val="0"/>
          <w:sz w:val="24"/>
          <w:szCs w:val="24"/>
          <w:highlight w:val="none"/>
          <w:lang w:eastAsia="zh-CN"/>
        </w:rPr>
        <w:t>）进行编制</w:t>
      </w:r>
      <w:r>
        <w:rPr>
          <w:rFonts w:hint="default" w:ascii="Times New Roman" w:hAnsi="宋体" w:eastAsia="宋体"/>
          <w:color w:val="auto"/>
          <w:position w:val="0"/>
          <w:sz w:val="24"/>
          <w:szCs w:val="24"/>
          <w:highlight w:val="none"/>
        </w:rPr>
        <w:t>及相关文件资料；</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lang w:val="en-US" w:eastAsia="zh-CN"/>
        </w:rPr>
      </w:pPr>
      <w:r>
        <w:rPr>
          <w:rFonts w:hint="eastAsia" w:hAnsi="宋体" w:eastAsia="宋体"/>
          <w:color w:val="auto"/>
          <w:position w:val="0"/>
          <w:sz w:val="24"/>
          <w:szCs w:val="24"/>
          <w:highlight w:val="none"/>
          <w:lang w:val="en-US" w:eastAsia="zh-CN"/>
        </w:rPr>
        <w:t>3）</w:t>
      </w:r>
      <w:r>
        <w:rPr>
          <w:rFonts w:hint="default" w:ascii="Times New Roman" w:hAnsi="宋体" w:eastAsia="宋体"/>
          <w:color w:val="auto"/>
          <w:position w:val="0"/>
          <w:sz w:val="24"/>
          <w:szCs w:val="24"/>
          <w:highlight w:val="none"/>
        </w:rPr>
        <w:t>本工程税金按</w:t>
      </w:r>
      <w:r>
        <w:rPr>
          <w:rFonts w:hint="default" w:ascii="Times New Roman" w:hAnsi="宋体" w:eastAsia="宋体"/>
          <w:color w:val="auto"/>
          <w:position w:val="0"/>
          <w:sz w:val="24"/>
          <w:szCs w:val="24"/>
          <w:highlight w:val="none"/>
          <w:lang w:eastAsia="zh-CN"/>
        </w:rPr>
        <w:t>财政部、税务总局、海关总署公告</w:t>
      </w:r>
      <w:r>
        <w:rPr>
          <w:rFonts w:hint="default" w:ascii="Times New Roman" w:hAnsi="宋体" w:eastAsia="宋体"/>
          <w:color w:val="auto"/>
          <w:position w:val="0"/>
          <w:sz w:val="24"/>
          <w:szCs w:val="24"/>
          <w:highlight w:val="none"/>
          <w:lang w:val="en-US" w:eastAsia="zh-CN"/>
        </w:rPr>
        <w:t>2019年第39号</w:t>
      </w:r>
      <w:r>
        <w:rPr>
          <w:rFonts w:hint="default" w:ascii="Times New Roman" w:hAnsi="宋体" w:eastAsia="宋体"/>
          <w:color w:val="auto"/>
          <w:position w:val="0"/>
          <w:sz w:val="24"/>
          <w:szCs w:val="24"/>
          <w:highlight w:val="none"/>
        </w:rPr>
        <w:t>文</w:t>
      </w:r>
      <w:r>
        <w:rPr>
          <w:rFonts w:hint="default" w:ascii="Times New Roman" w:hAnsi="宋体" w:eastAsia="宋体"/>
          <w:color w:val="auto"/>
          <w:position w:val="0"/>
          <w:sz w:val="24"/>
          <w:szCs w:val="24"/>
          <w:highlight w:val="none"/>
          <w:lang w:val="en-US" w:eastAsia="zh-CN"/>
        </w:rPr>
        <w:t>9</w:t>
      </w:r>
      <w:r>
        <w:rPr>
          <w:rFonts w:hint="default" w:ascii="Times New Roman" w:hAnsi="宋体" w:eastAsia="宋体"/>
          <w:color w:val="auto"/>
          <w:position w:val="0"/>
          <w:sz w:val="24"/>
          <w:szCs w:val="24"/>
          <w:highlight w:val="none"/>
        </w:rPr>
        <w:t>%计取增值税</w:t>
      </w:r>
      <w:r>
        <w:rPr>
          <w:rFonts w:hint="default" w:ascii="Times New Roman" w:hAnsi="宋体" w:eastAsia="宋体"/>
          <w:color w:val="auto"/>
          <w:position w:val="0"/>
          <w:sz w:val="24"/>
          <w:szCs w:val="24"/>
          <w:highlight w:val="none"/>
          <w:lang w:eastAsia="zh-CN"/>
        </w:rPr>
        <w:t>；</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eastAsia"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人工费指数、机械类指数、管理类指数按豫建标定【20</w:t>
      </w:r>
      <w:r>
        <w:rPr>
          <w:rFonts w:hint="default" w:ascii="Times New Roman" w:hAnsi="宋体" w:eastAsia="宋体"/>
          <w:color w:val="auto"/>
          <w:position w:val="0"/>
          <w:sz w:val="24"/>
          <w:szCs w:val="24"/>
          <w:highlight w:val="none"/>
          <w:lang w:val="en-US" w:eastAsia="zh-CN"/>
        </w:rPr>
        <w:t>19</w:t>
      </w:r>
      <w:r>
        <w:rPr>
          <w:rFonts w:hint="default" w:ascii="Times New Roman" w:hAnsi="宋体" w:eastAsia="宋体"/>
          <w:color w:val="auto"/>
          <w:position w:val="0"/>
          <w:sz w:val="24"/>
          <w:szCs w:val="24"/>
          <w:highlight w:val="none"/>
        </w:rPr>
        <w:t>】</w:t>
      </w:r>
      <w:r>
        <w:rPr>
          <w:rFonts w:hint="default" w:ascii="Times New Roman" w:hAnsi="宋体" w:eastAsia="宋体"/>
          <w:color w:val="auto"/>
          <w:position w:val="0"/>
          <w:sz w:val="24"/>
          <w:szCs w:val="24"/>
          <w:highlight w:val="none"/>
          <w:lang w:val="en-US" w:eastAsia="zh-CN"/>
        </w:rPr>
        <w:t>50</w:t>
      </w:r>
      <w:r>
        <w:rPr>
          <w:rFonts w:hint="default" w:ascii="Times New Roman" w:hAnsi="宋体" w:eastAsia="宋体"/>
          <w:color w:val="auto"/>
          <w:position w:val="0"/>
          <w:sz w:val="24"/>
          <w:szCs w:val="24"/>
          <w:highlight w:val="none"/>
        </w:rPr>
        <w:t>号文件计入；</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eastAsia" w:hAnsi="宋体" w:eastAsia="宋体"/>
          <w:color w:val="auto"/>
          <w:position w:val="0"/>
          <w:sz w:val="24"/>
          <w:szCs w:val="24"/>
          <w:highlight w:val="none"/>
          <w:lang w:val="en-US" w:eastAsia="zh-CN"/>
        </w:rPr>
        <w:t>5）</w:t>
      </w:r>
      <w:r>
        <w:rPr>
          <w:rFonts w:hint="default" w:ascii="Times New Roman" w:hAnsi="宋体" w:eastAsia="宋体"/>
          <w:color w:val="auto"/>
          <w:position w:val="0"/>
          <w:sz w:val="24"/>
          <w:szCs w:val="24"/>
          <w:highlight w:val="none"/>
        </w:rPr>
        <w:t>主要材料价格参考《许昌信息价》</w:t>
      </w:r>
      <w:r>
        <w:rPr>
          <w:rFonts w:hint="default" w:ascii="Times New Roman" w:hAnsi="宋体" w:eastAsia="宋体"/>
          <w:color w:val="auto"/>
          <w:position w:val="0"/>
          <w:sz w:val="24"/>
          <w:szCs w:val="24"/>
          <w:highlight w:val="none"/>
          <w:lang w:val="en-US" w:eastAsia="zh-CN"/>
        </w:rPr>
        <w:t>2020年</w:t>
      </w:r>
      <w:r>
        <w:rPr>
          <w:rFonts w:hint="default" w:ascii="Times New Roman" w:hAnsi="宋体" w:eastAsia="宋体"/>
          <w:color w:val="auto"/>
          <w:position w:val="0"/>
          <w:sz w:val="24"/>
          <w:szCs w:val="24"/>
          <w:highlight w:val="none"/>
        </w:rPr>
        <w:t>第</w:t>
      </w:r>
      <w:r>
        <w:rPr>
          <w:rFonts w:hint="default" w:ascii="Times New Roman" w:hAnsi="宋体" w:eastAsia="宋体"/>
          <w:color w:val="auto"/>
          <w:position w:val="0"/>
          <w:sz w:val="24"/>
          <w:szCs w:val="24"/>
          <w:highlight w:val="none"/>
          <w:lang w:val="en-US" w:eastAsia="zh-CN"/>
        </w:rPr>
        <w:t>二期及2020年三月份主材价格</w:t>
      </w:r>
      <w:r>
        <w:rPr>
          <w:rFonts w:hint="default" w:ascii="Times New Roman" w:hAnsi="宋体" w:eastAsia="宋体"/>
          <w:color w:val="auto"/>
          <w:position w:val="0"/>
          <w:sz w:val="24"/>
          <w:szCs w:val="24"/>
          <w:highlight w:val="none"/>
        </w:rPr>
        <w:t>，</w:t>
      </w:r>
      <w:r>
        <w:rPr>
          <w:rFonts w:hint="default" w:ascii="Times New Roman" w:hAnsi="宋体" w:eastAsia="宋体"/>
          <w:color w:val="auto"/>
          <w:position w:val="0"/>
          <w:sz w:val="24"/>
          <w:szCs w:val="24"/>
          <w:highlight w:val="none"/>
          <w:lang w:eastAsia="zh-CN"/>
        </w:rPr>
        <w:t>并结合</w:t>
      </w:r>
      <w:r>
        <w:rPr>
          <w:rFonts w:hint="default" w:ascii="Times New Roman" w:hAnsi="宋体" w:eastAsia="宋体"/>
          <w:color w:val="auto"/>
          <w:position w:val="0"/>
          <w:sz w:val="24"/>
          <w:szCs w:val="24"/>
          <w:highlight w:val="none"/>
        </w:rPr>
        <w:t>市场询价。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2.2 工程量清单中的每一子目须填入单价或价格，且只允许有一个报价。</w:t>
      </w:r>
      <w:bookmarkEnd w:id="98"/>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2.3 工程量清单中标价的单价或金额，应包括所需人工费、材料费、施工机械使用费和管理费及利润，以及一定范围内的风险费用。所谓“一定范围内的风险”是指合同约定的风险。</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2.4 已标价工程量清单中投标人没有填入单价或价格的子目，其费用视为已分摊在工程量清单中其他已标价的相关子目的单价或价格之中。</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 分部分项工程项目按下列要求报价：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2.6.1 分部分项工程量清单计价应依据计价规范中关于综合单价的组成内容确定报价。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2.6.4 “分部分项工程量清单与计价表”所列各子目的综合单价组成中，各子目的人工、材料和机械台班消耗量由投标人按照其自身情况做充分的、竞争性考虑。材料消耗量包括损耗量。</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 措施项目按下列要求报价：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2.7.3 “措施项目清单与计价表”中所填写的报价金额，应全面涵盖招标文件约定的投标人中标后施工、竣工、交付本工程并维修其任何缺陷所需要履行的责任和义务的全部费用。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2.7.4 对于“措施项目清单与计价表”中所填写的报价金额，应按照“措施项目清单报价分析表”对措施项目报价的组成进行详细的列项和分析。</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 其他项目清单费应按下列规定报价：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2.8.1 暂列金额按“暂列金额明细表”中列出的金额报价，此处的暂列金额是招标人在招标文件中统一给定的，并不包括本章第2.8.3项的计日工金额。</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2.8.3 计日工按“计日工表”中列出的子目和估算数量，自主确定综合单价并计算计日工金额。计日工综合单价均不包括规费和税金，其中：</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 材料价格包括材料运到现场的价格以及现场搬运、仓储、二次搬运、损耗、保险、企业管理费和利润；</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2.8.4总承包服务费根据招标文件中列出的内容和要求，按“总承包服务费计价表”所列格式自主报价。</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2.9 规费和税金应按“规费、税金项目清单与计价表”所列项目并根据国家、省级或行业建设主管部门的有关规定列项和计算，不得作为竞争性费用。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2.10 除招标文件有强制性规定外，投标报价由投标人自主确定，但不得低于其成本。</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2.12 管理费应由投标人在保证不低于其成本的基础上做竞争性考虑；利润由投标人根据自身情况和综合实力做竞争性考虑。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2.13 投标报价中应考虑招标文件中要求投标人承担的风险范围以及相关的费用。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2.14 投标总价为投标人在投标文件中提出的各项支付金额的总和，为实施、完成招标工程并修补缺陷以及履行招标文件中约定的风险范围内的所有责任和义务所发生的全部费用。</w:t>
      </w:r>
    </w:p>
    <w:p>
      <w:pPr>
        <w:numPr>
          <w:ilvl w:val="0"/>
          <w:numId w:val="0"/>
        </w:numPr>
        <w:autoSpaceDE/>
        <w:autoSpaceDN/>
        <w:spacing w:before="0" w:after="160" w:line="430" w:lineRule="exact"/>
        <w:ind w:left="1" w:right="0" w:firstLine="480"/>
        <w:jc w:val="both"/>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2.15 有关投标报价的其他说明：</w:t>
      </w:r>
    </w:p>
    <w:p>
      <w:pPr>
        <w:numPr>
          <w:ilvl w:val="0"/>
          <w:numId w:val="0"/>
        </w:numPr>
        <w:autoSpaceDE/>
        <w:autoSpaceDN/>
        <w:spacing w:before="0" w:after="160" w:line="440" w:lineRule="exact"/>
        <w:ind w:right="0" w:firstLine="481"/>
        <w:jc w:val="both"/>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3、其他说明</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3.1词语和定义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3.1.1 工程量清单</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是表现本工程分部分项工程项目、措施项目、其他项目、规费项目和税金的名称和相应数量等的明细清单。</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3.1.2 总价子目</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3.1.3 单价子目</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工程量清单中以单价计价，根据有合同约束力的图纸和工程量计算规则进行计量，以实际完成数量乘以相应单价进行结算的子目。</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3.1.4 子目编码</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分部分项工程项目清单中所列的子目名称的数字标识和代码，子目编码与项目编码同义。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3.1.5 子目特征</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构成分部分项工程项目清单子目、措施项目的实质内容、决定其自身价值的本质特征，子目特征与项目特征同义。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3.1.6 规费</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承包人根据省级政府或省级有关权力部门规定必须缴纳的，应计入建筑安装工程造价的费用。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3.1.7 税金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国家税法规定的应计入建筑安装工程造价内的增值税、城市维护建设税及教育费附加等。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3.1.8 总承包服务费</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总承包人为配合协调发包人发包的专业工程以及发包人采购的材料和工程设备等进行管理、服务以及施工现场管理、竣工资料汇总整理等所需的费用。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3.1.9 同义词语</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本章中使用的词语“招标人”和“投标人”分别与合同条款中定义的“发包人”和“承包人”同义；就工程量清单而言，“子目”与“项目”同义。</w:t>
      </w:r>
    </w:p>
    <w:p>
      <w:pPr>
        <w:numPr>
          <w:ilvl w:val="0"/>
          <w:numId w:val="0"/>
        </w:numPr>
        <w:autoSpaceDE/>
        <w:autoSpaceDN/>
        <w:spacing w:before="0" w:after="160" w:line="360" w:lineRule="auto"/>
        <w:ind w:left="1"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3.2工程量差异调整</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3.3暂列金额和暂估价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3.4其他补充说明</w:t>
      </w:r>
      <w:r>
        <w:rPr>
          <w:rFonts w:hint="default" w:ascii="Times New Roman" w:hAnsi="宋体" w:eastAsia="宋体"/>
          <w:color w:val="auto"/>
          <w:position w:val="0"/>
          <w:sz w:val="24"/>
          <w:szCs w:val="24"/>
          <w:highlight w:val="none"/>
          <w:u w:val="single"/>
        </w:rPr>
        <w:t xml:space="preserve">     /  ；</w:t>
      </w:r>
    </w:p>
    <w:p>
      <w:pPr>
        <w:numPr>
          <w:ilvl w:val="0"/>
          <w:numId w:val="0"/>
        </w:numPr>
        <w:autoSpaceDE/>
        <w:autoSpaceDN/>
        <w:spacing w:before="0" w:after="160" w:line="360" w:lineRule="auto"/>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4．工程量清单</w:t>
      </w:r>
    </w:p>
    <w:p>
      <w:pPr>
        <w:numPr>
          <w:ilvl w:val="0"/>
          <w:numId w:val="0"/>
        </w:numPr>
        <w:autoSpaceDE/>
        <w:autoSpaceDN/>
        <w:spacing w:before="0" w:after="160" w:line="360" w:lineRule="auto"/>
        <w:ind w:right="0" w:firstLine="480"/>
        <w:jc w:val="both"/>
        <w:rPr>
          <w:rFonts w:hint="default" w:ascii="新宋体" w:hAnsi="新宋体" w:eastAsia="新宋体"/>
          <w:color w:val="auto"/>
          <w:position w:val="0"/>
          <w:sz w:val="24"/>
          <w:szCs w:val="24"/>
          <w:highlight w:val="none"/>
          <w:u w:val="single"/>
        </w:rPr>
      </w:pPr>
      <w:r>
        <w:rPr>
          <w:rFonts w:hint="default" w:ascii="Times New Roman" w:hAnsi="宋体" w:eastAsia="宋体"/>
          <w:color w:val="auto"/>
          <w:position w:val="0"/>
          <w:sz w:val="24"/>
          <w:szCs w:val="24"/>
          <w:highlight w:val="none"/>
          <w:u w:val="single"/>
        </w:rPr>
        <w:t>工程量清单在【全国公共资源交易平台（河南省·许昌市）】上自行下载。</w:t>
      </w:r>
    </w:p>
    <w:p>
      <w:pPr>
        <w:numPr>
          <w:ilvl w:val="0"/>
          <w:numId w:val="0"/>
        </w:numPr>
        <w:autoSpaceDE w:val="0"/>
        <w:autoSpaceDN w:val="0"/>
        <w:spacing w:before="0" w:after="160" w:line="240" w:lineRule="auto"/>
        <w:ind w:right="0" w:firstLine="480"/>
        <w:jc w:val="both"/>
        <w:outlineLvl w:val="0"/>
        <w:rPr>
          <w:rFonts w:hint="default" w:ascii="新宋体" w:hAnsi="新宋体" w:eastAsia="新宋体"/>
          <w:color w:val="auto"/>
          <w:position w:val="0"/>
          <w:sz w:val="24"/>
          <w:szCs w:val="24"/>
          <w:highlight w:val="none"/>
          <w:u w:val="single"/>
        </w:rPr>
      </w:pPr>
      <w:r>
        <w:br w:type="page"/>
      </w:r>
    </w:p>
    <w:p>
      <w:pPr>
        <w:pStyle w:val="6"/>
        <w:numPr>
          <w:ilvl w:val="0"/>
          <w:numId w:val="0"/>
        </w:numPr>
        <w:autoSpaceDE/>
        <w:autoSpaceDN/>
        <w:snapToGrid w:val="0"/>
        <w:spacing w:before="0" w:after="160" w:line="360" w:lineRule="auto"/>
        <w:ind w:right="0" w:firstLine="0"/>
        <w:jc w:val="center"/>
        <w:outlineLvl w:val="0"/>
        <w:rPr>
          <w:rFonts w:hint="default" w:ascii="宋体" w:hAnsi="宋体" w:eastAsia="宋体"/>
          <w:b/>
          <w:color w:val="auto"/>
          <w:position w:val="0"/>
          <w:sz w:val="44"/>
          <w:szCs w:val="44"/>
          <w:highlight w:val="none"/>
        </w:rPr>
      </w:pPr>
      <w:bookmarkStart w:id="99" w:name="_Toc8808"/>
      <w:bookmarkStart w:id="100" w:name="_Toc9650"/>
      <w:r>
        <w:rPr>
          <w:rFonts w:hint="default" w:ascii="宋体" w:hAnsi="宋体" w:eastAsia="宋体"/>
          <w:b/>
          <w:color w:val="auto"/>
          <w:position w:val="0"/>
          <w:sz w:val="44"/>
          <w:szCs w:val="44"/>
          <w:highlight w:val="none"/>
        </w:rPr>
        <w:t>第六章 图 纸</w:t>
      </w:r>
      <w:bookmarkEnd w:id="95"/>
      <w:bookmarkEnd w:id="99"/>
      <w:bookmarkEnd w:id="100"/>
    </w:p>
    <w:p>
      <w:pPr>
        <w:numPr>
          <w:ilvl w:val="0"/>
          <w:numId w:val="0"/>
        </w:numPr>
        <w:autoSpaceDE w:val="0"/>
        <w:autoSpaceDN w:val="0"/>
        <w:spacing w:before="0" w:after="160" w:line="240" w:lineRule="auto"/>
        <w:ind w:right="0" w:firstLine="0"/>
        <w:jc w:val="center"/>
        <w:rPr>
          <w:rFonts w:hint="default" w:ascii="Times New Roman" w:hAnsi="黑体" w:eastAsia="黑体"/>
          <w:b/>
          <w:color w:val="auto"/>
          <w:position w:val="0"/>
          <w:sz w:val="24"/>
          <w:szCs w:val="24"/>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r>
        <w:rPr>
          <w:rFonts w:hint="default" w:ascii="Times New Roman" w:hAnsi="黑体" w:eastAsia="黑体"/>
          <w:color w:val="auto"/>
          <w:position w:val="0"/>
          <w:sz w:val="28"/>
          <w:szCs w:val="28"/>
          <w:highlight w:val="none"/>
        </w:rPr>
        <w:t>按照招标文件中第二章投标人须知前附表第2.1项所给的网址自行下载（如有）。</w:t>
      </w:r>
      <w:bookmarkStart w:id="101" w:name="_Toc278443522"/>
      <w:bookmarkStart w:id="102" w:name="_Toc3738"/>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pStyle w:val="25"/>
        <w:numPr>
          <w:ilvl w:val="0"/>
          <w:numId w:val="0"/>
        </w:numPr>
        <w:autoSpaceDE/>
        <w:autoSpaceDN/>
        <w:spacing w:before="0" w:after="160" w:line="240" w:lineRule="auto"/>
        <w:ind w:right="0" w:firstLine="680"/>
        <w:jc w:val="both"/>
        <w:rPr>
          <w:rFonts w:hint="default" w:ascii="宋体" w:hAnsi="宋体" w:eastAsia="宋体"/>
          <w:color w:val="auto"/>
          <w:position w:val="0"/>
          <w:sz w:val="34"/>
          <w:szCs w:val="34"/>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pStyle w:val="6"/>
        <w:numPr>
          <w:ilvl w:val="0"/>
          <w:numId w:val="0"/>
        </w:numPr>
        <w:autoSpaceDE/>
        <w:autoSpaceDN/>
        <w:snapToGrid w:val="0"/>
        <w:spacing w:before="0" w:after="160" w:line="360" w:lineRule="auto"/>
        <w:ind w:right="0" w:firstLine="0"/>
        <w:jc w:val="center"/>
        <w:outlineLvl w:val="0"/>
        <w:rPr>
          <w:rFonts w:hint="default" w:ascii="宋体" w:hAnsi="宋体" w:eastAsia="宋体"/>
          <w:b/>
          <w:color w:val="auto"/>
          <w:position w:val="0"/>
          <w:sz w:val="44"/>
          <w:szCs w:val="44"/>
          <w:highlight w:val="none"/>
        </w:rPr>
      </w:pPr>
      <w:bookmarkStart w:id="103" w:name="_Toc2791"/>
      <w:r>
        <w:rPr>
          <w:rFonts w:hint="default" w:ascii="宋体" w:hAnsi="宋体" w:eastAsia="宋体"/>
          <w:b/>
          <w:color w:val="auto"/>
          <w:position w:val="0"/>
          <w:sz w:val="44"/>
          <w:szCs w:val="44"/>
          <w:highlight w:val="none"/>
        </w:rPr>
        <w:t>第七章 技术标准和要求</w:t>
      </w:r>
      <w:bookmarkEnd w:id="101"/>
      <w:bookmarkEnd w:id="102"/>
      <w:bookmarkEnd w:id="103"/>
    </w:p>
    <w:p>
      <w:pPr>
        <w:numPr>
          <w:ilvl w:val="0"/>
          <w:numId w:val="0"/>
        </w:numPr>
        <w:autoSpaceDE/>
        <w:autoSpaceDN/>
        <w:spacing w:before="0" w:after="160" w:line="500" w:lineRule="exact"/>
        <w:ind w:right="0" w:firstLine="480"/>
        <w:jc w:val="left"/>
        <w:rPr>
          <w:rFonts w:hint="default" w:ascii="新宋体" w:hAnsi="新宋体" w:eastAsia="新宋体"/>
          <w:color w:val="auto"/>
          <w:position w:val="0"/>
          <w:sz w:val="24"/>
          <w:szCs w:val="24"/>
          <w:highlight w:val="none"/>
        </w:rPr>
      </w:pPr>
    </w:p>
    <w:p>
      <w:pPr>
        <w:numPr>
          <w:ilvl w:val="0"/>
          <w:numId w:val="0"/>
        </w:numPr>
        <w:autoSpaceDE/>
        <w:autoSpaceDN/>
        <w:spacing w:before="0" w:after="160" w:line="500" w:lineRule="exact"/>
        <w:ind w:right="0" w:firstLine="0"/>
        <w:jc w:val="left"/>
        <w:rPr>
          <w:rFonts w:hint="default" w:ascii="Times New Roman" w:hAnsi="宋体" w:eastAsia="宋体"/>
          <w:b/>
          <w:color w:val="auto"/>
          <w:position w:val="0"/>
          <w:sz w:val="24"/>
          <w:szCs w:val="24"/>
          <w:highlight w:val="none"/>
        </w:rPr>
      </w:pPr>
    </w:p>
    <w:p>
      <w:pPr>
        <w:numPr>
          <w:ilvl w:val="0"/>
          <w:numId w:val="0"/>
        </w:numPr>
        <w:autoSpaceDE/>
        <w:autoSpaceDN/>
        <w:spacing w:before="0" w:after="160" w:line="50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1、本工程技术标准和要求以本工程施工图纸和适用的国家、行业以及地方规范、标准和规程为准。</w:t>
      </w:r>
    </w:p>
    <w:p>
      <w:pPr>
        <w:numPr>
          <w:ilvl w:val="0"/>
          <w:numId w:val="0"/>
        </w:numPr>
        <w:autoSpaceDE/>
        <w:autoSpaceDN/>
        <w:spacing w:before="0" w:after="160" w:line="50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2、施工工地扬尘污染整治标准以《许昌市施工工地扬尘污染综合整治工作方案》许气联办【2016】21号文件为准。</w:t>
      </w:r>
    </w:p>
    <w:p>
      <w:pPr>
        <w:numPr>
          <w:ilvl w:val="0"/>
          <w:numId w:val="0"/>
        </w:numPr>
        <w:autoSpaceDE w:val="0"/>
        <w:autoSpaceDN w:val="0"/>
        <w:spacing w:before="0" w:after="160" w:line="420" w:lineRule="exact"/>
        <w:ind w:right="0" w:firstLine="0"/>
        <w:jc w:val="center"/>
        <w:rPr>
          <w:rFonts w:hint="default" w:ascii="Times New Roman" w:hAnsi="黑体" w:eastAsia="黑体"/>
          <w:color w:val="auto"/>
          <w:position w:val="0"/>
          <w:sz w:val="32"/>
          <w:szCs w:val="32"/>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bookmarkStart w:id="104" w:name="_Toc9534"/>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bookmarkEnd w:id="104"/>
    <w:p>
      <w:pPr>
        <w:pStyle w:val="6"/>
        <w:numPr>
          <w:ilvl w:val="0"/>
          <w:numId w:val="0"/>
        </w:numPr>
        <w:autoSpaceDE/>
        <w:autoSpaceDN/>
        <w:snapToGrid w:val="0"/>
        <w:spacing w:before="0" w:after="160" w:line="360" w:lineRule="auto"/>
        <w:ind w:right="0" w:firstLine="0"/>
        <w:jc w:val="center"/>
        <w:outlineLvl w:val="0"/>
        <w:rPr>
          <w:rFonts w:hint="default" w:ascii="宋体" w:hAnsi="宋体" w:eastAsia="宋体"/>
          <w:b/>
          <w:color w:val="auto"/>
          <w:position w:val="0"/>
          <w:sz w:val="44"/>
          <w:szCs w:val="44"/>
          <w:highlight w:val="none"/>
        </w:rPr>
      </w:pPr>
      <w:bookmarkStart w:id="105" w:name="_Toc18525"/>
      <w:r>
        <w:rPr>
          <w:rFonts w:hint="default" w:ascii="宋体" w:hAnsi="宋体" w:eastAsia="宋体"/>
          <w:b/>
          <w:color w:val="auto"/>
          <w:position w:val="0"/>
          <w:sz w:val="44"/>
          <w:szCs w:val="44"/>
          <w:highlight w:val="none"/>
        </w:rPr>
        <w:t>第八章 投标文件格式</w:t>
      </w:r>
      <w:bookmarkEnd w:id="105"/>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600"/>
        <w:jc w:val="both"/>
        <w:rPr>
          <w:rFonts w:hint="default" w:ascii="Times New Roman" w:hAnsi="宋体" w:eastAsia="宋体"/>
          <w:b/>
          <w:color w:val="auto"/>
          <w:position w:val="0"/>
          <w:sz w:val="36"/>
          <w:szCs w:val="36"/>
          <w:highlight w:val="none"/>
        </w:rPr>
      </w:pPr>
      <w:r>
        <w:rPr>
          <w:rFonts w:hint="default" w:ascii="Times New Roman" w:hAnsi="宋体" w:eastAsia="宋体"/>
          <w:b/>
          <w:color w:val="auto"/>
          <w:spacing w:val="60"/>
          <w:position w:val="0"/>
          <w:sz w:val="48"/>
          <w:szCs w:val="48"/>
          <w:highlight w:val="none"/>
          <w:u w:val="single"/>
        </w:rPr>
        <w:t xml:space="preserve">        （工程名称）</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1440"/>
        <w:jc w:val="center"/>
        <w:rPr>
          <w:rFonts w:hint="default" w:ascii="Times New Roman" w:hAnsi="宋体" w:eastAsia="宋体"/>
          <w:b/>
          <w:color w:val="auto"/>
          <w:position w:val="0"/>
          <w:sz w:val="72"/>
          <w:szCs w:val="72"/>
          <w:highlight w:val="none"/>
        </w:rPr>
      </w:pPr>
      <w:r>
        <w:rPr>
          <w:rFonts w:hint="default" w:ascii="Times New Roman" w:hAnsi="宋体" w:eastAsia="宋体"/>
          <w:b/>
          <w:color w:val="auto"/>
          <w:position w:val="0"/>
          <w:sz w:val="72"/>
          <w:szCs w:val="72"/>
          <w:highlight w:val="none"/>
        </w:rPr>
        <w:t>投 标 文 件</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（商务标）</w:t>
      </w:r>
    </w:p>
    <w:p>
      <w:pPr>
        <w:numPr>
          <w:ilvl w:val="0"/>
          <w:numId w:val="0"/>
        </w:numPr>
        <w:tabs>
          <w:tab w:val="center" w:pos="4739"/>
        </w:tabs>
        <w:autoSpaceDE/>
        <w:autoSpaceDN/>
        <w:spacing w:before="0" w:after="160" w:line="240" w:lineRule="auto"/>
        <w:ind w:left="180" w:right="0" w:firstLine="640"/>
        <w:jc w:val="both"/>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xml:space="preserve">               项目编号：</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投标人:(盖单位章)</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法定代表人或其委托代理人:(签字)</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6"/>
          <w:szCs w:val="36"/>
          <w:highlight w:val="none"/>
        </w:rPr>
      </w:pPr>
      <w:r>
        <w:rPr>
          <w:rFonts w:hint="default" w:ascii="Times New Roman" w:hAnsi="宋体" w:eastAsia="宋体"/>
          <w:b/>
          <w:color w:val="auto"/>
          <w:position w:val="0"/>
          <w:sz w:val="32"/>
          <w:szCs w:val="32"/>
          <w:highlight w:val="none"/>
        </w:rPr>
        <w:t>年   月    日</w:t>
      </w:r>
    </w:p>
    <w:p>
      <w:pPr>
        <w:numPr>
          <w:ilvl w:val="0"/>
          <w:numId w:val="0"/>
        </w:numPr>
        <w:autoSpaceDE w:val="0"/>
        <w:autoSpaceDN w:val="0"/>
        <w:spacing w:before="0" w:after="160" w:line="420" w:lineRule="exact"/>
        <w:ind w:right="0" w:firstLine="720"/>
        <w:jc w:val="center"/>
        <w:rPr>
          <w:rFonts w:hint="default" w:ascii="Times New Roman" w:hAnsi="宋体" w:eastAsia="宋体"/>
          <w:b/>
          <w:color w:val="auto"/>
          <w:position w:val="0"/>
          <w:sz w:val="36"/>
          <w:szCs w:val="36"/>
          <w:highlight w:val="none"/>
        </w:rPr>
        <w:sectPr>
          <w:headerReference r:id="rId7" w:type="first"/>
          <w:footerReference r:id="rId9" w:type="first"/>
          <w:footerReference r:id="rId8" w:type="default"/>
          <w:pgSz w:w="11906" w:h="16838"/>
          <w:pgMar w:top="1361" w:right="1134" w:bottom="1197" w:left="1134" w:header="851" w:footer="992" w:gutter="0"/>
          <w:pgNumType w:fmt="decimal"/>
          <w:docGrid w:type="linesAndChars" w:linePitch="312" w:charSpace="0"/>
        </w:sectPr>
      </w:pPr>
      <w:r>
        <w:rPr>
          <w:rFonts w:hint="default" w:ascii="Times New Roman" w:hAnsi="宋体" w:eastAsia="宋体"/>
          <w:b/>
          <w:color w:val="auto"/>
          <w:position w:val="0"/>
          <w:sz w:val="36"/>
          <w:szCs w:val="36"/>
          <w:highlight w:val="none"/>
        </w:rPr>
        <w:t xml:space="preserve"> </w:t>
      </w:r>
    </w:p>
    <w:p>
      <w:pPr>
        <w:numPr>
          <w:ilvl w:val="0"/>
          <w:numId w:val="0"/>
        </w:numPr>
        <w:autoSpaceDE w:val="0"/>
        <w:autoSpaceDN w:val="0"/>
        <w:spacing w:before="0" w:after="160" w:line="420" w:lineRule="exact"/>
        <w:ind w:right="0" w:firstLine="720"/>
        <w:jc w:val="center"/>
        <w:rPr>
          <w:rFonts w:hint="default" w:ascii="Times New Roman" w:hAnsi="宋体" w:eastAsia="宋体"/>
          <w:b/>
          <w:color w:val="auto"/>
          <w:position w:val="0"/>
          <w:sz w:val="36"/>
          <w:szCs w:val="36"/>
          <w:highlight w:val="none"/>
        </w:rPr>
      </w:pPr>
      <w:r>
        <w:rPr>
          <w:rFonts w:hint="default" w:ascii="Times New Roman" w:hAnsi="宋体" w:eastAsia="宋体"/>
          <w:b/>
          <w:color w:val="auto"/>
          <w:position w:val="0"/>
          <w:sz w:val="36"/>
          <w:szCs w:val="36"/>
          <w:highlight w:val="none"/>
        </w:rPr>
        <w:t>已标价工程量清单</w:t>
      </w:r>
    </w:p>
    <w:p>
      <w:pPr>
        <w:numPr>
          <w:ilvl w:val="0"/>
          <w:numId w:val="0"/>
        </w:numPr>
        <w:autoSpaceDE w:val="0"/>
        <w:autoSpaceDN w:val="0"/>
        <w:spacing w:before="0" w:after="160" w:line="360" w:lineRule="auto"/>
        <w:ind w:right="215" w:firstLine="480"/>
        <w:jc w:val="center"/>
        <w:rPr>
          <w:rFonts w:hint="default" w:ascii="Times New Roman" w:hAnsi="宋体" w:eastAsia="宋体"/>
          <w:b/>
          <w:color w:val="auto"/>
          <w:position w:val="0"/>
          <w:sz w:val="32"/>
          <w:szCs w:val="32"/>
          <w:highlight w:val="none"/>
        </w:rPr>
      </w:pPr>
      <w:r>
        <w:rPr>
          <w:rFonts w:hint="default" w:ascii="Times New Roman" w:hAnsi="宋体" w:eastAsia="宋体"/>
          <w:color w:val="auto"/>
          <w:position w:val="0"/>
          <w:sz w:val="24"/>
          <w:szCs w:val="24"/>
          <w:highlight w:val="none"/>
        </w:rPr>
        <w:t xml:space="preserve">  （按所发放的工程量清单编制）</w:t>
      </w:r>
    </w:p>
    <w:p>
      <w:pPr>
        <w:numPr>
          <w:ilvl w:val="0"/>
          <w:numId w:val="0"/>
        </w:numPr>
        <w:autoSpaceDE w:val="0"/>
        <w:autoSpaceDN w:val="0"/>
        <w:spacing w:before="0" w:after="160" w:line="360" w:lineRule="auto"/>
        <w:ind w:right="215" w:firstLine="480"/>
        <w:jc w:val="center"/>
        <w:rPr>
          <w:rFonts w:hint="default" w:ascii="Times New Roman" w:hAnsi="宋体" w:eastAsia="宋体"/>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2400"/>
        <w:jc w:val="both"/>
        <w:rPr>
          <w:rFonts w:hint="default" w:ascii="Times New Roman" w:hAnsi="宋体" w:eastAsia="宋体"/>
          <w:b/>
          <w:color w:val="auto"/>
          <w:spacing w:val="60"/>
          <w:position w:val="0"/>
          <w:sz w:val="48"/>
          <w:szCs w:val="48"/>
          <w:highlight w:val="none"/>
          <w:u w:val="single"/>
        </w:rPr>
      </w:pPr>
      <w:r>
        <w:rPr>
          <w:rFonts w:hint="default" w:ascii="Times New Roman" w:hAnsi="宋体" w:eastAsia="宋体"/>
          <w:b/>
          <w:color w:val="auto"/>
          <w:spacing w:val="60"/>
          <w:position w:val="0"/>
          <w:sz w:val="48"/>
          <w:szCs w:val="48"/>
          <w:highlight w:val="none"/>
          <w:u w:val="single"/>
        </w:rPr>
        <w:t xml:space="preserve">       （工程名称）</w:t>
      </w:r>
    </w:p>
    <w:p>
      <w:pPr>
        <w:numPr>
          <w:ilvl w:val="0"/>
          <w:numId w:val="0"/>
        </w:numPr>
        <w:tabs>
          <w:tab w:val="center" w:pos="4739"/>
        </w:tabs>
        <w:autoSpaceDE/>
        <w:autoSpaceDN/>
        <w:spacing w:before="0" w:after="160" w:line="240" w:lineRule="auto"/>
        <w:ind w:left="180" w:right="0" w:firstLine="0"/>
        <w:jc w:val="center"/>
        <w:rPr>
          <w:rFonts w:hint="default" w:ascii="Times New Roman" w:hAnsi="宋体" w:eastAsia="宋体"/>
          <w:b/>
          <w:color w:val="auto"/>
          <w:position w:val="0"/>
          <w:sz w:val="36"/>
          <w:szCs w:val="36"/>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72"/>
          <w:szCs w:val="72"/>
          <w:highlight w:val="none"/>
        </w:rPr>
      </w:pPr>
      <w:r>
        <w:rPr>
          <w:rFonts w:hint="default" w:ascii="Times New Roman" w:hAnsi="宋体" w:eastAsia="宋体"/>
          <w:b/>
          <w:color w:val="auto"/>
          <w:position w:val="0"/>
          <w:sz w:val="72"/>
          <w:szCs w:val="72"/>
          <w:highlight w:val="none"/>
        </w:rPr>
        <w:t>投 标 文 件</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综合标</w:t>
      </w:r>
    </w:p>
    <w:p>
      <w:pPr>
        <w:numPr>
          <w:ilvl w:val="0"/>
          <w:numId w:val="0"/>
        </w:numPr>
        <w:tabs>
          <w:tab w:val="center" w:pos="4739"/>
        </w:tabs>
        <w:autoSpaceDE/>
        <w:autoSpaceDN/>
        <w:spacing w:before="0" w:after="160" w:line="240" w:lineRule="auto"/>
        <w:ind w:left="180" w:right="0" w:firstLine="640"/>
        <w:jc w:val="both"/>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xml:space="preserve">               项目编号：</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投标人:(盖单位章)</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法定代表人或其委托代理人:(签字)</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6"/>
          <w:szCs w:val="36"/>
          <w:highlight w:val="none"/>
        </w:rPr>
      </w:pPr>
      <w:r>
        <w:rPr>
          <w:rFonts w:hint="default" w:ascii="Times New Roman" w:hAnsi="宋体" w:eastAsia="宋体"/>
          <w:b/>
          <w:color w:val="auto"/>
          <w:position w:val="0"/>
          <w:sz w:val="32"/>
          <w:szCs w:val="32"/>
          <w:highlight w:val="none"/>
        </w:rPr>
        <w:t>年   月   日</w:t>
      </w:r>
    </w:p>
    <w:p>
      <w:pPr>
        <w:numPr>
          <w:ilvl w:val="0"/>
          <w:numId w:val="0"/>
        </w:numPr>
        <w:autoSpaceDE w:val="0"/>
        <w:autoSpaceDN w:val="0"/>
        <w:spacing w:before="0" w:after="160" w:line="420" w:lineRule="exact"/>
        <w:ind w:right="0" w:firstLine="0"/>
        <w:jc w:val="both"/>
        <w:rPr>
          <w:rFonts w:hint="default" w:ascii="Times New Roman" w:hAnsi="宋体" w:eastAsia="宋体"/>
          <w:b/>
          <w:color w:val="auto"/>
          <w:position w:val="0"/>
          <w:sz w:val="36"/>
          <w:szCs w:val="36"/>
          <w:highlight w:val="none"/>
        </w:rPr>
      </w:pPr>
    </w:p>
    <w:p>
      <w:pPr>
        <w:numPr>
          <w:ilvl w:val="0"/>
          <w:numId w:val="0"/>
        </w:numPr>
        <w:autoSpaceDE w:val="0"/>
        <w:autoSpaceDN w:val="0"/>
        <w:spacing w:before="0" w:after="160" w:line="420" w:lineRule="exact"/>
        <w:ind w:right="0" w:firstLine="0"/>
        <w:jc w:val="both"/>
        <w:rPr>
          <w:rFonts w:hint="default" w:ascii="Times New Roman" w:hAnsi="宋体" w:eastAsia="宋体"/>
          <w:b/>
          <w:color w:val="auto"/>
          <w:position w:val="0"/>
          <w:sz w:val="36"/>
          <w:szCs w:val="36"/>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420" w:lineRule="exact"/>
        <w:ind w:right="0" w:firstLine="0"/>
        <w:jc w:val="both"/>
        <w:rPr>
          <w:rFonts w:hint="default" w:ascii="Times New Roman" w:hAnsi="宋体" w:eastAsia="宋体"/>
          <w:b/>
          <w:color w:val="auto"/>
          <w:position w:val="0"/>
          <w:sz w:val="36"/>
          <w:szCs w:val="36"/>
          <w:highlight w:val="none"/>
        </w:rPr>
      </w:pPr>
    </w:p>
    <w:p>
      <w:pPr>
        <w:numPr>
          <w:ilvl w:val="0"/>
          <w:numId w:val="0"/>
        </w:numPr>
        <w:autoSpaceDE w:val="0"/>
        <w:autoSpaceDN w:val="0"/>
        <w:spacing w:before="0" w:after="160" w:line="420" w:lineRule="exact"/>
        <w:ind w:right="0" w:firstLine="720"/>
        <w:jc w:val="center"/>
        <w:rPr>
          <w:rFonts w:hint="default" w:ascii="Times New Roman" w:hAnsi="宋体" w:eastAsia="宋体"/>
          <w:color w:val="auto"/>
          <w:position w:val="0"/>
          <w:sz w:val="36"/>
          <w:szCs w:val="36"/>
          <w:highlight w:val="none"/>
        </w:rPr>
      </w:pPr>
      <w:r>
        <w:rPr>
          <w:rFonts w:hint="default" w:ascii="Times New Roman" w:hAnsi="宋体" w:eastAsia="宋体"/>
          <w:b/>
          <w:color w:val="auto"/>
          <w:position w:val="0"/>
          <w:sz w:val="36"/>
          <w:szCs w:val="36"/>
          <w:highlight w:val="none"/>
        </w:rPr>
        <w:t>目    录</w:t>
      </w:r>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一、投标函及投标函附录；</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二、法定代表人身份证明、授权委托书；</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三、投标保证金；</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四、项目管理机构配备情况；</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五、投标单位基本信息表；</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六、资格证明文件；</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七、近年完成的类似项目情况；</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八、正在施工的和新承接的项目情况；</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九、近年发生的诉讼及仲裁</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十、其它材料；</w:t>
      </w:r>
    </w:p>
    <w:p>
      <w:pPr>
        <w:numPr>
          <w:ilvl w:val="0"/>
          <w:numId w:val="0"/>
        </w:numPr>
        <w:autoSpaceDE w:val="0"/>
        <w:autoSpaceDN w:val="0"/>
        <w:spacing w:before="0" w:after="160" w:line="480" w:lineRule="auto"/>
        <w:ind w:left="718" w:right="0" w:firstLine="0"/>
        <w:jc w:val="left"/>
        <w:rPr>
          <w:rFonts w:hint="default" w:ascii="Times New Roman" w:hAnsi="宋体" w:eastAsia="宋体"/>
          <w:b/>
          <w:color w:val="auto"/>
          <w:position w:val="0"/>
          <w:sz w:val="24"/>
          <w:szCs w:val="24"/>
          <w:highlight w:val="none"/>
        </w:rPr>
      </w:pPr>
    </w:p>
    <w:p>
      <w:pPr>
        <w:numPr>
          <w:ilvl w:val="0"/>
          <w:numId w:val="0"/>
        </w:numPr>
        <w:autoSpaceDE/>
        <w:autoSpaceDN/>
        <w:spacing w:before="0" w:after="160" w:line="600" w:lineRule="exact"/>
        <w:ind w:left="850"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投标文件编制过程中应按本章提供的格式填报。</w:t>
      </w:r>
    </w:p>
    <w:p>
      <w:pPr>
        <w:numPr>
          <w:ilvl w:val="0"/>
          <w:numId w:val="0"/>
        </w:numPr>
        <w:autoSpaceDE/>
        <w:autoSpaceDN/>
        <w:spacing w:before="0" w:after="160" w:line="600" w:lineRule="exact"/>
        <w:ind w:left="850"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如有本章未提供的格式，投标人可自行编制。</w:t>
      </w: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br w:type="page"/>
      </w:r>
      <w:r>
        <w:rPr>
          <w:rFonts w:hint="default" w:ascii="Times New Roman" w:hAnsi="宋体" w:eastAsia="宋体"/>
          <w:b/>
          <w:color w:val="auto"/>
          <w:position w:val="0"/>
          <w:sz w:val="32"/>
          <w:szCs w:val="32"/>
          <w:highlight w:val="none"/>
        </w:rPr>
        <w:t>一、投标函及投标函附录</w:t>
      </w:r>
    </w:p>
    <w:p>
      <w:pPr>
        <w:numPr>
          <w:ilvl w:val="0"/>
          <w:numId w:val="0"/>
        </w:numPr>
        <w:tabs>
          <w:tab w:val="center" w:pos="4739"/>
        </w:tabs>
        <w:autoSpaceDE/>
        <w:autoSpaceDN/>
        <w:spacing w:before="0" w:after="160" w:line="240" w:lineRule="auto"/>
        <w:ind w:right="0" w:firstLine="0"/>
        <w:jc w:val="center"/>
        <w:rPr>
          <w:rFonts w:hint="default" w:ascii="Times New Roman" w:hAnsi="宋体" w:eastAsia="宋体"/>
          <w:b/>
          <w:color w:val="auto"/>
          <w:position w:val="0"/>
          <w:sz w:val="32"/>
          <w:szCs w:val="32"/>
        </w:rPr>
      </w:pPr>
      <w:bookmarkStart w:id="106" w:name="_Toc271787730"/>
      <w:bookmarkStart w:id="107" w:name="_Toc19442"/>
      <w:r>
        <w:rPr>
          <w:rFonts w:hint="default" w:ascii="Times New Roman" w:hAnsi="宋体" w:eastAsia="宋体"/>
          <w:b/>
          <w:color w:val="auto"/>
          <w:position w:val="0"/>
          <w:sz w:val="32"/>
          <w:szCs w:val="32"/>
        </w:rPr>
        <w:t>一、投标函</w:t>
      </w:r>
    </w:p>
    <w:p>
      <w:pPr>
        <w:numPr>
          <w:ilvl w:val="0"/>
          <w:numId w:val="0"/>
        </w:numPr>
        <w:tabs>
          <w:tab w:val="center" w:pos="4739"/>
        </w:tabs>
        <w:autoSpaceDE/>
        <w:autoSpaceDN/>
        <w:spacing w:before="0" w:after="160" w:line="240" w:lineRule="auto"/>
        <w:ind w:right="0" w:firstLine="0"/>
        <w:jc w:val="left"/>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致：（招标人名称）</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在考察现场并充分研究</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（项目名称）</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标段（以下简称“本工程”）招标文件的全部内容后，我方兹以投标总报价：</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人民币（大写）：</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r>
        <w:rPr>
          <w:rFonts w:hint="eastAsia" w:ascii="新宋体" w:hAnsi="新宋体" w:eastAsia="新宋体"/>
          <w:color w:val="auto"/>
          <w:position w:val="0"/>
          <w:sz w:val="24"/>
          <w:szCs w:val="24"/>
          <w:lang w:val="en-US" w:eastAsia="zh-CN"/>
        </w:rPr>
        <w:t xml:space="preserve"> </w:t>
      </w:r>
      <w:r>
        <w:rPr>
          <w:rFonts w:hint="default" w:ascii="新宋体" w:hAnsi="新宋体" w:eastAsia="新宋体"/>
          <w:color w:val="auto"/>
          <w:position w:val="0"/>
          <w:sz w:val="24"/>
          <w:szCs w:val="24"/>
        </w:rPr>
        <w:t>RMB￥：</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p>
    <w:p>
      <w:pPr>
        <w:numPr>
          <w:ilvl w:val="0"/>
          <w:numId w:val="0"/>
        </w:numPr>
        <w:autoSpaceDE/>
        <w:autoSpaceDN/>
        <w:spacing w:before="0" w:after="160" w:line="480" w:lineRule="exact"/>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的投标价格和按合同约定有权得到的其它金额，并严格按照合同约定，施工、竣工和交付本工程并维修其中的任何缺陷。</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在我方的上述投标总报价中，包括：</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规费RMB￥：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eastAsia" w:hAnsi="宋体" w:eastAsia="宋体"/>
          <w:color w:val="auto"/>
          <w:position w:val="0"/>
          <w:sz w:val="24"/>
          <w:szCs w:val="24"/>
          <w:lang w:val="en-US" w:eastAsia="zh-CN"/>
        </w:rPr>
        <w:t>税金</w:t>
      </w:r>
      <w:r>
        <w:rPr>
          <w:rFonts w:hint="default" w:ascii="Times New Roman" w:hAnsi="宋体" w:eastAsia="宋体"/>
          <w:color w:val="auto"/>
          <w:position w:val="0"/>
          <w:sz w:val="24"/>
          <w:szCs w:val="24"/>
        </w:rPr>
        <w:t>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安全文明施工措施费RMB￥：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如果我方中标，我方保证按照合同约定的开工日期开始本工程的施工，</w:t>
      </w:r>
      <w:r>
        <w:rPr>
          <w:rFonts w:hint="default" w:ascii="新宋体" w:hAnsi="新宋体" w:eastAsia="新宋体"/>
          <w:color w:val="auto"/>
          <w:position w:val="0"/>
          <w:sz w:val="24"/>
          <w:szCs w:val="24"/>
          <w:u w:val="single"/>
        </w:rPr>
        <w:t xml:space="preserve">     </w:t>
      </w:r>
      <w:r>
        <w:rPr>
          <w:rFonts w:hint="default" w:ascii="新宋体" w:hAnsi="新宋体" w:eastAsia="新宋体"/>
          <w:color w:val="auto"/>
          <w:position w:val="0"/>
          <w:sz w:val="24"/>
          <w:szCs w:val="24"/>
        </w:rPr>
        <w:t>天（日历</w:t>
      </w:r>
      <w:r>
        <w:rPr>
          <w:rFonts w:hint="eastAsia" w:ascii="新宋体" w:hAnsi="新宋体" w:eastAsia="新宋体"/>
          <w:color w:val="auto"/>
          <w:position w:val="0"/>
          <w:sz w:val="24"/>
          <w:szCs w:val="24"/>
          <w:lang w:val="en-US" w:eastAsia="zh-CN"/>
        </w:rPr>
        <w:t>天</w:t>
      </w:r>
      <w:r>
        <w:rPr>
          <w:rFonts w:hint="default" w:ascii="新宋体" w:hAnsi="新宋体" w:eastAsia="新宋体"/>
          <w:color w:val="auto"/>
          <w:position w:val="0"/>
          <w:sz w:val="24"/>
          <w:szCs w:val="24"/>
        </w:rPr>
        <w:t>）内竣工，并确保工程质量达到</w:t>
      </w:r>
      <w:r>
        <w:rPr>
          <w:rFonts w:hint="default" w:ascii="新宋体" w:hAnsi="新宋体" w:eastAsia="新宋体"/>
          <w:color w:val="auto"/>
          <w:position w:val="0"/>
          <w:sz w:val="24"/>
          <w:szCs w:val="24"/>
          <w:u w:val="single"/>
        </w:rPr>
        <w:t xml:space="preserve">        </w:t>
      </w:r>
      <w:r>
        <w:rPr>
          <w:rFonts w:hint="default" w:ascii="新宋体" w:hAnsi="新宋体" w:eastAsia="新宋体"/>
          <w:color w:val="auto"/>
          <w:position w:val="0"/>
          <w:sz w:val="24"/>
          <w:szCs w:val="24"/>
        </w:rPr>
        <w:t>标准。我方同意本投标函在招标文件规定的提交投标文件截止时间后，在招标文件规定的投标有效期期满前对我方具有约束力，且随时准备接受你方发出的中标通知书。</w:t>
      </w:r>
      <w:r>
        <w:rPr>
          <w:rFonts w:hint="default" w:ascii="新宋体" w:hAnsi="新宋体" w:eastAsia="新宋体"/>
          <w:b/>
          <w:color w:val="auto"/>
          <w:position w:val="0"/>
          <w:sz w:val="24"/>
          <w:szCs w:val="24"/>
        </w:rPr>
        <w:t>我方承诺中标后按招标文件要求</w:t>
      </w:r>
      <w:r>
        <w:rPr>
          <w:rFonts w:hint="eastAsia" w:ascii="新宋体" w:hAnsi="新宋体" w:eastAsia="新宋体"/>
          <w:b/>
          <w:color w:val="auto"/>
          <w:position w:val="0"/>
          <w:sz w:val="24"/>
          <w:szCs w:val="24"/>
          <w:lang w:eastAsia="zh-CN"/>
        </w:rPr>
        <w:t>参考</w:t>
      </w:r>
      <w:r>
        <w:rPr>
          <w:rFonts w:hint="default" w:ascii="新宋体" w:hAnsi="新宋体" w:eastAsia="新宋体"/>
          <w:b/>
          <w:color w:val="auto"/>
          <w:position w:val="0"/>
          <w:sz w:val="24"/>
          <w:szCs w:val="24"/>
        </w:rPr>
        <w:t>发改价格[2015]299号文件规定交纳代理费相关费用。</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随本投标函递交的投标函附录是本投标函的组成部分，对我方构成约束力。</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随同本投标函递交投标保证金一份，金额为人民币（大写）：</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在签署协议书之前，你方的中标通知书连同本投标函，包括投标函附录，对双方具有约束力。</w:t>
      </w:r>
    </w:p>
    <w:p>
      <w:pPr>
        <w:numPr>
          <w:ilvl w:val="0"/>
          <w:numId w:val="0"/>
        </w:numPr>
        <w:autoSpaceDE/>
        <w:autoSpaceDN/>
        <w:spacing w:before="0" w:after="160" w:line="480" w:lineRule="exact"/>
        <w:ind w:right="0" w:firstLine="240" w:firstLineChars="10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投标人（盖章）：</w:t>
      </w:r>
    </w:p>
    <w:p>
      <w:pPr>
        <w:numPr>
          <w:ilvl w:val="0"/>
          <w:numId w:val="0"/>
        </w:numPr>
        <w:autoSpaceDE/>
        <w:autoSpaceDN/>
        <w:spacing w:before="0" w:after="160" w:line="480" w:lineRule="exact"/>
        <w:ind w:right="0" w:firstLine="240" w:firstLineChars="10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法人代表或委托代理人（签字）：</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日期：年月日</w:t>
      </w:r>
    </w:p>
    <w:p>
      <w:pPr>
        <w:numPr>
          <w:ilvl w:val="0"/>
          <w:numId w:val="0"/>
        </w:numPr>
        <w:autoSpaceDE w:val="0"/>
        <w:autoSpaceDN w:val="0"/>
        <w:spacing w:before="0" w:after="160" w:line="240" w:lineRule="auto"/>
        <w:ind w:right="0" w:firstLine="0"/>
        <w:jc w:val="center"/>
        <w:outlineLvl w:val="0"/>
        <w:rPr>
          <w:rFonts w:hint="default" w:ascii="黑体" w:hAnsi="黑体" w:eastAsia="黑体"/>
          <w:color w:val="auto"/>
          <w:position w:val="0"/>
          <w:sz w:val="28"/>
          <w:szCs w:val="28"/>
        </w:rPr>
      </w:pPr>
      <w:bookmarkStart w:id="108" w:name="_Toc250616672"/>
      <w:r>
        <w:br w:type="page"/>
      </w:r>
      <w:r>
        <w:rPr>
          <w:rFonts w:hint="default" w:ascii="黑体" w:hAnsi="黑体" w:eastAsia="黑体"/>
          <w:color w:val="auto"/>
          <w:position w:val="0"/>
          <w:sz w:val="28"/>
          <w:szCs w:val="28"/>
        </w:rPr>
        <w:t>二、投标函附录</w:t>
      </w:r>
      <w:bookmarkEnd w:id="108"/>
    </w:p>
    <w:tbl>
      <w:tblPr>
        <w:tblStyle w:val="31"/>
        <w:tblW w:w="0" w:type="auto"/>
        <w:tblInd w:w="4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工程名称标段</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投标人</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项目负责人（项目经理）</w:t>
            </w: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607"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级别</w:t>
            </w:r>
          </w:p>
        </w:tc>
        <w:tc>
          <w:tcPr>
            <w:tcW w:w="808"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注册编号</w:t>
            </w:r>
          </w:p>
        </w:tc>
        <w:tc>
          <w:tcPr>
            <w:tcW w:w="3189" w:type="dxa"/>
            <w:gridSpan w:val="2"/>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技术负责人</w:t>
            </w: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607"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级别</w:t>
            </w:r>
          </w:p>
        </w:tc>
        <w:tc>
          <w:tcPr>
            <w:tcW w:w="808"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证书编号</w:t>
            </w:r>
          </w:p>
        </w:tc>
        <w:tc>
          <w:tcPr>
            <w:tcW w:w="3189" w:type="dxa"/>
            <w:gridSpan w:val="2"/>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2916" w:type="dxa"/>
            <w:vMerge w:val="restart"/>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投标总报价</w:t>
            </w:r>
          </w:p>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3439" w:type="dxa"/>
            <w:gridSpan w:val="5"/>
            <w:vAlign w:val="center"/>
          </w:tcPr>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（大写）</w:t>
            </w:r>
          </w:p>
        </w:tc>
        <w:tc>
          <w:tcPr>
            <w:tcW w:w="2783" w:type="dxa"/>
            <w:vAlign w:val="center"/>
          </w:tcPr>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8" w:hRule="atLeast"/>
        </w:trPr>
        <w:tc>
          <w:tcPr>
            <w:tcW w:w="2916" w:type="dxa"/>
            <w:vMerge w:val="continue"/>
            <w:vAlign w:val="center"/>
          </w:tcPr>
          <w:p/>
        </w:tc>
        <w:tc>
          <w:tcPr>
            <w:tcW w:w="6222" w:type="dxa"/>
            <w:gridSpan w:val="6"/>
            <w:vAlign w:val="center"/>
          </w:tcPr>
          <w:p>
            <w:pPr>
              <w:numPr>
                <w:ilvl w:val="0"/>
                <w:numId w:val="0"/>
              </w:numPr>
              <w:autoSpaceDE/>
              <w:autoSpaceDN/>
              <w:spacing w:before="0" w:after="160" w:line="480" w:lineRule="exact"/>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其中：</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规费RMB￥：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eastAsia" w:hAnsi="宋体" w:eastAsia="宋体"/>
                <w:color w:val="auto"/>
                <w:position w:val="0"/>
                <w:sz w:val="24"/>
                <w:szCs w:val="24"/>
                <w:lang w:val="en-US" w:eastAsia="zh-CN"/>
              </w:rPr>
              <w:t>税金</w:t>
            </w:r>
            <w:r>
              <w:rPr>
                <w:rFonts w:hint="default" w:ascii="Times New Roman" w:hAnsi="宋体" w:eastAsia="宋体"/>
                <w:color w:val="auto"/>
                <w:position w:val="0"/>
                <w:sz w:val="24"/>
                <w:szCs w:val="24"/>
              </w:rPr>
              <w:t>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Times New Roman" w:eastAsia="Times New Roman"/>
                <w:color w:val="auto"/>
                <w:position w:val="0"/>
                <w:sz w:val="21"/>
                <w:szCs w:val="21"/>
              </w:rPr>
            </w:pPr>
            <w:r>
              <w:rPr>
                <w:rFonts w:hint="default" w:ascii="Times New Roman" w:hAnsi="宋体" w:eastAsia="宋体"/>
                <w:color w:val="auto"/>
                <w:position w:val="0"/>
                <w:sz w:val="24"/>
                <w:szCs w:val="24"/>
              </w:rPr>
              <w:t>安全文明施工措施费RMB￥：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投标质量等级</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投标工期</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投标有效期</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atLeast"/>
        </w:trPr>
        <w:tc>
          <w:tcPr>
            <w:tcW w:w="9138" w:type="dxa"/>
            <w:gridSpan w:val="7"/>
            <w:vAlign w:val="top"/>
          </w:tcPr>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 xml:space="preserve"> 优惠与服务承诺：</w:t>
            </w:r>
          </w:p>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p>
        </w:tc>
      </w:tr>
    </w:tbl>
    <w:p>
      <w:pPr>
        <w:numPr>
          <w:ilvl w:val="0"/>
          <w:numId w:val="0"/>
        </w:numPr>
        <w:autoSpaceDE/>
        <w:autoSpaceDN/>
        <w:spacing w:before="0" w:after="160" w:line="360" w:lineRule="auto"/>
        <w:ind w:right="475" w:firstLine="0"/>
        <w:jc w:val="right"/>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投标单位（盖章）：</w:t>
      </w:r>
    </w:p>
    <w:p>
      <w:pPr>
        <w:numPr>
          <w:ilvl w:val="0"/>
          <w:numId w:val="0"/>
        </w:numPr>
        <w:autoSpaceDE/>
        <w:autoSpaceDN/>
        <w:spacing w:before="0" w:after="160" w:line="360" w:lineRule="auto"/>
        <w:ind w:right="315" w:firstLine="0"/>
        <w:jc w:val="right"/>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法定代表人或委托代理人（签字）：</w:t>
      </w:r>
    </w:p>
    <w:p>
      <w:pPr>
        <w:numPr>
          <w:ilvl w:val="0"/>
          <w:numId w:val="0"/>
        </w:numPr>
        <w:tabs>
          <w:tab w:val="left" w:pos="7560"/>
          <w:tab w:val="right" w:pos="9008"/>
        </w:tabs>
        <w:autoSpaceDE/>
        <w:autoSpaceDN/>
        <w:spacing w:before="0" w:after="160" w:line="360" w:lineRule="auto"/>
        <w:ind w:right="630" w:firstLine="0"/>
        <w:jc w:val="left"/>
        <w:rPr>
          <w:rFonts w:hint="default" w:ascii="黑体" w:hAnsi="黑体" w:eastAsia="黑体"/>
          <w:color w:val="auto"/>
          <w:position w:val="0"/>
          <w:sz w:val="28"/>
          <w:szCs w:val="28"/>
        </w:rPr>
      </w:pPr>
      <w:r>
        <w:rPr>
          <w:rFonts w:hint="default" w:ascii="新宋体" w:hAnsi="新宋体" w:eastAsia="新宋体"/>
          <w:color w:val="auto"/>
          <w:position w:val="0"/>
          <w:sz w:val="24"/>
          <w:szCs w:val="24"/>
        </w:rPr>
        <w:tab/>
      </w:r>
      <w:r>
        <w:rPr>
          <w:rFonts w:hint="default" w:ascii="新宋体" w:hAnsi="新宋体" w:eastAsia="新宋体"/>
          <w:color w:val="auto"/>
          <w:position w:val="0"/>
          <w:sz w:val="24"/>
          <w:szCs w:val="24"/>
        </w:rPr>
        <w:t>年 月 日</w:t>
      </w:r>
    </w:p>
    <w:p>
      <w:pPr>
        <w:numPr>
          <w:ilvl w:val="0"/>
          <w:numId w:val="0"/>
        </w:numPr>
        <w:autoSpaceDE w:val="0"/>
        <w:autoSpaceDN w:val="0"/>
        <w:spacing w:before="240" w:after="240" w:line="420" w:lineRule="exact"/>
        <w:ind w:right="0" w:firstLine="560"/>
        <w:jc w:val="center"/>
        <w:outlineLvl w:val="0"/>
        <w:rPr>
          <w:rFonts w:hint="default" w:ascii="Times New Roman" w:hAnsi="宋体" w:eastAsia="宋体"/>
          <w:b/>
          <w:color w:val="auto"/>
          <w:position w:val="0"/>
          <w:sz w:val="28"/>
          <w:szCs w:val="28"/>
          <w:highlight w:val="none"/>
        </w:rPr>
      </w:pPr>
      <w:r>
        <w:rPr>
          <w:rFonts w:hint="default" w:ascii="Times New Roman" w:hAnsi="宋体" w:eastAsia="宋体"/>
          <w:color w:val="auto"/>
          <w:position w:val="0"/>
          <w:sz w:val="28"/>
          <w:szCs w:val="28"/>
          <w:highlight w:val="none"/>
        </w:rPr>
        <w:t>二、</w:t>
      </w:r>
      <w:bookmarkEnd w:id="106"/>
      <w:r>
        <w:rPr>
          <w:rFonts w:hint="default" w:ascii="Times New Roman" w:hAnsi="宋体" w:eastAsia="宋体"/>
          <w:b/>
          <w:color w:val="auto"/>
          <w:position w:val="0"/>
          <w:sz w:val="28"/>
          <w:szCs w:val="28"/>
          <w:highlight w:val="none"/>
        </w:rPr>
        <w:t>法定代表人身份证明、授权委托书</w:t>
      </w:r>
      <w:bookmarkEnd w:id="107"/>
    </w:p>
    <w:p>
      <w:pPr>
        <w:numPr>
          <w:ilvl w:val="0"/>
          <w:numId w:val="0"/>
        </w:numPr>
        <w:autoSpaceDE w:val="0"/>
        <w:autoSpaceDN w:val="0"/>
        <w:spacing w:before="0" w:after="160" w:line="420" w:lineRule="exact"/>
        <w:ind w:right="0" w:firstLine="560"/>
        <w:jc w:val="center"/>
        <w:outlineLvl w:val="0"/>
        <w:rPr>
          <w:rFonts w:hint="default" w:ascii="Times New Roman" w:hAnsi="宋体" w:eastAsia="宋体"/>
          <w:b/>
          <w:color w:val="auto"/>
          <w:position w:val="0"/>
          <w:sz w:val="28"/>
          <w:szCs w:val="28"/>
          <w:highlight w:val="none"/>
        </w:rPr>
      </w:pPr>
      <w:bookmarkStart w:id="109" w:name="_Toc25215"/>
      <w:bookmarkStart w:id="110" w:name="_Toc271787731"/>
      <w:r>
        <w:rPr>
          <w:rFonts w:hint="default" w:ascii="Times New Roman" w:hAnsi="宋体" w:eastAsia="宋体"/>
          <w:b/>
          <w:color w:val="auto"/>
          <w:position w:val="0"/>
          <w:sz w:val="28"/>
          <w:szCs w:val="28"/>
          <w:highlight w:val="none"/>
        </w:rPr>
        <w:t>（一）法定代表人身份证明</w:t>
      </w:r>
      <w:bookmarkEnd w:id="109"/>
      <w:bookmarkEnd w:id="110"/>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投标人名称：</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单位性质：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地址：</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成立时间：年月日</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经营期限：</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姓名：性别：年龄：职务：</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系（投标人名称）的法定代表人。</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特此证明。</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附：法定代表人身份证复印件</w:t>
      </w: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val="0"/>
        <w:autoSpaceDN w:val="0"/>
        <w:spacing w:before="0" w:after="160" w:line="42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投标人：（盖单位章）</w:t>
      </w:r>
    </w:p>
    <w:p>
      <w:pPr>
        <w:numPr>
          <w:ilvl w:val="0"/>
          <w:numId w:val="0"/>
        </w:numPr>
        <w:autoSpaceDE w:val="0"/>
        <w:autoSpaceDN w:val="0"/>
        <w:spacing w:before="0" w:after="160" w:line="420" w:lineRule="exact"/>
        <w:ind w:right="0" w:firstLine="480"/>
        <w:jc w:val="righ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年月日</w:t>
      </w:r>
    </w:p>
    <w:p>
      <w:pPr>
        <w:numPr>
          <w:ilvl w:val="0"/>
          <w:numId w:val="0"/>
        </w:numPr>
        <w:autoSpaceDE w:val="0"/>
        <w:autoSpaceDN w:val="0"/>
        <w:spacing w:before="0" w:after="160" w:line="420" w:lineRule="exact"/>
        <w:ind w:right="0" w:firstLine="420"/>
        <w:jc w:val="right"/>
        <w:rPr>
          <w:rFonts w:hint="default" w:ascii="Times New Roman" w:hAnsi="宋体" w:eastAsia="宋体"/>
          <w:color w:val="auto"/>
          <w:position w:val="0"/>
          <w:sz w:val="21"/>
          <w:szCs w:val="21"/>
          <w:highlight w:val="none"/>
        </w:rPr>
      </w:pPr>
    </w:p>
    <w:p>
      <w:pPr>
        <w:numPr>
          <w:ilvl w:val="0"/>
          <w:numId w:val="0"/>
        </w:numPr>
        <w:autoSpaceDE w:val="0"/>
        <w:autoSpaceDN w:val="0"/>
        <w:spacing w:before="0" w:after="160" w:line="420" w:lineRule="exact"/>
        <w:ind w:right="0" w:firstLine="560"/>
        <w:jc w:val="center"/>
        <w:outlineLvl w:val="0"/>
        <w:rPr>
          <w:rFonts w:hint="default" w:ascii="Times New Roman" w:hAnsi="宋体" w:eastAsia="宋体"/>
          <w:b/>
          <w:color w:val="auto"/>
          <w:position w:val="0"/>
          <w:sz w:val="28"/>
          <w:szCs w:val="28"/>
          <w:highlight w:val="none"/>
        </w:rPr>
      </w:pPr>
      <w:bookmarkStart w:id="111" w:name="_Toc271787732"/>
      <w:bookmarkStart w:id="112" w:name="_Toc30413"/>
    </w:p>
    <w:p>
      <w:pPr>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br w:type="page"/>
      </w:r>
    </w:p>
    <w:p>
      <w:pPr>
        <w:numPr>
          <w:ilvl w:val="0"/>
          <w:numId w:val="0"/>
        </w:numPr>
        <w:autoSpaceDE w:val="0"/>
        <w:autoSpaceDN w:val="0"/>
        <w:spacing w:before="0" w:after="160" w:line="420" w:lineRule="exact"/>
        <w:ind w:right="0" w:firstLine="560"/>
        <w:jc w:val="center"/>
        <w:outlineLvl w:val="0"/>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（二）授权委托书</w:t>
      </w:r>
      <w:bookmarkEnd w:id="111"/>
      <w:bookmarkEnd w:id="112"/>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本人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（姓名）系</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（投标人名称）的法定代表人，现委托</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（姓名）为我方代理人。代理人根据授权，以我方名义签署、澄清、说明、补正、递交、撤回、修改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（项目名称）投标文件、签订合同和处理有关事宜，其法律后果由我方承担。</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委托期限：</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代理人无转委托权。</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附：法定代表人身份证复印件及委托代理人身份证复印件</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投标人：（盖单位章）</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法定代表人： （签字）</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身份证号码：</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委托代理人： （签字）</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身份证号码：</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32"/>
          <w:szCs w:val="32"/>
          <w:highlight w:val="none"/>
        </w:rPr>
      </w:pPr>
      <w:r>
        <w:rPr>
          <w:rFonts w:hint="default" w:ascii="Times New Roman" w:hAnsi="宋体" w:eastAsia="宋体"/>
          <w:color w:val="auto"/>
          <w:position w:val="0"/>
          <w:sz w:val="24"/>
          <w:szCs w:val="24"/>
          <w:highlight w:val="none"/>
        </w:rPr>
        <w:t>年月 日</w:t>
      </w:r>
    </w:p>
    <w:p>
      <w:pPr>
        <w:numPr>
          <w:ilvl w:val="0"/>
          <w:numId w:val="0"/>
        </w:numPr>
        <w:autoSpaceDE/>
        <w:autoSpaceDN/>
        <w:spacing w:before="0" w:after="160" w:line="360" w:lineRule="auto"/>
        <w:ind w:right="0" w:firstLine="0"/>
        <w:jc w:val="center"/>
        <w:rPr>
          <w:rFonts w:hint="default" w:ascii="Times New Roman" w:hAnsi="宋体" w:eastAsia="宋体"/>
          <w:b/>
          <w:color w:val="auto"/>
          <w:position w:val="0"/>
          <w:sz w:val="36"/>
          <w:szCs w:val="36"/>
          <w:highlight w:val="none"/>
        </w:rPr>
      </w:pPr>
    </w:p>
    <w:p>
      <w:pPr>
        <w:pStyle w:val="2"/>
        <w:numPr>
          <w:ilvl w:val="0"/>
          <w:numId w:val="0"/>
        </w:numPr>
        <w:autoSpaceDE/>
        <w:autoSpaceDN/>
        <w:spacing w:before="0" w:after="120" w:line="240" w:lineRule="auto"/>
        <w:ind w:right="0" w:firstLine="240"/>
        <w:jc w:val="both"/>
        <w:rPr>
          <w:rFonts w:hint="default" w:ascii="宋体" w:hAnsi="Times New Roman" w:eastAsia="Times New Roman"/>
          <w:color w:val="auto"/>
          <w:position w:val="0"/>
          <w:sz w:val="34"/>
          <w:szCs w:val="34"/>
          <w:highlight w:val="none"/>
        </w:rPr>
      </w:pPr>
    </w:p>
    <w:p>
      <w:pPr>
        <w:numPr>
          <w:ilvl w:val="0"/>
          <w:numId w:val="0"/>
        </w:numPr>
        <w:autoSpaceDE/>
        <w:autoSpaceDN/>
        <w:spacing w:before="0" w:after="120" w:line="240" w:lineRule="auto"/>
        <w:ind w:right="0" w:firstLine="240"/>
        <w:jc w:val="both"/>
        <w:rPr>
          <w:rFonts w:hint="default" w:ascii="Arial" w:hAnsi="Arial" w:eastAsia="Arial"/>
          <w:color w:val="auto"/>
          <w:position w:val="0"/>
          <w:sz w:val="24"/>
          <w:szCs w:val="24"/>
          <w:highlight w:val="none"/>
        </w:rPr>
        <w:sectPr>
          <w:pgSz w:w="11906" w:h="16838"/>
          <w:pgMar w:top="1304" w:right="1134" w:bottom="1034" w:left="1134" w:header="851" w:footer="992" w:gutter="0"/>
          <w:pgNumType w:fmt="decimal"/>
          <w:docGrid w:type="linesAndChars" w:linePitch="312" w:charSpace="0"/>
        </w:sectPr>
      </w:pPr>
    </w:p>
    <w:p>
      <w:pPr>
        <w:numPr>
          <w:ilvl w:val="0"/>
          <w:numId w:val="0"/>
        </w:numPr>
        <w:autoSpaceDE/>
        <w:autoSpaceDN/>
        <w:spacing w:before="0" w:after="160" w:line="360" w:lineRule="auto"/>
        <w:ind w:right="0" w:firstLine="720"/>
        <w:jc w:val="center"/>
        <w:rPr>
          <w:rFonts w:hint="default" w:ascii="Times New Roman" w:hAnsi="宋体" w:eastAsia="宋体"/>
          <w:b/>
          <w:color w:val="auto"/>
          <w:position w:val="0"/>
          <w:sz w:val="36"/>
          <w:szCs w:val="36"/>
          <w:highlight w:val="none"/>
        </w:rPr>
      </w:pPr>
      <w:r>
        <w:rPr>
          <w:sz w:val="20"/>
          <w:shd w:val="clear" w:color="auto" w:fill="FCFCFC"/>
        </w:rPr>
        <w:drawing>
          <wp:anchor distT="0" distB="0" distL="114300" distR="114300" simplePos="0" relativeHeight="251625472" behindDoc="1" locked="1" layoutInCell="1" allowOverlap="1">
            <wp:simplePos x="0" y="0"/>
            <wp:positionH relativeFrom="column">
              <wp:posOffset>4673600</wp:posOffset>
            </wp:positionH>
            <wp:positionV relativeFrom="paragraph">
              <wp:posOffset>10058400</wp:posOffset>
            </wp:positionV>
            <wp:extent cx="953135" cy="927735"/>
            <wp:effectExtent l="0" t="0" r="0" b="6350"/>
            <wp:wrapNone/>
            <wp:docPr id="15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2" descr="66"/>
                    <pic:cNvPicPr>
                      <a:picLocks noChangeAspect="1" noChangeArrowheads="1"/>
                    </pic:cNvPicPr>
                  </pic:nvPicPr>
                  <pic:blipFill>
                    <a:blip r:embed="rId13" cstate="print"/>
                    <a:stretch>
                      <a:fillRect/>
                    </a:stretch>
                  </pic:blipFill>
                  <pic:spPr>
                    <a:xfrm>
                      <a:off x="0" y="0"/>
                      <a:ext cx="953770" cy="928370"/>
                    </a:xfrm>
                    <a:prstGeom prst="rect">
                      <a:avLst/>
                    </a:prstGeom>
                    <a:noFill/>
                    <a:ln cap="flat">
                      <a:noFill/>
                    </a:ln>
                  </pic:spPr>
                </pic:pic>
              </a:graphicData>
            </a:graphic>
          </wp:anchor>
        </w:drawing>
      </w:r>
      <w:r>
        <w:rPr>
          <w:rFonts w:hint="default" w:ascii="Times New Roman" w:hAnsi="宋体" w:eastAsia="宋体"/>
          <w:b/>
          <w:color w:val="auto"/>
          <w:position w:val="0"/>
          <w:sz w:val="36"/>
          <w:szCs w:val="36"/>
          <w:highlight w:val="none"/>
        </w:rPr>
        <w:t>三、投标保证金</w:t>
      </w: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lang w:val="zh-CN"/>
        </w:rPr>
      </w:pPr>
      <w:r>
        <w:rPr>
          <w:rFonts w:hint="eastAsia" w:hAnsi="宋体" w:eastAsia="宋体"/>
          <w:color w:val="auto"/>
          <w:position w:val="0"/>
          <w:sz w:val="24"/>
          <w:szCs w:val="24"/>
          <w:highlight w:val="none"/>
          <w:lang w:val="en-US" w:eastAsia="zh-CN"/>
        </w:rPr>
        <w:t>1、</w:t>
      </w:r>
      <w:r>
        <w:rPr>
          <w:rFonts w:hint="eastAsia" w:ascii="Times New Roman" w:hAnsi="宋体" w:eastAsia="宋体"/>
          <w:color w:val="auto"/>
          <w:position w:val="0"/>
          <w:sz w:val="24"/>
          <w:szCs w:val="24"/>
          <w:highlight w:val="none"/>
          <w:lang w:val="zh-CN"/>
        </w:rPr>
        <w:t>银行转帐、银行电汇方式的</w:t>
      </w:r>
      <w:r>
        <w:rPr>
          <w:rFonts w:hint="eastAsia" w:ascii="Times New Roman" w:hAnsi="宋体" w:eastAsia="宋体"/>
          <w:color w:val="auto"/>
          <w:position w:val="0"/>
          <w:sz w:val="24"/>
          <w:szCs w:val="24"/>
          <w:highlight w:val="none"/>
        </w:rPr>
        <w:t>附：本项目</w:t>
      </w:r>
      <w:r>
        <w:rPr>
          <w:rFonts w:hint="eastAsia" w:ascii="Times New Roman" w:hAnsi="宋体" w:eastAsia="宋体"/>
          <w:color w:val="auto"/>
          <w:position w:val="0"/>
          <w:sz w:val="24"/>
          <w:szCs w:val="24"/>
          <w:highlight w:val="none"/>
          <w:lang w:val="zh-CN"/>
        </w:rPr>
        <w:t xml:space="preserve"> “襄城县公共资源交易中心保证金缴纳回执”；</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lang w:val="zh-CN"/>
        </w:rPr>
      </w:pPr>
      <w:r>
        <w:rPr>
          <w:rFonts w:hint="eastAsia" w:ascii="Times New Roman" w:hAnsi="宋体" w:eastAsia="宋体"/>
          <w:color w:val="auto"/>
          <w:position w:val="0"/>
          <w:sz w:val="24"/>
          <w:szCs w:val="24"/>
          <w:highlight w:val="none"/>
          <w:lang w:val="zh-CN"/>
        </w:rPr>
        <w:t>2、使用银行保函方式的附</w:t>
      </w:r>
      <w:r>
        <w:rPr>
          <w:rFonts w:hint="eastAsia" w:ascii="Times New Roman" w:hAnsi="宋体" w:eastAsia="宋体"/>
          <w:color w:val="auto"/>
          <w:position w:val="0"/>
          <w:sz w:val="24"/>
          <w:szCs w:val="24"/>
          <w:highlight w:val="none"/>
        </w:rPr>
        <w:t>：</w:t>
      </w:r>
      <w:r>
        <w:rPr>
          <w:rFonts w:hint="eastAsia" w:ascii="Times New Roman" w:hAnsi="宋体" w:eastAsia="宋体"/>
          <w:color w:val="auto"/>
          <w:position w:val="0"/>
          <w:sz w:val="24"/>
          <w:szCs w:val="24"/>
          <w:highlight w:val="none"/>
          <w:lang w:val="zh-CN"/>
        </w:rPr>
        <w:t>银行保函原件的扫描件。</w:t>
      </w:r>
    </w:p>
    <w:p>
      <w:pPr>
        <w:numPr>
          <w:ilvl w:val="0"/>
          <w:numId w:val="0"/>
        </w:numPr>
        <w:autoSpaceDE w:val="0"/>
        <w:autoSpaceDN w:val="0"/>
        <w:spacing w:before="0" w:after="160" w:line="420" w:lineRule="exact"/>
        <w:ind w:right="0" w:firstLine="420"/>
        <w:jc w:val="center"/>
        <w:rPr>
          <w:rFonts w:hint="default" w:ascii="Times New Roman" w:hAnsi="宋体" w:eastAsia="宋体"/>
          <w:b/>
          <w:color w:val="auto"/>
          <w:position w:val="0"/>
          <w:sz w:val="32"/>
          <w:szCs w:val="32"/>
          <w:highlight w:val="none"/>
        </w:rPr>
      </w:pPr>
      <w:r>
        <w:br w:type="page"/>
      </w:r>
      <w:r>
        <w:rPr>
          <w:rFonts w:hint="default" w:ascii="Times New Roman" w:hAnsi="宋体" w:eastAsia="宋体"/>
          <w:b/>
          <w:color w:val="auto"/>
          <w:position w:val="0"/>
          <w:sz w:val="32"/>
          <w:szCs w:val="32"/>
          <w:highlight w:val="none"/>
        </w:rPr>
        <w:t>四、项目管理机构配备情况</w:t>
      </w:r>
    </w:p>
    <w:p>
      <w:pPr>
        <w:numPr>
          <w:ilvl w:val="0"/>
          <w:numId w:val="0"/>
        </w:numPr>
        <w:autoSpaceDE w:val="0"/>
        <w:autoSpaceDN w:val="0"/>
        <w:spacing w:before="0" w:after="160" w:line="360" w:lineRule="auto"/>
        <w:ind w:right="215" w:firstLine="560"/>
        <w:jc w:val="center"/>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（一）项目管理机构组成表</w:t>
      </w:r>
    </w:p>
    <w:p>
      <w:pPr>
        <w:numPr>
          <w:ilvl w:val="0"/>
          <w:numId w:val="0"/>
        </w:numPr>
        <w:autoSpaceDE w:val="0"/>
        <w:autoSpaceDN w:val="0"/>
        <w:spacing w:before="0" w:after="160" w:line="360" w:lineRule="auto"/>
        <w:ind w:right="215" w:firstLine="420"/>
        <w:jc w:val="center"/>
        <w:rPr>
          <w:rFonts w:hint="default" w:ascii="Times New Roman" w:hAnsi="宋体" w:eastAsia="宋体"/>
          <w:b/>
          <w:color w:val="auto"/>
          <w:position w:val="0"/>
          <w:sz w:val="24"/>
          <w:szCs w:val="24"/>
          <w:highlight w:val="none"/>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职务</w:t>
            </w:r>
          </w:p>
        </w:tc>
        <w:tc>
          <w:tcPr>
            <w:tcW w:w="914" w:type="dxa"/>
            <w:vMerge w:val="restart"/>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w:t>
            </w:r>
          </w:p>
        </w:tc>
        <w:tc>
          <w:tcPr>
            <w:tcW w:w="914" w:type="dxa"/>
            <w:vMerge w:val="restart"/>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职称</w:t>
            </w:r>
          </w:p>
        </w:tc>
        <w:tc>
          <w:tcPr>
            <w:tcW w:w="5710"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执业或职业资格证明</w:t>
            </w:r>
          </w:p>
        </w:tc>
        <w:tc>
          <w:tcPr>
            <w:tcW w:w="103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tc>
        <w:tc>
          <w:tcPr>
            <w:tcW w:w="914" w:type="dxa"/>
            <w:vMerge w:val="continue"/>
            <w:vAlign w:val="center"/>
          </w:tcPr>
          <w:p/>
        </w:tc>
        <w:tc>
          <w:tcPr>
            <w:tcW w:w="914" w:type="dxa"/>
            <w:vMerge w:val="continue"/>
            <w:vAlign w:val="center"/>
          </w:tcPr>
          <w:p/>
        </w:tc>
        <w:tc>
          <w:tcPr>
            <w:tcW w:w="14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证书名称</w:t>
            </w:r>
          </w:p>
        </w:tc>
        <w:tc>
          <w:tcPr>
            <w:tcW w:w="94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级别</w:t>
            </w:r>
          </w:p>
        </w:tc>
        <w:tc>
          <w:tcPr>
            <w:tcW w:w="94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证号</w:t>
            </w:r>
          </w:p>
        </w:tc>
        <w:tc>
          <w:tcPr>
            <w:tcW w:w="94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专业</w:t>
            </w:r>
          </w:p>
        </w:tc>
        <w:tc>
          <w:tcPr>
            <w:tcW w:w="1470"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养老保险</w:t>
            </w:r>
          </w:p>
        </w:tc>
        <w:tc>
          <w:tcPr>
            <w:tcW w:w="103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w:t>
            </w: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bl>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1"/>
          <w:szCs w:val="21"/>
          <w:highlight w:val="none"/>
        </w:rPr>
      </w:pPr>
    </w:p>
    <w:p>
      <w:pPr>
        <w:numPr>
          <w:ilvl w:val="0"/>
          <w:numId w:val="0"/>
        </w:numPr>
        <w:autoSpaceDE/>
        <w:autoSpaceDN/>
        <w:spacing w:before="120" w:after="240" w:line="420" w:lineRule="exact"/>
        <w:ind w:right="0" w:firstLine="560"/>
        <w:jc w:val="both"/>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（二）主要人员简历表</w:t>
      </w:r>
    </w:p>
    <w:p>
      <w:pPr>
        <w:numPr>
          <w:ilvl w:val="0"/>
          <w:numId w:val="0"/>
        </w:numPr>
        <w:autoSpaceDE/>
        <w:autoSpaceDN/>
        <w:spacing w:before="0" w:after="160" w:line="42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附1：项目负责人（项目经理）简历表</w:t>
      </w:r>
    </w:p>
    <w:p>
      <w:pPr>
        <w:numPr>
          <w:ilvl w:val="0"/>
          <w:numId w:val="0"/>
        </w:numPr>
        <w:autoSpaceDE/>
        <w:autoSpaceDN/>
        <w:spacing w:before="0" w:after="160" w:line="420" w:lineRule="exact"/>
        <w:ind w:right="0" w:firstLine="0"/>
        <w:jc w:val="both"/>
        <w:rPr>
          <w:rFonts w:hint="default" w:ascii="Times New Roman" w:hAnsi="宋体" w:eastAsia="宋体"/>
          <w:color w:val="auto"/>
          <w:position w:val="0"/>
          <w:sz w:val="24"/>
          <w:szCs w:val="24"/>
          <w:highlight w:val="none"/>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1"/>
        <w:gridCol w:w="1101"/>
        <w:gridCol w:w="1204"/>
        <w:gridCol w:w="1355"/>
        <w:gridCol w:w="1959"/>
        <w:gridCol w:w="2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  名</w:t>
            </w:r>
          </w:p>
        </w:tc>
        <w:tc>
          <w:tcPr>
            <w:tcW w:w="110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  龄</w:t>
            </w:r>
          </w:p>
        </w:tc>
        <w:tc>
          <w:tcPr>
            <w:tcW w:w="135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学历</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  称</w:t>
            </w:r>
          </w:p>
        </w:tc>
        <w:tc>
          <w:tcPr>
            <w:tcW w:w="110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  务</w:t>
            </w:r>
          </w:p>
        </w:tc>
        <w:tc>
          <w:tcPr>
            <w:tcW w:w="135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拟在本工程任职</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注册建造师执业资格等级</w:t>
            </w:r>
          </w:p>
        </w:tc>
        <w:tc>
          <w:tcPr>
            <w:tcW w:w="135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级</w:t>
            </w: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建造师专业</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安全生产考核合格证书</w:t>
            </w:r>
          </w:p>
        </w:tc>
        <w:tc>
          <w:tcPr>
            <w:tcW w:w="5573"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毕业学校</w:t>
            </w:r>
          </w:p>
        </w:tc>
        <w:tc>
          <w:tcPr>
            <w:tcW w:w="7878" w:type="dxa"/>
            <w:gridSpan w:val="5"/>
            <w:vAlign w:val="center"/>
          </w:tcPr>
          <w:p>
            <w:pPr>
              <w:numPr>
                <w:ilvl w:val="0"/>
                <w:numId w:val="0"/>
              </w:numPr>
              <w:autoSpaceDE/>
              <w:autoSpaceDN/>
              <w:spacing w:before="0" w:after="160" w:line="240" w:lineRule="auto"/>
              <w:ind w:right="0" w:firstLine="96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年毕业于                  学校            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时  间</w:t>
            </w: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参加过的类似项目名称</w:t>
            </w: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工程概况说明</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bl>
    <w:p>
      <w:pPr>
        <w:spacing w:line="440" w:lineRule="exact"/>
        <w:jc w:val="right"/>
        <w:rPr>
          <w:rFonts w:hAnsi="宋体" w:eastAsia="宋体" w:cs="宋体"/>
          <w:sz w:val="24"/>
        </w:rPr>
      </w:pPr>
      <w:r>
        <w:rPr>
          <w:rFonts w:hint="default" w:ascii="Times New Roman" w:hAnsi="宋体" w:eastAsia="宋体"/>
          <w:color w:val="auto"/>
          <w:position w:val="0"/>
          <w:sz w:val="21"/>
          <w:szCs w:val="21"/>
          <w:highlight w:val="none"/>
        </w:rPr>
        <w:t>注：上传的的电子投标文件中所涉及的证件类须是原件的扫描件或图片。</w:t>
      </w:r>
      <w:r>
        <w:br w:type="page"/>
      </w:r>
    </w:p>
    <w:p/>
    <w:p>
      <w:pP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w:t>
      </w:r>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rPr>
        <w:t>：主要项目管理人员简历表</w:t>
      </w:r>
    </w:p>
    <w:p>
      <w:pPr>
        <w:pStyle w:val="2"/>
        <w:rPr>
          <w:rFonts w:hint="default"/>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3128"/>
        <w:gridCol w:w="4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    名</w:t>
            </w:r>
          </w:p>
        </w:tc>
        <w:tc>
          <w:tcPr>
            <w:tcW w:w="4458" w:type="dxa"/>
            <w:tcBorders>
              <w:left w:val="nil"/>
            </w:tcBorders>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    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性    别</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毕业学校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学历和专业</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毕业时间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拥有的执业资格</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专业职称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执业资格证书编号</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jc w:val="center"/>
        </w:trPr>
        <w:tc>
          <w:tcPr>
            <w:tcW w:w="1098"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主要</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工作</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业绩</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及担</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任的</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主要</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工作</w:t>
            </w:r>
          </w:p>
        </w:tc>
        <w:tc>
          <w:tcPr>
            <w:tcW w:w="7586" w:type="dxa"/>
            <w:gridSpan w:val="2"/>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p>
        </w:tc>
      </w:tr>
    </w:tbl>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highlight w:val="none"/>
        </w:rPr>
      </w:pPr>
    </w:p>
    <w:p>
      <w:pPr>
        <w:numPr>
          <w:ilvl w:val="0"/>
          <w:numId w:val="0"/>
        </w:numPr>
        <w:autoSpaceDE w:val="0"/>
        <w:autoSpaceDN w:val="0"/>
        <w:spacing w:before="0" w:after="160" w:line="360" w:lineRule="auto"/>
        <w:ind w:right="215" w:firstLine="640"/>
        <w:jc w:val="center"/>
        <w:rPr>
          <w:rFonts w:hint="default" w:ascii="Times New Roman" w:hAnsi="宋体" w:eastAsia="宋体"/>
          <w:b/>
          <w:color w:val="auto"/>
          <w:position w:val="0"/>
          <w:sz w:val="28"/>
          <w:szCs w:val="28"/>
          <w:highlight w:val="none"/>
        </w:rPr>
      </w:pPr>
      <w:r>
        <w:br w:type="page"/>
      </w:r>
      <w:r>
        <w:rPr>
          <w:rFonts w:hint="default" w:ascii="Times New Roman" w:hAnsi="宋体" w:eastAsia="宋体"/>
          <w:b/>
          <w:color w:val="auto"/>
          <w:position w:val="0"/>
          <w:sz w:val="32"/>
          <w:szCs w:val="32"/>
          <w:highlight w:val="none"/>
        </w:rPr>
        <w:t>五、投标单位基本信息表</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投标人名称</w:t>
            </w:r>
          </w:p>
        </w:tc>
        <w:tc>
          <w:tcPr>
            <w:tcW w:w="7435" w:type="dxa"/>
            <w:gridSpan w:val="9"/>
            <w:vAlign w:val="center"/>
          </w:tcPr>
          <w:p>
            <w:pPr>
              <w:numPr>
                <w:ilvl w:val="0"/>
                <w:numId w:val="0"/>
              </w:numPr>
              <w:autoSpaceDE w:val="0"/>
              <w:autoSpaceDN w:val="0"/>
              <w:spacing w:before="0" w:after="160" w:line="360" w:lineRule="auto"/>
              <w:ind w:left="41" w:right="215" w:hanging="4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注册地址</w:t>
            </w:r>
          </w:p>
        </w:tc>
        <w:tc>
          <w:tcPr>
            <w:tcW w:w="413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575"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邮政编码</w:t>
            </w:r>
          </w:p>
        </w:tc>
        <w:tc>
          <w:tcPr>
            <w:tcW w:w="1726"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联系方式</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联系人</w:t>
            </w:r>
          </w:p>
        </w:tc>
        <w:tc>
          <w:tcPr>
            <w:tcW w:w="2929" w:type="dxa"/>
            <w:gridSpan w:val="4"/>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575"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电话</w:t>
            </w:r>
          </w:p>
        </w:tc>
        <w:tc>
          <w:tcPr>
            <w:tcW w:w="1726"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传真</w:t>
            </w:r>
          </w:p>
        </w:tc>
        <w:tc>
          <w:tcPr>
            <w:tcW w:w="2929" w:type="dxa"/>
            <w:gridSpan w:val="4"/>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575"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网址</w:t>
            </w:r>
          </w:p>
        </w:tc>
        <w:tc>
          <w:tcPr>
            <w:tcW w:w="1726"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组织结构</w:t>
            </w:r>
          </w:p>
        </w:tc>
        <w:tc>
          <w:tcPr>
            <w:tcW w:w="7435" w:type="dxa"/>
            <w:gridSpan w:val="9"/>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法定代表人</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68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技术职称</w:t>
            </w:r>
          </w:p>
        </w:tc>
        <w:tc>
          <w:tcPr>
            <w:tcW w:w="106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61"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电话</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技术负责人</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68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技术职称</w:t>
            </w:r>
          </w:p>
        </w:tc>
        <w:tc>
          <w:tcPr>
            <w:tcW w:w="106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61"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电话</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成立时间</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5025" w:type="dxa"/>
            <w:gridSpan w:val="7"/>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spacing w:val="-20"/>
                <w:position w:val="0"/>
                <w:sz w:val="24"/>
                <w:szCs w:val="24"/>
                <w:highlight w:val="none"/>
              </w:rPr>
            </w:pPr>
            <w:r>
              <w:rPr>
                <w:rFonts w:hint="default" w:ascii="Times New Roman" w:hAnsi="宋体" w:eastAsia="宋体"/>
                <w:color w:val="auto"/>
                <w:spacing w:val="-20"/>
                <w:position w:val="0"/>
                <w:sz w:val="24"/>
                <w:szCs w:val="24"/>
                <w:highlight w:val="none"/>
              </w:rPr>
              <w:t>企业资质等级</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restart"/>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其中</w:t>
            </w: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项目经理</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营业执照号</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高级职称人员</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注册资金</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中级职称人员</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开户银行</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初级职称人员</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账号</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技工</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1"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经营范围</w:t>
            </w:r>
          </w:p>
        </w:tc>
        <w:tc>
          <w:tcPr>
            <w:tcW w:w="7435" w:type="dxa"/>
            <w:gridSpan w:val="9"/>
            <w:vAlign w:val="center"/>
          </w:tcPr>
          <w:p>
            <w:pPr>
              <w:numPr>
                <w:ilvl w:val="0"/>
                <w:numId w:val="0"/>
              </w:numPr>
              <w:autoSpaceDE w:val="0"/>
              <w:autoSpaceDN w:val="0"/>
              <w:spacing w:before="0" w:after="160" w:line="360" w:lineRule="auto"/>
              <w:ind w:right="215"/>
              <w:jc w:val="both"/>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c>
          <w:tcPr>
            <w:tcW w:w="7435" w:type="dxa"/>
            <w:gridSpan w:val="9"/>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bl>
    <w:p>
      <w:pPr>
        <w:numPr>
          <w:ilvl w:val="0"/>
          <w:numId w:val="0"/>
        </w:numPr>
        <w:autoSpaceDE w:val="0"/>
        <w:autoSpaceDN w:val="0"/>
        <w:spacing w:before="0" w:after="160" w:line="360" w:lineRule="auto"/>
        <w:ind w:right="215"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备注：本表后应附企业法人营业执照、企业资质证书副本、安全生产许可证等材料的原件扫描件或图片。</w:t>
      </w:r>
    </w:p>
    <w:p>
      <w:pPr>
        <w:numPr>
          <w:ilvl w:val="0"/>
          <w:numId w:val="0"/>
        </w:numPr>
        <w:autoSpaceDE w:val="0"/>
        <w:autoSpaceDN w:val="0"/>
        <w:spacing w:before="0" w:after="160" w:line="360" w:lineRule="auto"/>
        <w:ind w:right="215" w:firstLine="480"/>
        <w:jc w:val="center"/>
        <w:rPr>
          <w:rFonts w:hint="default" w:ascii="Times New Roman" w:hAnsi="宋体" w:eastAsia="宋体"/>
          <w:b/>
          <w:color w:val="auto"/>
          <w:position w:val="0"/>
          <w:sz w:val="28"/>
          <w:szCs w:val="28"/>
          <w:highlight w:val="none"/>
        </w:rPr>
      </w:pPr>
      <w:r>
        <w:br w:type="page"/>
      </w:r>
      <w:r>
        <w:rPr>
          <w:rFonts w:hint="default" w:ascii="Times New Roman" w:hAnsi="宋体" w:eastAsia="宋体"/>
          <w:b/>
          <w:color w:val="auto"/>
          <w:position w:val="0"/>
          <w:sz w:val="32"/>
          <w:szCs w:val="32"/>
          <w:highlight w:val="none"/>
        </w:rPr>
        <w:t>六、资格证明文件</w:t>
      </w:r>
    </w:p>
    <w:p>
      <w:pPr>
        <w:numPr>
          <w:ilvl w:val="0"/>
          <w:numId w:val="0"/>
        </w:numPr>
        <w:autoSpaceDE w:val="0"/>
        <w:autoSpaceDN w:val="0"/>
        <w:spacing w:before="0" w:after="160" w:line="360" w:lineRule="auto"/>
        <w:ind w:right="215" w:firstLine="48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（附原件扫描件或图片）</w:t>
      </w:r>
    </w:p>
    <w:p>
      <w:pPr>
        <w:numPr>
          <w:ilvl w:val="0"/>
          <w:numId w:val="0"/>
        </w:numPr>
        <w:autoSpaceDE w:val="0"/>
        <w:autoSpaceDN w:val="0"/>
        <w:spacing w:before="0" w:after="160" w:line="360" w:lineRule="auto"/>
        <w:ind w:right="215" w:firstLine="420"/>
        <w:jc w:val="center"/>
        <w:rPr>
          <w:rFonts w:hint="default" w:ascii="Times New Roman" w:hAnsi="宋体" w:eastAsia="宋体"/>
          <w:color w:val="auto"/>
          <w:position w:val="0"/>
          <w:sz w:val="24"/>
          <w:szCs w:val="24"/>
          <w:highlight w:val="none"/>
        </w:rPr>
      </w:pPr>
    </w:p>
    <w:p>
      <w:pPr>
        <w:numPr>
          <w:ilvl w:val="0"/>
          <w:numId w:val="0"/>
        </w:numPr>
        <w:autoSpaceDE w:val="0"/>
        <w:autoSpaceDN w:val="0"/>
        <w:spacing w:before="0" w:after="160" w:line="360" w:lineRule="auto"/>
        <w:ind w:right="215" w:firstLine="420"/>
        <w:jc w:val="center"/>
        <w:rPr>
          <w:rFonts w:hint="default" w:ascii="Times New Roman" w:hAnsi="宋体" w:eastAsia="宋体"/>
          <w:b/>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360" w:lineRule="auto"/>
        <w:ind w:right="215"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七、近年完成的类似项目情况表</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6"/>
        <w:gridCol w:w="6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项目名称</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项目所在地</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发包人名称</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发包人地址</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发包人电话</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合同价格</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开工日期</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竣工日期</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承担的工作</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工程质量</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项目负责人（项目经理）</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技术负责人</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spacing w:val="-20"/>
                <w:position w:val="0"/>
                <w:sz w:val="24"/>
                <w:szCs w:val="24"/>
                <w:highlight w:val="none"/>
              </w:rPr>
            </w:pPr>
            <w:r>
              <w:rPr>
                <w:rFonts w:hint="default" w:ascii="Times New Roman" w:hAnsi="宋体" w:eastAsia="宋体"/>
                <w:color w:val="auto"/>
                <w:spacing w:val="-20"/>
                <w:position w:val="0"/>
                <w:sz w:val="24"/>
                <w:szCs w:val="24"/>
                <w:highlight w:val="none"/>
              </w:rPr>
              <w:t>总监理工程师及电话</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241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项目描述</w:t>
            </w:r>
          </w:p>
        </w:tc>
        <w:tc>
          <w:tcPr>
            <w:tcW w:w="6721"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241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c>
          <w:tcPr>
            <w:tcW w:w="6721"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bl>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240" w:lineRule="auto"/>
        <w:ind w:right="0" w:firstLine="480"/>
        <w:jc w:val="center"/>
        <w:rPr>
          <w:rFonts w:hint="default" w:ascii="Times New Roman" w:hAnsi="宋体" w:eastAsia="宋体"/>
          <w:b/>
          <w:color w:val="auto"/>
          <w:position w:val="0"/>
          <w:sz w:val="32"/>
          <w:szCs w:val="32"/>
          <w:highlight w:val="none"/>
        </w:rPr>
      </w:pPr>
      <w:r>
        <w:br w:type="page"/>
      </w:r>
      <w:r>
        <w:rPr>
          <w:rFonts w:hint="default" w:ascii="Times New Roman" w:hAnsi="宋体" w:eastAsia="宋体"/>
          <w:b/>
          <w:color w:val="auto"/>
          <w:position w:val="0"/>
          <w:sz w:val="32"/>
          <w:szCs w:val="32"/>
          <w:highlight w:val="none"/>
        </w:rPr>
        <w:t>八、正在施工的和新承接的项目情况</w:t>
      </w:r>
    </w:p>
    <w:p>
      <w:pPr>
        <w:numPr>
          <w:ilvl w:val="0"/>
          <w:numId w:val="0"/>
        </w:numPr>
        <w:autoSpaceDE w:val="0"/>
        <w:autoSpaceDN w:val="0"/>
        <w:spacing w:before="0" w:after="160" w:line="360" w:lineRule="auto"/>
        <w:ind w:right="215" w:firstLine="420"/>
        <w:jc w:val="center"/>
        <w:rPr>
          <w:rFonts w:hint="default" w:ascii="Times New Roman" w:hAnsi="宋体" w:eastAsia="宋体"/>
          <w:b/>
          <w:color w:val="auto"/>
          <w:position w:val="0"/>
          <w:sz w:val="32"/>
          <w:szCs w:val="32"/>
          <w:highlight w:val="none"/>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91"/>
        <w:gridCol w:w="6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项目名称</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项目所在地</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发包人名称</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发包人地址</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发包人电话</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签约合同价</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开工日期</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计划竣工日期</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承担的工作</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工程质量</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项目负责人（项目经理）</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技术负责人</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spacing w:val="-20"/>
                <w:position w:val="0"/>
                <w:sz w:val="24"/>
                <w:szCs w:val="24"/>
                <w:highlight w:val="none"/>
              </w:rPr>
            </w:pPr>
            <w:r>
              <w:rPr>
                <w:rFonts w:hint="default" w:ascii="Times New Roman" w:hAnsi="宋体" w:eastAsia="宋体"/>
                <w:color w:val="auto"/>
                <w:spacing w:val="-20"/>
                <w:position w:val="0"/>
                <w:sz w:val="24"/>
                <w:szCs w:val="24"/>
                <w:highlight w:val="none"/>
              </w:rPr>
              <w:t>总监理工程师及电话</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9"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项目描述</w:t>
            </w:r>
          </w:p>
        </w:tc>
        <w:tc>
          <w:tcPr>
            <w:tcW w:w="6727"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c>
          <w:tcPr>
            <w:tcW w:w="6727"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bl>
    <w:p>
      <w:pPr>
        <w:numPr>
          <w:ilvl w:val="0"/>
          <w:numId w:val="0"/>
        </w:numPr>
        <w:wordWrap w:val="0"/>
        <w:spacing w:before="0" w:after="0" w:line="240" w:lineRule="auto"/>
        <w:ind w:right="0" w:firstLine="0"/>
        <w:jc w:val="center"/>
        <w:rPr>
          <w:rFonts w:hint="default" w:ascii="Times New Roman" w:hAnsi="宋体" w:eastAsia="宋体"/>
          <w:b/>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360" w:lineRule="auto"/>
        <w:ind w:right="215" w:firstLine="0"/>
        <w:jc w:val="center"/>
        <w:rPr>
          <w:rFonts w:hint="default" w:ascii="Times New Roman" w:hAnsi="宋体" w:eastAsia="宋体"/>
          <w:b/>
          <w:color w:val="auto"/>
          <w:position w:val="0"/>
          <w:sz w:val="32"/>
          <w:szCs w:val="32"/>
          <w:highlight w:val="none"/>
        </w:rPr>
      </w:pPr>
    </w:p>
    <w:p>
      <w:pPr>
        <w:numPr>
          <w:ilvl w:val="0"/>
          <w:numId w:val="0"/>
        </w:numPr>
        <w:autoSpaceDE w:val="0"/>
        <w:autoSpaceDN w:val="0"/>
        <w:spacing w:before="0" w:after="160" w:line="360" w:lineRule="auto"/>
        <w:ind w:right="215" w:rightChars="0"/>
        <w:jc w:val="center"/>
        <w:rPr>
          <w:rFonts w:hint="default" w:ascii="Times New Roman" w:hAnsi="宋体" w:eastAsia="宋体"/>
          <w:b/>
          <w:color w:val="auto"/>
          <w:position w:val="0"/>
          <w:sz w:val="32"/>
          <w:szCs w:val="32"/>
          <w:highlight w:val="none"/>
        </w:rPr>
      </w:pPr>
      <w:r>
        <w:rPr>
          <w:rFonts w:hint="eastAsia" w:hAnsi="宋体" w:eastAsia="宋体"/>
          <w:b/>
          <w:color w:val="auto"/>
          <w:position w:val="0"/>
          <w:sz w:val="32"/>
          <w:szCs w:val="32"/>
          <w:highlight w:val="none"/>
          <w:lang w:val="en-US" w:eastAsia="zh-CN"/>
        </w:rPr>
        <w:t>九、</w:t>
      </w:r>
      <w:r>
        <w:rPr>
          <w:rFonts w:hint="default" w:ascii="Times New Roman" w:hAnsi="宋体" w:eastAsia="宋体"/>
          <w:b/>
          <w:color w:val="auto"/>
          <w:position w:val="0"/>
          <w:sz w:val="32"/>
          <w:szCs w:val="32"/>
          <w:highlight w:val="none"/>
        </w:rPr>
        <w:t>近年发生的诉讼及仲裁</w:t>
      </w:r>
    </w:p>
    <w:p>
      <w:pPr>
        <w:numPr>
          <w:ilvl w:val="0"/>
          <w:numId w:val="0"/>
        </w:numPr>
        <w:autoSpaceDE w:val="0"/>
        <w:autoSpaceDN w:val="0"/>
        <w:spacing w:before="0" w:after="160" w:line="360" w:lineRule="auto"/>
        <w:ind w:right="215" w:firstLine="0"/>
        <w:jc w:val="both"/>
        <w:rPr>
          <w:rFonts w:hint="default" w:ascii="Times New Roman" w:hAnsi="宋体" w:eastAsia="宋体"/>
          <w:b/>
          <w:color w:val="auto"/>
          <w:position w:val="0"/>
          <w:sz w:val="32"/>
          <w:szCs w:val="32"/>
          <w:highlight w:val="none"/>
        </w:rPr>
      </w:pPr>
    </w:p>
    <w:p>
      <w:pPr>
        <w:numPr>
          <w:ilvl w:val="0"/>
          <w:numId w:val="0"/>
        </w:numPr>
        <w:autoSpaceDE w:val="0"/>
        <w:autoSpaceDN w:val="0"/>
        <w:spacing w:before="0" w:after="160" w:line="360" w:lineRule="auto"/>
        <w:ind w:right="215" w:firstLine="2560"/>
        <w:jc w:val="both"/>
        <w:rPr>
          <w:rFonts w:hint="default" w:ascii="Times New Roman" w:hAnsi="宋体" w:eastAsia="宋体"/>
          <w:b/>
          <w:color w:val="auto"/>
          <w:position w:val="0"/>
          <w:sz w:val="32"/>
          <w:szCs w:val="32"/>
          <w:highlight w:val="none"/>
        </w:rPr>
      </w:pPr>
    </w:p>
    <w:p>
      <w:pPr>
        <w:numPr>
          <w:ilvl w:val="0"/>
          <w:numId w:val="0"/>
        </w:numPr>
        <w:autoSpaceDE w:val="0"/>
        <w:autoSpaceDN w:val="0"/>
        <w:spacing w:before="0" w:after="160" w:line="360" w:lineRule="auto"/>
        <w:ind w:right="215" w:firstLine="2560"/>
        <w:jc w:val="both"/>
        <w:rPr>
          <w:rFonts w:hint="default" w:ascii="Times New Roman" w:hAnsi="宋体" w:eastAsia="宋体"/>
          <w:b/>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360" w:lineRule="auto"/>
        <w:ind w:right="215" w:rightChars="0"/>
        <w:jc w:val="center"/>
        <w:rPr>
          <w:rFonts w:hint="default" w:ascii="Times New Roman" w:hAnsi="宋体" w:eastAsia="宋体"/>
          <w:b/>
          <w:color w:val="auto"/>
          <w:position w:val="0"/>
          <w:sz w:val="32"/>
          <w:szCs w:val="32"/>
          <w:highlight w:val="none"/>
        </w:rPr>
      </w:pPr>
      <w:r>
        <w:rPr>
          <w:rFonts w:hint="eastAsia" w:hAnsi="宋体" w:eastAsia="宋体"/>
          <w:b/>
          <w:color w:val="auto"/>
          <w:position w:val="0"/>
          <w:sz w:val="32"/>
          <w:szCs w:val="32"/>
          <w:highlight w:val="none"/>
          <w:lang w:val="en-US" w:eastAsia="zh-CN"/>
        </w:rPr>
        <w:t>十、</w:t>
      </w:r>
      <w:r>
        <w:rPr>
          <w:rFonts w:hint="default" w:ascii="Times New Roman" w:hAnsi="宋体" w:eastAsia="宋体"/>
          <w:b/>
          <w:color w:val="auto"/>
          <w:position w:val="0"/>
          <w:sz w:val="32"/>
          <w:szCs w:val="32"/>
          <w:highlight w:val="none"/>
        </w:rPr>
        <w:t>其它材料</w:t>
      </w:r>
    </w:p>
    <w:p>
      <w:pPr>
        <w:pStyle w:val="2"/>
        <w:numPr>
          <w:ilvl w:val="0"/>
          <w:numId w:val="0"/>
        </w:numPr>
        <w:autoSpaceDE/>
        <w:autoSpaceDN/>
        <w:spacing w:before="0" w:after="120" w:line="240" w:lineRule="auto"/>
        <w:ind w:left="420" w:right="0" w:firstLine="0"/>
        <w:jc w:val="both"/>
        <w:rPr>
          <w:rFonts w:hint="default" w:ascii="宋体" w:hAnsi="Times New Roman" w:eastAsia="Times New Roman"/>
          <w:color w:val="auto"/>
          <w:position w:val="0"/>
          <w:sz w:val="34"/>
          <w:szCs w:val="34"/>
          <w:highlight w:val="none"/>
        </w:rPr>
      </w:pPr>
    </w:p>
    <w:p>
      <w:pPr>
        <w:numPr>
          <w:ilvl w:val="0"/>
          <w:numId w:val="0"/>
        </w:numPr>
        <w:tabs>
          <w:tab w:val="center" w:pos="4739"/>
        </w:tabs>
        <w:autoSpaceDE/>
        <w:autoSpaceDN/>
        <w:spacing w:before="0" w:after="160" w:line="240" w:lineRule="auto"/>
        <w:ind w:right="0" w:firstLine="1680"/>
        <w:jc w:val="both"/>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投标人认为须附的其他材料，格式可自行编制。</w:t>
      </w:r>
    </w:p>
    <w:p>
      <w:pPr>
        <w:numPr>
          <w:ilvl w:val="0"/>
          <w:numId w:val="0"/>
        </w:numPr>
        <w:tabs>
          <w:tab w:val="center" w:pos="4739"/>
        </w:tabs>
        <w:autoSpaceDE/>
        <w:autoSpaceDN/>
        <w:spacing w:before="0" w:after="160" w:line="240" w:lineRule="auto"/>
        <w:ind w:right="0" w:firstLine="1680"/>
        <w:jc w:val="both"/>
        <w:rPr>
          <w:rFonts w:hint="default" w:ascii="Times New Roman" w:hAnsi="宋体" w:eastAsia="宋体"/>
          <w:color w:val="auto"/>
          <w:position w:val="0"/>
          <w:sz w:val="24"/>
          <w:szCs w:val="24"/>
          <w:highlight w:val="none"/>
        </w:rPr>
        <w:sectPr>
          <w:pgSz w:w="11906" w:h="16838"/>
          <w:pgMar w:top="1304" w:right="1134" w:bottom="1304" w:left="1134" w:header="851" w:footer="992" w:gutter="0"/>
          <w:pgNumType w:fmt="decimal"/>
          <w:docGrid w:type="linesAndChars" w:linePitch="312" w:charSpace="0"/>
        </w:sect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w:t>
      </w: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r>
        <w:rPr>
          <w:rFonts w:hint="default" w:ascii="Times New Roman" w:hAnsi="宋体" w:eastAsia="宋体"/>
          <w:b/>
          <w:color w:val="auto"/>
          <w:position w:val="0"/>
          <w:sz w:val="36"/>
          <w:szCs w:val="36"/>
          <w:highlight w:val="none"/>
        </w:rPr>
        <w:t xml:space="preserve">　         </w:t>
      </w:r>
      <w:r>
        <w:rPr>
          <w:rFonts w:hint="default" w:ascii="Times New Roman" w:hAnsi="宋体" w:eastAsia="宋体"/>
          <w:b/>
          <w:color w:val="auto"/>
          <w:spacing w:val="60"/>
          <w:position w:val="0"/>
          <w:sz w:val="48"/>
          <w:szCs w:val="48"/>
          <w:highlight w:val="none"/>
          <w:u w:val="single"/>
        </w:rPr>
        <w:t xml:space="preserve">      （工程名称</w:t>
      </w:r>
      <w:bookmarkStart w:id="113" w:name="_GoBack"/>
      <w:bookmarkEnd w:id="113"/>
      <w:r>
        <w:rPr>
          <w:rFonts w:hint="default" w:ascii="Times New Roman" w:hAnsi="宋体" w:eastAsia="宋体"/>
          <w:b/>
          <w:color w:val="auto"/>
          <w:spacing w:val="60"/>
          <w:position w:val="0"/>
          <w:sz w:val="48"/>
          <w:szCs w:val="48"/>
          <w:highlight w:val="none"/>
          <w:u w:val="single"/>
        </w:rPr>
        <w:t>）</w:t>
      </w:r>
    </w:p>
    <w:p>
      <w:pPr>
        <w:numPr>
          <w:ilvl w:val="0"/>
          <w:numId w:val="0"/>
        </w:numPr>
        <w:autoSpaceDE w:val="0"/>
        <w:autoSpaceDN w:val="0"/>
        <w:spacing w:before="0" w:after="160" w:line="240" w:lineRule="auto"/>
        <w:ind w:right="0" w:firstLine="1280"/>
        <w:jc w:val="center"/>
        <w:rPr>
          <w:rFonts w:hint="default" w:ascii="Times New Roman" w:hAnsi="宋体" w:eastAsia="宋体"/>
          <w:b/>
          <w:color w:val="auto"/>
          <w:spacing w:val="60"/>
          <w:position w:val="0"/>
          <w:sz w:val="52"/>
          <w:szCs w:val="52"/>
          <w:highlight w:val="none"/>
          <w:u w:val="single"/>
        </w:rPr>
      </w:pPr>
    </w:p>
    <w:p>
      <w:pPr>
        <w:numPr>
          <w:ilvl w:val="0"/>
          <w:numId w:val="0"/>
        </w:numPr>
        <w:autoSpaceDE w:val="0"/>
        <w:autoSpaceDN w:val="0"/>
        <w:spacing w:before="0" w:after="160" w:line="240" w:lineRule="auto"/>
        <w:ind w:right="0" w:firstLine="0"/>
        <w:jc w:val="both"/>
        <w:rPr>
          <w:rFonts w:hint="default" w:ascii="Times New Roman" w:hAnsi="宋体" w:eastAsia="宋体"/>
          <w:color w:val="auto"/>
          <w:position w:val="0"/>
          <w:sz w:val="36"/>
          <w:szCs w:val="36"/>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72"/>
          <w:szCs w:val="72"/>
          <w:highlight w:val="none"/>
        </w:rPr>
      </w:pPr>
      <w:r>
        <w:rPr>
          <w:rFonts w:hint="default" w:ascii="Times New Roman" w:hAnsi="宋体" w:eastAsia="宋体"/>
          <w:b/>
          <w:color w:val="auto"/>
          <w:position w:val="0"/>
          <w:sz w:val="72"/>
          <w:szCs w:val="72"/>
          <w:highlight w:val="none"/>
        </w:rPr>
        <w:t>投 标 文 件</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（技术标）</w:t>
      </w:r>
    </w:p>
    <w:p>
      <w:pPr>
        <w:numPr>
          <w:ilvl w:val="0"/>
          <w:numId w:val="0"/>
        </w:numPr>
        <w:tabs>
          <w:tab w:val="center" w:pos="4739"/>
        </w:tabs>
        <w:autoSpaceDE/>
        <w:autoSpaceDN/>
        <w:spacing w:before="0" w:after="160" w:line="240" w:lineRule="auto"/>
        <w:ind w:left="180" w:right="0" w:firstLine="640"/>
        <w:jc w:val="both"/>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xml:space="preserve">               项目编号：</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投标人：(盖单位章)</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法定代表人或其委托代理人：(签字)</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年   月   日</w:t>
      </w:r>
    </w:p>
    <w:p>
      <w:pPr>
        <w:numPr>
          <w:ilvl w:val="0"/>
          <w:numId w:val="0"/>
        </w:numPr>
        <w:autoSpaceDE w:val="0"/>
        <w:autoSpaceDN w:val="0"/>
        <w:spacing w:before="0" w:after="160" w:line="540" w:lineRule="exact"/>
        <w:ind w:right="0" w:firstLine="720"/>
        <w:jc w:val="center"/>
        <w:rPr>
          <w:rFonts w:hint="default" w:ascii="Times New Roman" w:hAnsi="宋体" w:eastAsia="宋体"/>
          <w:b/>
          <w:color w:val="auto"/>
          <w:position w:val="0"/>
          <w:sz w:val="36"/>
          <w:szCs w:val="36"/>
          <w:highlight w:val="none"/>
        </w:rPr>
      </w:pPr>
      <w:r>
        <w:br w:type="page"/>
      </w:r>
    </w:p>
    <w:p>
      <w:pPr>
        <w:numPr>
          <w:ilvl w:val="0"/>
          <w:numId w:val="0"/>
        </w:numPr>
        <w:autoSpaceDE w:val="0"/>
        <w:autoSpaceDN w:val="0"/>
        <w:spacing w:before="0" w:after="160" w:line="540" w:lineRule="exact"/>
        <w:ind w:right="0" w:firstLine="880"/>
        <w:jc w:val="center"/>
        <w:rPr>
          <w:rFonts w:hint="default" w:ascii="Times New Roman" w:hAnsi="宋体" w:eastAsia="宋体"/>
          <w:b/>
          <w:color w:val="auto"/>
          <w:position w:val="0"/>
          <w:sz w:val="44"/>
          <w:szCs w:val="44"/>
          <w:highlight w:val="none"/>
        </w:rPr>
      </w:pPr>
      <w:r>
        <w:rPr>
          <w:rFonts w:hint="default" w:ascii="Times New Roman" w:hAnsi="宋体" w:eastAsia="宋体"/>
          <w:b/>
          <w:color w:val="auto"/>
          <w:position w:val="0"/>
          <w:sz w:val="44"/>
          <w:szCs w:val="44"/>
          <w:highlight w:val="none"/>
        </w:rPr>
        <w:t>目  录</w:t>
      </w:r>
    </w:p>
    <w:p>
      <w:pPr>
        <w:numPr>
          <w:ilvl w:val="0"/>
          <w:numId w:val="0"/>
        </w:numPr>
        <w:autoSpaceDE w:val="0"/>
        <w:autoSpaceDN w:val="0"/>
        <w:spacing w:before="0" w:after="160" w:line="540" w:lineRule="exact"/>
        <w:ind w:right="0" w:firstLine="0"/>
        <w:jc w:val="center"/>
        <w:rPr>
          <w:rFonts w:hint="default" w:ascii="Times New Roman" w:hAnsi="宋体" w:eastAsia="宋体"/>
          <w:b/>
          <w:color w:val="auto"/>
          <w:position w:val="0"/>
          <w:sz w:val="36"/>
          <w:szCs w:val="36"/>
          <w:highlight w:val="none"/>
        </w:rPr>
      </w:pP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（1）内容完整性；</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（2）主要施工方案和技术措施；</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（3）质量管理体系与措施；</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（4）安全管理体系与措施；</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（5）文明施工、环境保护管理体系及施工现场扬尘治理措施；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（6）工程保证措施；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（7）拟投入资源配备计划；</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（8）施工进度表与网络计划图；</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（9）施工总平面图布置；</w:t>
      </w:r>
    </w:p>
    <w:p>
      <w:pPr>
        <w:numPr>
          <w:ilvl w:val="0"/>
          <w:numId w:val="0"/>
        </w:numPr>
        <w:tabs>
          <w:tab w:val="left" w:pos="1260"/>
        </w:tabs>
        <w:autoSpaceDE w:val="0"/>
        <w:autoSpaceDN w:val="0"/>
        <w:spacing w:before="0" w:after="160" w:line="460" w:lineRule="exact"/>
        <w:ind w:right="0" w:firstLine="24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（10）技术创新的应用措施；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（11）采用新工艺、新技术、新设备、新材料、BIM等的程度；</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（12）施工现场实施信息化监控和数据处理；</w:t>
      </w:r>
    </w:p>
    <w:p>
      <w:pPr>
        <w:pStyle w:val="2"/>
        <w:numPr>
          <w:ilvl w:val="0"/>
          <w:numId w:val="0"/>
        </w:numPr>
        <w:autoSpaceDE/>
        <w:autoSpaceDN/>
        <w:spacing w:before="0" w:after="120" w:line="240" w:lineRule="auto"/>
        <w:ind w:right="0" w:firstLine="480"/>
        <w:jc w:val="both"/>
        <w:rPr>
          <w:rFonts w:hint="default" w:ascii="宋体" w:hAnsi="Times New Roman" w:eastAsia="Times New Roman"/>
          <w:color w:val="auto"/>
          <w:position w:val="0"/>
          <w:sz w:val="24"/>
          <w:szCs w:val="24"/>
          <w:highlight w:val="none"/>
        </w:rPr>
      </w:pPr>
      <w:r>
        <w:rPr>
          <w:rFonts w:hint="default" w:ascii="宋体" w:hAnsi="宋体" w:eastAsia="宋体"/>
          <w:color w:val="auto"/>
          <w:position w:val="0"/>
          <w:sz w:val="24"/>
          <w:szCs w:val="24"/>
          <w:highlight w:val="none"/>
        </w:rPr>
        <w:t>（13）风险管理措施；</w:t>
      </w:r>
    </w:p>
    <w:p>
      <w:pPr>
        <w:numPr>
          <w:ilvl w:val="0"/>
          <w:numId w:val="0"/>
        </w:numPr>
        <w:autoSpaceDE w:val="0"/>
        <w:autoSpaceDN w:val="0"/>
        <w:spacing w:before="240" w:after="240" w:line="240" w:lineRule="auto"/>
        <w:ind w:right="0" w:firstLine="0"/>
        <w:jc w:val="center"/>
        <w:outlineLvl w:val="0"/>
        <w:rPr>
          <w:rFonts w:hint="default" w:ascii="Times New Roman" w:hAnsi="黑体" w:eastAsia="黑体"/>
          <w:b/>
          <w:color w:val="auto"/>
          <w:position w:val="0"/>
          <w:sz w:val="44"/>
          <w:szCs w:val="44"/>
          <w:highlight w:val="none"/>
        </w:rPr>
      </w:pPr>
    </w:p>
    <w:p>
      <w:pPr>
        <w:numPr>
          <w:ilvl w:val="0"/>
          <w:numId w:val="0"/>
        </w:numPr>
        <w:autoSpaceDE w:val="0"/>
        <w:autoSpaceDN w:val="0"/>
        <w:spacing w:before="240" w:after="240" w:line="240" w:lineRule="auto"/>
        <w:ind w:right="0" w:firstLine="1260"/>
        <w:jc w:val="both"/>
        <w:outlineLvl w:val="0"/>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rPr>
      </w:pPr>
    </w:p>
    <w:sectPr>
      <w:footerReference r:id="rId11" w:type="first"/>
      <w:footerReference r:id="rId10" w:type="default"/>
      <w:pgSz w:w="11906" w:h="16838"/>
      <w:pgMar w:top="1304" w:right="1134" w:bottom="1304" w:left="1134" w:header="851" w:footer="992" w:gutter="0"/>
      <w:pgNumType w:fmt="decimal"/>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21"/>
        <w:szCs w:val="21"/>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150" cy="233045"/>
              <wp:effectExtent l="0" t="0" r="0" b="0"/>
              <wp:wrapNone/>
              <wp:docPr id="6" name="文本框 4"/>
              <wp:cNvGraphicFramePr/>
              <a:graphic xmlns:a="http://schemas.openxmlformats.org/drawingml/2006/main">
                <a:graphicData uri="http://schemas.microsoft.com/office/word/2010/wordprocessingShape">
                  <wps:wsp>
                    <wps:cNvSpPr txBox="1"/>
                    <wps:spPr>
                      <a:xfrm>
                        <a:off x="0" y="0"/>
                        <a:ext cx="5778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4" o:spid="_x0000_s1026" o:spt="202" type="#_x0000_t202" style="position:absolute;left:0pt;margin-top:0pt;height:18.35pt;width:4.5pt;mso-position-horizontal:center;mso-position-horizontal-relative:margin;mso-wrap-style:none;z-index:251625472;v-text-anchor:middle;mso-width-relative:page;mso-height-relative:page;" filled="f" stroked="f" coordsize="21600,21600"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D7/fd2FAIAAAgEAAAOAAAAAAAA&#10;AAEAIAAAACEBAABkcnMvZTJvRG9jLnhtbFBLBQYAAAAABgAGAFkBAACnBQ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eastAsia" w:eastAsia="宋体"/>
        <w:color w:val="auto"/>
        <w:position w:val="0"/>
        <w:sz w:val="21"/>
        <w:szCs w:val="21"/>
        <w:lang w:eastAsia="zh-CN"/>
      </w:rPr>
      <w:t>达信建设发展有限公司</w:t>
    </w:r>
    <w:r>
      <w:rPr>
        <w:rFonts w:hint="default" w:ascii="Times New Roman" w:hAnsi="Times New Roman" w:eastAsia="Times New Roman"/>
        <w:color w:val="auto"/>
        <w:position w:val="0"/>
        <w:sz w:val="21"/>
        <w:szCs w:val="21"/>
      </w:rPr>
      <w:t xml:space="preserve">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宋体" w:eastAsia="宋体"/>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150" cy="233045"/>
              <wp:effectExtent l="0" t="0" r="0" b="0"/>
              <wp:wrapNone/>
              <wp:docPr id="21" name="文本框 9"/>
              <wp:cNvGraphicFramePr/>
              <a:graphic xmlns:a="http://schemas.openxmlformats.org/drawingml/2006/main">
                <a:graphicData uri="http://schemas.microsoft.com/office/word/2010/wordprocessingShape">
                  <wps:wsp>
                    <wps:cNvSpPr txBox="1"/>
                    <wps:spPr>
                      <a:xfrm>
                        <a:off x="0" y="0"/>
                        <a:ext cx="5778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3</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9" o:spid="_x0000_s1026" o:spt="202" type="#_x0000_t202" style="position:absolute;left:0pt;margin-top:0pt;height:18.35pt;width:4.5pt;mso-position-horizontal:center;mso-position-horizontal-relative:margin;mso-wrap-style:none;z-index:251625472;v-text-anchor:middle;mso-width-relative:page;mso-height-relative:page;" filled="f" stroked="f" coordsize="21600,21600"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AYMNH1FAIAAAkEAAAOAAAAAAAA&#10;AAEAIAAAACEBAABkcnMvZTJvRG9jLnhtbFBLBQYAAAAABgAGAFkBAACnBQ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3</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default" w:ascii="Times New Roman" w:hAnsi="Times New Roman" w:eastAsia="Times New Roman"/>
        <w:color w:val="auto"/>
        <w:position w:val="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150" cy="233045"/>
              <wp:effectExtent l="0" t="0" r="0" b="0"/>
              <wp:wrapNone/>
              <wp:docPr id="23" name="文本框 8"/>
              <wp:cNvGraphicFramePr/>
              <a:graphic xmlns:a="http://schemas.openxmlformats.org/drawingml/2006/main">
                <a:graphicData uri="http://schemas.microsoft.com/office/word/2010/wordprocessingShape">
                  <wps:wsp>
                    <wps:cNvSpPr txBox="1"/>
                    <wps:spPr>
                      <a:xfrm>
                        <a:off x="0" y="0"/>
                        <a:ext cx="5778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8" o:spid="_x0000_s1026" o:spt="202" type="#_x0000_t202" style="position:absolute;left:0pt;margin-top:0pt;height:18.35pt;width:4.5pt;mso-position-horizontal:center;mso-position-horizontal-relative:margin;mso-wrap-style:none;z-index:251625472;v-text-anchor:middle;mso-width-relative:page;mso-height-relative:page;" filled="f" stroked="f" coordsize="21600,21600"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CbGqWSFAIAAAkEAAAOAAAAAAAA&#10;AAEAIAAAACEBAABkcnMvZTJvRG9jLnhtbFBLBQYAAAAABgAGAFkBAACnBQ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eastAsia" w:eastAsia="宋体"/>
        <w:color w:val="auto"/>
        <w:position w:val="0"/>
        <w:sz w:val="21"/>
        <w:szCs w:val="21"/>
        <w:lang w:eastAsia="zh-CN"/>
      </w:rPr>
      <w:t>达信建设发展有限公司</w:t>
    </w:r>
    <w:r>
      <w:rPr>
        <w:rFonts w:hint="default" w:ascii="Times New Roman" w:hAnsi="Times New Roman" w:eastAsia="Times New Roman"/>
        <w:color w:val="auto"/>
        <w:position w:val="0"/>
        <w:sz w:val="21"/>
        <w:szCs w:val="21"/>
      </w:rPr>
      <w:t xml:space="preserve">                                                   0375-6161678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14300" cy="233045"/>
              <wp:effectExtent l="0" t="0" r="0" b="0"/>
              <wp:wrapNone/>
              <wp:docPr id="194" name="文本框 6"/>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91</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6" o:spid="_x0000_s1026" o:spt="202" type="#_x0000_t202" style="position:absolute;left:0pt;margin-top:0pt;height:18.35pt;width:9pt;mso-position-horizontal:center;mso-position-horizontal-relative:margin;mso-wrap-style:none;z-index:251625472;v-text-anchor:middle;mso-width-relative:page;mso-height-relative:page;" filled="f" stroked="f" coordsize="21600,21600" o:gfxdata="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CpyN0gAAAAMBAAAPAAAAAAAAAAEA&#10;IAAAACIAAABkcnMvZG93bnJldi54bWxQSwECFAAUAAAACACHTuJAPqspGxUCAAALBAAADgAAAAAA&#10;AAABACAAAAAhAQAAZHJzL2Uyb0RvYy54bWxQSwUGAAAAAAYABgBZAQAAqAU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91</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default" w:ascii="Times New Roman" w:hAnsi="Times New Roman" w:eastAsia="Times New Roman"/>
        <w:color w:val="auto"/>
        <w:position w:val="0"/>
        <w:sz w:val="21"/>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posOffset>3002915</wp:posOffset>
              </wp:positionH>
              <wp:positionV relativeFrom="paragraph">
                <wp:posOffset>0</wp:posOffset>
              </wp:positionV>
              <wp:extent cx="1829435" cy="1829435"/>
              <wp:effectExtent l="0" t="0" r="0" b="0"/>
              <wp:wrapNone/>
              <wp:docPr id="196" name="文本框 7"/>
              <wp:cNvGraphicFramePr/>
              <a:graphic xmlns:a="http://schemas.openxmlformats.org/drawingml/2006/main">
                <a:graphicData uri="http://schemas.microsoft.com/office/word/2010/wordprocessingShape">
                  <wps:wsp>
                    <wps:cNvSpPr txBox="1"/>
                    <wps:spPr>
                      <a:xfrm>
                        <a:off x="0" y="0"/>
                        <a:ext cx="1830070" cy="183007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t>2</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7" o:spid="_x0000_s1026" o:spt="202" type="#_x0000_t202" style="position:absolute;left:0pt;margin-left:236.45pt;margin-top:0pt;height:144.05pt;width:144.05pt;mso-position-horizontal-relative:margin;mso-wrap-style:none;z-index:251625472;v-text-anchor:middle;mso-width-relative:page;mso-height-relative:page;" filled="f" stroked="f" coordsize="21600,21600" o:gfxdata="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MQCdcAAAAIAQAADwAAAAAAAAAB&#10;ACAAAAAiAAAAZHJzL2Rvd25yZXYueG1sUEsBAhQAFAAAAAgAh07iQCKkSvcRAgAADQQAAA4AAAAA&#10;AAAAAQAgAAAAJgEAAGRycy9lMm9Eb2MueG1sUEsFBgAAAAAGAAYAWQEAAKkFA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t>2</w:t>
                    </w:r>
                  </w:p>
                </w:txbxContent>
              </v:textbox>
            </v:shape>
          </w:pict>
        </mc:Fallback>
      </mc:AlternateContent>
    </w:r>
    <w:r>
      <w:rPr>
        <w:rFonts w:hint="eastAsia" w:eastAsia="宋体"/>
        <w:color w:val="auto"/>
        <w:position w:val="0"/>
        <w:sz w:val="21"/>
        <w:szCs w:val="21"/>
        <w:lang w:eastAsia="zh-CN"/>
      </w:rPr>
      <w:t>达信建设发展有限公司</w:t>
    </w:r>
    <w:r>
      <w:rPr>
        <w:rFonts w:hint="default" w:ascii="Times New Roman" w:hAnsi="Times New Roman" w:eastAsia="Times New Roman"/>
        <w:color w:val="auto"/>
        <w:position w:val="0"/>
        <w:sz w:val="21"/>
        <w:szCs w:val="21"/>
      </w:rPr>
      <w:t xml:space="preserve">                                                   0375-6161678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numPr>
        <w:ilvl w:val="0"/>
        <w:numId w:val="0"/>
      </w:numPr>
      <w:pBdr>
        <w:bottom w:val="single" w:color="000000" w:sz="6" w:space="0"/>
      </w:pBdr>
      <w:tabs>
        <w:tab w:val="left" w:pos="7324"/>
      </w:tabs>
      <w:autoSpaceDE/>
      <w:autoSpaceDN/>
      <w:snapToGrid w:val="0"/>
      <w:spacing w:before="0" w:after="160" w:line="240" w:lineRule="auto"/>
      <w:ind w:right="0" w:firstLine="0"/>
      <w:jc w:val="left"/>
      <w:rPr>
        <w:rFonts w:hint="default" w:ascii="宋体" w:hAnsi="宋体" w:eastAsia="宋体"/>
        <w:color w:val="auto"/>
        <w:position w:val="0"/>
        <w:sz w:val="18"/>
        <w:szCs w:val="18"/>
      </w:rPr>
    </w:pPr>
    <w:r>
      <w:rPr>
        <w:rFonts w:hint="eastAsia"/>
        <w:color w:val="auto"/>
        <w:position w:val="0"/>
        <w:sz w:val="21"/>
        <w:szCs w:val="21"/>
        <w:lang w:eastAsia="zh-CN"/>
      </w:rPr>
      <w:t>襄城县王洛镇大路谢村标准化厂房建设项目</w:t>
    </w:r>
    <w:r>
      <w:rPr>
        <w:rFonts w:hint="eastAsia"/>
        <w:color w:val="auto"/>
        <w:position w:val="0"/>
        <w:sz w:val="21"/>
        <w:szCs w:val="21"/>
        <w:lang w:val="en-US" w:eastAsia="zh-CN"/>
      </w:rPr>
      <w:t xml:space="preserve"> </w:t>
    </w:r>
    <w:r>
      <w:rPr>
        <w:rFonts w:hint="default" w:ascii="宋体" w:hAnsi="宋体" w:eastAsia="宋体"/>
        <w:color w:val="auto"/>
        <w:position w:val="0"/>
        <w:sz w:val="21"/>
        <w:szCs w:val="21"/>
      </w:rPr>
      <w:t xml:space="preserve">                                 </w:t>
    </w:r>
    <w:r>
      <w:rPr>
        <w:rFonts w:hint="eastAsia"/>
        <w:color w:val="auto"/>
        <w:position w:val="0"/>
        <w:sz w:val="21"/>
        <w:szCs w:val="21"/>
        <w:lang w:val="en-US" w:eastAsia="zh-CN"/>
      </w:rPr>
      <w:t xml:space="preserve">         </w:t>
    </w:r>
    <w:r>
      <w:rPr>
        <w:rFonts w:hint="default" w:ascii="宋体" w:hAnsi="宋体" w:eastAsia="宋体"/>
        <w:color w:val="auto"/>
        <w:position w:val="0"/>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numPr>
        <w:ilvl w:val="0"/>
        <w:numId w:val="0"/>
      </w:numPr>
      <w:pBdr>
        <w:bottom w:val="single" w:color="000000" w:sz="6" w:space="0"/>
      </w:pBdr>
      <w:autoSpaceDE/>
      <w:autoSpaceDN/>
      <w:snapToGrid w:val="0"/>
      <w:spacing w:before="0" w:after="160" w:line="240" w:lineRule="auto"/>
      <w:ind w:right="0" w:firstLine="0"/>
      <w:jc w:val="center"/>
      <w:rPr>
        <w:rFonts w:hint="default" w:ascii="宋体" w:hAnsi="Times New Roman" w:eastAsia="Times New Roman"/>
        <w:color w:val="auto"/>
        <w:positio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numPr>
        <w:ilvl w:val="0"/>
        <w:numId w:val="0"/>
      </w:numPr>
      <w:pBdr>
        <w:bottom w:val="single" w:color="000000" w:sz="6" w:space="0"/>
      </w:pBdr>
      <w:tabs>
        <w:tab w:val="left" w:pos="7324"/>
      </w:tabs>
      <w:autoSpaceDE/>
      <w:autoSpaceDN/>
      <w:snapToGrid w:val="0"/>
      <w:spacing w:before="0" w:after="160" w:line="240" w:lineRule="auto"/>
      <w:ind w:right="0" w:firstLine="0"/>
      <w:jc w:val="both"/>
      <w:rPr>
        <w:rFonts w:hint="default" w:ascii="宋体" w:hAnsi="Times New Roman" w:eastAsia="Times New Roman"/>
        <w:color w:val="auto"/>
        <w:position w:val="0"/>
        <w:sz w:val="18"/>
        <w:szCs w:val="18"/>
      </w:rPr>
    </w:pPr>
    <w:r>
      <w:rPr>
        <w:rFonts w:hint="default" w:ascii="华文新魏" w:hAnsi="华文新魏" w:eastAsia="华文新魏"/>
        <w:color w:val="auto"/>
        <w:position w:val="0"/>
        <w:sz w:val="21"/>
        <w:szCs w:val="21"/>
      </w:rPr>
      <w:t>襄城县扶持村级集体经济（雷洞村特色农家院）项目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AEEC"/>
    <w:multiLevelType w:val="singleLevel"/>
    <w:tmpl w:val="1D68AEEC"/>
    <w:lvl w:ilvl="0" w:tentative="0">
      <w:start w:val="4"/>
      <w:numFmt w:val="decimal"/>
      <w:suff w:val="nothing"/>
      <w:lvlText w:val="%1、"/>
      <w:lvlJc w:val="left"/>
    </w:lvl>
  </w:abstractNum>
  <w:abstractNum w:abstractNumId="1">
    <w:nsid w:val="2F000000"/>
    <w:multiLevelType w:val="multilevel"/>
    <w:tmpl w:val="2F000000"/>
    <w:lvl w:ilvl="0" w:tentative="0">
      <w:start w:val="3"/>
      <w:numFmt w:val="bullet"/>
      <w:lvlText w:val="□"/>
      <w:lvlJc w:val="left"/>
      <w:pPr>
        <w:tabs>
          <w:tab w:val="left" w:pos="360"/>
        </w:tabs>
        <w:ind w:left="360" w:hanging="360"/>
        <w:jc w:val="both"/>
      </w:pPr>
      <w:rPr>
        <w:rFonts w:ascii="宋体" w:hAnsi="宋体" w:eastAsia="宋体"/>
        <w:w w:val="100"/>
        <w:sz w:val="20"/>
        <w:szCs w:val="20"/>
        <w:shd w:val="clear"/>
      </w:rPr>
    </w:lvl>
    <w:lvl w:ilvl="1" w:tentative="0">
      <w:start w:val="1"/>
      <w:numFmt w:val="bullet"/>
      <w:lvlText w:val="n"/>
      <w:lvlJc w:val="left"/>
      <w:pPr>
        <w:tabs>
          <w:tab w:val="left" w:pos="840"/>
        </w:tabs>
        <w:ind w:left="840" w:hanging="420"/>
        <w:jc w:val="both"/>
      </w:pPr>
      <w:rPr>
        <w:rFonts w:ascii="Wingdings" w:hAnsi="Wingdings" w:eastAsia="Wingdings"/>
        <w:w w:val="100"/>
        <w:sz w:val="20"/>
        <w:szCs w:val="20"/>
        <w:shd w:val="clear"/>
      </w:rPr>
    </w:lvl>
    <w:lvl w:ilvl="2" w:tentative="0">
      <w:start w:val="1"/>
      <w:numFmt w:val="bullet"/>
      <w:lvlText w:val="u"/>
      <w:lvlJc w:val="left"/>
      <w:pPr>
        <w:tabs>
          <w:tab w:val="left" w:pos="1260"/>
        </w:tabs>
        <w:ind w:left="1260" w:hanging="420"/>
        <w:jc w:val="both"/>
      </w:pPr>
      <w:rPr>
        <w:rFonts w:ascii="Wingdings" w:hAnsi="Wingdings" w:eastAsia="Wingdings"/>
        <w:w w:val="100"/>
        <w:sz w:val="20"/>
        <w:szCs w:val="20"/>
        <w:shd w:val="clear"/>
      </w:rPr>
    </w:lvl>
    <w:lvl w:ilvl="3" w:tentative="0">
      <w:start w:val="1"/>
      <w:numFmt w:val="bullet"/>
      <w:lvlText w:val="l"/>
      <w:lvlJc w:val="left"/>
      <w:pPr>
        <w:tabs>
          <w:tab w:val="left" w:pos="1680"/>
        </w:tabs>
        <w:ind w:left="1680" w:hanging="420"/>
        <w:jc w:val="both"/>
      </w:pPr>
      <w:rPr>
        <w:rFonts w:ascii="Wingdings" w:hAnsi="Wingdings" w:eastAsia="Wingdings"/>
        <w:w w:val="100"/>
        <w:sz w:val="20"/>
        <w:szCs w:val="20"/>
        <w:shd w:val="clear"/>
      </w:rPr>
    </w:lvl>
    <w:lvl w:ilvl="4" w:tentative="0">
      <w:start w:val="1"/>
      <w:numFmt w:val="bullet"/>
      <w:lvlText w:val="n"/>
      <w:lvlJc w:val="left"/>
      <w:pPr>
        <w:tabs>
          <w:tab w:val="left" w:pos="2100"/>
        </w:tabs>
        <w:ind w:left="2100" w:hanging="420"/>
        <w:jc w:val="both"/>
      </w:pPr>
      <w:rPr>
        <w:rFonts w:ascii="Wingdings" w:hAnsi="Wingdings" w:eastAsia="Wingdings"/>
        <w:w w:val="100"/>
        <w:sz w:val="20"/>
        <w:szCs w:val="20"/>
        <w:shd w:val="clear"/>
      </w:rPr>
    </w:lvl>
    <w:lvl w:ilvl="5" w:tentative="0">
      <w:start w:val="1"/>
      <w:numFmt w:val="bullet"/>
      <w:lvlText w:val="u"/>
      <w:lvlJc w:val="left"/>
      <w:pPr>
        <w:tabs>
          <w:tab w:val="left" w:pos="2520"/>
        </w:tabs>
        <w:ind w:left="2520" w:hanging="420"/>
        <w:jc w:val="both"/>
      </w:pPr>
      <w:rPr>
        <w:rFonts w:ascii="Wingdings" w:hAnsi="Wingdings" w:eastAsia="Wingdings"/>
        <w:w w:val="100"/>
        <w:sz w:val="20"/>
        <w:szCs w:val="20"/>
        <w:shd w:val="clear"/>
      </w:rPr>
    </w:lvl>
    <w:lvl w:ilvl="6" w:tentative="0">
      <w:start w:val="1"/>
      <w:numFmt w:val="bullet"/>
      <w:lvlText w:val="l"/>
      <w:lvlJc w:val="left"/>
      <w:pPr>
        <w:tabs>
          <w:tab w:val="left" w:pos="2940"/>
        </w:tabs>
        <w:ind w:left="2940" w:hanging="420"/>
        <w:jc w:val="both"/>
      </w:pPr>
      <w:rPr>
        <w:rFonts w:ascii="Wingdings" w:hAnsi="Wingdings" w:eastAsia="Wingdings"/>
        <w:w w:val="100"/>
        <w:sz w:val="20"/>
        <w:szCs w:val="20"/>
        <w:shd w:val="clear"/>
      </w:rPr>
    </w:lvl>
    <w:lvl w:ilvl="7" w:tentative="0">
      <w:start w:val="1"/>
      <w:numFmt w:val="bullet"/>
      <w:lvlText w:val="n"/>
      <w:lvlJc w:val="left"/>
      <w:pPr>
        <w:tabs>
          <w:tab w:val="left" w:pos="3360"/>
        </w:tabs>
        <w:ind w:left="3360" w:hanging="420"/>
        <w:jc w:val="both"/>
      </w:pPr>
      <w:rPr>
        <w:rFonts w:ascii="Wingdings" w:hAnsi="Wingdings" w:eastAsia="Wingdings"/>
        <w:w w:val="100"/>
        <w:sz w:val="20"/>
        <w:szCs w:val="20"/>
        <w:shd w:val="clear"/>
      </w:rPr>
    </w:lvl>
    <w:lvl w:ilvl="8" w:tentative="0">
      <w:start w:val="1"/>
      <w:numFmt w:val="bullet"/>
      <w:lvlText w:val="u"/>
      <w:lvlJc w:val="left"/>
      <w:pPr>
        <w:tabs>
          <w:tab w:val="left" w:pos="3780"/>
        </w:tabs>
        <w:ind w:left="3780" w:hanging="420"/>
        <w:jc w:val="both"/>
      </w:pPr>
      <w:rPr>
        <w:rFonts w:ascii="Wingdings" w:hAnsi="Wingdings" w:eastAsia="Wingdings"/>
        <w:w w:val="100"/>
        <w:sz w:val="20"/>
        <w:szCs w:val="20"/>
        <w:shd w:val="clea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8E7713"/>
    <w:rsid w:val="02433EEB"/>
    <w:rsid w:val="02456926"/>
    <w:rsid w:val="03036804"/>
    <w:rsid w:val="03B40168"/>
    <w:rsid w:val="05592145"/>
    <w:rsid w:val="05CF502D"/>
    <w:rsid w:val="06A402B7"/>
    <w:rsid w:val="08F7045C"/>
    <w:rsid w:val="09B0424B"/>
    <w:rsid w:val="0A603200"/>
    <w:rsid w:val="0BE41581"/>
    <w:rsid w:val="0BE66377"/>
    <w:rsid w:val="0D3851E4"/>
    <w:rsid w:val="0E250380"/>
    <w:rsid w:val="0F851C5D"/>
    <w:rsid w:val="11CE45EE"/>
    <w:rsid w:val="12327F15"/>
    <w:rsid w:val="19A90788"/>
    <w:rsid w:val="1C05446E"/>
    <w:rsid w:val="1CC53BD0"/>
    <w:rsid w:val="20AC5470"/>
    <w:rsid w:val="2172207B"/>
    <w:rsid w:val="21B12BA1"/>
    <w:rsid w:val="247E731F"/>
    <w:rsid w:val="24F347EA"/>
    <w:rsid w:val="26A1616B"/>
    <w:rsid w:val="29FA6F27"/>
    <w:rsid w:val="2A60148A"/>
    <w:rsid w:val="2A797964"/>
    <w:rsid w:val="2A7F6F8E"/>
    <w:rsid w:val="2B096D44"/>
    <w:rsid w:val="31436E96"/>
    <w:rsid w:val="314B3BCF"/>
    <w:rsid w:val="32933C70"/>
    <w:rsid w:val="343E777F"/>
    <w:rsid w:val="34D1575F"/>
    <w:rsid w:val="35516301"/>
    <w:rsid w:val="36AE4D6E"/>
    <w:rsid w:val="36C565D8"/>
    <w:rsid w:val="392D5DE0"/>
    <w:rsid w:val="3A4668FD"/>
    <w:rsid w:val="3B193F81"/>
    <w:rsid w:val="3BAA2721"/>
    <w:rsid w:val="40123723"/>
    <w:rsid w:val="41463B19"/>
    <w:rsid w:val="4392064B"/>
    <w:rsid w:val="45A84B63"/>
    <w:rsid w:val="4DE727C5"/>
    <w:rsid w:val="4E1E1217"/>
    <w:rsid w:val="4FB02305"/>
    <w:rsid w:val="501C2611"/>
    <w:rsid w:val="507E5E29"/>
    <w:rsid w:val="53333906"/>
    <w:rsid w:val="544B4615"/>
    <w:rsid w:val="59FA3E0A"/>
    <w:rsid w:val="5B5D3A14"/>
    <w:rsid w:val="5BCB145F"/>
    <w:rsid w:val="5BD8622A"/>
    <w:rsid w:val="5CF56EE1"/>
    <w:rsid w:val="5DD34347"/>
    <w:rsid w:val="64B4476B"/>
    <w:rsid w:val="64CA64E9"/>
    <w:rsid w:val="68D04688"/>
    <w:rsid w:val="68DD0AA4"/>
    <w:rsid w:val="6A1C0691"/>
    <w:rsid w:val="6A2E44C0"/>
    <w:rsid w:val="6BD869E2"/>
    <w:rsid w:val="6D213828"/>
    <w:rsid w:val="6F114C41"/>
    <w:rsid w:val="7204403D"/>
    <w:rsid w:val="73206EE8"/>
    <w:rsid w:val="752E1722"/>
    <w:rsid w:val="766C4D41"/>
    <w:rsid w:val="787E37D5"/>
    <w:rsid w:val="799378DB"/>
    <w:rsid w:val="7AED4481"/>
    <w:rsid w:val="7C1602EE"/>
    <w:rsid w:val="7F0C182F"/>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7" w:semiHidden="0" w:name="header"/>
    <w:lsdException w:qFormat="1" w:unhideWhenUsed="0" w:uiPriority="15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qFormat="1" w:uiPriority="153" w:semiHidden="0" w:name="Body Text"/>
    <w:lsdException w:qFormat="1" w:unhideWhenUsed="0" w:uiPriority="155"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159" w:semiHidden="0" w:name="Message Header"/>
    <w:lsdException w:qFormat="1" w:unhideWhenUsed="0" w:uiPriority="16" w:semiHidden="0" w:name="Subtitle"/>
    <w:lsdException w:unhideWhenUsed="0" w:uiPriority="0" w:semiHidden="0" w:name="Salutation"/>
    <w:lsdException w:unhideWhenUsed="0" w:uiPriority="0" w:semiHidden="0" w:name="Date"/>
    <w:lsdException w:qFormat="1" w:uiPriority="152" w:semiHidden="0" w:name="Body Text First Indent"/>
    <w:lsdException w:qFormat="1" w:unhideWhenUsed="0" w:uiPriority="154"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158"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6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wordWrap/>
      <w:autoSpaceDE/>
      <w:autoSpaceDN/>
      <w:jc w:val="both"/>
    </w:pPr>
    <w:rPr>
      <w:rFonts w:ascii="Times New Roman" w:hAnsi="Times New Roman" w:eastAsia="Times New Roman" w:cs="Times New Roman"/>
      <w:w w:val="100"/>
      <w:sz w:val="21"/>
      <w:szCs w:val="21"/>
      <w:shd w:val="clear"/>
    </w:rPr>
  </w:style>
  <w:style w:type="paragraph" w:styleId="6">
    <w:name w:val="heading 1"/>
    <w:basedOn w:val="1"/>
    <w:next w:val="1"/>
    <w:qFormat/>
    <w:uiPriority w:val="7"/>
    <w:pPr>
      <w:keepNext/>
      <w:keepLines/>
      <w:widowControl/>
      <w:wordWrap/>
      <w:autoSpaceDE/>
      <w:autoSpaceDN/>
      <w:jc w:val="center"/>
    </w:pPr>
    <w:rPr>
      <w:rFonts w:ascii="宋体" w:hAnsi="宋体" w:eastAsia="宋体"/>
      <w:b/>
      <w:w w:val="100"/>
      <w:sz w:val="44"/>
      <w:szCs w:val="44"/>
      <w:shd w:val="clear"/>
    </w:rPr>
  </w:style>
  <w:style w:type="paragraph" w:styleId="7">
    <w:name w:val="heading 2"/>
    <w:next w:val="1"/>
    <w:qFormat/>
    <w:uiPriority w:val="8"/>
    <w:pPr>
      <w:widowControl/>
      <w:wordWrap/>
      <w:autoSpaceDE/>
      <w:autoSpaceDN/>
      <w:jc w:val="both"/>
    </w:pPr>
    <w:rPr>
      <w:rFonts w:ascii="Times New Roman" w:hAnsi="Times New Roman" w:eastAsia="Times New Roman" w:cs="Times New Roman"/>
      <w:w w:val="100"/>
      <w:sz w:val="21"/>
      <w:szCs w:val="21"/>
      <w:shd w:val="clear"/>
    </w:rPr>
  </w:style>
  <w:style w:type="paragraph" w:styleId="8">
    <w:name w:val="heading 3"/>
    <w:basedOn w:val="1"/>
    <w:next w:val="1"/>
    <w:qFormat/>
    <w:uiPriority w:val="9"/>
    <w:pPr>
      <w:keepNext/>
      <w:keepLines/>
      <w:widowControl/>
      <w:wordWrap/>
      <w:autoSpaceDE/>
      <w:autoSpaceDN/>
    </w:pPr>
    <w:rPr>
      <w:rFonts w:ascii="宋体" w:hAnsi="宋体" w:eastAsia="宋体"/>
      <w:b/>
      <w:w w:val="100"/>
      <w:sz w:val="32"/>
      <w:szCs w:val="32"/>
      <w:shd w:val="clear"/>
    </w:rPr>
  </w:style>
  <w:style w:type="paragraph" w:styleId="9">
    <w:name w:val="heading 4"/>
    <w:next w:val="1"/>
    <w:qFormat/>
    <w:uiPriority w:val="10"/>
    <w:pPr>
      <w:widowControl/>
      <w:wordWrap/>
      <w:autoSpaceDE/>
      <w:autoSpaceDN/>
      <w:ind w:left="1200" w:hanging="400"/>
      <w:jc w:val="both"/>
    </w:pPr>
    <w:rPr>
      <w:rFonts w:ascii="Times New Roman" w:hAnsi="Times New Roman" w:eastAsia="Times New Roman" w:cs="Times New Roman"/>
      <w:b/>
      <w:w w:val="100"/>
      <w:sz w:val="21"/>
      <w:szCs w:val="21"/>
      <w:shd w:val="clear"/>
    </w:rPr>
  </w:style>
  <w:style w:type="paragraph" w:styleId="10">
    <w:name w:val="heading 5"/>
    <w:next w:val="1"/>
    <w:qFormat/>
    <w:uiPriority w:val="11"/>
    <w:pPr>
      <w:widowControl/>
      <w:wordWrap/>
      <w:autoSpaceDE/>
      <w:autoSpaceDN/>
      <w:ind w:left="1400" w:hanging="400"/>
      <w:jc w:val="both"/>
    </w:pPr>
    <w:rPr>
      <w:rFonts w:ascii="Times New Roman" w:hAnsi="Times New Roman" w:eastAsia="Times New Roman" w:cs="Times New Roman"/>
      <w:w w:val="100"/>
      <w:sz w:val="21"/>
      <w:szCs w:val="21"/>
      <w:shd w:val="clear"/>
    </w:rPr>
  </w:style>
  <w:style w:type="paragraph" w:styleId="11">
    <w:name w:val="heading 6"/>
    <w:next w:val="1"/>
    <w:qFormat/>
    <w:uiPriority w:val="12"/>
    <w:pPr>
      <w:widowControl/>
      <w:wordWrap/>
      <w:autoSpaceDE/>
      <w:autoSpaceDN/>
      <w:ind w:left="1600" w:hanging="400"/>
      <w:jc w:val="both"/>
    </w:pPr>
    <w:rPr>
      <w:rFonts w:ascii="Times New Roman" w:hAnsi="Times New Roman" w:eastAsia="Times New Roman" w:cs="Times New Roman"/>
      <w:b/>
      <w:w w:val="100"/>
      <w:sz w:val="21"/>
      <w:szCs w:val="21"/>
      <w:shd w:val="clear"/>
    </w:rPr>
  </w:style>
  <w:style w:type="paragraph" w:styleId="12">
    <w:name w:val="heading 7"/>
    <w:next w:val="1"/>
    <w:qFormat/>
    <w:uiPriority w:val="13"/>
    <w:pPr>
      <w:widowControl/>
      <w:wordWrap/>
      <w:autoSpaceDE/>
      <w:autoSpaceDN/>
      <w:ind w:left="1800" w:hanging="400"/>
      <w:jc w:val="both"/>
    </w:pPr>
    <w:rPr>
      <w:rFonts w:ascii="Times New Roman" w:hAnsi="Times New Roman" w:eastAsia="Times New Roman" w:cs="Times New Roman"/>
      <w:w w:val="100"/>
      <w:sz w:val="21"/>
      <w:szCs w:val="21"/>
      <w:shd w:val="clear"/>
    </w:rPr>
  </w:style>
  <w:style w:type="paragraph" w:styleId="13">
    <w:name w:val="heading 8"/>
    <w:next w:val="1"/>
    <w:qFormat/>
    <w:uiPriority w:val="14"/>
    <w:pPr>
      <w:widowControl/>
      <w:wordWrap/>
      <w:autoSpaceDE/>
      <w:autoSpaceDN/>
      <w:ind w:left="2000" w:hanging="400"/>
      <w:jc w:val="both"/>
    </w:pPr>
    <w:rPr>
      <w:rFonts w:ascii="Times New Roman" w:hAnsi="Times New Roman" w:eastAsia="Times New Roman" w:cs="Times New Roman"/>
      <w:w w:val="100"/>
      <w:sz w:val="21"/>
      <w:szCs w:val="21"/>
      <w:shd w:val="clear"/>
    </w:rPr>
  </w:style>
  <w:style w:type="paragraph" w:styleId="14">
    <w:name w:val="heading 9"/>
    <w:next w:val="1"/>
    <w:qFormat/>
    <w:uiPriority w:val="15"/>
    <w:pPr>
      <w:widowControl/>
      <w:wordWrap/>
      <w:autoSpaceDE/>
      <w:autoSpaceDN/>
      <w:ind w:left="2200" w:hanging="400"/>
      <w:jc w:val="both"/>
    </w:pPr>
    <w:rPr>
      <w:rFonts w:ascii="Times New Roman" w:hAnsi="Times New Roman" w:eastAsia="Times New Roman" w:cs="Times New Roman"/>
      <w:w w:val="100"/>
      <w:sz w:val="21"/>
      <w:szCs w:val="21"/>
      <w:shd w:val="clear"/>
    </w:rPr>
  </w:style>
  <w:style w:type="character" w:default="1" w:styleId="32">
    <w:name w:val="Default Paragraph Font"/>
    <w:semiHidden/>
    <w:qFormat/>
    <w:uiPriority w:val="2"/>
  </w:style>
  <w:style w:type="table" w:default="1" w:styleId="31">
    <w:name w:val="Normal Table"/>
    <w:qFormat/>
    <w:uiPriority w:val="37"/>
    <w:tblPr>
      <w:tblCellMar>
        <w:top w:w="0" w:type="dxa"/>
        <w:left w:w="108" w:type="dxa"/>
        <w:bottom w:w="0" w:type="dxa"/>
        <w:right w:w="108" w:type="dxa"/>
      </w:tblCellMar>
    </w:tblPr>
  </w:style>
  <w:style w:type="paragraph" w:styleId="2">
    <w:name w:val="Body Text First Indent"/>
    <w:basedOn w:val="3"/>
    <w:next w:val="4"/>
    <w:unhideWhenUsed/>
    <w:qFormat/>
    <w:uiPriority w:val="152"/>
    <w:pPr>
      <w:widowControl/>
      <w:wordWrap/>
      <w:autoSpaceDE/>
      <w:autoSpaceDN/>
      <w:ind w:firstLine="420"/>
    </w:pPr>
    <w:rPr>
      <w:rFonts w:ascii="Times New Roman" w:hAnsi="Times New Roman" w:eastAsia="Times New Roman"/>
      <w:w w:val="100"/>
      <w:sz w:val="20"/>
      <w:szCs w:val="20"/>
      <w:shd w:val="clear"/>
    </w:rPr>
  </w:style>
  <w:style w:type="paragraph" w:styleId="3">
    <w:name w:val="Body Text"/>
    <w:basedOn w:val="1"/>
    <w:unhideWhenUsed/>
    <w:qFormat/>
    <w:uiPriority w:val="153"/>
    <w:pPr>
      <w:widowControl/>
      <w:wordWrap/>
      <w:autoSpaceDE/>
      <w:autoSpaceDN/>
    </w:pPr>
    <w:rPr>
      <w:rFonts w:ascii="宋体" w:hAnsi="宋体" w:eastAsia="宋体"/>
      <w:w w:val="100"/>
      <w:sz w:val="34"/>
      <w:szCs w:val="34"/>
      <w:shd w:val="clear"/>
    </w:rPr>
  </w:style>
  <w:style w:type="paragraph" w:styleId="4">
    <w:name w:val="Body Text First Indent 2"/>
    <w:basedOn w:val="5"/>
    <w:qFormat/>
    <w:uiPriority w:val="154"/>
    <w:pPr>
      <w:widowControl/>
      <w:wordWrap/>
      <w:autoSpaceDE/>
      <w:autoSpaceDN/>
      <w:ind w:left="480" w:firstLine="562"/>
    </w:pPr>
    <w:rPr>
      <w:rFonts w:ascii="仿宋_GB2312" w:hAnsi="仿宋_GB2312" w:eastAsia="仿宋_GB2312" w:cs="Times New Roman"/>
      <w:w w:val="100"/>
      <w:sz w:val="20"/>
      <w:szCs w:val="20"/>
      <w:shd w:val="clear"/>
    </w:rPr>
  </w:style>
  <w:style w:type="paragraph" w:styleId="5">
    <w:name w:val="Body Text Indent"/>
    <w:basedOn w:val="1"/>
    <w:qFormat/>
    <w:uiPriority w:val="155"/>
    <w:pPr>
      <w:widowControl/>
      <w:wordWrap/>
      <w:autoSpaceDE/>
      <w:autoSpaceDN/>
      <w:ind w:left="420" w:firstLine="0"/>
    </w:pPr>
    <w:rPr>
      <w:rFonts w:ascii="宋体" w:hAnsi="宋体" w:eastAsia="宋体"/>
      <w:w w:val="100"/>
      <w:sz w:val="34"/>
      <w:szCs w:val="34"/>
      <w:shd w:val="clear"/>
    </w:rPr>
  </w:style>
  <w:style w:type="paragraph" w:styleId="15">
    <w:name w:val="toc 7"/>
    <w:next w:val="1"/>
    <w:unhideWhenUsed/>
    <w:qFormat/>
    <w:uiPriority w:val="34"/>
    <w:pPr>
      <w:widowControl/>
      <w:wordWrap/>
      <w:autoSpaceDE/>
      <w:autoSpaceDN/>
      <w:ind w:left="2550" w:firstLine="0"/>
      <w:jc w:val="both"/>
    </w:pPr>
    <w:rPr>
      <w:rFonts w:ascii="Times New Roman" w:hAnsi="Times New Roman" w:eastAsia="Times New Roman" w:cs="Times New Roman"/>
      <w:w w:val="100"/>
      <w:sz w:val="21"/>
      <w:szCs w:val="21"/>
      <w:shd w:val="clear"/>
    </w:rPr>
  </w:style>
  <w:style w:type="paragraph" w:styleId="16">
    <w:name w:val="toc 5"/>
    <w:next w:val="1"/>
    <w:unhideWhenUsed/>
    <w:qFormat/>
    <w:uiPriority w:val="32"/>
    <w:pPr>
      <w:widowControl/>
      <w:wordWrap/>
      <w:autoSpaceDE/>
      <w:autoSpaceDN/>
      <w:ind w:left="1700" w:firstLine="0"/>
      <w:jc w:val="both"/>
    </w:pPr>
    <w:rPr>
      <w:rFonts w:ascii="Times New Roman" w:hAnsi="Times New Roman" w:eastAsia="Times New Roman" w:cs="Times New Roman"/>
      <w:w w:val="100"/>
      <w:sz w:val="21"/>
      <w:szCs w:val="21"/>
      <w:shd w:val="clear"/>
    </w:rPr>
  </w:style>
  <w:style w:type="paragraph" w:styleId="17">
    <w:name w:val="toc 3"/>
    <w:next w:val="1"/>
    <w:unhideWhenUsed/>
    <w:qFormat/>
    <w:uiPriority w:val="30"/>
    <w:pPr>
      <w:widowControl/>
      <w:wordWrap/>
      <w:autoSpaceDE/>
      <w:autoSpaceDN/>
      <w:ind w:left="850" w:firstLine="0"/>
      <w:jc w:val="both"/>
    </w:pPr>
    <w:rPr>
      <w:rFonts w:ascii="Times New Roman" w:hAnsi="Times New Roman" w:eastAsia="Times New Roman" w:cs="Times New Roman"/>
      <w:w w:val="100"/>
      <w:sz w:val="21"/>
      <w:szCs w:val="21"/>
      <w:shd w:val="clear"/>
    </w:rPr>
  </w:style>
  <w:style w:type="paragraph" w:styleId="18">
    <w:name w:val="toc 8"/>
    <w:next w:val="1"/>
    <w:unhideWhenUsed/>
    <w:qFormat/>
    <w:uiPriority w:val="35"/>
    <w:pPr>
      <w:widowControl/>
      <w:wordWrap/>
      <w:autoSpaceDE/>
      <w:autoSpaceDN/>
      <w:ind w:left="2975" w:firstLine="0"/>
      <w:jc w:val="both"/>
    </w:pPr>
    <w:rPr>
      <w:rFonts w:ascii="Times New Roman" w:hAnsi="Times New Roman" w:eastAsia="Times New Roman" w:cs="Times New Roman"/>
      <w:w w:val="100"/>
      <w:sz w:val="21"/>
      <w:szCs w:val="21"/>
      <w:shd w:val="clear"/>
    </w:rPr>
  </w:style>
  <w:style w:type="paragraph" w:styleId="19">
    <w:name w:val="footer"/>
    <w:basedOn w:val="1"/>
    <w:qFormat/>
    <w:uiPriority w:val="156"/>
    <w:pPr>
      <w:widowControl/>
      <w:tabs>
        <w:tab w:val="center" w:pos="4153"/>
        <w:tab w:val="right" w:pos="8306"/>
      </w:tabs>
      <w:wordWrap/>
      <w:autoSpaceDE/>
      <w:autoSpaceDN/>
    </w:pPr>
    <w:rPr>
      <w:w w:val="100"/>
      <w:sz w:val="18"/>
      <w:szCs w:val="18"/>
      <w:shd w:val="clear"/>
    </w:rPr>
  </w:style>
  <w:style w:type="paragraph" w:styleId="20">
    <w:name w:val="header"/>
    <w:basedOn w:val="1"/>
    <w:qFormat/>
    <w:uiPriority w:val="157"/>
    <w:pPr>
      <w:widowControl/>
      <w:tabs>
        <w:tab w:val="center" w:pos="4153"/>
        <w:tab w:val="right" w:pos="8306"/>
      </w:tabs>
      <w:wordWrap/>
      <w:autoSpaceDE/>
      <w:autoSpaceDN/>
      <w:jc w:val="center"/>
    </w:pPr>
    <w:rPr>
      <w:rFonts w:ascii="宋体" w:hAnsi="宋体" w:eastAsia="宋体"/>
      <w:w w:val="100"/>
      <w:sz w:val="18"/>
      <w:szCs w:val="18"/>
      <w:shd w:val="clear"/>
    </w:rPr>
  </w:style>
  <w:style w:type="paragraph" w:styleId="21">
    <w:name w:val="toc 1"/>
    <w:basedOn w:val="1"/>
    <w:next w:val="1"/>
    <w:unhideWhenUsed/>
    <w:qFormat/>
    <w:uiPriority w:val="28"/>
  </w:style>
  <w:style w:type="paragraph" w:styleId="22">
    <w:name w:val="toc 4"/>
    <w:next w:val="1"/>
    <w:unhideWhenUsed/>
    <w:qFormat/>
    <w:uiPriority w:val="31"/>
    <w:pPr>
      <w:widowControl/>
      <w:wordWrap/>
      <w:autoSpaceDE/>
      <w:autoSpaceDN/>
      <w:ind w:left="1275" w:firstLine="0"/>
      <w:jc w:val="both"/>
    </w:pPr>
    <w:rPr>
      <w:rFonts w:ascii="Times New Roman" w:hAnsi="Times New Roman" w:eastAsia="Times New Roman" w:cs="Times New Roman"/>
      <w:w w:val="100"/>
      <w:sz w:val="21"/>
      <w:szCs w:val="21"/>
      <w:shd w:val="clear"/>
    </w:rPr>
  </w:style>
  <w:style w:type="paragraph" w:styleId="23">
    <w:name w:val="Subtitle"/>
    <w:qFormat/>
    <w:uiPriority w:val="16"/>
    <w:pPr>
      <w:widowControl/>
      <w:wordWrap/>
      <w:autoSpaceDE/>
      <w:autoSpaceDN/>
      <w:jc w:val="center"/>
    </w:pPr>
    <w:rPr>
      <w:rFonts w:ascii="Times New Roman" w:hAnsi="Times New Roman" w:eastAsia="Times New Roman" w:cs="Times New Roman"/>
      <w:w w:val="100"/>
      <w:sz w:val="24"/>
      <w:szCs w:val="24"/>
      <w:shd w:val="clear"/>
    </w:rPr>
  </w:style>
  <w:style w:type="paragraph" w:styleId="24">
    <w:name w:val="toc 6"/>
    <w:next w:val="1"/>
    <w:unhideWhenUsed/>
    <w:qFormat/>
    <w:uiPriority w:val="33"/>
    <w:pPr>
      <w:widowControl/>
      <w:wordWrap/>
      <w:autoSpaceDE/>
      <w:autoSpaceDN/>
      <w:ind w:left="2125" w:firstLine="0"/>
      <w:jc w:val="both"/>
    </w:pPr>
    <w:rPr>
      <w:rFonts w:ascii="Times New Roman" w:hAnsi="Times New Roman" w:eastAsia="Times New Roman" w:cs="Times New Roman"/>
      <w:w w:val="100"/>
      <w:sz w:val="21"/>
      <w:szCs w:val="21"/>
      <w:shd w:val="clear"/>
    </w:rPr>
  </w:style>
  <w:style w:type="paragraph" w:styleId="25">
    <w:name w:val="Body Text Indent 3"/>
    <w:basedOn w:val="1"/>
    <w:qFormat/>
    <w:uiPriority w:val="158"/>
    <w:pPr>
      <w:widowControl/>
      <w:wordWrap/>
      <w:autoSpaceDE/>
      <w:autoSpaceDN/>
      <w:ind w:firstLine="420"/>
    </w:pPr>
    <w:rPr>
      <w:rFonts w:ascii="宋体" w:hAnsi="宋体" w:eastAsia="宋体"/>
      <w:w w:val="100"/>
      <w:sz w:val="34"/>
      <w:szCs w:val="34"/>
      <w:shd w:val="clear"/>
    </w:rPr>
  </w:style>
  <w:style w:type="paragraph" w:styleId="26">
    <w:name w:val="toc 2"/>
    <w:next w:val="1"/>
    <w:unhideWhenUsed/>
    <w:qFormat/>
    <w:uiPriority w:val="29"/>
    <w:pPr>
      <w:widowControl/>
      <w:wordWrap/>
      <w:autoSpaceDE/>
      <w:autoSpaceDN/>
      <w:ind w:left="425" w:firstLine="0"/>
      <w:jc w:val="both"/>
    </w:pPr>
    <w:rPr>
      <w:rFonts w:ascii="Times New Roman" w:hAnsi="Times New Roman" w:eastAsia="Times New Roman" w:cs="Times New Roman"/>
      <w:w w:val="100"/>
      <w:sz w:val="21"/>
      <w:szCs w:val="21"/>
      <w:shd w:val="clear"/>
    </w:rPr>
  </w:style>
  <w:style w:type="paragraph" w:styleId="27">
    <w:name w:val="toc 9"/>
    <w:next w:val="1"/>
    <w:unhideWhenUsed/>
    <w:qFormat/>
    <w:uiPriority w:val="36"/>
    <w:pPr>
      <w:widowControl/>
      <w:wordWrap/>
      <w:autoSpaceDE/>
      <w:autoSpaceDN/>
      <w:ind w:left="3400" w:firstLine="0"/>
      <w:jc w:val="both"/>
    </w:pPr>
    <w:rPr>
      <w:rFonts w:ascii="Times New Roman" w:hAnsi="Times New Roman" w:eastAsia="Times New Roman" w:cs="Times New Roman"/>
      <w:w w:val="100"/>
      <w:sz w:val="21"/>
      <w:szCs w:val="21"/>
      <w:shd w:val="clear"/>
    </w:rPr>
  </w:style>
  <w:style w:type="paragraph" w:styleId="28">
    <w:name w:val="Message Header"/>
    <w:basedOn w:val="1"/>
    <w:unhideWhenUsed/>
    <w:qFormat/>
    <w:uiPriority w:val="159"/>
    <w:pPr>
      <w:widowControl/>
      <w:shd w:val="pct20" w:color="000000"/>
      <w:wordWrap/>
      <w:autoSpaceDE/>
      <w:autoSpaceDN/>
      <w:ind w:left="2850" w:hanging="1800"/>
    </w:pPr>
    <w:rPr>
      <w:rFonts w:ascii="Arial" w:hAnsi="Arial" w:eastAsia="Arial"/>
      <w:w w:val="100"/>
      <w:sz w:val="24"/>
      <w:szCs w:val="24"/>
      <w:shd w:val="clear"/>
    </w:rPr>
  </w:style>
  <w:style w:type="paragraph" w:styleId="29">
    <w:name w:val="Normal (Web)"/>
    <w:basedOn w:val="1"/>
    <w:qFormat/>
    <w:uiPriority w:val="160"/>
    <w:pPr>
      <w:widowControl/>
      <w:wordWrap/>
      <w:autoSpaceDE/>
      <w:autoSpaceDN/>
    </w:pPr>
    <w:rPr>
      <w:rFonts w:ascii="宋体" w:hAnsi="宋体" w:eastAsia="宋体"/>
      <w:w w:val="100"/>
      <w:sz w:val="24"/>
      <w:szCs w:val="24"/>
      <w:shd w:val="clear"/>
    </w:rPr>
  </w:style>
  <w:style w:type="paragraph" w:styleId="30">
    <w:name w:val="Title"/>
    <w:qFormat/>
    <w:uiPriority w:val="6"/>
    <w:pPr>
      <w:widowControl/>
      <w:wordWrap/>
      <w:autoSpaceDE/>
      <w:autoSpaceDN/>
      <w:jc w:val="center"/>
    </w:pPr>
    <w:rPr>
      <w:rFonts w:ascii="Times New Roman" w:hAnsi="Times New Roman" w:eastAsia="Times New Roman" w:cs="Times New Roman"/>
      <w:b/>
      <w:w w:val="100"/>
      <w:sz w:val="32"/>
      <w:szCs w:val="32"/>
      <w:shd w:val="clear"/>
    </w:rPr>
  </w:style>
  <w:style w:type="character" w:styleId="33">
    <w:name w:val="Strong"/>
    <w:qFormat/>
    <w:uiPriority w:val="20"/>
    <w:rPr>
      <w:b/>
      <w:w w:val="100"/>
      <w:sz w:val="21"/>
      <w:szCs w:val="21"/>
      <w:shd w:val="clear"/>
    </w:rPr>
  </w:style>
  <w:style w:type="character" w:styleId="34">
    <w:name w:val="FollowedHyperlink"/>
    <w:basedOn w:val="32"/>
    <w:qFormat/>
    <w:uiPriority w:val="0"/>
    <w:rPr>
      <w:color w:val="000000"/>
      <w:u w:val="none"/>
    </w:rPr>
  </w:style>
  <w:style w:type="character" w:styleId="35">
    <w:name w:val="Emphasis"/>
    <w:qFormat/>
    <w:uiPriority w:val="18"/>
    <w:rPr>
      <w:i/>
      <w:w w:val="100"/>
      <w:sz w:val="21"/>
      <w:szCs w:val="21"/>
      <w:shd w:val="clear"/>
    </w:rPr>
  </w:style>
  <w:style w:type="character" w:styleId="36">
    <w:name w:val="Hyperlink"/>
    <w:basedOn w:val="32"/>
    <w:qFormat/>
    <w:uiPriority w:val="0"/>
    <w:rPr>
      <w:color w:val="000000"/>
      <w:u w:val="none"/>
    </w:rPr>
  </w:style>
  <w:style w:type="paragraph" w:styleId="37">
    <w:name w:val="No Spacing"/>
    <w:qFormat/>
    <w:uiPriority w:val="5"/>
    <w:pPr>
      <w:widowControl/>
      <w:wordWrap/>
      <w:autoSpaceDE/>
      <w:autoSpaceDN/>
      <w:jc w:val="both"/>
    </w:pPr>
    <w:rPr>
      <w:rFonts w:ascii="Times New Roman" w:hAnsi="Times New Roman" w:eastAsia="Times New Roman" w:cs="Times New Roman"/>
      <w:w w:val="100"/>
      <w:sz w:val="21"/>
      <w:szCs w:val="21"/>
      <w:shd w:val="clear"/>
    </w:rPr>
  </w:style>
  <w:style w:type="character" w:customStyle="1" w:styleId="38">
    <w:name w:val="Subtle Emphasis"/>
    <w:qFormat/>
    <w:uiPriority w:val="17"/>
    <w:rPr>
      <w:i/>
      <w:color w:val="404040"/>
      <w:w w:val="100"/>
      <w:sz w:val="21"/>
      <w:szCs w:val="21"/>
      <w:shd w:val="clear"/>
    </w:rPr>
  </w:style>
  <w:style w:type="character" w:customStyle="1" w:styleId="39">
    <w:name w:val="Intense Emphasis"/>
    <w:qFormat/>
    <w:uiPriority w:val="19"/>
    <w:rPr>
      <w:i/>
      <w:color w:val="5B9BD5"/>
      <w:w w:val="100"/>
      <w:sz w:val="21"/>
      <w:szCs w:val="21"/>
      <w:shd w:val="clear"/>
    </w:rPr>
  </w:style>
  <w:style w:type="paragraph" w:styleId="40">
    <w:name w:val="Quote"/>
    <w:qFormat/>
    <w:uiPriority w:val="21"/>
    <w:pPr>
      <w:widowControl/>
      <w:wordWrap/>
      <w:autoSpaceDE/>
      <w:autoSpaceDN/>
      <w:ind w:left="864" w:right="864" w:firstLine="0"/>
      <w:jc w:val="center"/>
    </w:pPr>
    <w:rPr>
      <w:rFonts w:ascii="Times New Roman" w:hAnsi="Times New Roman" w:eastAsia="Times New Roman" w:cs="Times New Roman"/>
      <w:i/>
      <w:color w:val="404040"/>
      <w:w w:val="100"/>
      <w:sz w:val="21"/>
      <w:szCs w:val="21"/>
      <w:shd w:val="clear"/>
    </w:rPr>
  </w:style>
  <w:style w:type="paragraph" w:styleId="41">
    <w:name w:val="Intense Quote"/>
    <w:qFormat/>
    <w:uiPriority w:val="22"/>
    <w:pPr>
      <w:widowControl/>
      <w:wordWrap/>
      <w:autoSpaceDE/>
      <w:autoSpaceDN/>
      <w:ind w:left="950" w:right="950" w:firstLine="0"/>
      <w:jc w:val="center"/>
    </w:pPr>
    <w:rPr>
      <w:rFonts w:ascii="Times New Roman" w:hAnsi="Times New Roman" w:eastAsia="Times New Roman" w:cs="Times New Roman"/>
      <w:i/>
      <w:color w:val="5B9BD5"/>
      <w:w w:val="100"/>
      <w:sz w:val="21"/>
      <w:szCs w:val="21"/>
      <w:shd w:val="clear"/>
    </w:rPr>
  </w:style>
  <w:style w:type="character" w:customStyle="1" w:styleId="42">
    <w:name w:val="Subtle Reference"/>
    <w:qFormat/>
    <w:uiPriority w:val="23"/>
    <w:rPr>
      <w:smallCaps/>
      <w:color w:val="5A5A5A"/>
      <w:w w:val="100"/>
      <w:sz w:val="21"/>
      <w:szCs w:val="21"/>
      <w:shd w:val="clear"/>
    </w:rPr>
  </w:style>
  <w:style w:type="character" w:customStyle="1" w:styleId="43">
    <w:name w:val="Intense Reference"/>
    <w:qFormat/>
    <w:uiPriority w:val="24"/>
    <w:rPr>
      <w:b/>
      <w:smallCaps/>
      <w:color w:val="5B9BD5"/>
      <w:w w:val="100"/>
      <w:sz w:val="21"/>
      <w:szCs w:val="21"/>
      <w:shd w:val="clear"/>
    </w:rPr>
  </w:style>
  <w:style w:type="character" w:customStyle="1" w:styleId="44">
    <w:name w:val="Book Title"/>
    <w:qFormat/>
    <w:uiPriority w:val="25"/>
    <w:rPr>
      <w:b/>
      <w:i/>
      <w:w w:val="100"/>
      <w:sz w:val="21"/>
      <w:szCs w:val="21"/>
      <w:shd w:val="clear"/>
    </w:rPr>
  </w:style>
  <w:style w:type="paragraph" w:styleId="45">
    <w:name w:val="List Paragraph"/>
    <w:qFormat/>
    <w:uiPriority w:val="26"/>
    <w:pPr>
      <w:widowControl/>
      <w:wordWrap/>
      <w:autoSpaceDE/>
      <w:autoSpaceDN/>
      <w:ind w:left="850" w:firstLine="0"/>
      <w:jc w:val="both"/>
    </w:pPr>
    <w:rPr>
      <w:rFonts w:ascii="Times New Roman" w:hAnsi="Times New Roman" w:eastAsia="Times New Roman" w:cs="Times New Roman"/>
      <w:w w:val="100"/>
      <w:sz w:val="21"/>
      <w:szCs w:val="21"/>
      <w:shd w:val="clear"/>
    </w:rPr>
  </w:style>
  <w:style w:type="paragraph" w:customStyle="1" w:styleId="46">
    <w:name w:val="TOC Heading"/>
    <w:unhideWhenUsed/>
    <w:qFormat/>
    <w:uiPriority w:val="27"/>
    <w:pPr>
      <w:widowControl/>
      <w:wordWrap/>
      <w:autoSpaceDE/>
      <w:autoSpaceDN/>
    </w:pPr>
    <w:rPr>
      <w:rFonts w:ascii="Times New Roman" w:hAnsi="Times New Roman" w:eastAsia="Times New Roman" w:cs="Times New Roman"/>
      <w:color w:val="2E74B5"/>
      <w:w w:val="100"/>
      <w:sz w:val="32"/>
      <w:szCs w:val="32"/>
      <w:shd w:val="clear"/>
    </w:rPr>
  </w:style>
  <w:style w:type="paragraph" w:customStyle="1" w:styleId="47">
    <w:name w:val="Default"/>
    <w:qFormat/>
    <w:uiPriority w:val="161"/>
    <w:pPr>
      <w:widowControl/>
      <w:wordWrap/>
      <w:autoSpaceDE w:val="0"/>
      <w:autoSpaceDN w:val="0"/>
    </w:pPr>
    <w:rPr>
      <w:rFonts w:ascii="宋体" w:hAnsi="宋体" w:eastAsia="宋体" w:cs="Times New Roman"/>
      <w:color w:val="000000"/>
      <w:w w:val="100"/>
      <w:sz w:val="24"/>
      <w:szCs w:val="24"/>
      <w:shd w:val="clear"/>
    </w:rPr>
  </w:style>
  <w:style w:type="paragraph" w:customStyle="1" w:styleId="48">
    <w:name w:val="样式 标题 3 + (中文) 黑体 小四 非加粗 段前: 7.8 磅 段后: 0 磅 行距: 固定值 20 磅"/>
    <w:basedOn w:val="8"/>
    <w:qFormat/>
    <w:uiPriority w:val="162"/>
    <w:pPr>
      <w:widowControl/>
      <w:wordWrap/>
      <w:autoSpaceDE/>
      <w:autoSpaceDN/>
    </w:pPr>
    <w:rPr>
      <w:rFonts w:ascii="宋体" w:hAnsi="宋体" w:eastAsia="宋体"/>
      <w:b w:val="0"/>
      <w:w w:val="100"/>
      <w:sz w:val="24"/>
      <w:szCs w:val="24"/>
      <w:shd w:val="clear"/>
    </w:rPr>
  </w:style>
  <w:style w:type="character" w:customStyle="1" w:styleId="49">
    <w:name w:val="red"/>
    <w:basedOn w:val="32"/>
    <w:qFormat/>
    <w:uiPriority w:val="0"/>
    <w:rPr>
      <w:color w:val="CC0000"/>
    </w:rPr>
  </w:style>
  <w:style w:type="character" w:customStyle="1" w:styleId="50">
    <w:name w:val="red1"/>
    <w:basedOn w:val="32"/>
    <w:qFormat/>
    <w:uiPriority w:val="0"/>
    <w:rPr>
      <w:color w:val="FF0000"/>
      <w:sz w:val="18"/>
      <w:szCs w:val="18"/>
    </w:rPr>
  </w:style>
  <w:style w:type="character" w:customStyle="1" w:styleId="51">
    <w:name w:val="red2"/>
    <w:basedOn w:val="32"/>
    <w:qFormat/>
    <w:uiPriority w:val="0"/>
    <w:rPr>
      <w:color w:val="FF0000"/>
      <w:sz w:val="18"/>
      <w:szCs w:val="18"/>
    </w:rPr>
  </w:style>
  <w:style w:type="character" w:customStyle="1" w:styleId="52">
    <w:name w:val="red3"/>
    <w:basedOn w:val="32"/>
    <w:qFormat/>
    <w:uiPriority w:val="0"/>
    <w:rPr>
      <w:color w:val="FF0000"/>
    </w:rPr>
  </w:style>
  <w:style w:type="character" w:customStyle="1" w:styleId="53">
    <w:name w:val="green"/>
    <w:basedOn w:val="32"/>
    <w:qFormat/>
    <w:uiPriority w:val="0"/>
    <w:rPr>
      <w:color w:val="66AE00"/>
      <w:sz w:val="18"/>
      <w:szCs w:val="18"/>
    </w:rPr>
  </w:style>
  <w:style w:type="character" w:customStyle="1" w:styleId="54">
    <w:name w:val="green1"/>
    <w:basedOn w:val="32"/>
    <w:qFormat/>
    <w:uiPriority w:val="0"/>
    <w:rPr>
      <w:color w:val="66AE00"/>
      <w:sz w:val="18"/>
      <w:szCs w:val="18"/>
    </w:rPr>
  </w:style>
  <w:style w:type="character" w:customStyle="1" w:styleId="55">
    <w:name w:val="hover25"/>
    <w:basedOn w:val="32"/>
    <w:qFormat/>
    <w:uiPriority w:val="0"/>
  </w:style>
  <w:style w:type="character" w:customStyle="1" w:styleId="56">
    <w:name w:val="gb-jt"/>
    <w:basedOn w:val="32"/>
    <w:qFormat/>
    <w:uiPriority w:val="0"/>
  </w:style>
  <w:style w:type="character" w:customStyle="1" w:styleId="57">
    <w:name w:val="blue"/>
    <w:basedOn w:val="32"/>
    <w:qFormat/>
    <w:uiPriority w:val="0"/>
    <w:rPr>
      <w:color w:val="0371C6"/>
      <w:sz w:val="21"/>
      <w:szCs w:val="21"/>
    </w:rPr>
  </w:style>
  <w:style w:type="character" w:customStyle="1" w:styleId="58">
    <w:name w:val="right"/>
    <w:basedOn w:val="32"/>
    <w:qFormat/>
    <w:uiPriority w:val="0"/>
    <w:rPr>
      <w:color w:val="999999"/>
      <w:sz w:val="18"/>
      <w:szCs w:val="18"/>
    </w:rPr>
  </w:style>
  <w:style w:type="character" w:customStyle="1" w:styleId="59">
    <w:name w:val="hover24"/>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0</Words>
  <Characters>0</Characters>
  <Lines>0</Lines>
  <Paragraphs>0</Paragraphs>
  <TotalTime>15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2020-05-05T08:13:00Z</dcterms:created>
  <dc:creator>Administrator</dc:creator>
  <cp:lastModifiedBy>Administrator</cp:lastModifiedBy>
  <cp:lastPrinted>2020-05-15T01:03:00Z</cp:lastPrinted>
  <dcterms:modified xsi:type="dcterms:W3CDTF">2020-05-18T01:27:14Z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