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许昌市东城区城中村改造建设管理办公室“许昌市东城区长村棚户区改造项目”（不见面开标）</w:t>
      </w:r>
      <w:r>
        <w:rPr>
          <w:rFonts w:hint="eastAsia" w:asciiTheme="majorEastAsia" w:hAnsiTheme="majorEastAsia" w:eastAsiaTheme="majorEastAsia" w:cstheme="majorEastAsia"/>
          <w:b/>
          <w:bCs/>
          <w:sz w:val="44"/>
          <w:szCs w:val="44"/>
        </w:rPr>
        <w:t xml:space="preserve"> </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val="en-US" w:eastAsia="zh-CN"/>
        </w:rPr>
        <w:t>JZFCG-D2020002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东城区城中村改造建设管理办公室</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val="en-US" w:eastAsia="zh-CN"/>
        </w:rPr>
        <w:t>河南鼎华招标代理有限公司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2"/>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许昌市东兴开发建设投资有限公司：</w:t>
      </w:r>
    </w:p>
    <w:p>
      <w:pPr>
        <w:pStyle w:val="22"/>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sz w:val="24"/>
          <w:szCs w:val="24"/>
          <w:lang w:val="en-US" w:eastAsia="zh-CN"/>
        </w:rPr>
        <w:t>河南鼎华招标代理有限公司</w:t>
      </w:r>
      <w:r>
        <w:rPr>
          <w:rFonts w:hint="eastAsia" w:ascii="宋体" w:hAnsi="宋体" w:cs="仿宋_GB2312"/>
          <w:shd w:val="clear" w:color="auto" w:fill="FFFFFF"/>
        </w:rPr>
        <w:t>受</w:t>
      </w:r>
      <w:r>
        <w:rPr>
          <w:rFonts w:hint="eastAsia" w:cs="仿宋_GB2312" w:asciiTheme="minorEastAsia" w:hAnsiTheme="minorEastAsia" w:eastAsiaTheme="minorEastAsia"/>
          <w:shd w:val="clear" w:color="auto" w:fill="FFFFFF"/>
          <w:lang w:eastAsia="zh-CN"/>
        </w:rPr>
        <w:t>东城区城中村改造建设管理办公室</w:t>
      </w:r>
      <w:r>
        <w:rPr>
          <w:rFonts w:hint="eastAsia" w:ascii="宋体" w:hAnsi="宋体" w:cs="仿宋_GB2312"/>
          <w:shd w:val="clear" w:color="auto" w:fill="FFFFFF"/>
        </w:rPr>
        <w:t>的委托，对</w:t>
      </w:r>
      <w:r>
        <w:rPr>
          <w:rFonts w:hint="eastAsia" w:cs="仿宋_GB2312" w:asciiTheme="minorEastAsia" w:hAnsiTheme="minorEastAsia" w:eastAsiaTheme="minorEastAsia"/>
          <w:shd w:val="clear" w:color="auto" w:fill="FFFFFF"/>
          <w:lang w:val="en-US" w:eastAsia="zh-CN"/>
        </w:rPr>
        <w:t>许昌市东城区长村棚户区改造项目（不见面开标）</w:t>
      </w:r>
      <w:r>
        <w:rPr>
          <w:rFonts w:hint="eastAsia" w:ascii="宋体" w:hAnsi="宋体" w:cs="仿宋_GB2312"/>
          <w:shd w:val="clear" w:color="auto" w:fill="FFFFFF"/>
        </w:rPr>
        <w:t>进行单一来源采购。现邀请你单位就该项目的相关事宜前来谈判。</w:t>
      </w: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val="en-US" w:eastAsia="zh-CN"/>
        </w:rPr>
        <w:t>许昌市东城区长村棚户区改造项目（不见面开标）</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val="en-US" w:eastAsia="zh-CN"/>
        </w:rPr>
        <w:t>JZFCG-D2020002</w:t>
      </w:r>
      <w:r>
        <w:rPr>
          <w:rFonts w:hint="eastAsia" w:cs="仿宋_GB2312" w:asciiTheme="minorEastAsia" w:hAnsiTheme="minorEastAsia" w:eastAsiaTheme="minorEastAsia"/>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（三）采购方式：单一来源采购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（四）项目需求：长村社区位于清风路以东、忠武路以西、金竹街以南、天竹街以北，目前有居民1050户，全为本地户，人口4121人。项目拟对长村社区整体拆迁，并建设安置社区，同时建设范围内配套工程。</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安置地块整体红线占地面积为87503m2，绿线内占地面积为79157 m2，总建筑面积为340390m2，包括安置住宅、幼儿园、配套建筑、地下配套设施等。</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shd w:val="clear" w:color="auto" w:fill="FFFFFF"/>
          <w:lang w:val="en-US" w:eastAsia="zh-CN"/>
        </w:rPr>
        <w:t>0元</w:t>
      </w:r>
      <w:r>
        <w:rPr>
          <w:rFonts w:hint="eastAsia" w:cs="仿宋_GB2312" w:asciiTheme="minorEastAsia" w:hAnsiTheme="minorEastAsia" w:eastAsiaTheme="minorEastAsia"/>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eastAsia="zh-CN"/>
        </w:rPr>
        <w:t>六</w:t>
      </w:r>
      <w:r>
        <w:rPr>
          <w:rFonts w:hint="eastAsia" w:cs="仿宋_GB2312" w:asciiTheme="minorEastAsia" w:hAnsiTheme="minorEastAsia" w:eastAsiaTheme="minorEastAsia"/>
          <w:shd w:val="clear" w:color="auto" w:fill="FFFFFF"/>
        </w:rPr>
        <w:t>）分包：不允许。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二、供应商资格条件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（二）未被列入“信用中国”网站(www.creditchina.gov.cn)失信被执行人名单</w:t>
      </w:r>
      <w:r>
        <w:rPr>
          <w:rFonts w:hint="eastAsia" w:cs="仿宋_GB2312" w:asciiTheme="minorEastAsia" w:hAnsiTheme="minorEastAsia" w:eastAsiaTheme="minorEastAsia"/>
          <w:shd w:val="clear" w:color="auto" w:fill="FFFFFF"/>
          <w:lang w:eastAsia="zh-CN"/>
        </w:rPr>
        <w:t>、重大税收违法案件当事人名单</w:t>
      </w:r>
      <w:r>
        <w:rPr>
          <w:rFonts w:hint="eastAsia" w:cs="仿宋_GB2312" w:asciiTheme="minorEastAsia" w:hAnsiTheme="minorEastAsia" w:eastAsiaTheme="minorEastAsia"/>
          <w:shd w:val="clear" w:color="auto" w:fill="FFFFFF"/>
        </w:rPr>
        <w:t>的供应商；“中国政府采购网” (www.ccgp.gov.cn)政府采购严重违法失信行为记录名单的供应商；“中国社会组织公共服务平台”网站（www.chinanpo.gov.cn）严重违法失信名单的社会组织。</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（三）本次采购不接受联合体响应。</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三、谈判文件的获取</w:t>
      </w:r>
    </w:p>
    <w:p>
      <w:pPr>
        <w:pStyle w:val="22"/>
        <w:widowControl/>
        <w:shd w:val="clear" w:color="auto" w:fill="FFFFFF"/>
        <w:wordWrap w:val="0"/>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w:t>
      </w:r>
      <w:r>
        <w:rPr>
          <w:rFonts w:hint="eastAsia" w:cs="仿宋_GB2312" w:asciiTheme="minorEastAsia" w:hAnsiTheme="minorEastAsia" w:eastAsiaTheme="minorEastAsia"/>
          <w:b/>
          <w:shd w:val="clear" w:color="auto" w:fill="FFFFFF"/>
        </w:rPr>
        <w:t>响应文件提交截止时间及</w:t>
      </w:r>
      <w:r>
        <w:rPr>
          <w:rFonts w:hint="eastAsia" w:cs="黑体" w:asciiTheme="minorEastAsia" w:hAnsiTheme="minorEastAsia" w:eastAsiaTheme="minorEastAsia"/>
          <w:b/>
          <w:bCs/>
          <w:shd w:val="clear" w:color="auto" w:fill="FFFFFF"/>
        </w:rPr>
        <w:t>地点</w:t>
      </w:r>
    </w:p>
    <w:p>
      <w:pPr>
        <w:pStyle w:val="22"/>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shd w:val="clear" w:color="auto" w:fill="FFFFFF"/>
        </w:rPr>
        <w:t>（一）响应文件提交截止时间及</w:t>
      </w:r>
      <w:r>
        <w:rPr>
          <w:rFonts w:hint="eastAsia" w:cs="仿宋_GB2312" w:asciiTheme="minorEastAsia" w:hAnsiTheme="minorEastAsia" w:eastAsiaTheme="minorEastAsia"/>
        </w:rPr>
        <w:t>谈判时间：</w:t>
      </w:r>
      <w:r>
        <w:rPr>
          <w:rFonts w:hint="eastAsia" w:cs="仿宋_GB2312" w:asciiTheme="minorEastAsia" w:hAnsiTheme="minorEastAsia" w:eastAsiaTheme="minorEastAsia"/>
          <w:color w:val="FF0000"/>
          <w:lang w:eastAsia="zh-CN"/>
        </w:rPr>
        <w:t>2020年</w:t>
      </w:r>
      <w:r>
        <w:rPr>
          <w:rFonts w:hint="eastAsia" w:cs="仿宋_GB2312" w:asciiTheme="minorEastAsia" w:hAnsiTheme="minorEastAsia" w:eastAsiaTheme="minorEastAsia"/>
          <w:color w:val="FF0000"/>
          <w:lang w:val="en-US" w:eastAsia="zh-CN"/>
        </w:rPr>
        <w:t>5</w:t>
      </w:r>
      <w:r>
        <w:rPr>
          <w:rFonts w:hint="eastAsia" w:cs="仿宋_GB2312" w:asciiTheme="minorEastAsia" w:hAnsiTheme="minorEastAsia" w:eastAsiaTheme="minorEastAsia"/>
          <w:color w:val="FF0000"/>
          <w:lang w:eastAsia="zh-CN"/>
        </w:rPr>
        <w:t>月</w:t>
      </w:r>
      <w:r>
        <w:rPr>
          <w:rFonts w:hint="eastAsia" w:cs="仿宋_GB2312" w:asciiTheme="minorEastAsia" w:hAnsiTheme="minorEastAsia" w:eastAsiaTheme="minorEastAsia"/>
          <w:color w:val="FF0000"/>
          <w:lang w:val="en-US" w:eastAsia="zh-CN"/>
        </w:rPr>
        <w:t>19</w:t>
      </w:r>
      <w:r>
        <w:rPr>
          <w:rFonts w:hint="eastAsia" w:cs="仿宋_GB2312" w:asciiTheme="minorEastAsia" w:hAnsiTheme="minorEastAsia" w:eastAsiaTheme="minorEastAsia"/>
          <w:color w:val="FF0000"/>
          <w:lang w:eastAsia="zh-CN"/>
        </w:rPr>
        <w:t>日</w:t>
      </w:r>
      <w:r>
        <w:rPr>
          <w:rFonts w:hint="eastAsia" w:cs="仿宋_GB2312" w:asciiTheme="minorEastAsia" w:hAnsiTheme="minorEastAsia" w:eastAsiaTheme="minorEastAsia"/>
          <w:color w:val="FF0000"/>
          <w:lang w:val="en-US" w:eastAsia="zh-CN"/>
        </w:rPr>
        <w:t>9</w:t>
      </w:r>
      <w:r>
        <w:rPr>
          <w:rFonts w:hint="eastAsia" w:cs="仿宋_GB2312" w:asciiTheme="minorEastAsia" w:hAnsiTheme="minorEastAsia" w:eastAsiaTheme="minorEastAsia"/>
          <w:color w:val="FF0000"/>
          <w:lang w:eastAsia="zh-CN"/>
        </w:rPr>
        <w:t>时</w:t>
      </w:r>
      <w:r>
        <w:rPr>
          <w:rFonts w:hint="eastAsia" w:cs="仿宋_GB2312" w:asciiTheme="minorEastAsia" w:hAnsiTheme="minorEastAsia" w:eastAsiaTheme="minorEastAsia"/>
          <w:color w:val="FF0000"/>
          <w:lang w:val="en-US" w:eastAsia="zh-CN"/>
        </w:rPr>
        <w:t>30</w:t>
      </w:r>
      <w:r>
        <w:rPr>
          <w:rFonts w:hint="eastAsia" w:cs="仿宋_GB2312" w:asciiTheme="minorEastAsia" w:hAnsiTheme="minorEastAsia" w:eastAsiaTheme="minorEastAsia"/>
          <w:color w:val="FF0000"/>
          <w:lang w:eastAsia="zh-CN"/>
        </w:rPr>
        <w:t>分</w:t>
      </w:r>
      <w:r>
        <w:rPr>
          <w:rFonts w:hint="eastAsia" w:cs="仿宋_GB2312" w:asciiTheme="minorEastAsia" w:hAnsiTheme="minorEastAsia" w:eastAsiaTheme="minorEastAsia"/>
        </w:rPr>
        <w:t>（北京时间），逾期送达或不符合规定的响应文件</w:t>
      </w:r>
      <w:r>
        <w:rPr>
          <w:rFonts w:hint="eastAsia" w:ascii="宋体" w:hAnsi="宋体" w:cs="微软雅黑"/>
        </w:rPr>
        <w:t>恕不接受。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rPr>
        <w:t>（二）谈判响应文件递交地点：许昌市公共资源交易中心（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color w:val="FF0000"/>
          <w:lang w:eastAsia="zh-CN"/>
        </w:rPr>
        <w:t>开标四室</w:t>
      </w:r>
      <w:r>
        <w:rPr>
          <w:rFonts w:hint="eastAsia" w:cs="仿宋_GB2312" w:asciiTheme="minorEastAsia" w:hAnsiTheme="minorEastAsia" w:eastAsiaTheme="minorEastAsia"/>
          <w:color w:val="FF0000"/>
        </w:rPr>
        <w:t>。</w:t>
      </w:r>
      <w:r>
        <w:rPr>
          <w:rFonts w:hint="eastAsia" w:cs="仿宋_GB2312" w:asciiTheme="minorEastAsia" w:hAnsiTheme="minorEastAsia" w:eastAsiaTheme="minorEastAsia"/>
          <w:color w:val="auto"/>
        </w:rPr>
        <w:t>（本项目采用远程不见面开标，投标人无须到现场）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1、加密电子响应文件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在谈判响应截止时间（谈判时间）前通过《全国公共资源交易平台(河南省</w:t>
      </w:r>
      <w:r>
        <w:rPr>
          <w:rFonts w:hint="eastAsia" w:ascii="MS Mincho" w:hAnsi="MS Mincho" w:eastAsia="MS Mincho" w:cs="MS Mincho"/>
        </w:rPr>
        <w:t>▪</w:t>
      </w:r>
      <w:r>
        <w:rPr>
          <w:rFonts w:hint="eastAsia" w:ascii="宋体" w:hAnsi="宋体" w:cs="宋体"/>
        </w:rPr>
        <w:t>许昌市</w:t>
      </w:r>
      <w:r>
        <w:rPr>
          <w:rFonts w:hint="eastAsia" w:cs="仿宋_GB2312" w:asciiTheme="minorEastAsia" w:hAnsiTheme="minorEastAsia" w:eastAsiaTheme="minorEastAsia"/>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五、本次采购公告同时在《中国政府采购网》、《河南省政府采购网》、《许昌市政府采购网》、《全国公共资源交易平台（河南省·许昌市）》发布。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六、</w:t>
      </w:r>
      <w:r>
        <w:rPr>
          <w:rFonts w:hint="eastAsia" w:cs="黑体" w:asciiTheme="minorEastAsia" w:hAnsiTheme="minorEastAsia" w:eastAsiaTheme="minorEastAsia"/>
          <w:b/>
          <w:bCs/>
        </w:rPr>
        <w:t>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东城区城中村改造建设管理办公室</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地址：</w:t>
      </w:r>
      <w:r>
        <w:rPr>
          <w:rFonts w:hint="eastAsia" w:cs="仿宋_GB2312" w:asciiTheme="minorEastAsia" w:hAnsiTheme="minorEastAsia" w:eastAsiaTheme="minorEastAsia"/>
          <w:lang w:eastAsia="zh-CN"/>
        </w:rPr>
        <w:t>许昌市新许路东段</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李先生</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0374-2952651</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lang w:eastAsia="zh-CN"/>
        </w:rPr>
        <w:t>招标代理机构</w:t>
      </w: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河南鼎华招标代理有限公司</w:t>
      </w:r>
      <w:r>
        <w:rPr>
          <w:rFonts w:hint="eastAsia" w:cs="仿宋_GB2312" w:asciiTheme="minorEastAsia" w:hAnsiTheme="minorEastAsia" w:eastAsiaTheme="minorEastAsia"/>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地址：</w:t>
      </w:r>
      <w:r>
        <w:rPr>
          <w:rFonts w:hint="eastAsia" w:cs="仿宋_GB2312" w:asciiTheme="minorEastAsia" w:hAnsiTheme="minorEastAsia" w:eastAsiaTheme="minorEastAsia"/>
          <w:lang w:eastAsia="zh-CN"/>
        </w:rPr>
        <w:t>许昌市新许路建设银行三楼</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罗女士</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15738691310</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p>
    <w:p>
      <w:pPr>
        <w:pStyle w:val="22"/>
        <w:widowControl/>
        <w:shd w:val="clear" w:color="auto" w:fill="FFFFFF"/>
        <w:spacing w:line="360" w:lineRule="auto"/>
        <w:ind w:firstLine="420"/>
        <w:contextualSpacing/>
        <w:jc w:val="righ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lang w:eastAsia="zh-CN"/>
        </w:rPr>
        <w:t>东城区城中村改造建设管理办公室</w:t>
      </w:r>
    </w:p>
    <w:p>
      <w:pPr>
        <w:pStyle w:val="22"/>
        <w:widowControl/>
        <w:shd w:val="clear" w:color="auto" w:fill="FFFFFF"/>
        <w:spacing w:line="360" w:lineRule="auto"/>
        <w:ind w:firstLine="420"/>
        <w:contextualSpacing/>
        <w:jc w:val="right"/>
        <w:rPr>
          <w:rFonts w:hint="eastAsia" w:cs="仿宋_GB2312" w:asciiTheme="minorEastAsia" w:hAnsiTheme="minorEastAsia" w:eastAsiaTheme="minorEastAsia"/>
        </w:rPr>
      </w:pPr>
      <w:r>
        <w:rPr>
          <w:rFonts w:hint="eastAsia" w:cs="仿宋_GB2312" w:asciiTheme="minorEastAsia" w:hAnsiTheme="minorEastAsia" w:eastAsiaTheme="minorEastAsia"/>
        </w:rPr>
        <w:t>二〇二〇年</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八</w:t>
      </w:r>
      <w:r>
        <w:rPr>
          <w:rFonts w:hint="eastAsia" w:cs="仿宋_GB2312" w:asciiTheme="minorEastAsia" w:hAnsiTheme="minorEastAsia" w:eastAsiaTheme="minorEastAsia"/>
        </w:rPr>
        <w:t>日</w:t>
      </w:r>
    </w:p>
    <w:p>
      <w:pPr>
        <w:adjustRightInd w:val="0"/>
        <w:spacing w:line="360" w:lineRule="auto"/>
        <w:ind w:firstLine="960" w:firstLineChars="400"/>
        <w:contextualSpacing/>
        <w:jc w:val="left"/>
        <w:rPr>
          <w:rFonts w:ascii="宋体" w:hAnsi="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供应商应按采购文件规定编制、提交、解密电子响应文件。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电子文件下载、制作、提交期间和远程不见面协商（</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最新版本”，按采购文件要求制作电子响应文件。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供应商须将采购文件要求的资质、业绩、荣誉及相关人员证明材料等资料原件扫描件（或图片）制作到所提交的电子响应文件中。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供应商对同一项目多个标段进行响应的，应分别下载所投标段的采购文件，按标段制作电子响应文件，并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电子响应文件应按规定在响应截止时间（协商时间）之前成功提交至《全国公共资源交易平台(河南省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5.远程不见面协商（</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响应截止时间前供应商应登录本项目不见面开标大厅，按照采购文件规定的时间准时参加线上响应文件开启。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w:t>
      </w:r>
      <w:r>
        <w:rPr>
          <w:rFonts w:hint="eastAsia" w:hAnsi="宋体"/>
          <w:color w:val="000000"/>
          <w:szCs w:val="21"/>
        </w:rPr>
        <w:t>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6.1全流程电子化交易（不见面谈判）项目，采购人员以成功上传、解密的电子响应文件为依据协商。</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协商期间，供应商应保持通讯手机畅通，并根据采购人员要求在规定时间内提供：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①采购人员要求供应商提交最后报价时，</w:t>
      </w:r>
      <w:r>
        <w:rPr>
          <w:rFonts w:hint="eastAsia" w:ascii="楷体" w:hAnsi="楷体" w:eastAsia="楷体" w:cs="仿宋_GB2312"/>
          <w:sz w:val="24"/>
          <w:szCs w:val="24"/>
          <w:lang w:val="zh-CN"/>
        </w:rPr>
        <w:t>在采购人员规定时间内，供应商未提交最后报价则以其初次提交响应文件报价为最后报价。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（2）采购人员如要求供应商提供相关情况说明的，供应商提供的书面材料应加盖公章，或者由法定代表人或其授权的代表签字后通过电子邮件形式提供。</w:t>
      </w:r>
    </w:p>
    <w:p>
      <w:pPr>
        <w:ind w:firstLine="420" w:firstLineChars="200"/>
        <w:rPr>
          <w:rFonts w:cs="宋体" w:asciiTheme="majorEastAsia" w:hAnsiTheme="majorEastAsia" w:eastAsiaTheme="majorEastAsia"/>
          <w:b/>
          <w:kern w:val="0"/>
          <w:sz w:val="32"/>
          <w:szCs w:val="32"/>
        </w:rPr>
      </w:pPr>
      <w:r>
        <w:rPr>
          <w:rFonts w:hint="eastAsia"/>
          <w:lang w:val="en-US" w:eastAsia="zh-CN"/>
        </w:rPr>
        <w:t>6.3有多轮报价的，各投标人应提前准备好分项报价，为多轮报价做好准备，在谈判小组发起报价通知后，在规定时间内提交有效报价。</w:t>
      </w:r>
      <w:r>
        <w:rPr>
          <w:rFonts w:hint="eastAsia"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项目</w:t>
      </w:r>
      <w:r>
        <w:rPr>
          <w:rFonts w:hint="eastAsia" w:cs="黑体" w:asciiTheme="minorEastAsia" w:hAnsiTheme="minorEastAsia"/>
          <w:b/>
          <w:bCs/>
          <w:sz w:val="24"/>
          <w:szCs w:val="24"/>
          <w:shd w:val="clear" w:color="auto" w:fill="FFFFFF"/>
          <w:lang w:eastAsia="zh-CN"/>
        </w:rPr>
        <w:t>需求</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长村社区位于清风路以东、忠武路以西、金竹街以南、天竹街以北，目前有居民1050户，全为本地户，人口4121人。项目拟对长村社区整体拆迁，并建设安置社区，同时建设范围内配套工程。</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安置地块整体红线占地面积为87503m2，绿线内占地面积为79157 m2，总建筑面积为340390m2，包括安置住宅、幼儿园、配套建筑、地下配套设施等。</w:t>
      </w:r>
    </w:p>
    <w:p>
      <w:pPr>
        <w:widowControl/>
        <w:numPr>
          <w:ilvl w:val="0"/>
          <w:numId w:val="6"/>
        </w:numPr>
        <w:shd w:val="clear" w:color="auto" w:fill="FFFFFF"/>
        <w:spacing w:line="360" w:lineRule="auto"/>
        <w:ind w:firstLine="422" w:firstLineChars="200"/>
        <w:contextualSpacing/>
        <w:jc w:val="left"/>
        <w:rPr>
          <w:rFonts w:hint="eastAsia" w:cs="微软雅黑" w:asciiTheme="minorEastAsia" w:hAnsiTheme="minorEastAsia"/>
          <w:b/>
          <w:color w:val="auto"/>
          <w:szCs w:val="21"/>
          <w:lang w:val="en-US" w:eastAsia="zh-CN"/>
        </w:rPr>
      </w:pPr>
      <w:r>
        <w:rPr>
          <w:rFonts w:hint="eastAsia" w:cs="微软雅黑" w:asciiTheme="minorEastAsia" w:hAnsiTheme="minorEastAsia"/>
          <w:b/>
          <w:color w:val="auto"/>
          <w:szCs w:val="21"/>
          <w:lang w:val="en-US" w:eastAsia="zh-CN"/>
        </w:rPr>
        <w:t>项目背景</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1.1项目概述：</w:t>
      </w:r>
    </w:p>
    <w:p>
      <w:pPr>
        <w:pStyle w:val="2"/>
        <w:numPr>
          <w:ilvl w:val="0"/>
          <w:numId w:val="7"/>
        </w:numPr>
        <w:rPr>
          <w:rFonts w:hint="eastAsia"/>
          <w:sz w:val="24"/>
          <w:szCs w:val="24"/>
          <w:lang w:val="en-US" w:eastAsia="zh-CN"/>
        </w:rPr>
      </w:pPr>
      <w:r>
        <w:rPr>
          <w:rFonts w:hint="eastAsia" w:ascii="宋体" w:hAnsi="宋体" w:eastAsia="宋体" w:cs="宋体"/>
          <w:sz w:val="24"/>
          <w:szCs w:val="24"/>
          <w:lang w:val="en-US" w:eastAsia="zh-CN"/>
        </w:rPr>
        <w:t>项目建设地址：</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ascii="Times New Roman" w:hAnsi="Times New Roman"/>
        </w:rPr>
        <w:t>长村</w:t>
      </w:r>
      <w:r>
        <w:rPr>
          <w:rFonts w:ascii="Times New Roman" w:hAnsi="Times New Roman"/>
        </w:rPr>
        <w:t>安置小区位于</w:t>
      </w:r>
      <w:r>
        <w:rPr>
          <w:rFonts w:hint="eastAsia" w:ascii="Times New Roman" w:hAnsi="Times New Roman"/>
        </w:rPr>
        <w:t>清风路以东</w:t>
      </w:r>
      <w:r>
        <w:rPr>
          <w:rFonts w:ascii="Times New Roman" w:hAnsi="Times New Roman"/>
        </w:rPr>
        <w:t>、</w:t>
      </w:r>
      <w:r>
        <w:rPr>
          <w:rFonts w:hint="eastAsia" w:ascii="Times New Roman" w:hAnsi="Times New Roman"/>
        </w:rPr>
        <w:t>忠武路以西、金竹街以南</w:t>
      </w:r>
      <w:r>
        <w:rPr>
          <w:rFonts w:ascii="Times New Roman" w:hAnsi="Times New Roman"/>
        </w:rPr>
        <w:t>、天竹街以北</w:t>
      </w:r>
      <w:r>
        <w:rPr>
          <w:rFonts w:hint="eastAsia" w:cs="仿宋_GB2312" w:asciiTheme="minorEastAsia" w:hAnsiTheme="minorEastAsia" w:eastAsiaTheme="minorEastAsia"/>
        </w:rPr>
        <w:t>。</w:t>
      </w:r>
    </w:p>
    <w:p>
      <w:pPr>
        <w:pStyle w:val="2"/>
        <w:numPr>
          <w:ilvl w:val="0"/>
          <w:numId w:val="7"/>
        </w:numPr>
        <w:ind w:left="0" w:leftChars="0" w:firstLine="0" w:firstLineChars="0"/>
        <w:rPr>
          <w:rFonts w:hint="eastAsia"/>
          <w:sz w:val="24"/>
          <w:szCs w:val="24"/>
          <w:lang w:val="en-US" w:eastAsia="zh-CN"/>
        </w:rPr>
      </w:pPr>
      <w:r>
        <w:rPr>
          <w:rFonts w:hint="eastAsia"/>
          <w:sz w:val="24"/>
          <w:szCs w:val="24"/>
          <w:lang w:val="en-US" w:eastAsia="zh-CN"/>
        </w:rPr>
        <w:t>安置房规模</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ascii="Times New Roman" w:hAnsi="Times New Roman"/>
        </w:rPr>
        <w:t>长村</w:t>
      </w:r>
      <w:r>
        <w:rPr>
          <w:rFonts w:ascii="Times New Roman" w:hAnsi="Times New Roman"/>
        </w:rPr>
        <w:t>社区棚户区改造项目范围内总人口</w:t>
      </w:r>
      <w:r>
        <w:rPr>
          <w:rFonts w:hint="eastAsia" w:ascii="Times New Roman" w:hAnsi="Times New Roman"/>
        </w:rPr>
        <w:t>4121</w:t>
      </w:r>
      <w:r>
        <w:rPr>
          <w:rFonts w:ascii="Times New Roman" w:hAnsi="Times New Roman"/>
        </w:rPr>
        <w:t>人，总户数</w:t>
      </w:r>
      <w:r>
        <w:rPr>
          <w:rFonts w:hint="eastAsia" w:ascii="Times New Roman" w:hAnsi="Times New Roman"/>
        </w:rPr>
        <w:t>1050</w:t>
      </w:r>
      <w:r>
        <w:rPr>
          <w:rFonts w:ascii="Times New Roman" w:hAnsi="Times New Roman"/>
        </w:rPr>
        <w:t>户。根据拆迁补偿阶段的相关调查，项目需建120平方米安置房</w:t>
      </w:r>
      <w:r>
        <w:rPr>
          <w:rFonts w:hint="eastAsia" w:ascii="Times New Roman" w:hAnsi="Times New Roman"/>
        </w:rPr>
        <w:t>750</w:t>
      </w:r>
      <w:r>
        <w:rPr>
          <w:rFonts w:ascii="Times New Roman" w:hAnsi="Times New Roman"/>
        </w:rPr>
        <w:t>套、80平方米安置房</w:t>
      </w:r>
      <w:r>
        <w:rPr>
          <w:rFonts w:hint="eastAsia" w:ascii="Times New Roman" w:hAnsi="Times New Roman"/>
        </w:rPr>
        <w:t>750</w:t>
      </w:r>
      <w:r>
        <w:rPr>
          <w:rFonts w:ascii="Times New Roman" w:hAnsi="Times New Roman"/>
        </w:rPr>
        <w:t>套、100平方米安置房</w:t>
      </w:r>
      <w:r>
        <w:rPr>
          <w:rFonts w:hint="eastAsia" w:ascii="Times New Roman" w:hAnsi="Times New Roman"/>
        </w:rPr>
        <w:t>750</w:t>
      </w:r>
      <w:r>
        <w:rPr>
          <w:rFonts w:ascii="Times New Roman" w:hAnsi="Times New Roman"/>
        </w:rPr>
        <w:t>套。</w:t>
      </w:r>
    </w:p>
    <w:p>
      <w:pPr>
        <w:widowControl/>
        <w:numPr>
          <w:ilvl w:val="0"/>
          <w:numId w:val="6"/>
        </w:numPr>
        <w:shd w:val="clear" w:color="auto" w:fill="FFFFFF"/>
        <w:spacing w:line="360" w:lineRule="auto"/>
        <w:ind w:left="0" w:leftChars="0" w:firstLine="420" w:firstLineChars="200"/>
        <w:contextualSpacing/>
        <w:jc w:val="left"/>
        <w:rPr>
          <w:rFonts w:hint="eastAsia" w:cs="微软雅黑" w:asciiTheme="minorEastAsia" w:hAnsiTheme="minorEastAsia"/>
          <w:b w:val="0"/>
          <w:bCs/>
          <w:color w:val="auto"/>
          <w:szCs w:val="21"/>
          <w:lang w:val="en-US" w:eastAsia="zh-CN"/>
        </w:rPr>
      </w:pPr>
      <w:r>
        <w:rPr>
          <w:rFonts w:hint="eastAsia" w:cs="微软雅黑" w:asciiTheme="minorEastAsia" w:hAnsiTheme="minorEastAsia"/>
          <w:b w:val="0"/>
          <w:bCs/>
          <w:color w:val="auto"/>
          <w:szCs w:val="21"/>
          <w:lang w:val="en-US" w:eastAsia="zh-CN"/>
        </w:rPr>
        <w:t>融资方案：</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default" w:cs="仿宋_GB2312" w:asciiTheme="minorEastAsia" w:hAnsiTheme="minorEastAsia" w:eastAsiaTheme="minorEastAsia"/>
          <w:lang w:val="en-US" w:eastAsia="zh-CN"/>
        </w:rPr>
        <w:t>本项目总投资</w:t>
      </w:r>
      <w:r>
        <w:rPr>
          <w:rFonts w:hint="default" w:ascii="Times New Roman" w:hAnsi="Times New Roman" w:cs="Times New Roman"/>
          <w:color w:val="000000"/>
          <w:lang w:val="en-US" w:eastAsia="zh-CN"/>
        </w:rPr>
        <w:t xml:space="preserve">222124.32 </w:t>
      </w:r>
      <w:r>
        <w:rPr>
          <w:rFonts w:hint="default" w:cs="仿宋_GB2312" w:asciiTheme="minorEastAsia" w:hAnsiTheme="minorEastAsia" w:eastAsiaTheme="minorEastAsia"/>
          <w:lang w:val="en-US" w:eastAsia="zh-CN"/>
        </w:rPr>
        <w:t>万元。根据项目建设规模和承办单位意见，拟通过融资渠道解决</w:t>
      </w:r>
      <w:r>
        <w:rPr>
          <w:rFonts w:hint="default" w:ascii="Times New Roman" w:hAnsi="Times New Roman" w:eastAsia="宋体" w:cs="Times New Roman"/>
          <w:i w:val="0"/>
          <w:color w:val="000000"/>
          <w:kern w:val="0"/>
          <w:sz w:val="24"/>
          <w:szCs w:val="24"/>
          <w:u w:val="none"/>
          <w:lang w:val="en-US" w:eastAsia="zh-CN" w:bidi="ar"/>
        </w:rPr>
        <w:t>168000</w:t>
      </w:r>
      <w:r>
        <w:rPr>
          <w:rFonts w:hint="default" w:cs="仿宋_GB2312" w:asciiTheme="minorEastAsia" w:hAnsiTheme="minorEastAsia" w:eastAsiaTheme="minorEastAsia"/>
          <w:lang w:val="en-US" w:eastAsia="zh-CN"/>
        </w:rPr>
        <w:t>万元，占总投资的75.63%，</w:t>
      </w:r>
      <w:r>
        <w:rPr>
          <w:rFonts w:hint="eastAsia" w:cs="仿宋_GB2312" w:asciiTheme="minorEastAsia" w:hAnsiTheme="minorEastAsia" w:eastAsiaTheme="minorEastAsia"/>
          <w:lang w:val="en-US" w:eastAsia="zh-CN"/>
        </w:rPr>
        <w:t>地方</w:t>
      </w:r>
      <w:r>
        <w:rPr>
          <w:rFonts w:hint="default" w:cs="仿宋_GB2312" w:asciiTheme="minorEastAsia" w:hAnsiTheme="minorEastAsia" w:eastAsiaTheme="minorEastAsia"/>
          <w:lang w:val="en-US" w:eastAsia="zh-CN"/>
        </w:rPr>
        <w:t>自筹解决54124.32万元，占总投资的24.37%。</w:t>
      </w:r>
    </w:p>
    <w:p>
      <w:pPr>
        <w:pStyle w:val="22"/>
        <w:widowControl/>
        <w:numPr>
          <w:ilvl w:val="0"/>
          <w:numId w:val="6"/>
        </w:numPr>
        <w:shd w:val="clear" w:color="auto" w:fill="FFFFFF"/>
        <w:spacing w:line="360" w:lineRule="auto"/>
        <w:ind w:left="0" w:leftChars="0" w:firstLine="480" w:firstLineChars="20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服务要求</w:t>
      </w:r>
    </w:p>
    <w:p>
      <w:pPr>
        <w:pStyle w:val="2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有利于促进房产市场平稳将抗发展；有利于改善城市面貌和城市环境，而且有利于促进社会稳定，是一项一举多得的重大民生工程。本项目的实施，将提高城市土地节约集约利用水平，提高许昌市东城区的城市形象，对建设和谐社会、促进经济社会协调发展具有十分重要的意义。</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lang w:eastAsia="zh-CN"/>
        </w:rPr>
        <w:t>二</w:t>
      </w:r>
      <w:r>
        <w:rPr>
          <w:rFonts w:hint="eastAsia" w:cs="宋体" w:asciiTheme="minorEastAsia" w:hAnsiTheme="minorEastAsia"/>
          <w:b/>
          <w:color w:val="auto"/>
          <w:kern w:val="0"/>
          <w:sz w:val="24"/>
          <w:szCs w:val="24"/>
          <w:lang w:val="zh-CN"/>
        </w:rPr>
        <w:t>、采购标的的其他技术、服务等要求</w:t>
      </w:r>
    </w:p>
    <w:p>
      <w:pPr>
        <w:wordWrap w:val="0"/>
        <w:topLinePunct/>
        <w:spacing w:line="360" w:lineRule="auto"/>
        <w:ind w:firstLine="480" w:firstLineChars="200"/>
        <w:contextualSpacing/>
        <w:rPr>
          <w:rFonts w:ascii="宋体" w:cs="宋体"/>
          <w:color w:val="auto"/>
          <w:sz w:val="24"/>
          <w:lang w:val="zh-CN"/>
        </w:rPr>
      </w:pPr>
      <w:r>
        <w:rPr>
          <w:rFonts w:hint="eastAsia" w:ascii="宋体" w:cs="宋体"/>
          <w:color w:val="auto"/>
          <w:sz w:val="24"/>
          <w:lang w:val="zh-CN"/>
        </w:rPr>
        <w:t>1、投标文件中须有详细的实施（技术）方案。</w:t>
      </w:r>
    </w:p>
    <w:p>
      <w:pPr>
        <w:wordWrap w:val="0"/>
        <w:topLinePunct/>
        <w:adjustRightInd w:val="0"/>
        <w:spacing w:line="360" w:lineRule="auto"/>
        <w:ind w:firstLine="482"/>
        <w:contextualSpacing/>
        <w:rPr>
          <w:rFonts w:ascii="宋体" w:cs="宋体"/>
          <w:b/>
          <w:color w:val="auto"/>
          <w:sz w:val="24"/>
          <w:lang w:val="zh-CN"/>
        </w:rPr>
      </w:pPr>
      <w:r>
        <w:rPr>
          <w:rFonts w:hint="eastAsia" w:ascii="宋体" w:cs="宋体"/>
          <w:color w:val="auto"/>
          <w:sz w:val="24"/>
          <w:lang w:val="zh-CN"/>
        </w:rPr>
        <w:t>2、投标人应就本项目完整投标。</w:t>
      </w:r>
    </w:p>
    <w:p>
      <w:pPr>
        <w:pStyle w:val="22"/>
        <w:widowControl/>
        <w:shd w:val="clear" w:color="auto" w:fill="FFFFFF"/>
        <w:spacing w:line="360" w:lineRule="auto"/>
        <w:ind w:firstLine="420"/>
        <w:contextualSpacing/>
        <w:jc w:val="left"/>
        <w:rPr>
          <w:rFonts w:ascii="楷体" w:hAnsi="楷体" w:eastAsia="楷体" w:cs="宋体"/>
          <w:kern w:val="0"/>
          <w:szCs w:val="21"/>
          <w:lang w:val="zh-CN"/>
        </w:rPr>
      </w:pPr>
      <w:r>
        <w:rPr>
          <w:rFonts w:hint="eastAsia" w:cs="微软雅黑" w:asciiTheme="minorEastAsia" w:hAnsiTheme="minorEastAsia"/>
          <w:b/>
          <w:szCs w:val="21"/>
          <w:lang w:eastAsia="zh-CN"/>
        </w:rPr>
        <w:t>三</w:t>
      </w:r>
      <w:r>
        <w:rPr>
          <w:rFonts w:hint="eastAsia" w:cs="宋体" w:asciiTheme="minorEastAsia" w:hAnsiTheme="minorEastAsia"/>
          <w:b/>
          <w:kern w:val="0"/>
          <w:lang w:val="zh-CN"/>
        </w:rPr>
        <w:t>、验收标准</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contextualSpacing/>
        <w:jc w:val="left"/>
        <w:rPr>
          <w:rFonts w:hint="eastAsia" w:ascii="宋体" w:hAnsi="宋体" w:cs="宋体"/>
          <w:kern w:val="0"/>
          <w:sz w:val="30"/>
          <w:szCs w:val="30"/>
        </w:rPr>
      </w:pPr>
      <w:r>
        <w:rPr>
          <w:rFonts w:hint="eastAsia" w:cs="仿宋_GB2312" w:asciiTheme="minorEastAsia" w:hAnsiTheme="minorEastAsia" w:eastAsiaTheme="minorEastAsia"/>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lang w:eastAsia="zh-CN"/>
        </w:rPr>
        <w:t>四</w:t>
      </w:r>
      <w:r>
        <w:rPr>
          <w:rFonts w:hint="eastAsia" w:cs="宋体" w:asciiTheme="minorEastAsia" w:hAnsiTheme="minorEastAsia"/>
          <w:b/>
          <w:kern w:val="0"/>
          <w:sz w:val="24"/>
          <w:szCs w:val="24"/>
          <w:lang w:val="zh-CN"/>
        </w:rPr>
        <w:t>、资金支付</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宋体" w:asciiTheme="minorEastAsia" w:hAnsiTheme="minorEastAsia"/>
          <w:kern w:val="0"/>
          <w:lang w:val="zh-CN"/>
        </w:rPr>
        <w:t>1、支付方式：</w:t>
      </w:r>
      <w:r>
        <w:rPr>
          <w:rFonts w:hint="eastAsia" w:cs="仿宋_GB2312" w:asciiTheme="minorEastAsia" w:hAnsiTheme="minorEastAsia" w:eastAsiaTheme="minorEastAsia"/>
        </w:rPr>
        <w:t>银行转账</w:t>
      </w:r>
    </w:p>
    <w:p>
      <w:pPr>
        <w:pStyle w:val="22"/>
        <w:widowControl/>
        <w:shd w:val="clear" w:color="auto" w:fill="FFFFFF"/>
        <w:spacing w:line="360" w:lineRule="auto"/>
        <w:ind w:firstLine="420"/>
        <w:contextualSpacing/>
        <w:jc w:val="left"/>
        <w:rPr>
          <w:rFonts w:cs="宋体" w:asciiTheme="majorEastAsia" w:hAnsiTheme="majorEastAsia" w:eastAsiaTheme="majorEastAsia"/>
          <w:b/>
          <w:color w:val="auto"/>
          <w:kern w:val="0"/>
          <w:sz w:val="36"/>
          <w:szCs w:val="36"/>
        </w:rPr>
      </w:pPr>
      <w:r>
        <w:rPr>
          <w:rFonts w:hint="eastAsia" w:cs="仿宋_GB2312" w:asciiTheme="minorEastAsia" w:hAnsiTheme="minorEastAsia" w:eastAsiaTheme="minorEastAsia"/>
          <w:color w:val="auto"/>
        </w:rPr>
        <w:t>2、支付时间及条件：资金来源于</w:t>
      </w:r>
      <w:r>
        <w:rPr>
          <w:rFonts w:hint="eastAsia" w:cs="仿宋_GB2312" w:asciiTheme="minorEastAsia" w:hAnsiTheme="minorEastAsia" w:eastAsiaTheme="minorEastAsia"/>
          <w:color w:val="auto"/>
          <w:lang w:eastAsia="zh-CN"/>
        </w:rPr>
        <w:t>许昌市东城区城中村改造建设管理办公室</w:t>
      </w:r>
      <w:r>
        <w:rPr>
          <w:rFonts w:hint="eastAsia" w:cs="仿宋_GB2312" w:asciiTheme="minorEastAsia" w:hAnsiTheme="minorEastAsia" w:eastAsiaTheme="minorEastAsia"/>
          <w:color w:val="auto"/>
        </w:rPr>
        <w:t>财政性资金，已在财政预算中统筹安排，并将在本协议期内滚动纳入未来年度本级财政预算支出管理。如项目超投资由许昌市东城区财政性资金补足；</w:t>
      </w:r>
      <w:r>
        <w:rPr>
          <w:rFonts w:hint="eastAsia" w:cs="仿宋_GB2312" w:asciiTheme="minorEastAsia" w:hAnsiTheme="minorEastAsia" w:eastAsiaTheme="minorEastAsia"/>
          <w:color w:val="auto"/>
          <w:lang w:eastAsia="zh-CN"/>
        </w:rPr>
        <w:t>许昌市东城区城中村改造建设管理办公室</w:t>
      </w:r>
      <w:r>
        <w:rPr>
          <w:rFonts w:hint="eastAsia" w:cs="仿宋_GB2312" w:asciiTheme="minorEastAsia" w:hAnsiTheme="minorEastAsia" w:eastAsiaTheme="minorEastAsia"/>
          <w:color w:val="auto"/>
        </w:rPr>
        <w:t>应严格如约支付政府采购款，不受项目建设及运营情况影响（不响应者为无效投标）</w:t>
      </w:r>
      <w:r>
        <w:rPr>
          <w:rFonts w:hint="eastAsia" w:ascii="宋体" w:hAnsi="宋体" w:cs="宋体"/>
          <w:color w:val="auto"/>
          <w:kern w:val="0"/>
          <w:sz w:val="24"/>
          <w:szCs w:val="24"/>
          <w:lang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许昌市东城区长村棚户区改造项目（不见面开标）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JZFCG-D2020002</w:t>
            </w:r>
            <w:bookmarkStart w:id="2" w:name="_GoBack"/>
            <w:bookmarkEnd w:id="2"/>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项目内容：长村社区位于清风路以东、忠武路以西、金竹街以南、天竹街以北，目前有居民1050户，全为本地户，人口4121人。项目拟对长村社区整体拆迁，并建设安置社区，同时建设范围内配套工程。</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安置地块整体红线占地面积为87503m2，绿线内占地面积为79157 m2，总建筑面积为340390m2，包括安置住宅、幼儿园、配套建筑、地下配套设施等。</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东城区长村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东城区城中村改造建设管理办公室</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许昌市新许路东段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李先生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0374-2952651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招标代理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河南鼎华招标代理有限公司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许昌市新许路建设银行三楼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罗</w:t>
            </w:r>
            <w:r>
              <w:rPr>
                <w:rFonts w:hint="eastAsia" w:cs="仿宋_GB2312" w:asciiTheme="minorEastAsia" w:hAnsiTheme="minorEastAsia"/>
                <w:szCs w:val="21"/>
              </w:rPr>
              <w:t>女士         电话：</w:t>
            </w:r>
            <w:r>
              <w:rPr>
                <w:rFonts w:hint="eastAsia" w:cs="仿宋_GB2312" w:asciiTheme="minorEastAsia" w:hAnsiTheme="minorEastAsia"/>
                <w:szCs w:val="21"/>
                <w:lang w:val="en-US" w:eastAsia="zh-CN"/>
              </w:rPr>
              <w:t>15738691310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lang w:eastAsia="zh-CN"/>
              </w:rPr>
              <w:t>、</w:t>
            </w:r>
            <w:r>
              <w:rPr>
                <w:rFonts w:cs="仿宋_GB2312" w:asciiTheme="minorEastAsia" w:hAnsiTheme="minorEastAsia"/>
                <w:b/>
                <w:color w:val="000000"/>
                <w:szCs w:val="21"/>
                <w:shd w:val="clear" w:color="auto" w:fill="FFFFFF"/>
              </w:rPr>
              <w:t>重大税收违法案件当事人</w:t>
            </w:r>
            <w:r>
              <w:rPr>
                <w:rFonts w:cs="仿宋_GB2312" w:asciiTheme="minorEastAsia" w:hAnsiTheme="minorEastAsia"/>
                <w:b/>
                <w:szCs w:val="21"/>
                <w:shd w:val="clear" w:color="auto" w:fill="FFFFFF"/>
              </w:rPr>
              <w:t>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w:t>
            </w:r>
            <w:r>
              <w:rPr>
                <w:rFonts w:cs="仿宋_GB2312" w:asciiTheme="minorEastAsia" w:hAnsiTheme="minorEastAsia"/>
                <w:szCs w:val="21"/>
                <w:shd w:val="clear" w:color="auto" w:fill="FFFFFF"/>
              </w:rPr>
              <w:t>名单</w:t>
            </w:r>
            <w:r>
              <w:rPr>
                <w:rFonts w:hint="eastAsia" w:cs="宋体" w:asciiTheme="minorEastAsia" w:hAnsiTheme="minorEastAsia"/>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numPr>
                <w:ilvl w:val="0"/>
                <w:numId w:val="8"/>
              </w:numPr>
              <w:autoSpaceDE w:val="0"/>
              <w:autoSpaceDN w:val="0"/>
              <w:adjustRightInd w:val="0"/>
              <w:spacing w:line="360" w:lineRule="auto"/>
              <w:rPr>
                <w:rFonts w:hint="eastAsia" w:ascii="宋体" w:hAnsi="宋体" w:cs="仿宋_GB2312"/>
                <w:szCs w:val="21"/>
              </w:rPr>
            </w:pPr>
            <w:r>
              <w:rPr>
                <w:rFonts w:hint="eastAsia" w:cs="仿宋_GB2312" w:asciiTheme="minorEastAsia" w:hAnsiTheme="minorEastAsia"/>
                <w:szCs w:val="21"/>
              </w:rPr>
              <w:t>响应文件递交地点：</w:t>
            </w:r>
            <w:r>
              <w:rPr>
                <w:rFonts w:hint="eastAsia" w:cs="仿宋_GB2312" w:asciiTheme="minorEastAsia" w:hAnsiTheme="minorEastAsia" w:eastAsiaTheme="minorEastAsia"/>
              </w:rPr>
              <w:t>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color w:val="FF0000"/>
                <w:lang w:eastAsia="zh-CN"/>
              </w:rPr>
              <w:t>开标</w:t>
            </w:r>
            <w:r>
              <w:rPr>
                <w:rFonts w:hint="eastAsia" w:cs="仿宋_GB2312" w:asciiTheme="minorEastAsia" w:hAnsiTheme="minorEastAsia"/>
                <w:color w:val="FF0000"/>
                <w:lang w:eastAsia="zh-CN"/>
              </w:rPr>
              <w:t>四</w:t>
            </w:r>
            <w:r>
              <w:rPr>
                <w:rFonts w:hint="eastAsia" w:cs="仿宋_GB2312" w:asciiTheme="minorEastAsia" w:hAnsiTheme="minorEastAsia" w:eastAsiaTheme="minorEastAsia"/>
                <w:color w:val="FF0000"/>
                <w:lang w:eastAsia="zh-CN"/>
              </w:rPr>
              <w:t>室</w:t>
            </w:r>
            <w:r>
              <w:rPr>
                <w:rFonts w:hint="eastAsia" w:cs="宋体" w:asciiTheme="minorEastAsia" w:hAnsiTheme="minorEastAsia"/>
                <w:bCs/>
                <w:szCs w:val="21"/>
                <w:lang w:val="zh-CN"/>
              </w:rPr>
              <w:t>；</w:t>
            </w:r>
            <w:r>
              <w:rPr>
                <w:rFonts w:hint="eastAsia" w:ascii="宋体" w:hAnsi="宋体" w:cs="仿宋_GB2312"/>
                <w:szCs w:val="21"/>
              </w:rPr>
              <w:t>（</w:t>
            </w:r>
            <w:r>
              <w:rPr>
                <w:rFonts w:hint="eastAsia" w:ascii="宋体" w:hAnsi="宋体" w:cs="Arial"/>
                <w:b/>
                <w:szCs w:val="21"/>
              </w:rPr>
              <w:t>本项目采用远程不见面开标，投标人无须到交易中心现场</w:t>
            </w:r>
            <w:r>
              <w:rPr>
                <w:rFonts w:hint="eastAsia" w:ascii="宋体" w:hAnsi="宋体" w:cs="Arial"/>
                <w:szCs w:val="21"/>
              </w:rPr>
              <w:t>）</w:t>
            </w:r>
            <w:r>
              <w:rPr>
                <w:rFonts w:hint="eastAsia" w:ascii="宋体" w:hAnsi="宋体" w:cs="仿宋_GB2312"/>
                <w:szCs w:val="21"/>
              </w:rPr>
              <w:t>。</w:t>
            </w:r>
          </w:p>
          <w:p>
            <w:pPr>
              <w:autoSpaceDE w:val="0"/>
              <w:autoSpaceDN w:val="0"/>
              <w:adjustRightInd w:val="0"/>
              <w:spacing w:line="360" w:lineRule="auto"/>
              <w:rPr>
                <w:rFonts w:cs="宋体" w:asciiTheme="minorEastAsia" w:hAnsiTheme="minorEastAsia"/>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color w:val="FF0000"/>
                <w:szCs w:val="21"/>
                <w:lang w:val="en-US" w:eastAsia="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eq \o\ac(□,√)</w:instrText>
            </w:r>
            <w:r>
              <w:rPr>
                <w:rFonts w:hint="eastAsia" w:ascii="宋体" w:hAnsi="宋体" w:cs="宋体"/>
                <w:bCs/>
                <w:szCs w:val="21"/>
                <w:lang w:val="zh-CN"/>
              </w:rPr>
              <w:fldChar w:fldCharType="end"/>
            </w:r>
            <w:r>
              <w:rPr>
                <w:rFonts w:hint="eastAsia" w:ascii="宋体" w:hAnsi="宋体" w:cs="宋体"/>
                <w:bCs/>
                <w:szCs w:val="21"/>
                <w:lang w:val="zh-CN"/>
              </w:rPr>
              <w:t>收取中标人</w:t>
            </w:r>
            <w:r>
              <w:rPr>
                <w:rFonts w:hint="eastAsia" w:ascii="宋体" w:hAnsi="宋体" w:cs="宋体"/>
                <w:bCs/>
                <w:szCs w:val="21"/>
                <w:lang w:val="en-US" w:eastAsia="zh-CN"/>
              </w:rPr>
              <w:t>13000元</w:t>
            </w:r>
            <w:r>
              <w:rPr>
                <w:rFonts w:hint="eastAsia" w:ascii="宋体" w:hAnsi="宋体" w:cs="宋体"/>
                <w:bCs/>
                <w:szCs w:val="21"/>
                <w:lang w:val="zh-CN"/>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15738691310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614955098@qq.com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按照《关于推进全流程电子化交易和在线监管工作有关问题的通知》（许公管办[2019]3号）规定：</w:t>
            </w:r>
          </w:p>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不同供应商电子投标文件制作硬件特征码（网卡MAC地址、CPU序号、硬盘序列号）均一致时，视为‘不同投标人的投标文件是由同一单位或者个人编制’或‘不同投标人委托同一单位或者个人办理响应事宜’，其投标无效。</w:t>
            </w:r>
          </w:p>
          <w:p>
            <w:pPr>
              <w:autoSpaceDE w:val="0"/>
              <w:autoSpaceDN w:val="0"/>
              <w:adjustRightInd w:val="0"/>
              <w:spacing w:line="360" w:lineRule="auto"/>
              <w:ind w:firstLine="422" w:firstLineChars="200"/>
              <w:contextualSpacing/>
              <w:rPr>
                <w:rFonts w:hint="eastAsia" w:hAnsi="宋体" w:cs="宋体"/>
                <w:szCs w:val="21"/>
                <w:lang w:val="zh-CN"/>
              </w:rPr>
            </w:pPr>
            <w:r>
              <w:rPr>
                <w:rFonts w:hint="eastAsia" w:hAnsi="宋体" w:cs="宋体"/>
                <w:b/>
                <w:bCs/>
                <w:szCs w:val="21"/>
                <w:lang w:val="zh-CN" w:eastAsia="zh-CN"/>
              </w:rPr>
              <w:t>评审专家应严格按照要求查看“硬件特征码”相关信息并进行评审，在评审报告中显示“不同投标人电子投标文件制作硬件特征码”是否雷同的分析及判定结果。</w:t>
            </w:r>
          </w:p>
        </w:tc>
      </w:tr>
    </w:tbl>
    <w:p>
      <w:pP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本采购文件仅适用于本次“采购邀请”</w:t>
      </w:r>
      <w:r>
        <w:rPr>
          <w:rFonts w:hint="eastAsia" w:ascii="宋体" w:hAnsi="宋体"/>
          <w:szCs w:val="21"/>
        </w:rPr>
        <w:t xml:space="preserve"> 和“供应商须知前附表”中所述采购项目的采购。</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采购代理机构</w:t>
      </w:r>
      <w:r>
        <w:rPr>
          <w:rFonts w:hint="eastAsia" w:ascii="宋体" w:hAnsi="宋体"/>
          <w:szCs w:val="21"/>
        </w:rPr>
        <w:t>和采购人。</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采购代理机构</w:t>
      </w:r>
      <w:r>
        <w:rPr>
          <w:rFonts w:hint="eastAsia" w:ascii="宋体" w:hAnsi="宋体"/>
          <w:szCs w:val="21"/>
        </w:rPr>
        <w:t>处按规定获取采购文件，并按照采购文件要求向采购人、</w:t>
      </w:r>
      <w:r>
        <w:rPr>
          <w:rFonts w:hint="eastAsia" w:ascii="宋体" w:hAnsi="宋体"/>
          <w:szCs w:val="21"/>
          <w:lang w:eastAsia="zh-CN"/>
        </w:rPr>
        <w:t>采购代理机构</w:t>
      </w:r>
      <w:r>
        <w:rPr>
          <w:rFonts w:hint="eastAsia" w:ascii="宋体" w:hAnsi="宋体"/>
          <w:szCs w:val="21"/>
        </w:rPr>
        <w:t>提交响应文件的供应商。</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8"/>
        <w:numPr>
          <w:ilvl w:val="0"/>
          <w:numId w:val="11"/>
        </w:numPr>
        <w:autoSpaceDE w:val="0"/>
        <w:autoSpaceDN w:val="0"/>
        <w:spacing w:line="360" w:lineRule="auto"/>
        <w:ind w:hanging="1260" w:firstLineChars="0"/>
        <w:contextualSpacing/>
        <w:rPr>
          <w:rFonts w:cs="宋体" w:asciiTheme="minorEastAsia" w:hAnsiTheme="minorEastAsia"/>
          <w:kern w:val="0"/>
          <w:szCs w:val="21"/>
        </w:rPr>
      </w:pPr>
      <w:r>
        <w:rPr>
          <w:rFonts w:hint="eastAsia" w:cs="宋体" w:asciiTheme="minorEastAsia" w:hAnsiTheme="minorEastAsia"/>
          <w:kern w:val="0"/>
          <w:szCs w:val="21"/>
        </w:rPr>
        <w:t>采购</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pStyle w:val="48"/>
        <w:numPr>
          <w:ilvl w:val="0"/>
          <w:numId w:val="11"/>
        </w:numPr>
        <w:autoSpaceDE w:val="0"/>
        <w:autoSpaceDN w:val="0"/>
        <w:spacing w:line="360" w:lineRule="auto"/>
        <w:ind w:hanging="1260"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采购</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r>
        <w:rPr>
          <w:rFonts w:hint="eastAsia" w:cs="宋体" w:asciiTheme="minorEastAsia" w:hAnsiTheme="minorEastAsia"/>
          <w:kern w:val="0"/>
          <w:szCs w:val="21"/>
        </w:rPr>
        <w:t>。</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在中华人民共和国境内注册，具有本项目生产、制造、供应或实施能力，符合、承认并承诺履行本采购文件各项规定的法人、其他组织或者自然人。</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信用信息查询记录和证据留存具体方式：经采购人员确认的查询结果网页截图作为查询记录和证据，与其他采购文件一并保存；</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信用信息的使用原则：经采购人员认定的被列入失信被执行人、重大税收违法案件当事人名单、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信用记录查询结果网页截屏。供应商不良信用记录以采购人员查询结果为准，采购人员查询之后，网站信息发生的任何变更不再作为协商依据，供应商自行提供的与网站信息不一致的其他证明材料亦不作为协商依据。</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3"/>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13"/>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3"/>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采购人根据采购项目的特殊要求规定供应商特定条件的，联合体各方中至少应当有一方符合采购规定的特定条件；</w:t>
      </w:r>
    </w:p>
    <w:p>
      <w:pPr>
        <w:pStyle w:val="48"/>
        <w:numPr>
          <w:ilvl w:val="0"/>
          <w:numId w:val="13"/>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3"/>
        </w:numPr>
        <w:autoSpaceDE w:val="0"/>
        <w:autoSpaceDN w:val="0"/>
        <w:spacing w:line="360" w:lineRule="auto"/>
        <w:ind w:hanging="1415"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不论采购的结果如何，供应商均应自行承担所有与协商有关的全部费用，采购人、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本采购项目需要公开的有关信息，包括采购公告、采购文件、澄清或修改公告、成交公告以及延长响应文件提交截止时间等与采购活动有关的通知，采购人、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均将通过在《中国政府采购网》、《河南省政府采购网》、《许昌市政府采购网》和《全国公共资源交易平台（河南省·许昌市）》、《中国·许昌市政府网》公开发布。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代理费用</w:t>
      </w:r>
    </w:p>
    <w:p>
      <w:pPr>
        <w:pStyle w:val="48"/>
        <w:autoSpaceDE w:val="0"/>
        <w:autoSpaceDN w:val="0"/>
        <w:spacing w:line="360" w:lineRule="auto"/>
        <w:ind w:left="964" w:firstLine="0" w:firstLineChars="0"/>
        <w:contextualSpacing/>
        <w:rPr>
          <w:rFonts w:cs="宋体" w:asciiTheme="minorEastAsia" w:hAnsiTheme="minorEastAsia"/>
          <w:color w:val="FF0000"/>
          <w:kern w:val="0"/>
          <w:szCs w:val="21"/>
        </w:rPr>
      </w:pPr>
      <w:r>
        <w:rPr>
          <w:rFonts w:hint="eastAsia" w:cs="微软雅黑"/>
          <w:color w:val="auto"/>
          <w:lang w:val="en-US" w:eastAsia="zh-CN"/>
        </w:rPr>
        <w:t>7.1</w:t>
      </w:r>
      <w:r>
        <w:rPr>
          <w:rFonts w:hint="eastAsia" w:cs="宋体" w:asciiTheme="minorEastAsia" w:hAnsiTheme="minorEastAsia"/>
          <w:bCs/>
          <w:color w:val="auto"/>
          <w:szCs w:val="21"/>
          <w:lang w:val="zh-CN"/>
        </w:rPr>
        <w:t>按双方协商金额支付</w:t>
      </w:r>
      <w:r>
        <w:rPr>
          <w:rFonts w:hint="eastAsia" w:cs="宋体" w:asciiTheme="minorEastAsia" w:hAnsiTheme="minorEastAsia"/>
          <w:bCs/>
          <w:color w:val="auto"/>
          <w:szCs w:val="21"/>
          <w:lang w:val="en-US" w:eastAsia="zh-CN"/>
        </w:rPr>
        <w:t>。</w:t>
      </w:r>
    </w:p>
    <w:p>
      <w:pPr>
        <w:pStyle w:val="48"/>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cs="宋体" w:asciiTheme="minorEastAsia" w:hAnsiTheme="minorEastAsia"/>
          <w:szCs w:val="21"/>
        </w:rPr>
        <w:t>7.2 收取方式：一次性以银行划账、电汇、汇票或支票的形式支付。</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本“供应商须知”的条款如与“采购邀请”、“采购需求”、“供应商须知前附表”和“协商”就同一内容的表述不一致的，以“采购邀请”、“ 采购需求”、“供应商须知前附表”和“协商”中规定的内容为准。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二、采购文件说明</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采购文件构成</w:t>
      </w:r>
    </w:p>
    <w:p>
      <w:pPr>
        <w:pStyle w:val="48"/>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（5）协商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采购文件的全部内容（包括所有的补充、修改内容、重要事项、格式、条款和技术规范、参数及要求等），按采购文件要求和规定编制响应文件，并保证所提供的全部资料的真实性，否则有可能导致响应被拒绝，其风险由供应商自行承担。</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采购文件的澄清或修改</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在响应截止期前，无论出于何种原因，采购人可主动地或在解答供应商提出的澄清问题时对采购文件进行修改。</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可以对已发出的采购文件进行必要的澄清或者修改。</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本次单一来源项目的报价均以人民币为计算单位。</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采购文件规定短的属于非实质性响应，将被认定为报价无效。</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响应文件的构成应符合法律法规及采购文件的要求。</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供应商应当按照采购文件的要求编制响应文件。响应文件应当对采购文件提出的要求和条件作出明确响应。</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供应商根据采购文件的规定和采购项目的实际情况，拟在成交后将成交项目的非主体、非关键性工作分包的，应当在响应文件中载明分包承担主体，分包承担主体应当具备相应资质条件且不得再次分包。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最新版本”，按采购文件要求根据所响应标段制作电子响应文件。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采购文件第七章（响应文件有关格式）的内容要求、编排顺序和格式要求，供应商应按照以上要求将响应文件以A4幅面编上唯一的连贯页码，并在响应文件封面上注明：所投项目名称、项目编号、供应商名称、日期等字样。</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供应商应按采购文件提供的格式编写响应文件。采购文件未提供标准格式的供应商可自行拟定。</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协商保证金</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本项目不收取协商保证金。</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供应商应提供协商承诺函。</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采购文件的数量和签署盖章</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在采购文件中已明示需盖章及签名之处，电子响应文件应按采购文件要求加盖供应商电子印章和法人电子印章或授权代表电子印章。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响应截止时间</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微软雅黑"/>
          <w:color w:val="000000"/>
        </w:rPr>
        <w:t>将予以拒绝。</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按本须知第10条规定，通过修改采购文件自行决定酌情延长响应截止期。在此情况下，采购人和供应商受响应截止期制约的所有权利和义务均应延长至新的截止日期和时间。供应商按采购人修改通知规定的时间提交响应文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五、协商</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采购人将按采购文件规定的</w:t>
      </w: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和地点解密电子响应文件。由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主持，供应商无须到现场。</w:t>
      </w:r>
    </w:p>
    <w:p>
      <w:pPr>
        <w:pStyle w:val="48"/>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开通远程不见面开标大厅及开启“文字互动”等功能；供应商、</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供应商名称、修改和撤回投标的通知（如有的话）和采购文件规定的需要宣布的其他内容。</w:t>
      </w:r>
    </w:p>
    <w:p>
      <w:pPr>
        <w:pStyle w:val="48"/>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解密：</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使用本单位CA数字证书进行再次解密电子响应文件。</w:t>
      </w:r>
    </w:p>
    <w:p>
      <w:pPr>
        <w:pStyle w:val="48"/>
        <w:numPr>
          <w:ilvl w:val="0"/>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负责记录。</w:t>
      </w:r>
    </w:p>
    <w:p>
      <w:pPr>
        <w:pStyle w:val="48"/>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相关工作人员有需要回避的情形的，应当场提出询问或者回避申请。采购人、采购代理机构对供应商提出的询问或者回避申请应当及时处理。</w:t>
      </w:r>
    </w:p>
    <w:p>
      <w:pPr>
        <w:pStyle w:val="48"/>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采购人员组成</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采购人应当组织具有相关经验的专业人员与供应商协商，</w:t>
      </w:r>
      <w:r>
        <w:rPr>
          <w:rFonts w:ascii="ˎ̥" w:hAnsi="ˎ̥"/>
        </w:rPr>
        <w:t>由采购人代表和评审专家共3人以上单数组成，其中评审专家人数不得少于</w:t>
      </w:r>
      <w:r>
        <w:rPr>
          <w:rFonts w:hint="eastAsia" w:ascii="ˎ̥" w:hAnsi="ˎ̥"/>
        </w:rPr>
        <w:t>采购人员</w:t>
      </w:r>
      <w:r>
        <w:rPr>
          <w:rFonts w:ascii="ˎ̥" w:hAnsi="ˎ̥"/>
        </w:rPr>
        <w:t>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采购人员与供应商存在下列利害关系之一的,应当回避：</w:t>
      </w:r>
    </w:p>
    <w:p>
      <w:pPr>
        <w:pStyle w:val="48"/>
        <w:numPr>
          <w:ilvl w:val="0"/>
          <w:numId w:val="22"/>
        </w:numPr>
        <w:autoSpaceDE w:val="0"/>
        <w:autoSpaceDN w:val="0"/>
        <w:spacing w:line="360" w:lineRule="auto"/>
        <w:ind w:hanging="1384"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8"/>
        <w:numPr>
          <w:ilvl w:val="0"/>
          <w:numId w:val="22"/>
        </w:numPr>
        <w:autoSpaceDE w:val="0"/>
        <w:autoSpaceDN w:val="0"/>
        <w:spacing w:line="360" w:lineRule="auto"/>
        <w:ind w:hanging="1384" w:firstLineChars="0"/>
        <w:contextualSpacing/>
        <w:rPr>
          <w:rFonts w:ascii="ˎ̥" w:hAnsi="ˎ̥"/>
        </w:rPr>
      </w:pPr>
      <w:r>
        <w:rPr>
          <w:rFonts w:hint="eastAsia" w:ascii="ˎ̥" w:hAnsi="ˎ̥"/>
        </w:rPr>
        <w:t>与供应商的法定代表人或者负责人有夫妻、直系血亲、三代以内旁系血亲或者近姻亲关系；</w:t>
      </w:r>
    </w:p>
    <w:p>
      <w:pPr>
        <w:pStyle w:val="48"/>
        <w:numPr>
          <w:ilvl w:val="0"/>
          <w:numId w:val="22"/>
        </w:numPr>
        <w:autoSpaceDE w:val="0"/>
        <w:autoSpaceDN w:val="0"/>
        <w:spacing w:line="360" w:lineRule="auto"/>
        <w:ind w:hanging="1384" w:firstLineChars="0"/>
        <w:contextualSpacing/>
        <w:rPr>
          <w:rFonts w:ascii="ˎ̥" w:hAnsi="ˎ̥"/>
        </w:rPr>
      </w:pPr>
      <w:r>
        <w:rPr>
          <w:rFonts w:hint="eastAsia" w:ascii="ˎ̥" w:hAnsi="ˎ̥"/>
        </w:rPr>
        <w:t>与供应商有其他可能影响政府采购活动公平、公正进行的关系。</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资格审查和协商</w:t>
      </w:r>
    </w:p>
    <w:p>
      <w:pPr>
        <w:pStyle w:val="48"/>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资格审查：采购人员依据有关法律法规和采购文件的规定对供应商的资格进行审查。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资格审查与协商）</w:t>
      </w:r>
      <w:r>
        <w:rPr>
          <w:rFonts w:hint="eastAsia" w:cs="宋体" w:asciiTheme="minorEastAsia" w:hAnsiTheme="minorEastAsia"/>
          <w:kern w:val="0"/>
          <w:szCs w:val="21"/>
        </w:rPr>
        <w:t>。</w:t>
      </w:r>
    </w:p>
    <w:p>
      <w:pPr>
        <w:pStyle w:val="48"/>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与供应商商定合理的成交价格并保证采购项目质量。</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采购人员</w:t>
      </w:r>
      <w:r>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numPr>
          <w:ilvl w:val="1"/>
          <w:numId w:val="18"/>
        </w:numPr>
        <w:autoSpaceDE w:val="0"/>
        <w:autoSpaceDN w:val="0"/>
        <w:spacing w:line="360" w:lineRule="auto"/>
        <w:ind w:firstLineChars="0"/>
        <w:contextualSpacing/>
        <w:rPr>
          <w:rFonts w:cs="宋体" w:asciiTheme="minorEastAsia" w:hAnsiTheme="minorEastAsia"/>
          <w:vanish/>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23.2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未按照采购文件的规定提交协商承诺函的；</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响应文件未按采购文件要求签署、盖章的；</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不具备采购文件中规定的资格要求的；</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报价超过采购文件中规定的预算金额的；</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0"/>
          <w:numId w:val="2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商定价格</w:t>
      </w:r>
    </w:p>
    <w:p>
      <w:pPr>
        <w:pStyle w:val="54"/>
        <w:numPr>
          <w:ilvl w:val="0"/>
          <w:numId w:val="30"/>
        </w:numPr>
        <w:tabs>
          <w:tab w:val="left" w:pos="993"/>
          <w:tab w:val="clear" w:pos="709"/>
        </w:tabs>
        <w:spacing w:line="360" w:lineRule="auto"/>
        <w:ind w:left="993" w:hanging="993"/>
        <w:contextualSpacing/>
        <w:rPr>
          <w:rFonts w:cs="宋体" w:asciiTheme="minorEastAsia" w:hAnsiTheme="minorEastAsia" w:eastAsiaTheme="minorEastAsia"/>
        </w:rPr>
      </w:pPr>
      <w:r>
        <w:rPr>
          <w:rFonts w:hint="eastAsia" w:cs="宋体" w:asciiTheme="minorEastAsia" w:hAnsiTheme="minorEastAsia" w:eastAsiaTheme="minorEastAsia"/>
        </w:rPr>
        <w:t>采购人员根据项目情况可进行一轮或多轮协商。供应商应在规定时间内根据采购人员要求进行响应和报价。最后报价以最后一轮协商结束后的报价为准。</w:t>
      </w:r>
    </w:p>
    <w:p>
      <w:pPr>
        <w:pStyle w:val="54"/>
        <w:numPr>
          <w:ilvl w:val="0"/>
          <w:numId w:val="30"/>
        </w:numPr>
        <w:tabs>
          <w:tab w:val="left" w:pos="993"/>
          <w:tab w:val="clear" w:pos="709"/>
        </w:tabs>
        <w:spacing w:line="360" w:lineRule="auto"/>
        <w:ind w:left="993" w:hanging="993"/>
        <w:contextualSpacing/>
        <w:rPr>
          <w:rFonts w:cs="宋体" w:asciiTheme="minorEastAsia" w:hAnsiTheme="minorEastAsia" w:eastAsiaTheme="minorEastAsia"/>
        </w:rPr>
      </w:pPr>
      <w:r>
        <w:rPr>
          <w:rFonts w:cs="宋体" w:asciiTheme="minorEastAsia" w:hAnsiTheme="minorEastAsia"/>
        </w:rPr>
        <w:t>最后报价是供应商响应文件的有效组成部分</w:t>
      </w:r>
      <w:r>
        <w:rPr>
          <w:rFonts w:hint="eastAsia" w:cs="宋体" w:asciiTheme="minorEastAsia" w:hAnsiTheme="minorEastAsia"/>
        </w:rPr>
        <w:t>。</w:t>
      </w:r>
    </w:p>
    <w:p>
      <w:pPr>
        <w:pStyle w:val="48"/>
        <w:autoSpaceDE w:val="0"/>
        <w:autoSpaceDN w:val="0"/>
        <w:spacing w:line="360" w:lineRule="auto"/>
        <w:ind w:left="964" w:firstLine="0" w:firstLineChars="0"/>
        <w:contextualSpacing/>
        <w:rPr>
          <w:rFonts w:ascii="ˎ̥" w:hAnsi="ˎ̥"/>
        </w:rPr>
      </w:pPr>
    </w:p>
    <w:p>
      <w:pPr>
        <w:pStyle w:val="4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协商办法与要求</w:t>
      </w:r>
    </w:p>
    <w:p>
      <w:pPr>
        <w:pStyle w:val="54"/>
        <w:spacing w:line="360" w:lineRule="auto"/>
        <w:ind w:left="989" w:leftChars="471" w:firstLine="0"/>
        <w:contextualSpacing/>
        <w:rPr>
          <w:rFonts w:cs="微软雅黑"/>
          <w:color w:val="000000"/>
        </w:rPr>
      </w:pPr>
      <w:r>
        <w:rPr>
          <w:rFonts w:hint="eastAsia" w:cs="微软雅黑"/>
          <w:color w:val="000000"/>
        </w:rPr>
        <w:t>采购人员与供应商商定合理的成交价格并保证采购项目质量。</w:t>
      </w:r>
    </w:p>
    <w:p>
      <w:pPr>
        <w:pStyle w:val="54"/>
        <w:spacing w:line="360" w:lineRule="auto"/>
        <w:ind w:left="105" w:leftChars="50" w:firstLine="315" w:firstLineChars="150"/>
        <w:contextualSpacing/>
        <w:rPr>
          <w:rFonts w:cs="微软雅黑"/>
          <w:color w:val="000000"/>
        </w:rPr>
      </w:pPr>
    </w:p>
    <w:p>
      <w:pPr>
        <w:pStyle w:val="4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cs="宋体" w:asciiTheme="minorEastAsia" w:hAnsiTheme="minorEastAsia"/>
          <w:b/>
          <w:kern w:val="0"/>
          <w:szCs w:val="21"/>
        </w:rPr>
        <w:t>编写</w:t>
      </w:r>
      <w:r>
        <w:rPr>
          <w:rFonts w:hint="eastAsia" w:cs="宋体" w:asciiTheme="minorEastAsia" w:hAnsiTheme="minorEastAsia"/>
          <w:b/>
          <w:kern w:val="0"/>
          <w:szCs w:val="21"/>
        </w:rPr>
        <w:t>协商情况记录</w:t>
      </w:r>
    </w:p>
    <w:p>
      <w:pPr>
        <w:tabs>
          <w:tab w:val="left" w:pos="1260"/>
        </w:tabs>
        <w:autoSpaceDE w:val="0"/>
        <w:autoSpaceDN w:val="0"/>
        <w:spacing w:line="360" w:lineRule="auto"/>
        <w:ind w:left="991" w:leftChars="472"/>
        <w:contextualSpacing/>
        <w:rPr>
          <w:rFonts w:ascii="宋体" w:hAnsi="宋体" w:eastAsia="宋体" w:cs="微软雅黑"/>
          <w:color w:val="000000"/>
          <w:kern w:val="0"/>
          <w:szCs w:val="21"/>
        </w:rPr>
      </w:pPr>
      <w:r>
        <w:rPr>
          <w:rFonts w:hint="eastAsia" w:ascii="宋体" w:hAnsi="宋体" w:eastAsia="宋体" w:cs="微软雅黑"/>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tabs>
          <w:tab w:val="left" w:pos="993"/>
        </w:tabs>
        <w:autoSpaceDE w:val="0"/>
        <w:autoSpaceDN w:val="0"/>
        <w:spacing w:line="360" w:lineRule="auto"/>
        <w:ind w:left="991" w:leftChars="467" w:hanging="10" w:hangingChars="5"/>
        <w:contextualSpacing/>
        <w:rPr>
          <w:rFonts w:cs="宋体" w:asciiTheme="minorEastAsia" w:hAnsiTheme="minorEastAsia"/>
          <w:kern w:val="0"/>
          <w:szCs w:val="21"/>
        </w:rPr>
      </w:pPr>
      <w:r>
        <w:rPr>
          <w:rFonts w:ascii="ˎ̥" w:hAnsi="ˎ̥"/>
        </w:rPr>
        <w:t>采购人应当在收到后5个工作日内，</w:t>
      </w:r>
      <w:r>
        <w:rPr>
          <w:rFonts w:hint="eastAsia" w:ascii="ˎ̥" w:hAnsi="ˎ̥"/>
        </w:rPr>
        <w:t>根据协商情况记录</w:t>
      </w:r>
      <w:r>
        <w:rPr>
          <w:rFonts w:ascii="ˎ̥" w:hAnsi="ˎ̥"/>
        </w:rPr>
        <w:t>提出的成交候选人确定成交供应商</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hanging="1" w:firstLineChars="0"/>
        <w:contextualSpacing/>
        <w:rPr>
          <w:rFonts w:cs="宋体" w:asciiTheme="minorEastAsia" w:hAnsiTheme="minorEastAsia"/>
          <w:b/>
          <w:kern w:val="0"/>
          <w:szCs w:val="21"/>
        </w:rPr>
      </w:pPr>
      <w:r>
        <w:rPr>
          <w:rFonts w:hint="eastAsia" w:cs="微软雅黑"/>
        </w:rPr>
        <w:t>出现下列情形之一的，采购人应当终止采购活动，发布项目终止公告并说明原因，重新开展采购活动：</w:t>
      </w:r>
    </w:p>
    <w:p>
      <w:pPr>
        <w:pStyle w:val="48"/>
        <w:numPr>
          <w:ilvl w:val="0"/>
          <w:numId w:val="27"/>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ascii="ˎ̥" w:hAnsi="ˎ̥"/>
        </w:rPr>
        <w:t>报价超过采购预算的。</w:t>
      </w:r>
    </w:p>
    <w:p>
      <w:pPr>
        <w:pStyle w:val="48"/>
        <w:autoSpaceDE w:val="0"/>
        <w:autoSpaceDN w:val="0"/>
        <w:spacing w:line="360" w:lineRule="auto"/>
        <w:ind w:left="964" w:firstLine="0" w:firstLineChars="0"/>
        <w:contextualSpacing/>
        <w:rPr>
          <w:rFonts w:ascii="ˎ̥" w:hAnsi="ˎ̥"/>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联系人。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采购</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8"/>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w:t>
            </w:r>
            <w:r>
              <w:rPr>
                <w:rFonts w:hint="eastAsia" w:asciiTheme="minorEastAsia" w:hAnsiTheme="minorEastAsia"/>
                <w:bCs/>
                <w:szCs w:val="21"/>
                <w:highlight w:val="none"/>
              </w:rPr>
              <w:t>人</w:t>
            </w:r>
            <w:r>
              <w:rPr>
                <w:rFonts w:hint="eastAsia" w:asciiTheme="minorEastAsia" w:hAnsiTheme="minorEastAsia"/>
                <w:bCs/>
                <w:szCs w:val="21"/>
                <w:highlight w:val="none"/>
                <w:lang w:eastAsia="zh-CN"/>
              </w:rPr>
              <w:t>、重大税收违法当事人</w:t>
            </w:r>
            <w:r>
              <w:rPr>
                <w:rFonts w:asciiTheme="minorEastAsia" w:hAnsiTheme="minorEastAsia"/>
                <w:bCs/>
                <w:szCs w:val="21"/>
                <w:highlight w:val="none"/>
              </w:rPr>
              <w:t>名单</w:t>
            </w:r>
            <w:r>
              <w:rPr>
                <w:rFonts w:hint="eastAsia" w:asciiTheme="minorEastAsia" w:hAnsiTheme="minorEastAsia"/>
                <w:bCs/>
                <w:szCs w:val="21"/>
                <w:highlight w:val="none"/>
              </w:rPr>
              <w:t>、</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 xml:space="preserve"> “中国社会组织公共服务平台”网站（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color w:val="auto"/>
                <w:szCs w:val="21"/>
              </w:rPr>
              <w:t>www.creditchina.gov.cn</w:t>
            </w:r>
            <w:r>
              <w:rPr>
                <w:rStyle w:val="29"/>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rPr>
              <w:t>（3）信用信</w:t>
            </w:r>
            <w:r>
              <w:rPr>
                <w:rFonts w:hint="eastAsia" w:asciiTheme="minorEastAsia" w:hAnsiTheme="minorEastAsia"/>
                <w:bCs/>
                <w:szCs w:val="21"/>
                <w:highlight w:val="none"/>
              </w:rPr>
              <w:t>息查询记录和证据留存具体方式：经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highlight w:val="none"/>
              </w:rPr>
              <w:t>（4）信用信息的使用原则：经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确认认定的被列入失信被执行人名</w:t>
            </w:r>
            <w:r>
              <w:rPr>
                <w:rFonts w:hint="eastAsia" w:asciiTheme="minorEastAsia" w:hAnsiTheme="minorEastAsia"/>
                <w:bCs/>
                <w:szCs w:val="21"/>
              </w:rPr>
              <w:t>单、</w:t>
            </w:r>
            <w:r>
              <w:rPr>
                <w:rFonts w:hint="eastAsia" w:cs="仿宋_GB2312" w:asciiTheme="minorEastAsia" w:hAnsiTheme="minorEastAsia"/>
                <w:szCs w:val="21"/>
              </w:rPr>
              <w:t>严重违法失信社会组织名单</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auto"/>
          <w:kern w:val="0"/>
          <w:sz w:val="32"/>
          <w:szCs w:val="32"/>
        </w:rPr>
        <w:t>第六章 合同条款及格式</w:t>
      </w:r>
      <w:r>
        <w:rPr>
          <w:rStyle w:val="31"/>
          <w:rFonts w:hint="eastAsia"/>
          <w:lang w:val="zh-CN"/>
        </w:rPr>
        <w:t>（参考样本）</w:t>
      </w:r>
    </w:p>
    <w:p>
      <w:pPr>
        <w:pStyle w:val="13"/>
        <w:spacing w:line="360" w:lineRule="auto"/>
        <w:contextualSpacing/>
        <w:jc w:val="center"/>
        <w:rPr>
          <w:rFonts w:cs="宋体" w:asciiTheme="majorEastAsia" w:hAnsiTheme="majorEastAsia" w:eastAsiaTheme="majorEastAsia"/>
          <w:b/>
          <w:kern w:val="0"/>
          <w:sz w:val="36"/>
          <w:szCs w:val="36"/>
        </w:rPr>
      </w:pPr>
    </w:p>
    <w:p>
      <w:pPr>
        <w:jc w:val="center"/>
      </w:pPr>
    </w:p>
    <w:p>
      <w:pPr>
        <w:jc w:val="cente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目    录</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定义和解释………………………………………………</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协议构成及适用顺序……………………………………</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服务项目及服务范围、期限……………………………</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项目投资计划与融资方案………………………………</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协议价款及资金支付……………………………………</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服务质量及保障措施……………………………………</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甲方的陈述和保证………………………………………</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乙方的陈述和保证………………………………………</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甲方的权利和义务………………………………………</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乙方的权利和义务………………………………………</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指定人员及联系人……………………………………</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权利保证和权利归属…………………………………</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转让和分包……………………………………………</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保密……………………………………………………</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不可抗力………………………………………………</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违约责任………………………………………………</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适用法律和争议解决…………………………………</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协议的变更、解除和终止……………………………</w:t>
      </w:r>
    </w:p>
    <w:p>
      <w:pPr>
        <w:pStyle w:val="48"/>
        <w:numPr>
          <w:ilvl w:val="0"/>
          <w:numId w:val="35"/>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协议效力………………………………………………</w:t>
      </w:r>
    </w:p>
    <w:p>
      <w:pPr>
        <w:pStyle w:val="48"/>
        <w:numPr>
          <w:ilvl w:val="0"/>
          <w:numId w:val="35"/>
        </w:numPr>
        <w:ind w:firstLineChars="0"/>
        <w:jc w:val="left"/>
        <w:rPr>
          <w:rFonts w:hint="eastAsia" w:asciiTheme="majorEastAsia" w:hAnsiTheme="majorEastAsia" w:eastAsiaTheme="majorEastAsia" w:cstheme="majorEastAsia"/>
          <w:sz w:val="28"/>
          <w:szCs w:val="28"/>
        </w:rPr>
        <w:sectPr>
          <w:pgSz w:w="11906" w:h="16838"/>
          <w:pgMar w:top="1440" w:right="1800" w:bottom="1440" w:left="1800" w:header="851" w:footer="992" w:gutter="0"/>
          <w:cols w:space="720" w:num="1"/>
          <w:titlePg/>
          <w:docGrid w:type="lines" w:linePitch="312" w:charSpace="0"/>
        </w:sectPr>
      </w:pPr>
      <w:r>
        <w:rPr>
          <w:rFonts w:hint="eastAsia" w:asciiTheme="majorEastAsia" w:hAnsiTheme="majorEastAsia" w:eastAsiaTheme="majorEastAsia" w:cstheme="majorEastAsia"/>
          <w:sz w:val="28"/>
          <w:szCs w:val="28"/>
        </w:rPr>
        <w:t xml:space="preserve">  协议附件………………………………………………</w:t>
      </w:r>
    </w:p>
    <w:p>
      <w:pPr>
        <w:pStyle w:val="48"/>
        <w:ind w:left="1125" w:firstLine="0" w:firstLineChars="0"/>
        <w:jc w:val="left"/>
        <w:rPr>
          <w:rFonts w:hint="eastAsia" w:asciiTheme="majorEastAsia" w:hAnsiTheme="majorEastAsia" w:eastAsiaTheme="majorEastAsia" w:cstheme="majorEastAsia"/>
          <w:sz w:val="28"/>
          <w:szCs w:val="28"/>
        </w:rPr>
      </w:pPr>
    </w:p>
    <w:p>
      <w:pPr>
        <w:spacing w:line="600" w:lineRule="exact"/>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法定代表人/负责人：</w:t>
      </w:r>
      <w:r>
        <w:rPr>
          <w:rFonts w:hint="eastAsia" w:asciiTheme="majorEastAsia" w:hAnsiTheme="majorEastAsia" w:eastAsiaTheme="majorEastAsia" w:cstheme="majorEastAsia"/>
          <w:sz w:val="28"/>
          <w:szCs w:val="28"/>
          <w:u w:val="single"/>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ind w:firstLine="570"/>
        <w:jc w:val="left"/>
        <w:rPr>
          <w:rFonts w:hint="eastAsia" w:asciiTheme="majorEastAsia" w:hAnsiTheme="majorEastAsia" w:eastAsiaTheme="majorEastAsia" w:cstheme="majorEastAsia"/>
          <w:b/>
          <w:sz w:val="28"/>
          <w:szCs w:val="28"/>
        </w:rPr>
      </w:pPr>
    </w:p>
    <w:p>
      <w:pPr>
        <w:spacing w:line="600" w:lineRule="exact"/>
        <w:ind w:firstLine="57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鉴于：</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许昌市东城区管委会</w:t>
      </w:r>
      <w:r>
        <w:rPr>
          <w:rFonts w:hint="eastAsia" w:asciiTheme="majorEastAsia" w:hAnsiTheme="majorEastAsia" w:eastAsiaTheme="majorEastAsia" w:cstheme="majorEastAsia"/>
          <w:sz w:val="28"/>
          <w:szCs w:val="28"/>
        </w:rPr>
        <w:t>拟实施东城区城中村改造建设管理办公室“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”项目。该项目已完成各项审批。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中华人民共和国预算法》、《中华人民共和国采购法》、《中共中央关于全面深化改革若干重大问题的决定》、《国务院办公厅关于政府向社会力量购买服务的指导意见》、《政府购买服务管理办法（暂行）》等有关规定和要求，</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lang w:eastAsia="zh-CN"/>
        </w:rPr>
        <w:t>遵照市</w:t>
      </w:r>
      <w:r>
        <w:rPr>
          <w:rFonts w:hint="eastAsia" w:asciiTheme="majorEastAsia" w:hAnsiTheme="majorEastAsia" w:eastAsiaTheme="majorEastAsia" w:cstheme="majorEastAsia"/>
          <w:sz w:val="28"/>
          <w:szCs w:val="28"/>
        </w:rPr>
        <w:t>政府</w:t>
      </w:r>
      <w:r>
        <w:rPr>
          <w:rFonts w:hint="eastAsia" w:asciiTheme="majorEastAsia" w:hAnsiTheme="majorEastAsia" w:eastAsiaTheme="majorEastAsia" w:cstheme="majorEastAsia"/>
          <w:sz w:val="28"/>
          <w:szCs w:val="28"/>
          <w:lang w:eastAsia="zh-CN"/>
        </w:rPr>
        <w:t>制定的政府</w:t>
      </w:r>
      <w:r>
        <w:rPr>
          <w:rFonts w:hint="eastAsia" w:asciiTheme="majorEastAsia" w:hAnsiTheme="majorEastAsia" w:eastAsiaTheme="majorEastAsia" w:cstheme="majorEastAsia"/>
          <w:sz w:val="28"/>
          <w:szCs w:val="28"/>
        </w:rPr>
        <w:t>向社会力量购买服务的政策措施和实施办法，以及政府购买服务的指导性目录，已将工程类项目纳入目录范畴。</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3、许昌市东城区管委会决定采取政府向社会力量购买服务的方式实施该项目，为公众提供</w:t>
      </w:r>
      <w:r>
        <w:rPr>
          <w:rFonts w:hint="eastAsia" w:asciiTheme="majorEastAsia" w:hAnsiTheme="majorEastAsia" w:eastAsiaTheme="majorEastAsia" w:cstheme="majorEastAsia"/>
          <w:sz w:val="28"/>
          <w:szCs w:val="28"/>
          <w:lang w:eastAsia="zh-CN"/>
        </w:rPr>
        <w:t>棚户区改造</w:t>
      </w:r>
      <w:r>
        <w:rPr>
          <w:rFonts w:hint="eastAsia" w:asciiTheme="majorEastAsia" w:hAnsiTheme="majorEastAsia" w:eastAsiaTheme="majorEastAsia" w:cstheme="majorEastAsia"/>
          <w:sz w:val="28"/>
          <w:szCs w:val="28"/>
        </w:rPr>
        <w:t>相关服务，该“政府购买服务”事项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关于</w:t>
      </w:r>
      <w:r>
        <w:rPr>
          <w:rFonts w:hint="eastAsia" w:asciiTheme="majorEastAsia" w:hAnsiTheme="majorEastAsia" w:eastAsiaTheme="majorEastAsia" w:cstheme="majorEastAsia"/>
          <w:sz w:val="28"/>
          <w:szCs w:val="28"/>
        </w:rPr>
        <w:t>东城区“</w:t>
      </w:r>
      <w:r>
        <w:rPr>
          <w:rFonts w:hint="eastAsia" w:asciiTheme="majorEastAsia" w:hAnsiTheme="majorEastAsia" w:eastAsiaTheme="majorEastAsia" w:cstheme="majorEastAsia"/>
          <w:sz w:val="28"/>
          <w:szCs w:val="28"/>
          <w:lang w:eastAsia="zh-CN"/>
        </w:rPr>
        <w:t>长村、长村安置小区建设项目</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采用</w:t>
      </w:r>
      <w:r>
        <w:rPr>
          <w:rFonts w:hint="eastAsia" w:asciiTheme="majorEastAsia" w:hAnsiTheme="majorEastAsia" w:eastAsiaTheme="majorEastAsia" w:cstheme="majorEastAsia"/>
          <w:sz w:val="28"/>
          <w:szCs w:val="28"/>
        </w:rPr>
        <w:t>政府向社会力量购买服务有关事宜的批复》审批。</w:t>
      </w:r>
    </w:p>
    <w:p>
      <w:pPr>
        <w:spacing w:line="600" w:lineRule="exact"/>
        <w:ind w:firstLine="420" w:firstLineChars="1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（甲方）作为本协议项下东城区城中村改造建设管理办公室“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”项目购买主体。</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5、</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（甲方）通过</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的采购方式，确定</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乙方）作为本协议项下东城区城中村改造建设管理办公室“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”项目的承接主体，符合有关法律法规的采购程序和资质要求，乙方愿意向甲方提供本协议约定的各项服务。</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现依据《中华人民共和国合同法》、《中华人民共和国政府采购法》等有关法律、法律的规定，遵循平等、自愿、公平和诚实信用的原则，经甲乙双方协商一致，就本项目达成本协议。</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第一条  定义和解释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（一）定义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sz w:val="28"/>
          <w:szCs w:val="28"/>
        </w:rPr>
        <w:t>即购买主体，指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，该机构代表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依据本协议购买乙方的服务，甲方的合法继承人和允许的受让人视同甲方。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sz w:val="28"/>
          <w:szCs w:val="28"/>
        </w:rPr>
        <w:t>即承接主体，指提供服务项目的一方，本协议指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，该公司依据中华人民共和国国家法律设立，在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注册，法定代表人为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。乙方的合法继承人和允许的受让人视同乙方。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b/>
          <w:sz w:val="28"/>
          <w:szCs w:val="28"/>
        </w:rPr>
        <w:t>融资机构：</w:t>
      </w:r>
      <w:r>
        <w:rPr>
          <w:rFonts w:hint="eastAsia" w:asciiTheme="majorEastAsia" w:hAnsiTheme="majorEastAsia" w:eastAsiaTheme="majorEastAsia" w:cstheme="majorEastAsia"/>
          <w:sz w:val="28"/>
          <w:szCs w:val="28"/>
        </w:rPr>
        <w:t>指与乙方签订融资协议、为本项目提供融资的金融机构。</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b/>
          <w:sz w:val="28"/>
          <w:szCs w:val="28"/>
        </w:rPr>
        <w:t>融资协议：</w:t>
      </w:r>
      <w:r>
        <w:rPr>
          <w:rFonts w:hint="eastAsia" w:asciiTheme="majorEastAsia" w:hAnsiTheme="majorEastAsia" w:eastAsiaTheme="majorEastAsia" w:cstheme="majorEastAsia"/>
          <w:sz w:val="28"/>
          <w:szCs w:val="28"/>
        </w:rPr>
        <w:t>指乙方与融资机构签署的为履行本协议规定的义务而获得融资机构融资的相关协议。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b/>
          <w:sz w:val="28"/>
          <w:szCs w:val="28"/>
        </w:rPr>
        <w:t>第三方：</w:t>
      </w:r>
      <w:r>
        <w:rPr>
          <w:rFonts w:hint="eastAsia" w:asciiTheme="majorEastAsia" w:hAnsiTheme="majorEastAsia" w:eastAsiaTheme="majorEastAsia" w:cstheme="majorEastAsia"/>
          <w:sz w:val="28"/>
          <w:szCs w:val="28"/>
        </w:rPr>
        <w:t>指甲乙双方以外的任何自然人、法人、机构、组织、单位、实体等。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b/>
          <w:sz w:val="28"/>
          <w:szCs w:val="28"/>
        </w:rPr>
        <w:t>本项目：</w:t>
      </w:r>
      <w:r>
        <w:rPr>
          <w:rFonts w:hint="eastAsia" w:asciiTheme="majorEastAsia" w:hAnsiTheme="majorEastAsia" w:eastAsiaTheme="majorEastAsia" w:cstheme="majorEastAsia"/>
          <w:sz w:val="28"/>
          <w:szCs w:val="28"/>
        </w:rPr>
        <w:t>指东城区城中村改造建设管理办公室“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”项目（以下简称“本项目”）。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b/>
          <w:sz w:val="28"/>
          <w:szCs w:val="28"/>
        </w:rPr>
        <w:t>项目交付日：</w:t>
      </w:r>
      <w:r>
        <w:rPr>
          <w:rFonts w:hint="eastAsia" w:asciiTheme="majorEastAsia" w:hAnsiTheme="majorEastAsia" w:eastAsiaTheme="majorEastAsia" w:cstheme="majorEastAsia"/>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b/>
          <w:sz w:val="28"/>
          <w:szCs w:val="28"/>
        </w:rPr>
        <w:t>服务：</w:t>
      </w:r>
      <w:r>
        <w:rPr>
          <w:rFonts w:hint="eastAsia" w:asciiTheme="majorEastAsia" w:hAnsiTheme="majorEastAsia" w:eastAsiaTheme="majorEastAsia" w:cstheme="majorEastAsia"/>
          <w:sz w:val="28"/>
          <w:szCs w:val="28"/>
        </w:rPr>
        <w:t>指甲方依据本协议第三条第（二）款规定从乙方购买的各项服务。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b/>
          <w:sz w:val="28"/>
          <w:szCs w:val="28"/>
        </w:rPr>
        <w:t>书面形式：</w:t>
      </w:r>
      <w:r>
        <w:rPr>
          <w:rFonts w:hint="eastAsia" w:asciiTheme="majorEastAsia" w:hAnsiTheme="majorEastAsia" w:eastAsiaTheme="majorEastAsia" w:cstheme="majorEastAsia"/>
          <w:sz w:val="28"/>
          <w:szCs w:val="28"/>
        </w:rPr>
        <w:t>指有形表现所载内容的形式，包括协议文件、信件、电报、传真、电子邮件等。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b/>
          <w:sz w:val="28"/>
          <w:szCs w:val="28"/>
        </w:rPr>
        <w:t>“中国”：</w:t>
      </w:r>
      <w:r>
        <w:rPr>
          <w:rFonts w:hint="eastAsia" w:asciiTheme="majorEastAsia" w:hAnsiTheme="majorEastAsia" w:eastAsiaTheme="majorEastAsia" w:cstheme="majorEastAsia"/>
          <w:sz w:val="28"/>
          <w:szCs w:val="28"/>
        </w:rPr>
        <w:t>指中华人民共和国，为本协议之目的，仅指中国大陆地区，不包括中国香港特别行政区、中国澳门特别行政区及中国台湾地区；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b/>
          <w:sz w:val="28"/>
          <w:szCs w:val="28"/>
        </w:rPr>
        <w:t>“元”：</w:t>
      </w:r>
      <w:r>
        <w:rPr>
          <w:rFonts w:hint="eastAsia" w:asciiTheme="majorEastAsia" w:hAnsiTheme="majorEastAsia" w:eastAsiaTheme="majorEastAsia" w:cstheme="majorEastAsia"/>
          <w:sz w:val="28"/>
          <w:szCs w:val="28"/>
        </w:rPr>
        <w:t>指人民币元。</w:t>
      </w:r>
    </w:p>
    <w:p>
      <w:pPr>
        <w:spacing w:line="600" w:lineRule="exact"/>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除非本协议另有说明，下属词语在本协议中应适用本条规定的释义：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1、“一方”或“各方”指本协议的一方或各方。本协议的各方均包括其各自的合法继承人和获准受让人；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2、“资产”包括现有和将来的任何类别的财产、收入及权益；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3、“修订”包括补充、更新、替换或重新制订（“被修订”应作相应解释）。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第二条  本协议构成及适用顺序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（一）本协议由下述文件构成：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1、本协议及其各项修订文件、变更协议；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2、本协议附件；</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关于本协议内容的争议应按照下述顺序适用本协议文件予以澄清：（1）本协议；（2）协议附件。上述文件中上衣序位文件与下一序位文件内容相矛盾时，应优先适用上一序位文件标准澄清本协议的规定。</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（三）本协议构成签约方就本协议所涉及的事项而订立的完整协议，并取代双方任何先前就本项目签订的协议或安排。</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（四）本协议条款标题仅为方便之用，不影响条款内容的解释。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第三条  服务项目及服务范围、期限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（一）服务项目概况</w:t>
      </w:r>
    </w:p>
    <w:p>
      <w:pPr>
        <w:spacing w:line="600" w:lineRule="exact"/>
        <w:ind w:firstLine="560" w:firstLineChars="200"/>
        <w:rPr>
          <w:rFonts w:hint="eastAsia" w:asciiTheme="majorEastAsia" w:hAnsiTheme="majorEastAsia" w:eastAsiaTheme="majorEastAsia" w:cstheme="majorEastAsia"/>
          <w:sz w:val="28"/>
          <w:szCs w:val="28"/>
          <w:u w:val="none"/>
        </w:rPr>
      </w:pPr>
      <w:r>
        <w:rPr>
          <w:rFonts w:hint="eastAsia" w:asciiTheme="majorEastAsia" w:hAnsiTheme="majorEastAsia" w:eastAsiaTheme="majorEastAsia" w:cstheme="majorEastAsia"/>
          <w:sz w:val="28"/>
          <w:szCs w:val="28"/>
        </w:rPr>
        <w:t>本项目采购金额合计</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万元，包括自筹资金</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万元，银行贷款</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万元和服务费</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万元（包含银行利息，以银行实际发生额为准），期限</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年，用于东城区城中村改造建设管理办公室“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”项目</w:t>
      </w:r>
      <w:r>
        <w:rPr>
          <w:rFonts w:hint="eastAsia" w:asciiTheme="majorEastAsia" w:hAnsiTheme="majorEastAsia" w:eastAsiaTheme="majorEastAsia" w:cstheme="majorEastAsia"/>
          <w:sz w:val="28"/>
          <w:szCs w:val="28"/>
          <w:u w:val="none"/>
          <w:lang w:val="en-US" w:eastAsia="zh-CN"/>
        </w:rPr>
        <w:t>建</w:t>
      </w:r>
      <w:r>
        <w:rPr>
          <w:rFonts w:hint="eastAsia" w:asciiTheme="majorEastAsia" w:hAnsiTheme="majorEastAsia" w:eastAsiaTheme="majorEastAsia" w:cstheme="majorEastAsia"/>
          <w:sz w:val="28"/>
          <w:szCs w:val="28"/>
          <w:u w:val="none"/>
        </w:rPr>
        <w:t xml:space="preserve">设。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（二）服务范围和内容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甲乙双方按照自愿平等原则，经协商一致，甲方向乙方购买东城区城中村改造建设管理办公室“</w:t>
      </w:r>
      <w:r>
        <w:rPr>
          <w:rFonts w:hint="eastAsia" w:asciiTheme="majorEastAsia" w:hAnsiTheme="majorEastAsia" w:eastAsiaTheme="majorEastAsia" w:cstheme="majorEastAsia"/>
          <w:sz w:val="28"/>
          <w:szCs w:val="28"/>
          <w:lang w:eastAsia="zh-CN"/>
        </w:rPr>
        <w:t>长村安置小区建设</w:t>
      </w:r>
      <w:r>
        <w:rPr>
          <w:rFonts w:hint="eastAsia" w:asciiTheme="majorEastAsia" w:hAnsiTheme="majorEastAsia" w:eastAsiaTheme="majorEastAsia" w:cstheme="majorEastAsia"/>
          <w:sz w:val="28"/>
          <w:szCs w:val="28"/>
        </w:rPr>
        <w:t xml:space="preserve">”项目涉及的下属服务：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1、土地征收补偿；</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2、项目安置住房筹集；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3、总承包商服务；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4、监理服务；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5、购买主体根据本项目实际情况提出的其他服务内容；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甲乙双方确认，在任何情况下，除非甲方另行书面同意，乙方完成本项目规定的所有服务的期限为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年，具体期限以乙方与融资机构签署的融资协议为准。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（四）服务范围及服务期限的修改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因乙方原因导致服务中一项或多项服务不能按照本协议中双方同意的期限完成或提供服务的，乙方应在发现该等服务不能按期完成后立即书面通知甲方和融资机构，甲乙双方应就有关服务期限修改及对乙方还款能力的影响达成书面意见并取得融资机构同意。</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第四条  项目投资计划与融资方案</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（一）甲乙双方确认，按照该项目的审批文件，本项目总投资为</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万元。乙方为按期履行义务，资金筹措计划如下：（1）</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安排或筹集项目资本金</w:t>
      </w:r>
      <w:bookmarkStart w:id="0" w:name="OLE_LINK2"/>
      <w:bookmarkStart w:id="1" w:name="OLE_LINK1"/>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w:t>
      </w:r>
      <w:bookmarkEnd w:id="0"/>
      <w:bookmarkEnd w:id="1"/>
      <w:r>
        <w:rPr>
          <w:rFonts w:hint="eastAsia" w:asciiTheme="majorEastAsia" w:hAnsiTheme="majorEastAsia" w:eastAsiaTheme="majorEastAsia" w:cstheme="majorEastAsia"/>
          <w:sz w:val="28"/>
          <w:szCs w:val="28"/>
        </w:rPr>
        <w:t>，占总投资的</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；（2）乙方拟向融资机构申请融资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万元，占总投资的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（二）为保障本协议履行，甲方同意乙方向金融机构申请融资，并保证乙方确实履行融资协议中约定的相关事项。</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第五条  协议价款及资金支付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》和项目中标通知书，本项目中甲方购买乙方服务的协议总价款为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万元（包括乙方向融资机构申请的融资、融资成本和项目投入的收益）。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（二）甲方承诺将积极筹集本协议约定的各项资金，资金来源于</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财政性资金，已在财政预算中统筹安排，并将在本协议期内滚动纳入未来年度本级财政预算支出管理。如项目超投资由</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资金补足；甲方应严格如约支付政府采购款，不受项目建设及运营情况影响。</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（三）本协议项下资金支付计划初步安排如下：</w:t>
      </w:r>
    </w:p>
    <w:p>
      <w:pPr>
        <w:spacing w:line="600" w:lineRule="exac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购买服务费用年度支付计划 </w:t>
      </w:r>
    </w:p>
    <w:tbl>
      <w:tblPr>
        <w:tblStyle w:val="24"/>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年度</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购买服务费用金额（万元）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2019年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2020年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2022年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2023年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2024年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2026年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   计</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bl>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或相关职能部门批复同意后，甲方同意相应地调整资金支付计划，以满足本项目正常建设及融资本息的足额偿还。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开户银行：</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账    户：</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收 款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（八）未经本协议指定融资机构书面同意，上述账户不得变更。</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第六条  服务质量及保障措施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（一）乙方提供各项服务的质量标准应依据下述顺序确定：</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1、国家质量控制标准；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2、没有国家标准的，应适用行业质量标准；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3、没有国家或行业质量标准的应适用省级质量标准；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4、没有国家、省级、行业质量标准的，甲乙双方应协商确定可以适用的服务质量标准。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（七）乙方对其提供的服务质量应按照国家规定承担相应的产品维修、消费者保护及缺陷修复、质量赔偿责任。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第七条  甲方的陈述和保证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（一）甲方已经获得</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的有效授权，负责购买本协议所规定的各项服务，并代表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与乙方签署本协议。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（二）甲方签署并履行本协议不会违反任何法律法规，也不会侵犯任何第三方的权益。</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（三）甲方保证本协议涉及的财政支出责任已经按照相关法律规定获得必备的批准及授权，逐年纳入</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财政预算管理。在本协议期内，甲方将严格按照本协议约定时间支付对应款项。</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第八条  乙方的陈述和保证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（一）乙方为依法设立、有独立承担民事责任的能力的法人，符合国家有关政事分开、政社分开、政企分开的要求。</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（六）乙方按照税收减免政策自行缴付所有税项、费用、收费及款项。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（七）乙方向甲方或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提供的所有文件资料真实、准确、完整，向甲方作出的所有陈述和保证在本协议有效期内真实有效。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第九条  甲方的权利和义务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1、甲方有权随时向乙方了解项目进度并要求乙方提供项目相关资料。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3、甲方有权对乙方就本项目注资和融资情况实施监督管理。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1、甲方应按本协议约定的购买服务资金年度支付计划向乙方核拨购买服务资金，并协调</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相关部门依法将购买服务资金逐年纳入未来年度政府财政预算和采购资金预算。如项目超投资由许昌市</w:t>
      </w:r>
      <w:r>
        <w:rPr>
          <w:rFonts w:hint="eastAsia" w:asciiTheme="majorEastAsia" w:hAnsiTheme="majorEastAsia" w:eastAsiaTheme="majorEastAsia" w:cstheme="majorEastAsia"/>
          <w:sz w:val="28"/>
          <w:szCs w:val="28"/>
          <w:lang w:eastAsia="zh-CN"/>
        </w:rPr>
        <w:t>东城区</w:t>
      </w:r>
      <w:r>
        <w:rPr>
          <w:rFonts w:hint="eastAsia" w:asciiTheme="majorEastAsia" w:hAnsiTheme="majorEastAsia" w:eastAsiaTheme="majorEastAsia" w:cstheme="majorEastAsia"/>
          <w:sz w:val="28"/>
          <w:szCs w:val="28"/>
        </w:rPr>
        <w:t>财政性资金补足；甲方应严格如约支付政府采购款，不受项目建设及运营情况影响。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2、甲方应及时向乙方提供与履行本协议相关的所有必须的文件、资料。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3、甲方应按本协议约定完成由其落实的审批事项，提供协议实施条件。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4、甲方应为乙方在协议履行过程中与相关政府部门及其他第三方的沟通、协调提供必要的协助。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5、甲方应当按照本协议的约定为乙方就本项目的融资提供必要的协助，包括由甲方或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及其职能部门出具相关的同意或证明文件等。</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第十条  乙方的权利和义务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1、协议乙方有权按照本协议约定向甲方收取服务费用。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2、协议乙方有权自甲方处获得与提供本协议项下服务相关的所有必须的文件、资料。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3、乙方不得以本项目所涉任何资产或权利 进行抵押、质押、资产证券化、融资租赁等融资。</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6、乙方应对项目资金进行规范的财务管理和会计核算，加强自身监督，确保资金规范管理和使用。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8、乙方应建立健全财务报告制度，按要求向甲方提供资金的使用情况、项目执行情况、成果总结等材料。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第十一条  指定人员及联系人</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（一）指定人员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作为甲方代表，负责与乙方的联络沟通及本协议履行中的各项事宜。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作为乙方代表，负责与甲方的联络沟通及本协议履行中的各项事宜。</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甲方联系人：           　　　 乙方联系人：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电话：</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传真：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传真：</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第十二条  权利保证和权利归属</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（一）权利保证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乙方保证其所提供之服务不侵犯任何第三方的权利和知识产权。</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（二）权利归属</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1、甲方向乙方提供的与履行协议相关的文件资料，其知识产权归甲方或甲方指定之第三方所有。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2、乙方及其工作人员在为甲方提供服务的期间所产生的所有知识产权归乙方所有。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第十三条  转让和分包</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（二）未经甲方事先书面同意，乙方不得将本协议分包给任何第三方，包括乙方关联企业。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（三）乙方不得将本协议转包给任何第三方，包括乙方关联企业。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（四）经甲方事先书面同意，乙方将本协议转让或分包的，应选择具有特定资质的第三方。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（五）经甲方事先书面同意，乙方将本协议分包的，应就分包部分向甲方承担责任。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第十四条  保密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（二）乙方应对该保密信息采取保密措施，且仅得为本协议之目的使用该保密信息。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（四）乙方应保证其工作人员、代理人等遵守本条有关保密的约定，且该约定不因本协议终止或者解除而失效。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第十五条  不可抗力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（一）如果乙方因不可抗力而导致协议履行延误或不能履行协议义务，不应承担赔偿或终止协议的责任。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第十六条  违约责任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（五）甲方发生下述违约行为时，乙方有权要求甲方相应顺延乙方履行协议义务的时间并赔偿乙方的损失：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2、甲方未按本协议约定履行支付预付款、服务价款或政府补偿款等金钱支付义务；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3、如政府补偿标准无法覆盖本息，且甲方拒绝调整政府补偿标准；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4、甲方未能按照本协议约定履行验收义务；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5、其他双方商定的情形。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（六）乙方发生下述违约，甲方有权以下述一种或多种方式获得违约补偿：（1）停止违约并赔偿损失；（2）要求乙方重新提供相关服务或采取其他补救措施；（</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）聘请第三方机构纠正乙方违约所造成的损失；（</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）要求乙方支付相应的违约赔偿；（</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）要求乙方中止相关服务，重新配备履行协议的人员或其他条件；（</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）其他解除协议以外的并符合法律规定的违约补救措施：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1、乙方未能履行本协议约定的金钱支付义务，其中包括交付投资或垫资款等；</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2、乙方提供的服务质量与协议规定不符；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3、乙方违反本协议约定的有关信息提供及配合甲方质量检查的义务；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4、乙方未能按照协议约定时间提供相应服务或服务结果；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5、甲方认为乙方服务没有达到本协议规定的服务标准时应立即书面通知乙方，乙方应在10个工作日内对甲方的不达标通知予以答复；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6、确系乙方原因造成相应服务未达约定的服务标准的，乙方应在60个工作日内负责完善直至达到协议约定的服务标准，相应费用由乙方自行承担。</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第十七条  适用法律和争议解决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（一）本协议适用中华人民共和国法律。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1、提交</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进行仲裁。仲裁地点在</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。仲裁裁决是终局的，对双方均有约束力。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2、向乙方所在地人民法院提起诉讼。</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（三）争议解决期间，除争议事项外，双方应继续履行本协议。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第十八条  协议的变更、解除和终止</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（一）变更、解除和终止的事由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3、法律规定或本协议约定的其他事由。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（二）变更、解除和终止的后果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1、一方收到对方解除协议的通知或向对方发出解除协议的通知后，应立即停止履行与本协议相关的工作。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2、双方应进行清算。经乙方提供书面证明文件，甲方应按下列方式支付价款，本协议另有约定的除外：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第十九条  协议效力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（三）本协议在满足下述条件时生效：本协议经各方盖章，并经法定代表人（负责人）或授权代表签署；</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（四）甲方支付本协议项下的全部资金，且乙方偿还项目全部贷款本息后，本协议终止。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（五）本协议一式</w:t>
      </w:r>
      <w:r>
        <w:rPr>
          <w:rFonts w:hint="eastAsia" w:asciiTheme="majorEastAsia" w:hAnsiTheme="majorEastAsia" w:eastAsiaTheme="majorEastAsia" w:cstheme="majorEastAsia"/>
          <w:sz w:val="28"/>
          <w:szCs w:val="28"/>
          <w:u w:val="single"/>
          <w:lang w:eastAsia="zh-CN"/>
        </w:rPr>
        <w:t>陆</w:t>
      </w:r>
      <w:r>
        <w:rPr>
          <w:rFonts w:hint="eastAsia" w:asciiTheme="majorEastAsia" w:hAnsiTheme="majorEastAsia" w:eastAsiaTheme="majorEastAsia" w:cstheme="majorEastAsia"/>
          <w:sz w:val="28"/>
          <w:szCs w:val="28"/>
        </w:rPr>
        <w:t>份，具有同等法律效力。其中，甲方执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份、乙方执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份，其余报政府、财政等相关部门备案。</w:t>
      </w:r>
    </w:p>
    <w:p>
      <w:pPr>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甲方：（盖章）</w:t>
      </w:r>
    </w:p>
    <w:p>
      <w:pPr>
        <w:jc w:val="left"/>
        <w:rPr>
          <w:rFonts w:hint="eastAsia" w:asciiTheme="majorEastAsia" w:hAnsiTheme="majorEastAsia" w:eastAsiaTheme="majorEastAsia" w:cstheme="majorEastAsia"/>
          <w:sz w:val="28"/>
          <w:szCs w:val="28"/>
        </w:rPr>
      </w:pPr>
    </w:p>
    <w:p>
      <w:pPr>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法定代表人（负责人）（或授权代理人）（签字）: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签约日期：                      年   月   日</w:t>
      </w:r>
    </w:p>
    <w:p>
      <w:pPr>
        <w:ind w:firstLine="562" w:firstLineChars="200"/>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乙方：（盖章）</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spacing w:line="360" w:lineRule="auto"/>
        <w:ind w:right="480"/>
        <w:rPr>
          <w:rFonts w:hint="eastAsia" w:ascii="宋体" w:hAnsi="宋体"/>
          <w:sz w:val="28"/>
          <w:szCs w:val="28"/>
        </w:rPr>
      </w:pPr>
      <w:r>
        <w:rPr>
          <w:rFonts w:hint="eastAsia" w:asciiTheme="majorEastAsia" w:hAnsiTheme="majorEastAsia" w:eastAsiaTheme="majorEastAsia" w:cstheme="majorEastAsia"/>
          <w:sz w:val="28"/>
          <w:szCs w:val="28"/>
        </w:rPr>
        <w:t xml:space="preserve">签约日期：                      年   月  </w:t>
      </w:r>
      <w:r>
        <w:rPr>
          <w:rFonts w:hint="eastAsia" w:ascii="宋体" w:hAnsi="宋体"/>
          <w:sz w:val="24"/>
          <w:szCs w:val="28"/>
        </w:rPr>
        <w:t xml:space="preserve">                                      </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“第五章资格审查与评审”资格审查表中序号3要求，根据所提供经审计财务报告、基本开户银行资信证明、银行资信证明、政府采购投标担保函情况填写其中一项即可。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“第五章资格审查与评审”资格审查表中序号6要求提供，根据所提供证明材料或承诺函（声明）情况填写其中一项即可。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二、开标一览表（服务承诺表）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投标范围</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服务承诺</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满足采购文件项目需求及采购文件其他要求。</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_（项目名称、招标编号）采购的单一来源采购公告及邀请，_______（姓名和职务）被正式授权并代表供应商（供应商名称、地址）提交。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一、按招标文件提供的相关服务承诺详见《开标一览表（服务承诺表）》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单一来源采购</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asciiTheme="minorEastAsia" w:hAnsiTheme="minorEastAsia"/>
          <w:bCs/>
          <w:color w:val="000000"/>
          <w:szCs w:val="21"/>
        </w:rPr>
      </w:pPr>
      <w:r>
        <w:rPr>
          <w:rFonts w:hint="eastAsia" w:asciiTheme="minorEastAsia" w:hAnsiTheme="minorEastAsia"/>
          <w:bCs/>
          <w:color w:val="000000"/>
          <w:szCs w:val="21"/>
        </w:rPr>
        <w:t>供应商名称（并加盖公章）：</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加本单一来源采购</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rPr>
          <w:rFonts w:hint="eastAsia"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24"/>
          <w:szCs w:val="24"/>
        </w:rPr>
        <w:t>4.</w:t>
      </w:r>
      <w:r>
        <w:rPr>
          <w:rFonts w:hint="eastAsia" w:ascii="宋体" w:hAnsi="宋体"/>
          <w:b/>
          <w:bCs/>
          <w:sz w:val="24"/>
          <w:szCs w:val="24"/>
          <w:lang w:val="en-US" w:eastAsia="zh-CN"/>
        </w:rPr>
        <w:t>1</w:t>
      </w:r>
      <w:r>
        <w:rPr>
          <w:rFonts w:hint="eastAsia" w:ascii="宋体" w:hAnsi="宋体"/>
          <w:b/>
          <w:bCs/>
          <w:sz w:val="24"/>
          <w:szCs w:val="24"/>
        </w:rPr>
        <w:t xml:space="preserve"> </w:t>
      </w:r>
      <w:r>
        <w:rPr>
          <w:rFonts w:hint="eastAsia" w:asciiTheme="majorEastAsia" w:hAnsiTheme="majorEastAsia" w:eastAsiaTheme="majorEastAsia" w:cstheme="majorEastAsia"/>
          <w:b/>
          <w:bCs/>
          <w:sz w:val="24"/>
        </w:rPr>
        <w:t>项目实施方案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int="eastAsia" w:ascii="宋体" w:hAnsi="宋体"/>
          <w:b/>
          <w:bCs/>
          <w:sz w:val="24"/>
          <w:szCs w:val="24"/>
        </w:rPr>
      </w:pPr>
    </w:p>
    <w:p>
      <w:pPr>
        <w:autoSpaceDE w:val="0"/>
        <w:autoSpaceDN w:val="0"/>
        <w:adjustRightInd w:val="0"/>
        <w:spacing w:line="360" w:lineRule="auto"/>
        <w:jc w:val="center"/>
        <w:rPr>
          <w:rFonts w:hint="eastAsia" w:ascii="宋体" w:hAnsi="宋体"/>
          <w:b/>
          <w:bCs/>
          <w:sz w:val="24"/>
          <w:szCs w:val="24"/>
        </w:rPr>
      </w:pP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宋体" w:hAnsi="宋体"/>
          <w:b/>
          <w:bCs/>
          <w:sz w:val="24"/>
          <w:szCs w:val="24"/>
        </w:rPr>
        <w:t>4.</w:t>
      </w:r>
      <w:r>
        <w:rPr>
          <w:rFonts w:hint="eastAsia" w:ascii="宋体" w:hAnsi="宋体"/>
          <w:b/>
          <w:bCs/>
          <w:sz w:val="24"/>
          <w:szCs w:val="24"/>
          <w:lang w:val="en-US" w:eastAsia="zh-CN"/>
        </w:rPr>
        <w:t xml:space="preserve">2 </w:t>
      </w:r>
      <w:r>
        <w:rPr>
          <w:rFonts w:hint="eastAsia" w:asciiTheme="majorEastAsia" w:hAnsiTheme="majorEastAsia" w:eastAsiaTheme="majorEastAsia" w:cstheme="majorEastAsia"/>
          <w:b/>
          <w:bCs/>
          <w:sz w:val="24"/>
        </w:rPr>
        <w:t>融资方案</w:t>
      </w:r>
    </w:p>
    <w:p>
      <w:pPr>
        <w:autoSpaceDE w:val="0"/>
        <w:autoSpaceDN w:val="0"/>
        <w:adjustRightInd w:val="0"/>
        <w:spacing w:line="360" w:lineRule="auto"/>
        <w:jc w:val="center"/>
        <w:rPr>
          <w:rFonts w:hint="eastAsia"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en-US" w:eastAsia="zh-CN"/>
        </w:rPr>
        <w:t>4.3</w:t>
      </w:r>
      <w:r>
        <w:rPr>
          <w:rFonts w:hint="eastAsia" w:asciiTheme="majorEastAsia" w:hAnsiTheme="majorEastAsia" w:eastAsiaTheme="majorEastAsia" w:cstheme="majorEastAsia"/>
          <w:b/>
          <w:bCs/>
          <w:sz w:val="24"/>
          <w:lang w:val="zh-CN"/>
        </w:rPr>
        <w:t>投标人基本情况说明</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（1）企业名称：＿＿＿＿＿＿＿＿＿＿＿＿＿＿＿＿＿＿</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（2）企业性质：＿＿＿＿＿＿＿＿＿＿＿＿＿＿＿＿＿＿</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（3）企业地址：＿＿＿＿＿＿＿＿＿＿＿＿＿＿＿＿＿＿＿</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电传/传真/电话号码：＿＿＿＿＿＿＿＿＿＿＿＿＿＿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（4）成立和/或注册日期：＿＿＿＿＿＿＿＿＿＿＿＿＿＿＿＿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注册资金：＿＿＿＿＿＿＿＿</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营业执照号码＿＿＿＿＿＿＿＿</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执业资格证书号码＿＿＿＿＿＿＿＿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（5）企业法人姓名：＿＿＿＿＿＿；</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办公电话：＿＿＿＿＿＿    手机：＿＿＿＿＿＿</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（6）企业财务状况：</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①固定资产：＿＿＿＿＿＿＿＿＿＿＿＿＿＿＿＿＿＿</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原值：＿＿＿＿＿＿＿＿＿＿＿＿＿＿＿＿＿＿＿＿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净值：＿＿＿＿＿＿＿＿＿＿＿＿＿＿＿＿＿＿＿＿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②流动资金：＿＿＿＿＿＿＿＿＿＿＿＿＿＿＿＿＿＿</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③长期负债：＿＿＿＿＿＿＿＿＿＿＿＿＿＿＿＿＿＿</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④短期负债：＿＿＿＿＿＿＿＿＿＿＿＿＿＿＿＿＿＿</w:t>
      </w:r>
    </w:p>
    <w:p>
      <w:pPr>
        <w:autoSpaceDE w:val="0"/>
        <w:autoSpaceDN w:val="0"/>
        <w:adjustRightInd w:val="0"/>
        <w:snapToGrid w:val="0"/>
        <w:spacing w:line="360" w:lineRule="auto"/>
        <w:ind w:firstLine="960" w:firstLineChars="4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⑤资金来源：＿＿＿＿＿＿＿＿＿＿＿＿＿＿＿＿＿＿</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自有资金：＿＿＿＿＿＿＿＿＿＿＿＿＿＿＿＿＿＿</w:t>
      </w:r>
    </w:p>
    <w:p>
      <w:pPr>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银行贷款：＿＿＿＿＿＿＿＿＿＿＿＿＿＿＿＿＿＿</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（7）企业人员状况：</w:t>
      </w:r>
    </w:p>
    <w:tbl>
      <w:tblPr>
        <w:tblStyle w:val="2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r>
    </w:tbl>
    <w:p>
      <w:pPr>
        <w:spacing w:line="360" w:lineRule="auto"/>
        <w:ind w:right="16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（8）</w:t>
      </w:r>
      <w:r>
        <w:rPr>
          <w:rFonts w:hint="eastAsia" w:asciiTheme="majorEastAsia" w:hAnsiTheme="majorEastAsia" w:eastAsiaTheme="majorEastAsia" w:cstheme="majorEastAsia"/>
          <w:sz w:val="24"/>
        </w:rPr>
        <w:t>企业资质、其他需要说明的情况：</w:t>
      </w:r>
      <w:r>
        <w:rPr>
          <w:rFonts w:hint="eastAsia" w:asciiTheme="majorEastAsia" w:hAnsiTheme="majorEastAsia" w:eastAsiaTheme="majorEastAsia" w:cstheme="majorEastAsia"/>
          <w:bCs/>
          <w:sz w:val="24"/>
          <w:lang w:val="zh-CN"/>
        </w:rPr>
        <w:t>＿＿＿＿＿＿＿＿＿＿＿＿＿＿＿＿＿＿＿＿＿＿＿＿＿＿＿＿＿＿＿＿＿＿＿＿＿＿＿＿＿＿＿＿＿＿＿＿＿＿＿＿＿＿＿＿＿＿＿＿＿＿＿＿＿＿＿＿＿＿＿</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注：1、法人及其联系信息必须准确填写；</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2、某项内容行数不够，投标人可另行加行或另附内容。</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法定代表人（签字或盖章）：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投标人代表（签字或盖章）：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年    月    日</w:t>
      </w:r>
    </w:p>
    <w:p>
      <w:pPr>
        <w:pStyle w:val="23"/>
        <w:rPr>
          <w:rFonts w:hint="default" w:eastAsia="宋体"/>
          <w:lang w:val="en-US"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
    <w:p/>
    <w:p/>
    <w:p/>
    <w:p/>
    <w:p/>
    <w:p/>
    <w:p/>
    <w:p/>
    <w:p/>
    <w:p/>
    <w:p/>
    <w:sectPr>
      <w:headerReference r:id="rId8" w:type="default"/>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9" o:spid="_x0000_s102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7C1BC"/>
    <w:multiLevelType w:val="singleLevel"/>
    <w:tmpl w:val="B407C1BC"/>
    <w:lvl w:ilvl="0" w:tentative="0">
      <w:start w:val="1"/>
      <w:numFmt w:val="decimal"/>
      <w:lvlText w:val="%1."/>
      <w:lvlJc w:val="left"/>
      <w:pPr>
        <w:tabs>
          <w:tab w:val="left" w:pos="312"/>
        </w:tabs>
      </w:pPr>
    </w:lvl>
  </w:abstractNum>
  <w:abstractNum w:abstractNumId="1">
    <w:nsid w:val="C00EBEBA"/>
    <w:multiLevelType w:val="singleLevel"/>
    <w:tmpl w:val="C00EBEBA"/>
    <w:lvl w:ilvl="0" w:tentative="0">
      <w:start w:val="1"/>
      <w:numFmt w:val="decimal"/>
      <w:suff w:val="nothing"/>
      <w:lvlText w:val="%1、"/>
      <w:lvlJc w:val="left"/>
    </w:lvl>
  </w:abstractNum>
  <w:abstractNum w:abstractNumId="2">
    <w:nsid w:val="F0C8AB1C"/>
    <w:multiLevelType w:val="singleLevel"/>
    <w:tmpl w:val="F0C8AB1C"/>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920E3F"/>
    <w:multiLevelType w:val="multilevel"/>
    <w:tmpl w:val="00920E3F"/>
    <w:lvl w:ilvl="0" w:tentative="0">
      <w:start w:val="1"/>
      <w:numFmt w:val="decimal"/>
      <w:lvlText w:val="21.2.%1"/>
      <w:lvlJc w:val="left"/>
      <w:pPr>
        <w:ind w:left="1384"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911F53"/>
    <w:multiLevelType w:val="multilevel"/>
    <w:tmpl w:val="06911F53"/>
    <w:lvl w:ilvl="0" w:tentative="0">
      <w:start w:val="24"/>
      <w:numFmt w:val="decimal"/>
      <w:lvlText w:val="%1."/>
      <w:lvlJc w:val="left"/>
      <w:pPr>
        <w:ind w:left="420" w:hanging="420"/>
      </w:pPr>
      <w:rPr>
        <w:rFonts w:hint="eastAsia"/>
      </w:rPr>
    </w:lvl>
    <w:lvl w:ilvl="1" w:tentative="0">
      <w:start w:val="1"/>
      <w:numFmt w:val="decimal"/>
      <w:lvlText w:val="2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87504F"/>
    <w:multiLevelType w:val="multilevel"/>
    <w:tmpl w:val="1387504F"/>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8C684B"/>
    <w:multiLevelType w:val="multilevel"/>
    <w:tmpl w:val="1C8C684B"/>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01586B8"/>
    <w:multiLevelType w:val="singleLevel"/>
    <w:tmpl w:val="201586B8"/>
    <w:lvl w:ilvl="0" w:tentative="0">
      <w:start w:val="1"/>
      <w:numFmt w:val="chineseCounting"/>
      <w:suff w:val="nothing"/>
      <w:lvlText w:val="%1、"/>
      <w:lvlJc w:val="left"/>
      <w:rPr>
        <w:rFonts w:hint="eastAsia"/>
      </w:r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37D2A62"/>
    <w:multiLevelType w:val="multilevel"/>
    <w:tmpl w:val="237D2A62"/>
    <w:lvl w:ilvl="0" w:tentative="0">
      <w:start w:val="2"/>
      <w:numFmt w:val="decimal"/>
      <w:lvlText w:val="2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38424EF"/>
    <w:multiLevelType w:val="multilevel"/>
    <w:tmpl w:val="238424EF"/>
    <w:lvl w:ilvl="0" w:tentative="0">
      <w:start w:val="2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D060845"/>
    <w:multiLevelType w:val="multilevel"/>
    <w:tmpl w:val="2D060845"/>
    <w:lvl w:ilvl="0" w:tentative="0">
      <w:start w:val="1"/>
      <w:numFmt w:val="decimal"/>
      <w:lvlText w:val="20.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33FA4E4C"/>
    <w:multiLevelType w:val="multilevel"/>
    <w:tmpl w:val="33FA4E4C"/>
    <w:lvl w:ilvl="0" w:tentative="0">
      <w:start w:val="1"/>
      <w:numFmt w:val="decimal"/>
      <w:lvlText w:val="25.1.%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1">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B2069ED"/>
    <w:multiLevelType w:val="multilevel"/>
    <w:tmpl w:val="3B2069ED"/>
    <w:lvl w:ilvl="0" w:tentative="0">
      <w:start w:val="1"/>
      <w:numFmt w:val="decimal"/>
      <w:lvlText w:val="2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40CB7BC7"/>
    <w:multiLevelType w:val="multilevel"/>
    <w:tmpl w:val="40CB7BC7"/>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4">
    <w:nsid w:val="570C3E2B"/>
    <w:multiLevelType w:val="multilevel"/>
    <w:tmpl w:val="570C3E2B"/>
    <w:lvl w:ilvl="0" w:tentative="0">
      <w:start w:val="1"/>
      <w:numFmt w:val="decimal"/>
      <w:lvlText w:val="2.8.%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59F817C2"/>
    <w:multiLevelType w:val="singleLevel"/>
    <w:tmpl w:val="59F817C2"/>
    <w:lvl w:ilvl="0" w:tentative="0">
      <w:start w:val="2"/>
      <w:numFmt w:val="chineseCounting"/>
      <w:suff w:val="space"/>
      <w:lvlText w:val="第%1章"/>
      <w:lvlJc w:val="left"/>
    </w:lvl>
  </w:abstractNum>
  <w:abstractNum w:abstractNumId="26">
    <w:nsid w:val="59F817E8"/>
    <w:multiLevelType w:val="singleLevel"/>
    <w:tmpl w:val="59F817E8"/>
    <w:lvl w:ilvl="0" w:tentative="0">
      <w:start w:val="1"/>
      <w:numFmt w:val="chineseCounting"/>
      <w:pStyle w:val="58"/>
      <w:suff w:val="nothing"/>
      <w:lvlText w:val="%1、"/>
      <w:lvlJc w:val="left"/>
    </w:lvl>
  </w:abstractNum>
  <w:abstractNum w:abstractNumId="27">
    <w:nsid w:val="5A7F763E"/>
    <w:multiLevelType w:val="multilevel"/>
    <w:tmpl w:val="5A7F763E"/>
    <w:lvl w:ilvl="0" w:tentative="0">
      <w:start w:val="1"/>
      <w:numFmt w:val="decimal"/>
      <w:lvlText w:val="21.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AC2709A"/>
    <w:multiLevelType w:val="multilevel"/>
    <w:tmpl w:val="6AC2709A"/>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6C931A18"/>
    <w:multiLevelType w:val="multilevel"/>
    <w:tmpl w:val="6C931A18"/>
    <w:lvl w:ilvl="0" w:tentative="0">
      <w:start w:val="2"/>
      <w:numFmt w:val="decimal"/>
      <w:lvlText w:val="18.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DA4070F"/>
    <w:multiLevelType w:val="multilevel"/>
    <w:tmpl w:val="6DA4070F"/>
    <w:lvl w:ilvl="0" w:tentative="0">
      <w:start w:val="1"/>
      <w:numFmt w:val="decimal"/>
      <w:lvlText w:val="3.5.%1"/>
      <w:lvlJc w:val="left"/>
      <w:pPr>
        <w:ind w:left="1415" w:hanging="420"/>
      </w:pPr>
      <w:rPr>
        <w:rFonts w:hint="eastAsia"/>
      </w:rPr>
    </w:lvl>
    <w:lvl w:ilvl="1" w:tentative="0">
      <w:start w:val="1"/>
      <w:numFmt w:val="lowerLetter"/>
      <w:lvlText w:val="%2)"/>
      <w:lvlJc w:val="left"/>
      <w:pPr>
        <w:ind w:left="1835" w:hanging="420"/>
      </w:pPr>
    </w:lvl>
    <w:lvl w:ilvl="2" w:tentative="0">
      <w:start w:val="1"/>
      <w:numFmt w:val="lowerRoman"/>
      <w:lvlText w:val="%3."/>
      <w:lvlJc w:val="right"/>
      <w:pPr>
        <w:ind w:left="2255" w:hanging="420"/>
      </w:pPr>
    </w:lvl>
    <w:lvl w:ilvl="3" w:tentative="0">
      <w:start w:val="1"/>
      <w:numFmt w:val="decimal"/>
      <w:lvlText w:val="%4."/>
      <w:lvlJc w:val="left"/>
      <w:pPr>
        <w:ind w:left="2675" w:hanging="420"/>
      </w:pPr>
    </w:lvl>
    <w:lvl w:ilvl="4" w:tentative="0">
      <w:start w:val="1"/>
      <w:numFmt w:val="lowerLetter"/>
      <w:lvlText w:val="%5)"/>
      <w:lvlJc w:val="left"/>
      <w:pPr>
        <w:ind w:left="3095" w:hanging="420"/>
      </w:pPr>
    </w:lvl>
    <w:lvl w:ilvl="5" w:tentative="0">
      <w:start w:val="1"/>
      <w:numFmt w:val="lowerRoman"/>
      <w:lvlText w:val="%6."/>
      <w:lvlJc w:val="right"/>
      <w:pPr>
        <w:ind w:left="3515" w:hanging="420"/>
      </w:pPr>
    </w:lvl>
    <w:lvl w:ilvl="6" w:tentative="0">
      <w:start w:val="1"/>
      <w:numFmt w:val="decimal"/>
      <w:lvlText w:val="%7."/>
      <w:lvlJc w:val="left"/>
      <w:pPr>
        <w:ind w:left="3935" w:hanging="420"/>
      </w:pPr>
    </w:lvl>
    <w:lvl w:ilvl="7" w:tentative="0">
      <w:start w:val="1"/>
      <w:numFmt w:val="lowerLetter"/>
      <w:lvlText w:val="%8)"/>
      <w:lvlJc w:val="left"/>
      <w:pPr>
        <w:ind w:left="4355" w:hanging="420"/>
      </w:pPr>
    </w:lvl>
    <w:lvl w:ilvl="8" w:tentative="0">
      <w:start w:val="1"/>
      <w:numFmt w:val="lowerRoman"/>
      <w:lvlText w:val="%9."/>
      <w:lvlJc w:val="right"/>
      <w:pPr>
        <w:ind w:left="4775" w:hanging="420"/>
      </w:pPr>
    </w:lvl>
  </w:abstractNum>
  <w:abstractNum w:abstractNumId="33">
    <w:nsid w:val="71C03556"/>
    <w:multiLevelType w:val="multilevel"/>
    <w:tmpl w:val="71C03556"/>
    <w:lvl w:ilvl="0" w:tentative="0">
      <w:start w:val="1"/>
      <w:numFmt w:val="decimal"/>
      <w:lvlText w:val="3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7CE66643"/>
    <w:multiLevelType w:val="multilevel"/>
    <w:tmpl w:val="7CE66643"/>
    <w:lvl w:ilvl="0" w:tentative="0">
      <w:start w:val="1"/>
      <w:numFmt w:val="decimal"/>
      <w:lvlText w:val="21. %1 "/>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5">
    <w:nsid w:val="7E4E546D"/>
    <w:multiLevelType w:val="multilevel"/>
    <w:tmpl w:val="7E4E546D"/>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5"/>
  </w:num>
  <w:num w:numId="3">
    <w:abstractNumId w:val="26"/>
  </w:num>
  <w:num w:numId="4">
    <w:abstractNumId w:val="25"/>
  </w:num>
  <w:num w:numId="5">
    <w:abstractNumId w:val="14"/>
  </w:num>
  <w:num w:numId="6">
    <w:abstractNumId w:val="0"/>
  </w:num>
  <w:num w:numId="7">
    <w:abstractNumId w:val="2"/>
  </w:num>
  <w:num w:numId="8">
    <w:abstractNumId w:val="1"/>
  </w:num>
  <w:num w:numId="9">
    <w:abstractNumId w:val="15"/>
  </w:num>
  <w:num w:numId="10">
    <w:abstractNumId w:val="29"/>
  </w:num>
  <w:num w:numId="11">
    <w:abstractNumId w:val="24"/>
  </w:num>
  <w:num w:numId="12">
    <w:abstractNumId w:val="30"/>
  </w:num>
  <w:num w:numId="13">
    <w:abstractNumId w:val="32"/>
  </w:num>
  <w:num w:numId="14">
    <w:abstractNumId w:val="12"/>
  </w:num>
  <w:num w:numId="15">
    <w:abstractNumId w:val="23"/>
  </w:num>
  <w:num w:numId="16">
    <w:abstractNumId w:val="8"/>
  </w:num>
  <w:num w:numId="17">
    <w:abstractNumId w:val="31"/>
  </w:num>
  <w:num w:numId="18">
    <w:abstractNumId w:val="18"/>
  </w:num>
  <w:num w:numId="19">
    <w:abstractNumId w:val="27"/>
  </w:num>
  <w:num w:numId="20">
    <w:abstractNumId w:val="19"/>
  </w:num>
  <w:num w:numId="21">
    <w:abstractNumId w:val="34"/>
  </w:num>
  <w:num w:numId="22">
    <w:abstractNumId w:val="6"/>
  </w:num>
  <w:num w:numId="23">
    <w:abstractNumId w:val="28"/>
  </w:num>
  <w:num w:numId="24">
    <w:abstractNumId w:val="16"/>
  </w:num>
  <w:num w:numId="25">
    <w:abstractNumId w:val="17"/>
  </w:num>
  <w:num w:numId="26">
    <w:abstractNumId w:val="9"/>
  </w:num>
  <w:num w:numId="27">
    <w:abstractNumId w:val="7"/>
  </w:num>
  <w:num w:numId="28">
    <w:abstractNumId w:val="11"/>
  </w:num>
  <w:num w:numId="29">
    <w:abstractNumId w:val="20"/>
  </w:num>
  <w:num w:numId="30">
    <w:abstractNumId w:val="22"/>
  </w:num>
  <w:num w:numId="31">
    <w:abstractNumId w:val="21"/>
  </w:num>
  <w:num w:numId="32">
    <w:abstractNumId w:val="35"/>
  </w:num>
  <w:num w:numId="33">
    <w:abstractNumId w:val="33"/>
  </w:num>
  <w:num w:numId="34">
    <w:abstractNumId w:val="13"/>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35CE5"/>
    <w:rsid w:val="00062B63"/>
    <w:rsid w:val="00070B22"/>
    <w:rsid w:val="00075434"/>
    <w:rsid w:val="000760FA"/>
    <w:rsid w:val="00083F07"/>
    <w:rsid w:val="000A1541"/>
    <w:rsid w:val="000A71CF"/>
    <w:rsid w:val="000B1904"/>
    <w:rsid w:val="000B7927"/>
    <w:rsid w:val="000C7AF2"/>
    <w:rsid w:val="000F16AB"/>
    <w:rsid w:val="000F58B0"/>
    <w:rsid w:val="001041EC"/>
    <w:rsid w:val="0010455A"/>
    <w:rsid w:val="00107029"/>
    <w:rsid w:val="001101EB"/>
    <w:rsid w:val="001253BE"/>
    <w:rsid w:val="00130F14"/>
    <w:rsid w:val="00137BBB"/>
    <w:rsid w:val="001400F2"/>
    <w:rsid w:val="00143AE2"/>
    <w:rsid w:val="00147B3D"/>
    <w:rsid w:val="00163BE1"/>
    <w:rsid w:val="001646E3"/>
    <w:rsid w:val="00166B52"/>
    <w:rsid w:val="00170670"/>
    <w:rsid w:val="00170E57"/>
    <w:rsid w:val="00193DA2"/>
    <w:rsid w:val="00194681"/>
    <w:rsid w:val="001A0121"/>
    <w:rsid w:val="001A3201"/>
    <w:rsid w:val="001A3812"/>
    <w:rsid w:val="001A7B82"/>
    <w:rsid w:val="001E3B52"/>
    <w:rsid w:val="001E5ECC"/>
    <w:rsid w:val="001F0F17"/>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C00FF"/>
    <w:rsid w:val="005E4619"/>
    <w:rsid w:val="005E591E"/>
    <w:rsid w:val="005E7C65"/>
    <w:rsid w:val="005F68F4"/>
    <w:rsid w:val="006326A3"/>
    <w:rsid w:val="00633C49"/>
    <w:rsid w:val="00636AAD"/>
    <w:rsid w:val="006378D2"/>
    <w:rsid w:val="00640E37"/>
    <w:rsid w:val="006673D6"/>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B130F"/>
    <w:rsid w:val="007D4E38"/>
    <w:rsid w:val="007E1CBB"/>
    <w:rsid w:val="00857DE9"/>
    <w:rsid w:val="008616CD"/>
    <w:rsid w:val="00883662"/>
    <w:rsid w:val="008B3232"/>
    <w:rsid w:val="008B75EF"/>
    <w:rsid w:val="008C3907"/>
    <w:rsid w:val="008D0C3D"/>
    <w:rsid w:val="008D4247"/>
    <w:rsid w:val="008D64A8"/>
    <w:rsid w:val="008E53A8"/>
    <w:rsid w:val="008F0EDB"/>
    <w:rsid w:val="00904E98"/>
    <w:rsid w:val="009100CD"/>
    <w:rsid w:val="009106C2"/>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6FA8"/>
    <w:rsid w:val="00A348F8"/>
    <w:rsid w:val="00A34D32"/>
    <w:rsid w:val="00A40C05"/>
    <w:rsid w:val="00A45DE8"/>
    <w:rsid w:val="00A52630"/>
    <w:rsid w:val="00A56165"/>
    <w:rsid w:val="00A5701D"/>
    <w:rsid w:val="00A77C67"/>
    <w:rsid w:val="00A81D99"/>
    <w:rsid w:val="00A96A65"/>
    <w:rsid w:val="00AB2433"/>
    <w:rsid w:val="00AB376F"/>
    <w:rsid w:val="00AD58D8"/>
    <w:rsid w:val="00AE5C0E"/>
    <w:rsid w:val="00AE78A3"/>
    <w:rsid w:val="00B04641"/>
    <w:rsid w:val="00B111D0"/>
    <w:rsid w:val="00B21913"/>
    <w:rsid w:val="00B3016D"/>
    <w:rsid w:val="00B4257A"/>
    <w:rsid w:val="00B57E63"/>
    <w:rsid w:val="00BA5601"/>
    <w:rsid w:val="00BC01B9"/>
    <w:rsid w:val="00BC572F"/>
    <w:rsid w:val="00BD5C7C"/>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52FB3"/>
    <w:rsid w:val="00E63D55"/>
    <w:rsid w:val="00EA3828"/>
    <w:rsid w:val="00EA43F1"/>
    <w:rsid w:val="00EB7BF9"/>
    <w:rsid w:val="00EC1ADB"/>
    <w:rsid w:val="00ED010D"/>
    <w:rsid w:val="00ED1C9F"/>
    <w:rsid w:val="00EE0A15"/>
    <w:rsid w:val="00EE54E4"/>
    <w:rsid w:val="00EF390B"/>
    <w:rsid w:val="00F5512D"/>
    <w:rsid w:val="00F56BFF"/>
    <w:rsid w:val="00F737CF"/>
    <w:rsid w:val="00F968BE"/>
    <w:rsid w:val="00FA0ACB"/>
    <w:rsid w:val="00FA231B"/>
    <w:rsid w:val="00FA3CA5"/>
    <w:rsid w:val="00FC6281"/>
    <w:rsid w:val="00FF23E9"/>
    <w:rsid w:val="01F468B6"/>
    <w:rsid w:val="0207704D"/>
    <w:rsid w:val="03CB287F"/>
    <w:rsid w:val="072E7808"/>
    <w:rsid w:val="08B74C47"/>
    <w:rsid w:val="0A7942FC"/>
    <w:rsid w:val="0B2A5BB6"/>
    <w:rsid w:val="0EBA4E26"/>
    <w:rsid w:val="10F05A0D"/>
    <w:rsid w:val="15410418"/>
    <w:rsid w:val="19B928FB"/>
    <w:rsid w:val="19F86300"/>
    <w:rsid w:val="1B7C101D"/>
    <w:rsid w:val="1D285D43"/>
    <w:rsid w:val="1D7118F0"/>
    <w:rsid w:val="1D835CC5"/>
    <w:rsid w:val="1E440B90"/>
    <w:rsid w:val="207D3DFF"/>
    <w:rsid w:val="209C059C"/>
    <w:rsid w:val="2457513F"/>
    <w:rsid w:val="25A90F91"/>
    <w:rsid w:val="2A821CB0"/>
    <w:rsid w:val="2B31462C"/>
    <w:rsid w:val="30A6385E"/>
    <w:rsid w:val="310E3AD0"/>
    <w:rsid w:val="32FD6CFF"/>
    <w:rsid w:val="3345284D"/>
    <w:rsid w:val="33D55E3B"/>
    <w:rsid w:val="347473BF"/>
    <w:rsid w:val="35154E4F"/>
    <w:rsid w:val="35725F2E"/>
    <w:rsid w:val="38CF4C03"/>
    <w:rsid w:val="3A4D760F"/>
    <w:rsid w:val="3A74242A"/>
    <w:rsid w:val="3BDF6909"/>
    <w:rsid w:val="3C582842"/>
    <w:rsid w:val="3DF90538"/>
    <w:rsid w:val="418E00FE"/>
    <w:rsid w:val="41C6729E"/>
    <w:rsid w:val="42B24B0D"/>
    <w:rsid w:val="43C02B29"/>
    <w:rsid w:val="44BC7122"/>
    <w:rsid w:val="47A94DDA"/>
    <w:rsid w:val="47D3623B"/>
    <w:rsid w:val="4B283080"/>
    <w:rsid w:val="4E5A53D3"/>
    <w:rsid w:val="4F63464F"/>
    <w:rsid w:val="51BD19D6"/>
    <w:rsid w:val="53E90709"/>
    <w:rsid w:val="5AAA2C64"/>
    <w:rsid w:val="5BB840DB"/>
    <w:rsid w:val="5D9920F5"/>
    <w:rsid w:val="63BC5EBA"/>
    <w:rsid w:val="646D4818"/>
    <w:rsid w:val="64F31BDD"/>
    <w:rsid w:val="65727F96"/>
    <w:rsid w:val="69707E17"/>
    <w:rsid w:val="6B522408"/>
    <w:rsid w:val="6E55235D"/>
    <w:rsid w:val="6ED50EB8"/>
    <w:rsid w:val="704D54EF"/>
    <w:rsid w:val="74DF2877"/>
    <w:rsid w:val="755D203A"/>
    <w:rsid w:val="763268BA"/>
    <w:rsid w:val="76DA081A"/>
    <w:rsid w:val="797C6E69"/>
    <w:rsid w:val="79ED70DC"/>
    <w:rsid w:val="7D6B1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link w:val="35"/>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Indent"/>
    <w:basedOn w:val="1"/>
    <w:link w:val="3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8"/>
    <w:qFormat/>
    <w:uiPriority w:val="0"/>
    <w:rPr>
      <w:rFonts w:eastAsia="宋体"/>
      <w:sz w:val="24"/>
    </w:rPr>
  </w:style>
  <w:style w:type="paragraph" w:styleId="14">
    <w:name w:val="Date"/>
    <w:basedOn w:val="1"/>
    <w:next w:val="1"/>
    <w:link w:val="39"/>
    <w:unhideWhenUsed/>
    <w:qFormat/>
    <w:uiPriority w:val="99"/>
    <w:pPr>
      <w:ind w:left="100" w:leftChars="2500"/>
    </w:pPr>
  </w:style>
  <w:style w:type="paragraph" w:styleId="15">
    <w:name w:val="Balloon Text"/>
    <w:basedOn w:val="1"/>
    <w:link w:val="40"/>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20">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kern w:val="0"/>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kern w:val="0"/>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2"/>
    <w:semiHidden/>
    <w:qFormat/>
    <w:uiPriority w:val="99"/>
  </w:style>
  <w:style w:type="character" w:customStyle="1" w:styleId="36">
    <w:name w:val="正文文本缩进 Char1"/>
    <w:basedOn w:val="25"/>
    <w:link w:val="10"/>
    <w:qFormat/>
    <w:uiPriority w:val="99"/>
    <w:rPr>
      <w:sz w:val="24"/>
    </w:rPr>
  </w:style>
  <w:style w:type="character" w:customStyle="1" w:styleId="37">
    <w:name w:val="正文文本缩进 Char"/>
    <w:basedOn w:val="25"/>
    <w:link w:val="10"/>
    <w:qFormat/>
    <w:uiPriority w:val="0"/>
  </w:style>
  <w:style w:type="character" w:customStyle="1" w:styleId="38">
    <w:name w:val="纯文本 Char"/>
    <w:basedOn w:val="25"/>
    <w:link w:val="13"/>
    <w:qFormat/>
    <w:uiPriority w:val="0"/>
    <w:rPr>
      <w:rFonts w:eastAsia="宋体"/>
      <w:sz w:val="24"/>
    </w:rPr>
  </w:style>
  <w:style w:type="character" w:customStyle="1" w:styleId="39">
    <w:name w:val="日期 Char"/>
    <w:basedOn w:val="25"/>
    <w:link w:val="14"/>
    <w:qFormat/>
    <w:uiPriority w:val="99"/>
  </w:style>
  <w:style w:type="character" w:customStyle="1" w:styleId="40">
    <w:name w:val="批注框文本 Char"/>
    <w:basedOn w:val="25"/>
    <w:link w:val="15"/>
    <w:semiHidden/>
    <w:qFormat/>
    <w:uiPriority w:val="99"/>
    <w:rPr>
      <w:sz w:val="18"/>
      <w:szCs w:val="18"/>
    </w:rPr>
  </w:style>
  <w:style w:type="character" w:customStyle="1" w:styleId="41">
    <w:name w:val="页脚 Char"/>
    <w:basedOn w:val="25"/>
    <w:link w:val="16"/>
    <w:qFormat/>
    <w:uiPriority w:val="99"/>
    <w:rPr>
      <w:sz w:val="18"/>
      <w:szCs w:val="18"/>
    </w:rPr>
  </w:style>
  <w:style w:type="character" w:customStyle="1" w:styleId="42">
    <w:name w:val="页眉 Char"/>
    <w:basedOn w:val="25"/>
    <w:link w:val="17"/>
    <w:qFormat/>
    <w:uiPriority w:val="99"/>
    <w:rPr>
      <w:sz w:val="18"/>
      <w:szCs w:val="18"/>
    </w:rPr>
  </w:style>
  <w:style w:type="character" w:customStyle="1" w:styleId="43">
    <w:name w:val="HTML 预设格式 Char"/>
    <w:basedOn w:val="25"/>
    <w:link w:val="21"/>
    <w:semiHidden/>
    <w:qFormat/>
    <w:uiPriority w:val="99"/>
    <w:rPr>
      <w:rFonts w:ascii="宋体" w:hAnsi="宋体" w:eastAsia="宋体" w:cs="宋体"/>
      <w:kern w:val="0"/>
      <w:sz w:val="24"/>
      <w:szCs w:val="24"/>
    </w:rPr>
  </w:style>
  <w:style w:type="character" w:customStyle="1" w:styleId="44">
    <w:name w:val="正文首行缩进 Char"/>
    <w:basedOn w:val="35"/>
    <w:link w:val="23"/>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customStyle="1"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5"/>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red"/>
    <w:basedOn w:val="25"/>
    <w:qFormat/>
    <w:uiPriority w:val="0"/>
    <w:rPr>
      <w:color w:val="FF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Info spid="_x0000_s1028"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3661</Words>
  <Characters>20872</Characters>
  <Lines>173</Lines>
  <Paragraphs>48</Paragraphs>
  <TotalTime>7</TotalTime>
  <ScaleCrop>false</ScaleCrop>
  <LinksUpToDate>false</LinksUpToDate>
  <CharactersWithSpaces>24485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甛╚＞</cp:lastModifiedBy>
  <cp:lastPrinted>2020-05-07T09:47:00Z</cp:lastPrinted>
  <dcterms:modified xsi:type="dcterms:W3CDTF">2020-05-08T00:41:41Z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