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Toc215282124"/>
      <w:r>
        <w:rPr>
          <w:rFonts w:hint="eastAsia"/>
        </w:rPr>
        <w:drawing>
          <wp:inline distT="0" distB="0" distL="114300" distR="114300">
            <wp:extent cx="3206750" cy="502285"/>
            <wp:effectExtent l="0" t="0" r="0" b="12700"/>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2"/>
                    <a:stretch>
                      <a:fillRect/>
                    </a:stretch>
                  </pic:blipFill>
                  <pic:spPr>
                    <a:xfrm>
                      <a:off x="0" y="0"/>
                      <a:ext cx="3206750" cy="502285"/>
                    </a:xfrm>
                    <a:prstGeom prst="rect">
                      <a:avLst/>
                    </a:prstGeom>
                    <a:noFill/>
                    <a:ln>
                      <a:noFill/>
                    </a:ln>
                  </pic:spPr>
                </pic:pic>
              </a:graphicData>
            </a:graphic>
          </wp:inline>
        </w:drawing>
      </w:r>
    </w:p>
    <w:p>
      <w:pPr>
        <w:autoSpaceDE w:val="0"/>
        <w:autoSpaceDN w:val="0"/>
        <w:adjustRightInd w:val="0"/>
        <w:jc w:val="center"/>
        <w:rPr>
          <w:rFonts w:hAnsi="宋体" w:cs="宋体"/>
          <w:b/>
          <w:color w:val="auto"/>
          <w:sz w:val="48"/>
          <w:szCs w:val="48"/>
        </w:rPr>
      </w:pPr>
    </w:p>
    <w:p>
      <w:pPr>
        <w:autoSpaceDE w:val="0"/>
        <w:autoSpaceDN w:val="0"/>
        <w:adjustRightInd w:val="0"/>
        <w:jc w:val="center"/>
        <w:rPr>
          <w:rFonts w:hint="default" w:hAnsi="宋体" w:cs="宋体" w:eastAsiaTheme="minorEastAsia"/>
          <w:b/>
          <w:color w:val="auto"/>
          <w:sz w:val="48"/>
          <w:szCs w:val="48"/>
          <w:lang w:val="en-US" w:eastAsia="zh-CN"/>
        </w:rPr>
      </w:pPr>
      <w:r>
        <w:rPr>
          <w:rFonts w:hint="eastAsia" w:hAnsi="宋体" w:cs="宋体"/>
          <w:b/>
          <w:color w:val="auto"/>
          <w:sz w:val="48"/>
          <w:szCs w:val="48"/>
          <w:lang w:eastAsia="zh-CN"/>
        </w:rPr>
        <w:t>许昌市公安局魏都分局南关派出所（原市教育局）旧办公楼装修改造</w:t>
      </w:r>
      <w:r>
        <w:rPr>
          <w:rFonts w:hint="eastAsia" w:hAnsi="宋体" w:cs="宋体"/>
          <w:b/>
          <w:color w:val="auto"/>
          <w:sz w:val="48"/>
          <w:szCs w:val="48"/>
          <w:lang w:val="en-US" w:eastAsia="zh-CN"/>
        </w:rPr>
        <w:t>项目</w:t>
      </w:r>
    </w:p>
    <w:p>
      <w:pPr>
        <w:autoSpaceDE w:val="0"/>
        <w:autoSpaceDN w:val="0"/>
        <w:adjustRightInd w:val="0"/>
        <w:rPr>
          <w:rFonts w:hAnsi="宋体" w:cs="宋体"/>
          <w:b/>
          <w:color w:val="auto"/>
          <w:sz w:val="40"/>
          <w:szCs w:val="40"/>
        </w:rPr>
      </w:pPr>
    </w:p>
    <w:p>
      <w:pPr>
        <w:autoSpaceDE w:val="0"/>
        <w:autoSpaceDN w:val="0"/>
        <w:adjustRightInd w:val="0"/>
        <w:jc w:val="both"/>
        <w:rPr>
          <w:rFonts w:hAnsi="宋体" w:cs="宋体"/>
          <w:b/>
          <w:color w:val="auto"/>
          <w:sz w:val="52"/>
          <w:szCs w:val="52"/>
        </w:rPr>
      </w:pPr>
    </w:p>
    <w:p>
      <w:pPr>
        <w:autoSpaceDE w:val="0"/>
        <w:autoSpaceDN w:val="0"/>
        <w:adjustRightInd w:val="0"/>
        <w:jc w:val="center"/>
        <w:rPr>
          <w:rFonts w:hAnsi="宋体" w:cs="宋体"/>
          <w:b/>
          <w:color w:val="auto"/>
          <w:sz w:val="52"/>
          <w:szCs w:val="52"/>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招</w:t>
      </w:r>
      <w:r>
        <w:rPr>
          <w:rFonts w:hint="eastAsia" w:hAnsi="宋体" w:cs="宋体"/>
          <w:b/>
          <w:color w:val="auto"/>
          <w:sz w:val="52"/>
          <w:szCs w:val="52"/>
          <w:lang w:val="en-US" w:eastAsia="zh-CN"/>
        </w:rPr>
        <w:t xml:space="preserve"> </w:t>
      </w:r>
      <w:r>
        <w:rPr>
          <w:rFonts w:hint="eastAsia" w:hAnsi="宋体" w:cs="宋体"/>
          <w:b/>
          <w:color w:val="auto"/>
          <w:sz w:val="52"/>
          <w:szCs w:val="52"/>
        </w:rPr>
        <w:t>标</w:t>
      </w:r>
      <w:r>
        <w:rPr>
          <w:rFonts w:hint="eastAsia" w:hAnsi="宋体" w:cs="宋体"/>
          <w:b/>
          <w:color w:val="auto"/>
          <w:sz w:val="52"/>
          <w:szCs w:val="52"/>
          <w:lang w:val="en-US" w:eastAsia="zh-CN"/>
        </w:rPr>
        <w:t xml:space="preserve"> </w:t>
      </w:r>
      <w:r>
        <w:rPr>
          <w:rFonts w:hint="eastAsia" w:hAnsi="宋体" w:cs="宋体"/>
          <w:b/>
          <w:color w:val="auto"/>
          <w:sz w:val="52"/>
          <w:szCs w:val="52"/>
        </w:rPr>
        <w:t>文</w:t>
      </w:r>
      <w:r>
        <w:rPr>
          <w:rFonts w:hint="eastAsia" w:hAnsi="宋体" w:cs="宋体"/>
          <w:b/>
          <w:color w:val="auto"/>
          <w:sz w:val="52"/>
          <w:szCs w:val="52"/>
          <w:lang w:val="en-US" w:eastAsia="zh-CN"/>
        </w:rPr>
        <w:t xml:space="preserve"> </w:t>
      </w:r>
      <w:r>
        <w:rPr>
          <w:rFonts w:hint="eastAsia" w:hAnsi="宋体" w:cs="宋体"/>
          <w:b/>
          <w:color w:val="auto"/>
          <w:sz w:val="52"/>
          <w:szCs w:val="52"/>
        </w:rPr>
        <w:t>件</w:t>
      </w:r>
    </w:p>
    <w:p>
      <w:pPr>
        <w:autoSpaceDE w:val="0"/>
        <w:autoSpaceDN w:val="0"/>
        <w:adjustRightInd w:val="0"/>
        <w:ind w:firstLine="2880" w:firstLineChars="900"/>
        <w:jc w:val="both"/>
        <w:rPr>
          <w:rFonts w:hint="default" w:hAnsi="宋体" w:cs="宋体"/>
          <w:b/>
          <w:color w:val="auto"/>
          <w:sz w:val="32"/>
          <w:szCs w:val="32"/>
          <w:highlight w:val="none"/>
          <w:lang w:val="en-US"/>
        </w:rPr>
      </w:pPr>
      <w:r>
        <w:rPr>
          <w:rFonts w:hint="eastAsia" w:hAnsi="宋体" w:cs="宋体"/>
          <w:b/>
          <w:color w:val="auto"/>
          <w:sz w:val="32"/>
          <w:szCs w:val="32"/>
          <w:highlight w:val="none"/>
        </w:rPr>
        <w:t>项目编号：</w:t>
      </w:r>
      <w:r>
        <w:rPr>
          <w:rFonts w:hint="eastAsia" w:hAnsi="宋体" w:cs="宋体"/>
          <w:b/>
          <w:color w:val="auto"/>
          <w:sz w:val="32"/>
          <w:szCs w:val="32"/>
          <w:highlight w:val="none"/>
          <w:lang w:val="en-US" w:eastAsia="zh-CN"/>
        </w:rPr>
        <w:t>XCGC-F2020097</w:t>
      </w:r>
    </w:p>
    <w:p>
      <w:pPr>
        <w:autoSpaceDE w:val="0"/>
        <w:autoSpaceDN w:val="0"/>
        <w:adjustRightInd w:val="0"/>
        <w:jc w:val="center"/>
        <w:rPr>
          <w:rFonts w:hAnsi="宋体" w:cs="宋体"/>
          <w:b/>
          <w:color w:val="auto"/>
          <w:sz w:val="32"/>
          <w:szCs w:val="32"/>
        </w:rPr>
      </w:pPr>
      <w:r>
        <w:rPr>
          <w:rFonts w:hint="eastAsia" w:hAnsi="宋体" w:cs="宋体"/>
          <w:b/>
          <w:color w:val="auto"/>
          <w:sz w:val="32"/>
          <w:szCs w:val="32"/>
        </w:rPr>
        <w:t>不见面开标</w:t>
      </w:r>
    </w:p>
    <w:p>
      <w:pPr>
        <w:autoSpaceDE w:val="0"/>
        <w:autoSpaceDN w:val="0"/>
        <w:adjustRightInd w:val="0"/>
        <w:jc w:val="center"/>
        <w:rPr>
          <w:rFonts w:hAnsi="宋体" w:cs="黑体"/>
          <w:color w:val="auto"/>
          <w:sz w:val="44"/>
          <w:szCs w:val="44"/>
        </w:rPr>
      </w:pPr>
    </w:p>
    <w:p>
      <w:pPr>
        <w:pStyle w:val="12"/>
        <w:ind w:firstLine="0" w:firstLineChars="0"/>
        <w:rPr>
          <w:rFonts w:hint="default" w:eastAsiaTheme="minorEastAsia"/>
          <w:color w:val="auto"/>
          <w:lang w:val="en-US" w:eastAsia="zh-CN"/>
        </w:rPr>
      </w:pPr>
    </w:p>
    <w:p>
      <w:pPr>
        <w:pStyle w:val="12"/>
        <w:ind w:firstLine="0" w:firstLineChars="0"/>
        <w:rPr>
          <w:color w:val="auto"/>
        </w:rPr>
      </w:pPr>
    </w:p>
    <w:p>
      <w:pPr>
        <w:pStyle w:val="12"/>
        <w:ind w:firstLine="0" w:firstLineChars="0"/>
        <w:rPr>
          <w:color w:val="auto"/>
        </w:rPr>
      </w:pPr>
    </w:p>
    <w:p>
      <w:pPr>
        <w:pStyle w:val="12"/>
        <w:ind w:firstLine="0" w:firstLineChars="0"/>
        <w:rPr>
          <w:color w:val="auto"/>
        </w:rPr>
      </w:pPr>
    </w:p>
    <w:p>
      <w:pPr>
        <w:pStyle w:val="12"/>
        <w:ind w:firstLine="0" w:firstLineChars="0"/>
        <w:rPr>
          <w:color w:val="auto"/>
        </w:rPr>
      </w:pPr>
    </w:p>
    <w:p>
      <w:pPr>
        <w:autoSpaceDE w:val="0"/>
        <w:autoSpaceDN w:val="0"/>
        <w:adjustRightInd w:val="0"/>
        <w:ind w:firstLine="1920" w:firstLineChars="600"/>
        <w:rPr>
          <w:rFonts w:hAnsi="宋体" w:eastAsia="宋体" w:cs="宋体"/>
          <w:b/>
          <w:color w:val="auto"/>
          <w:sz w:val="32"/>
          <w:szCs w:val="32"/>
        </w:rPr>
      </w:pPr>
      <w:r>
        <w:rPr>
          <w:rFonts w:hint="eastAsia" w:hAnsi="宋体" w:cs="宋体"/>
          <w:b/>
          <w:color w:val="auto"/>
          <w:sz w:val="32"/>
          <w:szCs w:val="32"/>
        </w:rPr>
        <w:t>招标单位：</w:t>
      </w:r>
      <w:r>
        <w:rPr>
          <w:rFonts w:hint="eastAsia" w:hAnsi="宋体" w:cs="宋体"/>
          <w:b/>
          <w:color w:val="auto"/>
          <w:sz w:val="32"/>
          <w:szCs w:val="32"/>
          <w:lang w:eastAsia="zh-CN"/>
        </w:rPr>
        <w:t>许昌市公安局魏都分局</w:t>
      </w:r>
      <w:r>
        <w:rPr>
          <w:rFonts w:hint="eastAsia" w:hAnsi="宋体" w:cs="宋体"/>
          <w:b/>
          <w:color w:val="auto"/>
          <w:sz w:val="32"/>
          <w:szCs w:val="32"/>
        </w:rPr>
        <w:t xml:space="preserve"> </w:t>
      </w:r>
    </w:p>
    <w:p>
      <w:pPr>
        <w:rPr>
          <w:rFonts w:hint="eastAsia" w:hAnsi="宋体" w:cs="宋体" w:eastAsiaTheme="minorEastAsia"/>
          <w:b/>
          <w:color w:val="auto"/>
          <w:sz w:val="32"/>
          <w:szCs w:val="32"/>
          <w:u w:val="single"/>
          <w:lang w:eastAsia="zh-CN"/>
        </w:rPr>
      </w:pPr>
      <w:r>
        <w:rPr>
          <w:rFonts w:hint="eastAsia" w:hAnsi="宋体" w:cs="宋体"/>
          <w:b/>
          <w:color w:val="auto"/>
          <w:sz w:val="32"/>
          <w:szCs w:val="32"/>
        </w:rPr>
        <w:t xml:space="preserve">            代理机构：</w:t>
      </w:r>
      <w:r>
        <w:rPr>
          <w:rFonts w:hint="eastAsia" w:hAnsi="宋体" w:cs="宋体"/>
          <w:b/>
          <w:color w:val="auto"/>
          <w:sz w:val="32"/>
          <w:szCs w:val="32"/>
          <w:lang w:eastAsia="zh-CN"/>
        </w:rPr>
        <w:t>中技兴安工程项目管理有限公司</w:t>
      </w:r>
    </w:p>
    <w:p>
      <w:pPr>
        <w:ind w:firstLine="1920" w:firstLineChars="600"/>
        <w:jc w:val="both"/>
        <w:rPr>
          <w:rFonts w:hAnsi="宋体" w:cs="黑体"/>
          <w:b/>
          <w:color w:val="auto"/>
          <w:sz w:val="32"/>
          <w:szCs w:val="32"/>
          <w:highlight w:val="none"/>
        </w:rPr>
      </w:pPr>
      <w:r>
        <w:rPr>
          <w:rFonts w:hint="eastAsia" w:hAnsi="宋体" w:cs="黑体"/>
          <w:b/>
          <w:color w:val="auto"/>
          <w:sz w:val="32"/>
          <w:szCs w:val="32"/>
          <w:highlight w:val="none"/>
          <w:lang w:val="en-US" w:eastAsia="zh-CN"/>
        </w:rPr>
        <w:t>日    期：</w:t>
      </w:r>
      <w:r>
        <w:rPr>
          <w:rFonts w:hint="eastAsia" w:hAnsi="宋体" w:cs="黑体"/>
          <w:b/>
          <w:color w:val="auto"/>
          <w:sz w:val="32"/>
          <w:szCs w:val="32"/>
          <w:highlight w:val="none"/>
        </w:rPr>
        <w:t>二〇二〇年</w:t>
      </w:r>
      <w:r>
        <w:rPr>
          <w:rFonts w:hint="eastAsia" w:hAnsi="宋体" w:cs="黑体"/>
          <w:b/>
          <w:color w:val="auto"/>
          <w:sz w:val="32"/>
          <w:szCs w:val="32"/>
          <w:highlight w:val="none"/>
          <w:lang w:val="en-US" w:eastAsia="zh-CN"/>
        </w:rPr>
        <w:t>五</w:t>
      </w:r>
      <w:r>
        <w:rPr>
          <w:rFonts w:hint="eastAsia" w:hAnsi="宋体" w:cs="黑体"/>
          <w:b/>
          <w:color w:val="auto"/>
          <w:sz w:val="32"/>
          <w:szCs w:val="32"/>
          <w:highlight w:val="none"/>
        </w:rPr>
        <w:t>月</w:t>
      </w:r>
    </w:p>
    <w:p>
      <w:pPr>
        <w:rPr>
          <w:rFonts w:ascii="黑体" w:hAnsi="宋体" w:eastAsia="黑体"/>
          <w:b/>
          <w:color w:val="auto"/>
          <w:sz w:val="44"/>
        </w:rPr>
        <w:sectPr>
          <w:headerReference r:id="rId4" w:type="first"/>
          <w:footerReference r:id="rId5" w:type="first"/>
          <w:headerReference r:id="rId3" w:type="default"/>
          <w:pgSz w:w="11906" w:h="16838"/>
          <w:pgMar w:top="1304" w:right="1134" w:bottom="1304" w:left="1134" w:header="851" w:footer="992" w:gutter="0"/>
          <w:pgNumType w:fmt="decimal" w:start="1"/>
          <w:cols w:space="720" w:num="1"/>
          <w:docGrid w:type="linesAndChars" w:linePitch="312" w:charSpace="0"/>
        </w:sectPr>
      </w:pPr>
    </w:p>
    <w:p>
      <w:pPr>
        <w:pStyle w:val="13"/>
        <w:ind w:left="0" w:leftChars="0" w:firstLine="0" w:firstLineChars="0"/>
        <w:rPr>
          <w:color w:val="auto"/>
        </w:rPr>
      </w:pPr>
    </w:p>
    <w:p>
      <w:pPr>
        <w:jc w:val="center"/>
        <w:rPr>
          <w:rFonts w:hint="eastAsia" w:ascii="宋体" w:hAnsi="宋体" w:eastAsia="宋体" w:cs="宋体"/>
          <w:b/>
          <w:color w:val="auto"/>
          <w:sz w:val="44"/>
        </w:rPr>
      </w:pPr>
      <w:r>
        <w:rPr>
          <w:rFonts w:hint="eastAsia" w:ascii="宋体" w:hAnsi="宋体" w:eastAsia="宋体" w:cs="宋体"/>
          <w:b/>
          <w:color w:val="auto"/>
          <w:sz w:val="44"/>
        </w:rPr>
        <w:t>目  录</w:t>
      </w:r>
    </w:p>
    <w:p>
      <w:pPr>
        <w:jc w:val="center"/>
        <w:rPr>
          <w:rFonts w:hint="eastAsia" w:ascii="宋体" w:hAnsi="宋体" w:eastAsia="宋体" w:cs="宋体"/>
          <w:b/>
          <w:color w:val="auto"/>
          <w:sz w:val="32"/>
        </w:rPr>
      </w:pPr>
    </w:p>
    <w:p>
      <w:pPr>
        <w:tabs>
          <w:tab w:val="left" w:leader="hyphen" w:pos="7919"/>
        </w:tabs>
        <w:snapToGrid w:val="0"/>
        <w:spacing w:line="480" w:lineRule="auto"/>
        <w:ind w:firstLine="645"/>
        <w:rPr>
          <w:rFonts w:hint="eastAsia" w:ascii="宋体" w:hAnsi="宋体" w:eastAsia="宋体" w:cs="宋体"/>
          <w:b/>
          <w:color w:val="auto"/>
          <w:sz w:val="28"/>
        </w:rPr>
      </w:pPr>
      <w:r>
        <w:rPr>
          <w:rFonts w:hint="eastAsia" w:ascii="宋体" w:hAnsi="宋体" w:eastAsia="宋体" w:cs="宋体"/>
          <w:b/>
          <w:color w:val="auto"/>
          <w:sz w:val="28"/>
          <w:szCs w:val="28"/>
        </w:rPr>
        <w:t>第一章  招标公告</w:t>
      </w:r>
      <w:r>
        <w:rPr>
          <w:rFonts w:hint="eastAsia" w:ascii="宋体" w:hAnsi="宋体" w:eastAsia="宋体" w:cs="宋体"/>
          <w:b/>
          <w:color w:val="auto"/>
          <w:sz w:val="28"/>
        </w:rPr>
        <w:tab/>
      </w:r>
      <w:r>
        <w:rPr>
          <w:rFonts w:hint="eastAsia" w:ascii="宋体" w:hAnsi="宋体" w:eastAsia="宋体" w:cs="宋体"/>
          <w:b/>
          <w:color w:val="auto"/>
          <w:sz w:val="28"/>
        </w:rPr>
        <w:t>1</w:t>
      </w:r>
      <w:r>
        <w:rPr>
          <w:rFonts w:hint="eastAsia" w:ascii="宋体" w:hAnsi="宋体" w:eastAsia="宋体" w:cs="宋体"/>
          <w:b/>
          <w:color w:val="auto"/>
          <w:sz w:val="28"/>
        </w:rPr>
        <w:tab/>
      </w:r>
    </w:p>
    <w:p>
      <w:pPr>
        <w:tabs>
          <w:tab w:val="left" w:leader="hyphen" w:pos="7919"/>
        </w:tabs>
        <w:snapToGrid w:val="0"/>
        <w:spacing w:line="480" w:lineRule="auto"/>
        <w:ind w:firstLine="645"/>
        <w:rPr>
          <w:rFonts w:hint="eastAsia" w:ascii="宋体" w:hAnsi="宋体" w:eastAsia="宋体" w:cs="宋体"/>
          <w:b/>
          <w:color w:val="auto"/>
          <w:sz w:val="28"/>
        </w:rPr>
      </w:pPr>
      <w:r>
        <w:rPr>
          <w:rFonts w:hint="eastAsia" w:ascii="宋体" w:hAnsi="宋体" w:eastAsia="宋体" w:cs="宋体"/>
          <w:b/>
          <w:color w:val="auto"/>
          <w:sz w:val="28"/>
        </w:rPr>
        <w:t>第二章  投标须知</w:t>
      </w:r>
      <w:r>
        <w:rPr>
          <w:rFonts w:hint="eastAsia" w:ascii="宋体" w:hAnsi="宋体" w:eastAsia="宋体" w:cs="宋体"/>
          <w:b/>
          <w:color w:val="auto"/>
          <w:sz w:val="28"/>
        </w:rPr>
        <w:tab/>
      </w:r>
      <w:r>
        <w:rPr>
          <w:rFonts w:hint="eastAsia" w:ascii="宋体" w:hAnsi="宋体" w:eastAsia="宋体" w:cs="宋体"/>
          <w:b/>
          <w:color w:val="auto"/>
          <w:sz w:val="28"/>
        </w:rPr>
        <w:t>6</w:t>
      </w:r>
    </w:p>
    <w:p>
      <w:pPr>
        <w:tabs>
          <w:tab w:val="left" w:leader="hyphen" w:pos="7919"/>
        </w:tabs>
        <w:snapToGrid w:val="0"/>
        <w:spacing w:line="480" w:lineRule="auto"/>
        <w:ind w:firstLine="645"/>
        <w:rPr>
          <w:rFonts w:hint="eastAsia" w:ascii="宋体" w:hAnsi="宋体" w:eastAsia="宋体" w:cs="宋体"/>
          <w:b/>
          <w:color w:val="auto"/>
          <w:sz w:val="28"/>
        </w:rPr>
      </w:pPr>
      <w:r>
        <w:rPr>
          <w:rFonts w:hint="eastAsia" w:ascii="宋体" w:hAnsi="宋体" w:eastAsia="宋体" w:cs="宋体"/>
          <w:b/>
          <w:color w:val="auto"/>
          <w:sz w:val="28"/>
        </w:rPr>
        <w:t>第三章  评标办法</w:t>
      </w:r>
      <w:r>
        <w:rPr>
          <w:rFonts w:hint="eastAsia" w:ascii="宋体" w:hAnsi="宋体" w:eastAsia="宋体" w:cs="宋体"/>
          <w:b/>
          <w:color w:val="auto"/>
          <w:sz w:val="28"/>
        </w:rPr>
        <w:tab/>
      </w:r>
      <w:r>
        <w:rPr>
          <w:rFonts w:hint="eastAsia" w:ascii="宋体" w:hAnsi="宋体" w:eastAsia="宋体" w:cs="宋体"/>
          <w:b/>
          <w:color w:val="auto"/>
          <w:sz w:val="28"/>
        </w:rPr>
        <w:t>27</w:t>
      </w:r>
    </w:p>
    <w:p>
      <w:pPr>
        <w:tabs>
          <w:tab w:val="left" w:leader="hyphen" w:pos="7919"/>
        </w:tabs>
        <w:snapToGrid w:val="0"/>
        <w:spacing w:line="480" w:lineRule="auto"/>
        <w:ind w:firstLine="645"/>
        <w:rPr>
          <w:rFonts w:hint="eastAsia" w:ascii="宋体" w:hAnsi="宋体" w:eastAsia="宋体" w:cs="宋体"/>
          <w:b/>
          <w:color w:val="auto"/>
          <w:sz w:val="28"/>
        </w:rPr>
      </w:pPr>
      <w:r>
        <w:rPr>
          <w:rFonts w:hint="eastAsia" w:ascii="宋体" w:hAnsi="宋体" w:eastAsia="宋体" w:cs="宋体"/>
          <w:b/>
          <w:color w:val="auto"/>
          <w:sz w:val="28"/>
        </w:rPr>
        <w:t>第四章  合同条款</w:t>
      </w:r>
      <w:r>
        <w:rPr>
          <w:rFonts w:hint="eastAsia" w:ascii="宋体" w:hAnsi="宋体" w:eastAsia="宋体" w:cs="宋体"/>
          <w:b/>
          <w:color w:val="auto"/>
          <w:sz w:val="28"/>
        </w:rPr>
        <w:tab/>
      </w:r>
      <w:r>
        <w:rPr>
          <w:rFonts w:hint="eastAsia" w:ascii="宋体" w:hAnsi="宋体" w:eastAsia="宋体" w:cs="宋体"/>
          <w:b/>
          <w:color w:val="auto"/>
          <w:sz w:val="28"/>
        </w:rPr>
        <w:t>37</w:t>
      </w:r>
    </w:p>
    <w:p>
      <w:pPr>
        <w:tabs>
          <w:tab w:val="left" w:leader="hyphen" w:pos="7919"/>
        </w:tabs>
        <w:snapToGrid w:val="0"/>
        <w:spacing w:line="480" w:lineRule="auto"/>
        <w:ind w:firstLine="645"/>
        <w:rPr>
          <w:rFonts w:hint="eastAsia" w:ascii="宋体" w:hAnsi="宋体" w:eastAsia="宋体" w:cs="宋体"/>
          <w:b/>
          <w:color w:val="auto"/>
          <w:sz w:val="28"/>
        </w:rPr>
      </w:pPr>
      <w:r>
        <w:rPr>
          <w:rFonts w:hint="eastAsia" w:ascii="宋体" w:hAnsi="宋体" w:eastAsia="宋体" w:cs="宋体"/>
          <w:b/>
          <w:color w:val="auto"/>
          <w:sz w:val="28"/>
        </w:rPr>
        <w:t>第五章  工程量清单</w:t>
      </w:r>
      <w:r>
        <w:rPr>
          <w:rFonts w:hint="eastAsia" w:ascii="宋体" w:hAnsi="宋体" w:eastAsia="宋体" w:cs="宋体"/>
          <w:b/>
          <w:color w:val="auto"/>
          <w:sz w:val="28"/>
        </w:rPr>
        <w:tab/>
      </w:r>
      <w:r>
        <w:rPr>
          <w:rFonts w:hint="eastAsia" w:ascii="宋体" w:hAnsi="宋体" w:eastAsia="宋体" w:cs="宋体"/>
          <w:b/>
          <w:color w:val="auto"/>
          <w:sz w:val="28"/>
        </w:rPr>
        <w:t>38</w:t>
      </w:r>
    </w:p>
    <w:p>
      <w:pPr>
        <w:tabs>
          <w:tab w:val="left" w:leader="hyphen" w:pos="7919"/>
        </w:tabs>
        <w:snapToGrid w:val="0"/>
        <w:spacing w:line="480" w:lineRule="auto"/>
        <w:ind w:firstLine="645"/>
        <w:rPr>
          <w:rFonts w:hint="eastAsia" w:ascii="宋体" w:hAnsi="宋体" w:eastAsia="宋体" w:cs="宋体"/>
          <w:b/>
          <w:color w:val="auto"/>
          <w:sz w:val="28"/>
        </w:rPr>
      </w:pPr>
      <w:r>
        <w:rPr>
          <w:rFonts w:hint="eastAsia" w:ascii="宋体" w:hAnsi="宋体" w:eastAsia="宋体" w:cs="宋体"/>
          <w:b/>
          <w:color w:val="auto"/>
          <w:sz w:val="28"/>
        </w:rPr>
        <w:t>第六章  图  纸</w:t>
      </w:r>
      <w:r>
        <w:rPr>
          <w:rFonts w:hint="eastAsia" w:ascii="宋体" w:hAnsi="宋体" w:eastAsia="宋体" w:cs="宋体"/>
          <w:b/>
          <w:color w:val="auto"/>
          <w:sz w:val="28"/>
        </w:rPr>
        <w:tab/>
      </w:r>
      <w:r>
        <w:rPr>
          <w:rFonts w:hint="eastAsia" w:ascii="宋体" w:hAnsi="宋体" w:eastAsia="宋体" w:cs="宋体"/>
          <w:b/>
          <w:color w:val="auto"/>
          <w:sz w:val="28"/>
        </w:rPr>
        <w:t>44</w:t>
      </w:r>
    </w:p>
    <w:p>
      <w:pPr>
        <w:tabs>
          <w:tab w:val="left" w:leader="hyphen" w:pos="7919"/>
        </w:tabs>
        <w:snapToGrid w:val="0"/>
        <w:spacing w:line="480" w:lineRule="auto"/>
        <w:ind w:firstLine="645"/>
        <w:rPr>
          <w:rFonts w:hint="eastAsia" w:ascii="宋体" w:hAnsi="宋体" w:eastAsia="宋体" w:cs="宋体"/>
          <w:b/>
          <w:color w:val="auto"/>
          <w:sz w:val="28"/>
        </w:rPr>
      </w:pPr>
      <w:r>
        <w:rPr>
          <w:rFonts w:hint="eastAsia" w:ascii="宋体" w:hAnsi="宋体" w:eastAsia="宋体" w:cs="宋体"/>
          <w:b/>
          <w:color w:val="auto"/>
          <w:sz w:val="28"/>
        </w:rPr>
        <w:t>第七章  技术标准和要求</w:t>
      </w:r>
      <w:r>
        <w:rPr>
          <w:rFonts w:hint="eastAsia" w:ascii="宋体" w:hAnsi="宋体" w:eastAsia="宋体" w:cs="宋体"/>
          <w:b/>
          <w:color w:val="auto"/>
          <w:sz w:val="28"/>
        </w:rPr>
        <w:tab/>
      </w:r>
      <w:r>
        <w:rPr>
          <w:rFonts w:hint="eastAsia" w:ascii="宋体" w:hAnsi="宋体" w:eastAsia="宋体" w:cs="宋体"/>
          <w:b/>
          <w:color w:val="auto"/>
          <w:sz w:val="28"/>
        </w:rPr>
        <w:t>44</w:t>
      </w:r>
      <w:r>
        <w:rPr>
          <w:rFonts w:hint="eastAsia" w:ascii="宋体" w:hAnsi="宋体" w:eastAsia="宋体" w:cs="宋体"/>
          <w:b/>
          <w:color w:val="auto"/>
          <w:sz w:val="28"/>
        </w:rPr>
        <w:tab/>
      </w:r>
    </w:p>
    <w:p>
      <w:pPr>
        <w:tabs>
          <w:tab w:val="left" w:leader="hyphen" w:pos="7919"/>
        </w:tabs>
        <w:snapToGrid w:val="0"/>
        <w:spacing w:line="480" w:lineRule="auto"/>
        <w:ind w:firstLine="645"/>
        <w:rPr>
          <w:rFonts w:hint="eastAsia" w:ascii="宋体" w:hAnsi="宋体" w:eastAsia="宋体" w:cs="宋体"/>
          <w:b/>
          <w:color w:val="auto"/>
          <w:sz w:val="28"/>
        </w:rPr>
      </w:pPr>
      <w:r>
        <w:rPr>
          <w:rFonts w:hint="eastAsia" w:ascii="宋体" w:hAnsi="宋体" w:eastAsia="宋体" w:cs="宋体"/>
          <w:b/>
          <w:color w:val="auto"/>
          <w:sz w:val="28"/>
        </w:rPr>
        <w:t>第八章  投标文件格式</w:t>
      </w:r>
      <w:r>
        <w:rPr>
          <w:rFonts w:hint="eastAsia" w:ascii="宋体" w:hAnsi="宋体" w:eastAsia="宋体" w:cs="宋体"/>
          <w:b/>
          <w:color w:val="auto"/>
          <w:sz w:val="28"/>
        </w:rPr>
        <w:tab/>
      </w:r>
      <w:r>
        <w:rPr>
          <w:rFonts w:hint="eastAsia" w:ascii="宋体" w:hAnsi="宋体" w:eastAsia="宋体" w:cs="宋体"/>
          <w:b/>
          <w:color w:val="auto"/>
          <w:sz w:val="28"/>
        </w:rPr>
        <w:t>45</w:t>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6" w:type="default"/>
          <w:footerReference r:id="rId7" w:type="default"/>
          <w:pgSz w:w="11906" w:h="16838"/>
          <w:pgMar w:top="1304" w:right="1134" w:bottom="1304" w:left="1134" w:header="0" w:footer="0" w:gutter="0"/>
          <w:pgNumType w:fmt="decimal"/>
          <w:cols w:space="720" w:num="1"/>
          <w:docGrid w:type="linesAndChars" w:linePitch="312" w:charSpace="0"/>
        </w:sectPr>
      </w:pPr>
    </w:p>
    <w:p>
      <w:pPr>
        <w:numPr>
          <w:ilvl w:val="0"/>
          <w:numId w:val="1"/>
        </w:numPr>
        <w:tabs>
          <w:tab w:val="left" w:pos="3185"/>
          <w:tab w:val="center" w:pos="5452"/>
        </w:tabs>
        <w:snapToGrid w:val="0"/>
        <w:spacing w:before="156" w:beforeLines="50"/>
        <w:jc w:val="center"/>
        <w:rPr>
          <w:rFonts w:hAnsi="宋体" w:cs="黑体"/>
          <w:b/>
          <w:color w:val="auto"/>
          <w:sz w:val="36"/>
          <w:szCs w:val="36"/>
        </w:rPr>
      </w:pPr>
      <w:r>
        <w:rPr>
          <w:rFonts w:hint="eastAsia" w:hAnsi="宋体" w:cs="黑体"/>
          <w:b/>
          <w:color w:val="auto"/>
          <w:sz w:val="36"/>
          <w:szCs w:val="36"/>
        </w:rPr>
        <w:t xml:space="preserve"> </w:t>
      </w:r>
    </w:p>
    <w:p>
      <w:pPr>
        <w:tabs>
          <w:tab w:val="left" w:pos="3185"/>
          <w:tab w:val="center" w:pos="5452"/>
        </w:tabs>
        <w:snapToGrid w:val="0"/>
        <w:spacing w:before="156" w:beforeLines="50"/>
        <w:jc w:val="center"/>
        <w:rPr>
          <w:rFonts w:hint="default" w:hAnsi="宋体" w:cs="黑体" w:eastAsiaTheme="minorEastAsia"/>
          <w:b/>
          <w:color w:val="auto"/>
          <w:sz w:val="36"/>
          <w:szCs w:val="36"/>
          <w:lang w:val="en-US" w:eastAsia="zh-CN"/>
        </w:rPr>
      </w:pPr>
      <w:r>
        <w:rPr>
          <w:rFonts w:hint="eastAsia" w:hAnsi="宋体" w:cs="黑体"/>
          <w:b/>
          <w:color w:val="auto"/>
          <w:sz w:val="36"/>
          <w:szCs w:val="36"/>
          <w:lang w:eastAsia="zh-CN"/>
        </w:rPr>
        <w:t>许昌市公安局魏都分局南关派出所（原市教育局）旧办公楼装修改造</w:t>
      </w:r>
      <w:r>
        <w:rPr>
          <w:rFonts w:hint="eastAsia" w:hAnsi="宋体" w:cs="黑体"/>
          <w:b/>
          <w:color w:val="auto"/>
          <w:sz w:val="36"/>
          <w:szCs w:val="36"/>
          <w:lang w:val="en-US" w:eastAsia="zh-CN"/>
        </w:rPr>
        <w:t>项目</w:t>
      </w:r>
    </w:p>
    <w:p>
      <w:pPr>
        <w:tabs>
          <w:tab w:val="left" w:pos="3185"/>
          <w:tab w:val="center" w:pos="5452"/>
        </w:tabs>
        <w:snapToGrid w:val="0"/>
        <w:spacing w:before="156" w:beforeLines="50"/>
        <w:jc w:val="center"/>
        <w:rPr>
          <w:rFonts w:hAnsi="宋体" w:cs="黑体"/>
          <w:b/>
          <w:color w:val="auto"/>
          <w:sz w:val="36"/>
          <w:szCs w:val="36"/>
        </w:rPr>
      </w:pPr>
      <w:r>
        <w:rPr>
          <w:rFonts w:hint="eastAsia" w:hAnsi="宋体" w:cs="黑体"/>
          <w:b/>
          <w:color w:val="auto"/>
          <w:sz w:val="36"/>
          <w:szCs w:val="36"/>
        </w:rPr>
        <w:t>（不见面开标）招标公告</w:t>
      </w:r>
    </w:p>
    <w:p>
      <w:pPr>
        <w:widowControl/>
        <w:numPr>
          <w:ilvl w:val="0"/>
          <w:numId w:val="2"/>
        </w:numPr>
        <w:spacing w:line="312" w:lineRule="auto"/>
        <w:rPr>
          <w:rFonts w:hAnsi="宋体"/>
          <w:b/>
          <w:color w:val="auto"/>
          <w:sz w:val="24"/>
        </w:rPr>
      </w:pPr>
      <w:r>
        <w:rPr>
          <w:rFonts w:hint="eastAsia" w:hAnsi="宋体"/>
          <w:b/>
          <w:color w:val="auto"/>
          <w:sz w:val="24"/>
        </w:rPr>
        <w:t>招标条件</w:t>
      </w:r>
    </w:p>
    <w:p>
      <w:pPr>
        <w:widowControl/>
        <w:spacing w:line="312" w:lineRule="auto"/>
        <w:ind w:firstLine="480" w:firstLineChars="200"/>
        <w:rPr>
          <w:rFonts w:hAnsi="宋体"/>
          <w:color w:val="auto"/>
          <w:sz w:val="24"/>
          <w:szCs w:val="24"/>
        </w:rPr>
      </w:pPr>
      <w:r>
        <w:rPr>
          <w:rFonts w:hint="eastAsia" w:hAnsi="宋体"/>
          <w:color w:val="auto"/>
          <w:sz w:val="24"/>
          <w:highlight w:val="none"/>
          <w:lang w:eastAsia="zh-CN"/>
        </w:rPr>
        <w:t>许昌市公安局魏都分局南关派出所（原市教育局）旧办公楼装修改造</w:t>
      </w:r>
      <w:r>
        <w:rPr>
          <w:rFonts w:hint="eastAsia" w:hAnsi="宋体"/>
          <w:color w:val="auto"/>
          <w:sz w:val="24"/>
          <w:highlight w:val="none"/>
          <w:lang w:val="en-US" w:eastAsia="zh-CN"/>
        </w:rPr>
        <w:t>项目</w:t>
      </w:r>
      <w:r>
        <w:rPr>
          <w:rFonts w:hint="eastAsia" w:hAnsi="宋体"/>
          <w:color w:val="auto"/>
          <w:sz w:val="24"/>
          <w:highlight w:val="none"/>
        </w:rPr>
        <w:t>已由许昌市魏都区发展和改革委员会以许魏发改【20</w:t>
      </w:r>
      <w:r>
        <w:rPr>
          <w:rFonts w:hint="eastAsia" w:hAnsi="宋体"/>
          <w:color w:val="auto"/>
          <w:sz w:val="24"/>
          <w:highlight w:val="none"/>
          <w:lang w:val="en-US" w:eastAsia="zh-CN"/>
        </w:rPr>
        <w:t>20</w:t>
      </w:r>
      <w:r>
        <w:rPr>
          <w:rFonts w:hint="eastAsia" w:hAnsi="宋体"/>
          <w:color w:val="auto"/>
          <w:sz w:val="24"/>
          <w:highlight w:val="none"/>
        </w:rPr>
        <w:t>】</w:t>
      </w:r>
      <w:r>
        <w:rPr>
          <w:rFonts w:hint="eastAsia" w:hAnsi="宋体"/>
          <w:color w:val="auto"/>
          <w:sz w:val="24"/>
          <w:highlight w:val="none"/>
          <w:lang w:val="en-US" w:eastAsia="zh-CN"/>
        </w:rPr>
        <w:t>56</w:t>
      </w:r>
      <w:r>
        <w:rPr>
          <w:rFonts w:hint="eastAsia" w:hAnsi="宋体"/>
          <w:color w:val="auto"/>
          <w:sz w:val="24"/>
          <w:highlight w:val="none"/>
        </w:rPr>
        <w:t>号文批准建设，建设资金已落实。招</w:t>
      </w:r>
      <w:r>
        <w:rPr>
          <w:rFonts w:hint="eastAsia" w:hAnsi="宋体"/>
          <w:color w:val="auto"/>
          <w:sz w:val="24"/>
        </w:rPr>
        <w:t>标人为</w:t>
      </w:r>
      <w:r>
        <w:rPr>
          <w:rFonts w:hint="eastAsia" w:hAnsi="宋体"/>
          <w:color w:val="auto"/>
          <w:sz w:val="24"/>
          <w:lang w:eastAsia="zh-CN"/>
        </w:rPr>
        <w:t>许昌市公安局魏都分局</w:t>
      </w:r>
      <w:r>
        <w:rPr>
          <w:rFonts w:hint="eastAsia" w:hAnsi="宋体"/>
          <w:color w:val="auto"/>
          <w:sz w:val="24"/>
        </w:rPr>
        <w:t>，建设资金为财政资金。项目已具备招标条件，现对该项目施工进行公开招标。</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default" w:hAnsi="宋体"/>
          <w:color w:val="auto"/>
          <w:sz w:val="24"/>
          <w:szCs w:val="24"/>
          <w:highlight w:val="none"/>
          <w:lang w:val="en-US"/>
        </w:rPr>
      </w:pPr>
      <w:r>
        <w:rPr>
          <w:rFonts w:hint="eastAsia" w:hAnsi="宋体"/>
          <w:color w:val="auto"/>
          <w:sz w:val="24"/>
        </w:rPr>
        <w:t xml:space="preserve">  </w:t>
      </w:r>
      <w:r>
        <w:rPr>
          <w:rFonts w:hint="eastAsia" w:hAnsi="宋体"/>
          <w:color w:val="auto"/>
          <w:sz w:val="24"/>
          <w:highlight w:val="none"/>
        </w:rPr>
        <w:t xml:space="preserve">  2.1项目编号</w:t>
      </w:r>
      <w:r>
        <w:rPr>
          <w:rFonts w:hint="eastAsia" w:hAnsi="宋体"/>
          <w:color w:val="auto"/>
          <w:sz w:val="24"/>
          <w:szCs w:val="24"/>
          <w:highlight w:val="none"/>
        </w:rPr>
        <w:t>：</w:t>
      </w:r>
      <w:r>
        <w:rPr>
          <w:rFonts w:hint="eastAsia" w:hAnsi="宋体"/>
          <w:color w:val="auto"/>
          <w:sz w:val="24"/>
          <w:szCs w:val="24"/>
          <w:highlight w:val="none"/>
          <w:lang w:val="en-US" w:eastAsia="zh-CN"/>
        </w:rPr>
        <w:t>XCGC-F2020097</w:t>
      </w:r>
    </w:p>
    <w:p>
      <w:pPr>
        <w:widowControl/>
        <w:spacing w:line="312" w:lineRule="auto"/>
        <w:ind w:firstLine="480" w:firstLineChars="200"/>
        <w:rPr>
          <w:rFonts w:hAnsi="宋体"/>
          <w:color w:val="auto"/>
          <w:sz w:val="24"/>
          <w:highlight w:val="none"/>
        </w:rPr>
      </w:pPr>
      <w:r>
        <w:rPr>
          <w:rFonts w:hint="eastAsia" w:hAnsi="宋体"/>
          <w:color w:val="auto"/>
          <w:sz w:val="24"/>
          <w:highlight w:val="none"/>
        </w:rPr>
        <w:t>2.2项目建设地点：</w:t>
      </w:r>
      <w:r>
        <w:rPr>
          <w:rFonts w:hint="eastAsia" w:hAnsi="宋体"/>
          <w:color w:val="auto"/>
          <w:sz w:val="24"/>
          <w:highlight w:val="none"/>
          <w:lang w:val="en-US" w:eastAsia="zh-CN"/>
        </w:rPr>
        <w:t>许昌市魏都六一路东侧，新兴路北侧，原市教育局院内</w:t>
      </w:r>
      <w:r>
        <w:rPr>
          <w:rFonts w:hint="eastAsia" w:hAnsi="宋体"/>
          <w:color w:val="auto"/>
          <w:sz w:val="24"/>
          <w:highlight w:val="none"/>
        </w:rPr>
        <w:t>。</w:t>
      </w:r>
    </w:p>
    <w:p>
      <w:pPr>
        <w:widowControl/>
        <w:spacing w:line="300" w:lineRule="auto"/>
        <w:ind w:firstLine="480"/>
        <w:rPr>
          <w:rFonts w:hAnsi="宋体"/>
          <w:color w:val="auto"/>
          <w:sz w:val="24"/>
          <w:highlight w:val="none"/>
        </w:rPr>
      </w:pPr>
      <w:r>
        <w:rPr>
          <w:rFonts w:hint="eastAsia" w:hAnsi="宋体"/>
          <w:color w:val="auto"/>
          <w:sz w:val="24"/>
          <w:highlight w:val="none"/>
        </w:rPr>
        <w:t>2.3工程概况：</w:t>
      </w:r>
      <w:r>
        <w:rPr>
          <w:rFonts w:hint="eastAsia" w:hAnsi="宋体"/>
          <w:color w:val="auto"/>
          <w:sz w:val="24"/>
          <w:highlight w:val="none"/>
          <w:lang w:val="en-US" w:eastAsia="zh-CN"/>
        </w:rPr>
        <w:t>3栋办公楼改造，总建筑面积5409.1㎡</w:t>
      </w:r>
      <w:r>
        <w:rPr>
          <w:rFonts w:hint="eastAsia" w:hAnsi="宋体"/>
          <w:color w:val="auto"/>
          <w:sz w:val="24"/>
          <w:highlight w:val="none"/>
        </w:rPr>
        <w:t>。</w:t>
      </w:r>
    </w:p>
    <w:p>
      <w:pPr>
        <w:widowControl/>
        <w:spacing w:line="312" w:lineRule="auto"/>
        <w:ind w:firstLine="480" w:firstLineChars="200"/>
        <w:rPr>
          <w:rFonts w:hAnsi="宋体"/>
          <w:color w:val="auto"/>
          <w:sz w:val="24"/>
          <w:highlight w:val="none"/>
        </w:rPr>
      </w:pPr>
      <w:r>
        <w:rPr>
          <w:rFonts w:hint="eastAsia" w:hAnsi="宋体"/>
          <w:color w:val="auto"/>
          <w:sz w:val="24"/>
          <w:highlight w:val="none"/>
        </w:rPr>
        <w:t>2.4招标范围：招标文件、工程量清单、施工图纸、答疑纪要和补充文件（如有）范围内的所有建设内容。</w:t>
      </w:r>
    </w:p>
    <w:p>
      <w:pPr>
        <w:spacing w:line="360" w:lineRule="auto"/>
        <w:ind w:firstLine="480"/>
        <w:rPr>
          <w:rFonts w:hAnsi="宋体"/>
          <w:color w:val="auto"/>
          <w:sz w:val="24"/>
          <w:highlight w:val="none"/>
        </w:rPr>
      </w:pPr>
      <w:r>
        <w:rPr>
          <w:rFonts w:hint="eastAsia" w:hAnsi="宋体"/>
          <w:color w:val="auto"/>
          <w:sz w:val="24"/>
          <w:highlight w:val="none"/>
        </w:rPr>
        <w:t>2.5标段划分：本工程共设1个施工标段</w:t>
      </w:r>
    </w:p>
    <w:p>
      <w:pPr>
        <w:spacing w:line="360" w:lineRule="auto"/>
        <w:ind w:firstLine="480"/>
        <w:rPr>
          <w:rFonts w:hAnsi="宋体"/>
          <w:color w:val="auto"/>
          <w:sz w:val="24"/>
          <w:highlight w:val="none"/>
        </w:rPr>
      </w:pPr>
      <w:r>
        <w:rPr>
          <w:rFonts w:hint="eastAsia" w:hAnsi="宋体"/>
          <w:color w:val="auto"/>
          <w:sz w:val="24"/>
          <w:highlight w:val="none"/>
        </w:rPr>
        <w:t>2.6招标控制价:</w:t>
      </w:r>
      <w:r>
        <w:rPr>
          <w:rFonts w:hint="eastAsia" w:hAnsi="宋体"/>
          <w:color w:val="auto"/>
          <w:sz w:val="24"/>
          <w:highlight w:val="none"/>
          <w:lang w:eastAsia="zh-CN"/>
        </w:rPr>
        <w:t>2329888.3元</w:t>
      </w:r>
      <w:r>
        <w:rPr>
          <w:rFonts w:hint="eastAsia" w:hAnsi="宋体"/>
          <w:color w:val="auto"/>
          <w:sz w:val="24"/>
          <w:highlight w:val="none"/>
        </w:rPr>
        <w:t>。</w:t>
      </w:r>
    </w:p>
    <w:p>
      <w:pPr>
        <w:widowControl/>
        <w:spacing w:line="300" w:lineRule="auto"/>
        <w:ind w:firstLine="480"/>
        <w:rPr>
          <w:rFonts w:hAnsi="宋体"/>
          <w:color w:val="auto"/>
          <w:sz w:val="24"/>
          <w:highlight w:val="none"/>
        </w:rPr>
      </w:pPr>
      <w:r>
        <w:rPr>
          <w:rFonts w:hint="eastAsia" w:hAnsi="宋体"/>
          <w:color w:val="auto"/>
          <w:sz w:val="24"/>
          <w:highlight w:val="none"/>
        </w:rPr>
        <w:t>2.7计划工</w:t>
      </w:r>
      <w:r>
        <w:rPr>
          <w:rFonts w:hint="eastAsia" w:hAnsi="宋体" w:eastAsia="宋体" w:cs="Times New Roman"/>
          <w:color w:val="auto"/>
          <w:sz w:val="24"/>
          <w:szCs w:val="24"/>
          <w:highlight w:val="none"/>
        </w:rPr>
        <w:t>期：</w:t>
      </w:r>
      <w:r>
        <w:rPr>
          <w:rFonts w:hint="eastAsia" w:hAnsi="宋体" w:eastAsia="宋体" w:cs="Times New Roman"/>
          <w:color w:val="auto"/>
          <w:sz w:val="24"/>
          <w:szCs w:val="24"/>
          <w:highlight w:val="none"/>
          <w:lang w:val="en-US" w:eastAsia="zh-CN"/>
        </w:rPr>
        <w:t>30日历天</w:t>
      </w:r>
      <w:r>
        <w:rPr>
          <w:rFonts w:hint="eastAsia" w:hAnsi="宋体" w:eastAsia="宋体" w:cs="Times New Roman"/>
          <w:color w:val="auto"/>
          <w:sz w:val="24"/>
          <w:szCs w:val="24"/>
          <w:highlight w:val="none"/>
        </w:rPr>
        <w:t>。</w:t>
      </w:r>
    </w:p>
    <w:p>
      <w:pPr>
        <w:widowControl/>
        <w:spacing w:line="300" w:lineRule="auto"/>
        <w:rPr>
          <w:rFonts w:hAnsi="宋体"/>
          <w:color w:val="auto"/>
          <w:sz w:val="24"/>
          <w:highlight w:val="none"/>
        </w:rPr>
      </w:pPr>
      <w:r>
        <w:rPr>
          <w:rFonts w:hint="eastAsia" w:hAnsi="宋体"/>
          <w:color w:val="auto"/>
          <w:sz w:val="24"/>
          <w:highlight w:val="none"/>
        </w:rPr>
        <w:t xml:space="preserve">    2.8质量要求：合格</w:t>
      </w:r>
      <w:r>
        <w:rPr>
          <w:rFonts w:hint="eastAsia" w:hAnsi="宋体" w:eastAsia="宋体" w:cs="宋体"/>
          <w:color w:val="auto"/>
          <w:sz w:val="24"/>
          <w:highlight w:val="none"/>
        </w:rPr>
        <w:t>（符合国家现行的验收规范和标准）</w:t>
      </w:r>
      <w:r>
        <w:rPr>
          <w:rFonts w:hint="eastAsia" w:hAnsi="宋体"/>
          <w:color w:val="auto"/>
          <w:sz w:val="24"/>
          <w:highlight w:val="none"/>
        </w:rPr>
        <w:t>。</w:t>
      </w:r>
    </w:p>
    <w:p>
      <w:pPr>
        <w:widowControl/>
        <w:numPr>
          <w:ilvl w:val="0"/>
          <w:numId w:val="3"/>
        </w:numPr>
        <w:spacing w:line="360" w:lineRule="auto"/>
        <w:rPr>
          <w:rFonts w:hAnsi="宋体"/>
          <w:b/>
          <w:color w:val="auto"/>
          <w:sz w:val="24"/>
        </w:rPr>
      </w:pPr>
      <w:r>
        <w:rPr>
          <w:rFonts w:hint="eastAsia" w:hAnsi="宋体"/>
          <w:b/>
          <w:color w:val="auto"/>
          <w:sz w:val="24"/>
        </w:rPr>
        <w:t>资格要求</w:t>
      </w:r>
    </w:p>
    <w:p>
      <w:pPr>
        <w:pStyle w:val="11"/>
        <w:spacing w:beforeAutospacing="0" w:afterAutospacing="0" w:line="360" w:lineRule="auto"/>
        <w:ind w:firstLine="480" w:firstLineChars="200"/>
        <w:contextualSpacing/>
        <w:jc w:val="both"/>
        <w:rPr>
          <w:rFonts w:ascii="仿宋_GB2312" w:cs="Times New Roman"/>
          <w:color w:val="auto"/>
          <w:kern w:val="44"/>
          <w:szCs w:val="44"/>
          <w:highlight w:val="none"/>
        </w:rPr>
      </w:pPr>
      <w:r>
        <w:rPr>
          <w:rFonts w:hint="eastAsia" w:cs="Times New Roman"/>
          <w:color w:val="auto"/>
          <w:szCs w:val="24"/>
          <w:highlight w:val="none"/>
        </w:rPr>
        <w:t>3.1投标人须具有建筑工程施工总承包三级及以上企业资质，具有有效的安全生产许可证的独立法人企业，并在人员、设备、资金等方面具有相应的施工能力。拟派项目负责人具有二级及以上建筑工程专业注册建造师执业资格（不含临时执业资格）和有效的安全生产考核合格证，且未担任其它在施建设工程的项目负责人。</w:t>
      </w:r>
    </w:p>
    <w:p>
      <w:pPr>
        <w:pStyle w:val="11"/>
        <w:spacing w:beforeAutospacing="0" w:afterAutospacing="0" w:line="360" w:lineRule="auto"/>
        <w:ind w:firstLine="480" w:firstLineChars="200"/>
        <w:contextualSpacing/>
        <w:jc w:val="both"/>
        <w:rPr>
          <w:rFonts w:cs="Times New Roman"/>
          <w:color w:val="auto"/>
          <w:szCs w:val="24"/>
          <w:highlight w:val="none"/>
        </w:rPr>
      </w:pPr>
      <w:r>
        <w:rPr>
          <w:rFonts w:hint="eastAsia" w:cs="Times New Roman"/>
          <w:color w:val="auto"/>
          <w:szCs w:val="24"/>
          <w:highlight w:val="none"/>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Autospacing="0" w:afterAutospacing="0" w:line="360" w:lineRule="auto"/>
        <w:ind w:firstLine="480" w:firstLineChars="200"/>
        <w:contextualSpacing/>
        <w:jc w:val="both"/>
        <w:rPr>
          <w:rFonts w:cs="Times New Roman"/>
          <w:color w:val="auto"/>
          <w:szCs w:val="24"/>
          <w:highlight w:val="none"/>
        </w:rPr>
      </w:pPr>
      <w:r>
        <w:rPr>
          <w:rFonts w:hint="eastAsia" w:cs="Times New Roman"/>
          <w:color w:val="auto"/>
          <w:szCs w:val="24"/>
          <w:highlight w:val="none"/>
        </w:rPr>
        <w:t>3.3本次招标不接受联合体投标。</w:t>
      </w:r>
    </w:p>
    <w:p>
      <w:pPr>
        <w:pStyle w:val="11"/>
        <w:spacing w:beforeAutospacing="0" w:afterAutospacing="0" w:line="360" w:lineRule="auto"/>
        <w:ind w:firstLine="480" w:firstLineChars="200"/>
        <w:contextualSpacing/>
        <w:jc w:val="both"/>
        <w:rPr>
          <w:rFonts w:cs="Times New Roman"/>
          <w:color w:val="auto"/>
          <w:szCs w:val="24"/>
        </w:rPr>
      </w:pPr>
      <w:r>
        <w:rPr>
          <w:rFonts w:hint="eastAsia" w:cs="Times New Roman"/>
          <w:color w:val="auto"/>
          <w:szCs w:val="24"/>
        </w:rPr>
        <w:t>3.4本次招标实行资格后审。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1"/>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5.2施工图纸下载：按照招标文件中第二章投标人须知前附表自行下载。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5.3招标文件每套售价</w:t>
      </w:r>
      <w:r>
        <w:rPr>
          <w:rFonts w:hint="eastAsia" w:hAnsi="宋体"/>
          <w:bCs/>
          <w:color w:val="auto"/>
          <w:sz w:val="24"/>
          <w:u w:val="single"/>
        </w:rPr>
        <w:t xml:space="preserve"> 300 </w:t>
      </w:r>
      <w:r>
        <w:rPr>
          <w:rFonts w:hint="eastAsia" w:hAnsi="宋体"/>
          <w:bCs/>
          <w:color w:val="auto"/>
          <w:sz w:val="24"/>
        </w:rPr>
        <w:t>元，投标人于开标结束后转账至支付宝账户：</w:t>
      </w:r>
      <w:r>
        <w:rPr>
          <w:rFonts w:hint="eastAsia" w:hAnsi="宋体"/>
          <w:bCs/>
          <w:color w:val="auto"/>
          <w:sz w:val="24"/>
          <w:lang w:val="en-US" w:eastAsia="zh-CN"/>
        </w:rPr>
        <w:t>15670625175</w:t>
      </w:r>
      <w:r>
        <w:rPr>
          <w:rFonts w:hint="eastAsia" w:hAnsi="宋体"/>
          <w:bCs/>
          <w:color w:val="auto"/>
          <w:sz w:val="24"/>
        </w:rPr>
        <w:t>（转账时请注明项目编号、标段及公司名称）。</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color w:val="auto"/>
          <w:sz w:val="24"/>
          <w:highlight w:val="none"/>
        </w:rPr>
      </w:pPr>
      <w:r>
        <w:rPr>
          <w:rFonts w:hint="eastAsia" w:hAnsi="宋体"/>
          <w:bCs/>
          <w:color w:val="auto"/>
          <w:sz w:val="24"/>
          <w:highlight w:val="none"/>
        </w:rPr>
        <w:t>6.2 投标截止时间及开标时间：2020年</w:t>
      </w:r>
      <w:r>
        <w:rPr>
          <w:rFonts w:hint="eastAsia" w:hAnsi="宋体"/>
          <w:bCs/>
          <w:color w:val="auto"/>
          <w:sz w:val="24"/>
          <w:highlight w:val="none"/>
          <w:lang w:val="en-US" w:eastAsia="zh-CN"/>
        </w:rPr>
        <w:t>5</w:t>
      </w:r>
      <w:r>
        <w:rPr>
          <w:rFonts w:hint="eastAsia" w:hAnsi="宋体"/>
          <w:bCs/>
          <w:color w:val="auto"/>
          <w:sz w:val="24"/>
          <w:highlight w:val="none"/>
        </w:rPr>
        <w:t>月</w:t>
      </w:r>
      <w:r>
        <w:rPr>
          <w:rFonts w:hint="eastAsia" w:hAnsi="宋体"/>
          <w:bCs/>
          <w:color w:val="auto"/>
          <w:sz w:val="24"/>
          <w:highlight w:val="none"/>
          <w:lang w:val="en-US" w:eastAsia="zh-CN"/>
        </w:rPr>
        <w:t>28</w:t>
      </w:r>
      <w:r>
        <w:rPr>
          <w:rFonts w:hint="eastAsia" w:hAnsi="宋体"/>
          <w:bCs/>
          <w:color w:val="auto"/>
          <w:sz w:val="24"/>
          <w:highlight w:val="none"/>
        </w:rPr>
        <w:t>日</w:t>
      </w:r>
      <w:r>
        <w:rPr>
          <w:rFonts w:hint="eastAsia" w:hAnsi="宋体"/>
          <w:bCs/>
          <w:color w:val="auto"/>
          <w:sz w:val="24"/>
          <w:highlight w:val="none"/>
          <w:lang w:val="en-US" w:eastAsia="zh-CN"/>
        </w:rPr>
        <w:t>08</w:t>
      </w:r>
      <w:r>
        <w:rPr>
          <w:rFonts w:hint="eastAsia" w:hAnsi="宋体"/>
          <w:bCs/>
          <w:color w:val="auto"/>
          <w:sz w:val="24"/>
          <w:highlight w:val="none"/>
        </w:rPr>
        <w:t>时</w:t>
      </w:r>
      <w:r>
        <w:rPr>
          <w:rFonts w:hint="eastAsia" w:hAnsi="宋体"/>
          <w:bCs/>
          <w:color w:val="auto"/>
          <w:sz w:val="24"/>
          <w:highlight w:val="none"/>
          <w:lang w:val="en-US" w:eastAsia="zh-CN"/>
        </w:rPr>
        <w:t>30</w:t>
      </w:r>
      <w:r>
        <w:rPr>
          <w:rFonts w:hint="eastAsia" w:hAnsi="宋体"/>
          <w:bCs/>
          <w:color w:val="auto"/>
          <w:sz w:val="24"/>
          <w:highlight w:val="none"/>
        </w:rPr>
        <w:t>分</w:t>
      </w:r>
      <w:r>
        <w:rPr>
          <w:rFonts w:hint="eastAsia" w:hAnsi="宋体"/>
          <w:bCs/>
          <w:color w:val="auto"/>
          <w:sz w:val="24"/>
          <w:highlight w:val="none"/>
        </w:rPr>
        <w:t>。</w:t>
      </w:r>
    </w:p>
    <w:p>
      <w:pPr>
        <w:widowControl/>
        <w:spacing w:line="360" w:lineRule="auto"/>
        <w:ind w:firstLine="480" w:firstLineChars="200"/>
        <w:rPr>
          <w:rFonts w:hAnsi="宋体"/>
          <w:bCs/>
          <w:color w:val="auto"/>
          <w:sz w:val="24"/>
        </w:rPr>
      </w:pPr>
      <w:r>
        <w:rPr>
          <w:rFonts w:hint="eastAsia" w:hAnsi="宋体"/>
          <w:bCs/>
          <w:color w:val="auto"/>
          <w:sz w:val="24"/>
          <w:highlight w:val="none"/>
        </w:rPr>
        <w:t>6.3招标人（代理机构）线上开标地点：许昌市公共资源交易中心（龙兴路与竹林路交汇处创业服务中心C座）三楼开标</w:t>
      </w:r>
      <w:r>
        <w:rPr>
          <w:rFonts w:hint="eastAsia" w:hAnsi="宋体"/>
          <w:bCs/>
          <w:color w:val="auto"/>
          <w:sz w:val="24"/>
          <w:highlight w:val="none"/>
          <w:u w:val="none"/>
          <w:lang w:eastAsia="zh-CN"/>
        </w:rPr>
        <w:t>（</w:t>
      </w:r>
      <w:r>
        <w:rPr>
          <w:rFonts w:hint="eastAsia" w:hAnsi="宋体"/>
          <w:bCs/>
          <w:color w:val="auto"/>
          <w:sz w:val="24"/>
          <w:highlight w:val="none"/>
          <w:u w:val="none"/>
          <w:lang w:val="en-US" w:eastAsia="zh-CN"/>
        </w:rPr>
        <w:t>二</w:t>
      </w:r>
      <w:r>
        <w:rPr>
          <w:rFonts w:hint="eastAsia" w:hAnsi="宋体"/>
          <w:bCs/>
          <w:color w:val="auto"/>
          <w:sz w:val="24"/>
          <w:highlight w:val="none"/>
          <w:u w:val="none"/>
          <w:lang w:eastAsia="zh-CN"/>
        </w:rPr>
        <w:t>）</w:t>
      </w:r>
      <w:r>
        <w:rPr>
          <w:rFonts w:hint="eastAsia" w:hAnsi="宋体"/>
          <w:bCs/>
          <w:color w:val="auto"/>
          <w:sz w:val="24"/>
          <w:highlight w:val="none"/>
        </w:rPr>
        <w:t>室。本项</w:t>
      </w:r>
      <w:r>
        <w:rPr>
          <w:rFonts w:hint="eastAsia" w:hAnsi="宋体"/>
          <w:bCs/>
          <w:color w:val="auto"/>
          <w:sz w:val="24"/>
        </w:rPr>
        <w:t>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6.4逾期送达（未成功上传）的或者未按规定解密的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560" w:lineRule="exact"/>
        <w:ind w:firstLine="240" w:firstLineChars="1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szCs w:val="24"/>
          <w:highlight w:val="none"/>
        </w:rPr>
        <w:t>招 标 人：</w:t>
      </w:r>
      <w:r>
        <w:rPr>
          <w:rFonts w:hint="eastAsia" w:asciiTheme="minorEastAsia" w:hAnsiTheme="minorEastAsia" w:cstheme="minorEastAsia"/>
          <w:color w:val="auto"/>
          <w:sz w:val="24"/>
          <w:highlight w:val="none"/>
          <w:lang w:eastAsia="zh-CN"/>
        </w:rPr>
        <w:t>许昌市公安局魏都分局</w:t>
      </w:r>
      <w:r>
        <w:rPr>
          <w:rFonts w:hint="eastAsia" w:asciiTheme="minorEastAsia" w:hAnsiTheme="minorEastAsia" w:cstheme="minorEastAsia"/>
          <w:color w:val="auto"/>
          <w:sz w:val="24"/>
          <w:highlight w:val="none"/>
          <w:lang w:val="en-US" w:eastAsia="zh-CN"/>
        </w:rPr>
        <w:t xml:space="preserve"> </w:t>
      </w:r>
    </w:p>
    <w:p>
      <w:pPr>
        <w:spacing w:line="5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地    址：</w:t>
      </w:r>
      <w:r>
        <w:rPr>
          <w:rFonts w:hint="eastAsia" w:asciiTheme="minorEastAsia" w:hAnsiTheme="minorEastAsia" w:cstheme="minorEastAsia"/>
          <w:color w:val="auto"/>
          <w:sz w:val="24"/>
          <w:szCs w:val="24"/>
          <w:highlight w:val="none"/>
          <w:lang w:eastAsia="zh-CN"/>
        </w:rPr>
        <w:t>许昌市魏都六一路东侧，新兴路北侧，原市教育局院内</w:t>
      </w:r>
    </w:p>
    <w:p>
      <w:pPr>
        <w:spacing w:line="560" w:lineRule="exact"/>
        <w:ind w:firstLine="240" w:firstLineChars="1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 系 人：</w:t>
      </w:r>
      <w:r>
        <w:rPr>
          <w:rFonts w:hint="eastAsia" w:asciiTheme="minorEastAsia" w:hAnsiTheme="minorEastAsia" w:cstheme="minorEastAsia"/>
          <w:color w:val="auto"/>
          <w:sz w:val="24"/>
          <w:szCs w:val="24"/>
          <w:highlight w:val="none"/>
          <w:lang w:val="en-US" w:eastAsia="zh-CN"/>
        </w:rPr>
        <w:t>刘</w:t>
      </w:r>
      <w:r>
        <w:rPr>
          <w:rFonts w:hint="eastAsia" w:asciiTheme="minorEastAsia" w:hAnsiTheme="minorEastAsia" w:cstheme="minorEastAsia"/>
          <w:color w:val="auto"/>
          <w:sz w:val="24"/>
          <w:szCs w:val="24"/>
          <w:highlight w:val="none"/>
          <w:lang w:eastAsia="zh-CN"/>
        </w:rPr>
        <w:t>先生</w:t>
      </w:r>
    </w:p>
    <w:p>
      <w:pPr>
        <w:spacing w:line="560" w:lineRule="exact"/>
        <w:ind w:firstLine="240" w:firstLineChars="1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cstheme="minorEastAsia"/>
          <w:color w:val="auto"/>
          <w:sz w:val="24"/>
          <w:szCs w:val="24"/>
          <w:highlight w:val="none"/>
          <w:lang w:val="en-US" w:eastAsia="zh-CN"/>
        </w:rPr>
        <w:t>18637462559</w:t>
      </w:r>
    </w:p>
    <w:p>
      <w:pPr>
        <w:spacing w:line="560" w:lineRule="exact"/>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招标代理机构名称：</w:t>
      </w:r>
      <w:r>
        <w:rPr>
          <w:rFonts w:hint="eastAsia" w:asciiTheme="minorEastAsia" w:hAnsiTheme="minorEastAsia" w:eastAsiaTheme="minorEastAsia" w:cstheme="minorEastAsia"/>
          <w:color w:val="auto"/>
          <w:sz w:val="24"/>
          <w:szCs w:val="24"/>
          <w:lang w:eastAsia="zh-CN"/>
        </w:rPr>
        <w:t>中技兴安工程项目管理有限公司</w:t>
      </w:r>
      <w:r>
        <w:rPr>
          <w:rFonts w:hint="eastAsia" w:asciiTheme="minorEastAsia" w:hAnsiTheme="minorEastAsia" w:eastAsiaTheme="minorEastAsia" w:cstheme="minorEastAsia"/>
          <w:color w:val="auto"/>
          <w:sz w:val="24"/>
          <w:szCs w:val="24"/>
        </w:rPr>
        <w:t xml:space="preserve"> </w:t>
      </w:r>
    </w:p>
    <w:p>
      <w:pPr>
        <w:spacing w:line="560" w:lineRule="exact"/>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lang w:val="en-US" w:eastAsia="zh-CN"/>
        </w:rPr>
        <w:t>郑州市金水区永恒名座大厦1503室</w:t>
      </w:r>
    </w:p>
    <w:p>
      <w:pPr>
        <w:spacing w:line="560" w:lineRule="exact"/>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 系 人：</w:t>
      </w:r>
      <w:r>
        <w:rPr>
          <w:rFonts w:hint="eastAsia" w:asciiTheme="minorEastAsia" w:hAnsiTheme="minorEastAsia" w:cstheme="minorEastAsia"/>
          <w:color w:val="auto"/>
          <w:sz w:val="24"/>
          <w:szCs w:val="24"/>
          <w:lang w:eastAsia="zh-CN"/>
        </w:rPr>
        <w:t>李先生</w:t>
      </w:r>
    </w:p>
    <w:p>
      <w:pPr>
        <w:spacing w:line="560" w:lineRule="exact"/>
        <w:ind w:firstLine="240" w:firstLineChars="1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cstheme="minorEastAsia"/>
          <w:color w:val="auto"/>
          <w:sz w:val="24"/>
          <w:szCs w:val="24"/>
          <w:lang w:val="en-US" w:eastAsia="zh-CN"/>
        </w:rPr>
        <w:t>0371-55986707</w:t>
      </w:r>
    </w:p>
    <w:p>
      <w:pPr>
        <w:spacing w:line="440" w:lineRule="exact"/>
        <w:rPr>
          <w:rFonts w:hint="eastAsia" w:asciiTheme="minorEastAsia" w:hAnsiTheme="minorEastAsia" w:eastAsiaTheme="minorEastAsia" w:cstheme="minorEastAsia"/>
          <w:b/>
          <w:color w:val="auto"/>
          <w:sz w:val="28"/>
          <w:szCs w:val="28"/>
        </w:rPr>
      </w:pPr>
    </w:p>
    <w:p>
      <w:pPr>
        <w:spacing w:line="560" w:lineRule="exact"/>
        <w:ind w:firstLine="240" w:firstLineChars="100"/>
        <w:jc w:val="righ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lang w:eastAsia="zh-CN"/>
        </w:rPr>
        <w:t>许昌市公安局魏都分局</w:t>
      </w:r>
    </w:p>
    <w:p>
      <w:pPr>
        <w:spacing w:line="560" w:lineRule="exact"/>
        <w:ind w:firstLine="240" w:firstLineChars="1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2020年</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日</w:t>
      </w:r>
    </w:p>
    <w:p>
      <w:pPr>
        <w:spacing w:line="440" w:lineRule="exact"/>
        <w:rPr>
          <w:rFonts w:hAnsi="宋体"/>
          <w:b/>
          <w:color w:val="auto"/>
          <w:sz w:val="28"/>
          <w:szCs w:val="28"/>
        </w:rPr>
      </w:pPr>
      <w:r>
        <w:rPr>
          <w:rFonts w:hint="eastAsia" w:hAnsi="宋体"/>
          <w:b/>
          <w:color w:val="auto"/>
          <w:sz w:val="28"/>
          <w:szCs w:val="28"/>
        </w:rPr>
        <w:t>温馨提示：</w:t>
      </w:r>
    </w:p>
    <w:p>
      <w:pPr>
        <w:spacing w:line="560" w:lineRule="exact"/>
        <w:ind w:firstLine="480" w:firstLineChars="200"/>
        <w:rPr>
          <w:rFonts w:hAnsi="宋体"/>
          <w:color w:val="auto"/>
          <w:sz w:val="24"/>
          <w:szCs w:val="24"/>
        </w:rPr>
      </w:pPr>
      <w:r>
        <w:rPr>
          <w:rFonts w:hint="eastAsia" w:hAnsi="宋体"/>
          <w:b/>
          <w:color w:val="auto"/>
          <w:sz w:val="24"/>
          <w:szCs w:val="24"/>
        </w:rPr>
        <w:t>本项目为全流程电子化交易项目，请认真阅读招标文件，并注意以下事项。</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1.投标人应按招标文件规定编制、提交、解密电子投标文件。</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3.电子投标文件的制作</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3.1 投标人登录《全国公共资源交易平台(河南省▪许昌市)》公共资源交易系统（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color w:val="auto"/>
          <w:sz w:val="24"/>
        </w:rPr>
      </w:pPr>
      <w:r>
        <w:rPr>
          <w:rFonts w:hint="eastAsia" w:hAnsi="宋体" w:cs="宋体"/>
          <w:b/>
          <w:bCs/>
          <w:color w:val="auto"/>
          <w:sz w:val="24"/>
        </w:rPr>
        <w:t>4.投标保证金的提交</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4.1.2提交后再次登录</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5.加密电子投标文件的提交</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5.1电子投标文件应在规定的投标截止时间（开标时间）之前成功提交至【全国公共资源交易平台(河南省▪许昌市)】公共资源交易系统（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投标人应充分考虑并预留技术处理和上传数据所需时间。</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5.3加密电子投标文件成功提交后，《全国公共资源交易平台（河南省·许昌市）》公共资源交易系统（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6.远程不见面开标(电子投标文件的解密)</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color w:val="auto"/>
          <w:sz w:val="24"/>
        </w:rPr>
      </w:pPr>
      <w:r>
        <w:rPr>
          <w:rFonts w:hint="eastAsia" w:hAnsi="宋体"/>
          <w:b/>
          <w:bCs/>
          <w:color w:val="auto"/>
          <w:sz w:val="24"/>
        </w:rPr>
        <w:t>7.评标依据</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Ansi="宋体" w:cs="宋体"/>
          <w:b/>
          <w:color w:val="auto"/>
          <w:sz w:val="36"/>
          <w:szCs w:val="36"/>
        </w:rPr>
      </w:pPr>
    </w:p>
    <w:p>
      <w:pPr>
        <w:tabs>
          <w:tab w:val="left" w:pos="4140"/>
          <w:tab w:val="left" w:pos="4260"/>
        </w:tabs>
        <w:spacing w:line="360" w:lineRule="auto"/>
        <w:ind w:right="-578" w:rightChars="-170"/>
        <w:jc w:val="center"/>
        <w:rPr>
          <w:rFonts w:hAnsi="宋体" w:cs="宋体"/>
          <w:b/>
          <w:color w:val="auto"/>
          <w:sz w:val="36"/>
          <w:szCs w:val="36"/>
        </w:rPr>
      </w:pPr>
    </w:p>
    <w:p>
      <w:pPr>
        <w:tabs>
          <w:tab w:val="left" w:pos="4140"/>
          <w:tab w:val="left" w:pos="4260"/>
        </w:tabs>
        <w:spacing w:line="360" w:lineRule="auto"/>
        <w:ind w:right="-578" w:rightChars="-170"/>
        <w:jc w:val="center"/>
        <w:rPr>
          <w:rFonts w:hAnsi="宋体" w:cs="宋体"/>
          <w:b/>
          <w:color w:val="auto"/>
          <w:sz w:val="36"/>
          <w:szCs w:val="36"/>
        </w:rPr>
      </w:pP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spacing w:line="360" w:lineRule="auto"/>
              <w:rPr>
                <w:rFonts w:hAnsi="宋体"/>
                <w:color w:val="auto"/>
                <w:sz w:val="24"/>
                <w:highlight w:val="none"/>
              </w:rPr>
            </w:pPr>
            <w:r>
              <w:rPr>
                <w:rFonts w:hint="eastAsia" w:hAnsi="宋体"/>
                <w:color w:val="auto"/>
                <w:sz w:val="24"/>
                <w:highlight w:val="none"/>
              </w:rPr>
              <w:t>招</w:t>
            </w:r>
            <w:r>
              <w:rPr>
                <w:rFonts w:hint="eastAsia" w:hAnsi="宋体"/>
                <w:color w:val="auto"/>
                <w:sz w:val="24"/>
                <w:highlight w:val="none"/>
                <w:lang w:val="en-US" w:eastAsia="zh-CN"/>
              </w:rPr>
              <w:t xml:space="preserve"> </w:t>
            </w:r>
            <w:r>
              <w:rPr>
                <w:rFonts w:hint="eastAsia" w:hAnsi="宋体"/>
                <w:color w:val="auto"/>
                <w:sz w:val="24"/>
                <w:highlight w:val="none"/>
              </w:rPr>
              <w:t>标</w:t>
            </w:r>
            <w:r>
              <w:rPr>
                <w:rFonts w:hint="eastAsia" w:hAnsi="宋体"/>
                <w:color w:val="auto"/>
                <w:sz w:val="24"/>
                <w:highlight w:val="none"/>
                <w:lang w:val="en-US" w:eastAsia="zh-CN"/>
              </w:rPr>
              <w:t xml:space="preserve"> </w:t>
            </w:r>
            <w:r>
              <w:rPr>
                <w:rFonts w:hint="eastAsia" w:hAnsi="宋体"/>
                <w:color w:val="auto"/>
                <w:sz w:val="24"/>
                <w:highlight w:val="none"/>
              </w:rPr>
              <w:t>人：</w:t>
            </w:r>
            <w:r>
              <w:rPr>
                <w:rFonts w:hint="eastAsia" w:hAnsi="宋体"/>
                <w:color w:val="auto"/>
                <w:sz w:val="24"/>
                <w:highlight w:val="none"/>
                <w:lang w:eastAsia="zh-CN"/>
              </w:rPr>
              <w:t>许昌市公安局魏都分局</w:t>
            </w:r>
            <w:r>
              <w:rPr>
                <w:rFonts w:hint="eastAsia" w:hAnsi="宋体"/>
                <w:color w:val="auto"/>
                <w:sz w:val="24"/>
                <w:highlight w:val="none"/>
              </w:rPr>
              <w:t xml:space="preserve"> </w:t>
            </w:r>
          </w:p>
          <w:p>
            <w:pPr>
              <w:spacing w:line="5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cstheme="minorEastAsia"/>
                <w:color w:val="auto"/>
                <w:sz w:val="24"/>
                <w:szCs w:val="24"/>
                <w:highlight w:val="none"/>
                <w:lang w:eastAsia="zh-CN"/>
              </w:rPr>
              <w:t>许昌市魏都六一路东侧，新兴路北侧，原市教育局院内</w:t>
            </w:r>
          </w:p>
          <w:p>
            <w:pPr>
              <w:spacing w:line="560" w:lineRule="exact"/>
              <w:rPr>
                <w:rFonts w:hint="default" w:hAnsi="宋体" w:cs="宋体"/>
                <w:color w:val="auto"/>
                <w:sz w:val="24"/>
                <w:szCs w:val="24"/>
                <w:lang w:val="en-US" w:eastAsia="zh-CN"/>
              </w:rPr>
            </w:pPr>
            <w:r>
              <w:rPr>
                <w:rFonts w:hint="eastAsia" w:hAnsi="宋体" w:cs="宋体"/>
                <w:color w:val="auto"/>
                <w:sz w:val="24"/>
                <w:szCs w:val="24"/>
                <w:lang w:val="en-US" w:eastAsia="zh-CN"/>
              </w:rPr>
              <w:t>联系人：</w:t>
            </w:r>
            <w:r>
              <w:rPr>
                <w:rFonts w:hint="default" w:hAnsi="宋体" w:cs="宋体"/>
                <w:color w:val="auto"/>
                <w:sz w:val="24"/>
                <w:szCs w:val="24"/>
                <w:lang w:val="en-US" w:eastAsia="zh-CN"/>
              </w:rPr>
              <w:t>刘先生</w:t>
            </w:r>
          </w:p>
          <w:p>
            <w:pPr>
              <w:spacing w:line="560" w:lineRule="exact"/>
              <w:rPr>
                <w:rFonts w:hint="default" w:hAnsi="宋体" w:cs="宋体"/>
                <w:color w:val="auto"/>
                <w:sz w:val="24"/>
                <w:szCs w:val="24"/>
                <w:lang w:val="en-US"/>
              </w:rPr>
            </w:pPr>
            <w:r>
              <w:rPr>
                <w:rFonts w:hint="default" w:hAnsi="宋体" w:cs="宋体"/>
                <w:color w:val="auto"/>
                <w:sz w:val="24"/>
                <w:szCs w:val="24"/>
                <w:lang w:val="en-US"/>
              </w:rPr>
              <w:t>联系电话：</w:t>
            </w:r>
            <w:r>
              <w:rPr>
                <w:rFonts w:hint="default" w:hAnsi="宋体" w:cs="宋体"/>
                <w:color w:val="auto"/>
                <w:sz w:val="24"/>
                <w:szCs w:val="24"/>
                <w:lang w:val="en-US" w:eastAsia="zh-CN"/>
              </w:rPr>
              <w:t>18637462559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招标代理机构名称：</w:t>
            </w:r>
            <w:r>
              <w:rPr>
                <w:rFonts w:hint="eastAsia" w:hAnsi="宋体" w:eastAsia="宋体" w:cs="宋体"/>
                <w:color w:val="auto"/>
                <w:sz w:val="24"/>
                <w:lang w:eastAsia="zh-CN"/>
              </w:rPr>
              <w:t>中技兴安工程项目管理有限公司</w:t>
            </w:r>
            <w:r>
              <w:rPr>
                <w:rFonts w:hint="eastAsia" w:hAnsi="宋体" w:eastAsia="宋体" w:cs="宋体"/>
                <w:color w:val="auto"/>
                <w:sz w:val="24"/>
              </w:rPr>
              <w:t xml:space="preserve"> </w:t>
            </w:r>
          </w:p>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地    址：</w:t>
            </w:r>
            <w:r>
              <w:rPr>
                <w:rFonts w:hint="eastAsia" w:hAnsi="宋体" w:eastAsia="宋体" w:cs="宋体"/>
                <w:color w:val="auto"/>
                <w:sz w:val="24"/>
                <w:lang w:eastAsia="zh-CN"/>
              </w:rPr>
              <w:t>郑州市金水</w:t>
            </w:r>
            <w:r>
              <w:rPr>
                <w:rFonts w:hint="eastAsia" w:hAnsi="宋体" w:eastAsia="宋体" w:cs="宋体"/>
                <w:color w:val="auto"/>
                <w:sz w:val="24"/>
                <w:lang w:val="en-US" w:eastAsia="zh-CN"/>
              </w:rPr>
              <w:t>区</w:t>
            </w:r>
            <w:r>
              <w:rPr>
                <w:rFonts w:hint="eastAsia" w:hAnsi="宋体" w:eastAsia="宋体" w:cs="宋体"/>
                <w:color w:val="auto"/>
                <w:sz w:val="24"/>
                <w:lang w:eastAsia="zh-CN"/>
              </w:rPr>
              <w:t>永恒名座大厦1503室</w:t>
            </w:r>
          </w:p>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联 系 人：</w:t>
            </w:r>
            <w:r>
              <w:rPr>
                <w:rFonts w:hint="eastAsia" w:hAnsi="宋体" w:eastAsia="宋体" w:cs="宋体"/>
                <w:color w:val="auto"/>
                <w:sz w:val="24"/>
                <w:lang w:eastAsia="zh-CN"/>
              </w:rPr>
              <w:t>李先生</w:t>
            </w:r>
          </w:p>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联系电话：</w:t>
            </w:r>
            <w:r>
              <w:rPr>
                <w:rFonts w:hint="eastAsia" w:hAnsi="宋体" w:eastAsia="宋体" w:cs="宋体"/>
                <w:color w:val="auto"/>
                <w:sz w:val="24"/>
                <w:lang w:eastAsia="zh-CN"/>
              </w:rPr>
              <w:t>0371-55986707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spacing w:line="440" w:lineRule="exact"/>
              <w:outlineLvl w:val="0"/>
              <w:rPr>
                <w:rFonts w:hint="default" w:hAnsi="宋体" w:cs="宋体" w:eastAsiaTheme="minorEastAsia"/>
                <w:b/>
                <w:color w:val="auto"/>
                <w:sz w:val="30"/>
                <w:szCs w:val="30"/>
                <w:lang w:val="en-US" w:eastAsia="zh-CN"/>
              </w:rPr>
            </w:pPr>
            <w:r>
              <w:rPr>
                <w:rFonts w:hint="eastAsia" w:hAnsi="宋体" w:eastAsia="宋体" w:cs="宋体"/>
                <w:color w:val="auto"/>
                <w:sz w:val="24"/>
                <w:lang w:eastAsia="zh-CN"/>
              </w:rPr>
              <w:t>许昌市公安局魏都分局南关派出所（原市教育局）旧办公楼装修改造</w:t>
            </w:r>
            <w:r>
              <w:rPr>
                <w:rFonts w:hint="eastAsia" w:hAnsi="宋体" w:eastAsia="宋体" w:cs="宋体"/>
                <w:color w:val="auto"/>
                <w:sz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建设地点</w:t>
            </w:r>
          </w:p>
        </w:tc>
        <w:tc>
          <w:tcPr>
            <w:tcW w:w="6274" w:type="dxa"/>
            <w:gridSpan w:val="2"/>
            <w:vAlign w:val="center"/>
          </w:tcPr>
          <w:p>
            <w:pPr>
              <w:rPr>
                <w:rFonts w:hAnsi="宋体" w:eastAsia="宋体" w:cs="宋体"/>
                <w:color w:val="auto"/>
                <w:sz w:val="24"/>
                <w:highlight w:val="none"/>
              </w:rPr>
            </w:pPr>
            <w:r>
              <w:rPr>
                <w:rFonts w:hint="eastAsia" w:hAnsi="宋体" w:eastAsia="宋体" w:cs="宋体"/>
                <w:color w:val="auto"/>
                <w:sz w:val="24"/>
                <w:highlight w:val="none"/>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资金来源</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cs="仿宋_GB2312"/>
                <w:color w:val="auto"/>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highlight w:val="none"/>
              </w:rPr>
            </w:pPr>
            <w:r>
              <w:rPr>
                <w:rFonts w:hint="eastAsia" w:hAnsi="宋体" w:cs="黑体"/>
                <w:color w:val="auto"/>
                <w:sz w:val="24"/>
                <w:highlight w:val="none"/>
                <w:lang w:val="en-US" w:eastAsia="zh-CN"/>
              </w:rPr>
              <w:t>30</w:t>
            </w:r>
            <w:r>
              <w:rPr>
                <w:rFonts w:hint="eastAsia" w:hAnsi="宋体" w:cs="黑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auto"/>
                <w:sz w:val="24"/>
                <w:highlight w:val="none"/>
              </w:rPr>
            </w:pPr>
            <w:r>
              <w:rPr>
                <w:rFonts w:hint="eastAsia" w:hAnsi="宋体" w:eastAsia="宋体" w:cs="宋体"/>
                <w:color w:val="auto"/>
                <w:sz w:val="24"/>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cs="宋体"/>
                <w:color w:val="auto"/>
                <w:sz w:val="24"/>
                <w:szCs w:val="24"/>
                <w:highlight w:val="none"/>
              </w:rPr>
              <w:t>2020年</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28</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08</w:t>
            </w:r>
            <w:r>
              <w:rPr>
                <w:rFonts w:hint="eastAsia" w:hAnsi="宋体" w:cs="宋体"/>
                <w:color w:val="auto"/>
                <w:sz w:val="24"/>
                <w:szCs w:val="24"/>
                <w:highlight w:val="none"/>
              </w:rPr>
              <w:t>时</w:t>
            </w:r>
            <w:r>
              <w:rPr>
                <w:rFonts w:hint="eastAsia" w:hAnsi="宋体" w:cs="宋体"/>
                <w:color w:val="auto"/>
                <w:sz w:val="24"/>
                <w:szCs w:val="24"/>
                <w:highlight w:val="none"/>
                <w:lang w:val="en-US" w:eastAsia="zh-CN"/>
              </w:rPr>
              <w:t>30</w:t>
            </w:r>
            <w:r>
              <w:rPr>
                <w:rFonts w:hint="eastAsia" w:hAnsi="宋体" w:cs="宋体"/>
                <w:color w:val="auto"/>
                <w:sz w:val="24"/>
                <w:szCs w:val="24"/>
                <w:highlight w:val="none"/>
              </w:rPr>
              <w:t>分</w:t>
            </w:r>
            <w:r>
              <w:rPr>
                <w:rFonts w:hint="eastAsia" w:hAnsi="宋体" w:eastAsia="宋体" w:cs="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auto"/>
                <w:sz w:val="24"/>
                <w:highlight w:val="none"/>
              </w:rPr>
            </w:pPr>
            <w:r>
              <w:rPr>
                <w:rFonts w:hint="eastAsia" w:hAnsi="宋体" w:eastAsia="宋体" w:cs="宋体"/>
                <w:b/>
                <w:bCs/>
                <w:color w:val="auto"/>
                <w:sz w:val="24"/>
                <w:highlight w:val="none"/>
              </w:rPr>
              <w:t>投标保证金递交截止时间：</w:t>
            </w:r>
            <w:r>
              <w:rPr>
                <w:rFonts w:hint="eastAsia" w:hAnsi="宋体" w:eastAsia="宋体" w:cs="宋体"/>
                <w:b/>
                <w:color w:val="auto"/>
                <w:sz w:val="24"/>
                <w:highlight w:val="none"/>
              </w:rPr>
              <w:t>同投标截止时间</w:t>
            </w:r>
            <w:r>
              <w:rPr>
                <w:rFonts w:hint="eastAsia" w:hAnsi="宋体" w:eastAsia="宋体" w:cs="宋体"/>
                <w:color w:val="auto"/>
                <w:sz w:val="24"/>
                <w:highlight w:val="none"/>
              </w:rPr>
              <w:t>。</w:t>
            </w:r>
          </w:p>
          <w:p>
            <w:pPr>
              <w:autoSpaceDE w:val="0"/>
              <w:autoSpaceDN w:val="0"/>
              <w:adjustRightInd w:val="0"/>
              <w:spacing w:line="276" w:lineRule="auto"/>
              <w:jc w:val="left"/>
              <w:rPr>
                <w:rFonts w:hAnsi="宋体" w:eastAsia="宋体" w:cs="宋体"/>
                <w:b/>
                <w:bCs/>
                <w:color w:val="auto"/>
                <w:sz w:val="24"/>
                <w:highlight w:val="none"/>
              </w:rPr>
            </w:pPr>
            <w:r>
              <w:rPr>
                <w:rFonts w:hint="eastAsia" w:hAnsi="宋体" w:eastAsia="宋体" w:cs="宋体"/>
                <w:b/>
                <w:bCs/>
                <w:color w:val="auto"/>
                <w:sz w:val="24"/>
                <w:highlight w:val="none"/>
              </w:rPr>
              <w:t>金额：</w:t>
            </w:r>
            <w:r>
              <w:rPr>
                <w:rFonts w:hint="eastAsia" w:hAnsi="宋体" w:eastAsia="宋体" w:cs="宋体"/>
                <w:b/>
                <w:bCs/>
                <w:color w:val="auto"/>
                <w:sz w:val="24"/>
                <w:highlight w:val="none"/>
                <w:lang w:val="en-US" w:eastAsia="zh-CN"/>
              </w:rPr>
              <w:t>肆万陆仟元</w:t>
            </w:r>
            <w:r>
              <w:rPr>
                <w:rFonts w:hint="eastAsia" w:hAnsi="宋体" w:eastAsia="宋体" w:cs="宋体"/>
                <w:b/>
                <w:bCs/>
                <w:color w:val="auto"/>
                <w:sz w:val="24"/>
                <w:highlight w:val="none"/>
              </w:rPr>
              <w:t>整</w:t>
            </w:r>
            <w:r>
              <w:rPr>
                <w:rFonts w:hint="eastAsia" w:hAnsi="宋体" w:cs="仿宋_GB2312"/>
                <w:b/>
                <w:bCs/>
                <w:color w:val="auto"/>
                <w:sz w:val="24"/>
                <w:highlight w:val="none"/>
              </w:rPr>
              <w:t>（￥</w:t>
            </w:r>
            <w:r>
              <w:rPr>
                <w:rFonts w:hint="eastAsia" w:hAnsi="宋体" w:cs="仿宋_GB2312"/>
                <w:b/>
                <w:bCs/>
                <w:color w:val="auto"/>
                <w:sz w:val="24"/>
                <w:highlight w:val="none"/>
                <w:lang w:val="en-US" w:eastAsia="zh-CN"/>
              </w:rPr>
              <w:t>46000</w:t>
            </w:r>
            <w:r>
              <w:rPr>
                <w:rFonts w:hint="eastAsia" w:hAnsi="宋体" w:cs="仿宋_GB2312"/>
                <w:b/>
                <w:bCs/>
                <w:color w:val="auto"/>
                <w:sz w:val="24"/>
                <w:highlight w:val="none"/>
              </w:rPr>
              <w:t>元）</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使用银行转帐、银行电汇</w:t>
            </w:r>
            <w:r>
              <w:rPr>
                <w:rFonts w:hint="eastAsia" w:hAnsi="宋体" w:eastAsia="Times New Roman" w:cs="宋体"/>
                <w:color w:val="auto"/>
                <w:sz w:val="24"/>
                <w:highlight w:val="none"/>
                <w:lang w:val="zh-CN"/>
              </w:rPr>
              <w:t>方式</w:t>
            </w:r>
            <w:r>
              <w:rPr>
                <w:rFonts w:hint="eastAsia" w:hAnsi="宋体" w:cs="宋体"/>
                <w:color w:val="auto"/>
                <w:sz w:val="24"/>
                <w:highlight w:val="none"/>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highlight w:val="none"/>
              </w:rPr>
              <w:t>真实</w:t>
            </w:r>
            <w:r>
              <w:rPr>
                <w:rFonts w:hint="eastAsia" w:hAnsi="宋体" w:cs="宋体"/>
                <w:color w:val="auto"/>
                <w:sz w:val="24"/>
                <w:highlight w:val="none"/>
                <w:lang w:val="zh-CN"/>
              </w:rPr>
              <w:t>合法的银行保函原件扫描件附于投标文件中，否则视为未按</w:t>
            </w:r>
            <w:r>
              <w:rPr>
                <w:rFonts w:hint="eastAsia" w:hAnsi="宋体" w:cs="宋体"/>
                <w:color w:val="auto"/>
                <w:sz w:val="24"/>
                <w:highlight w:val="none"/>
              </w:rPr>
              <w:t>规定提交</w:t>
            </w:r>
            <w:r>
              <w:rPr>
                <w:rFonts w:hint="eastAsia" w:hAnsi="宋体" w:cs="宋体"/>
                <w:color w:val="auto"/>
                <w:sz w:val="24"/>
                <w:highlight w:val="none"/>
                <w:lang w:val="zh-CN"/>
              </w:rPr>
              <w:t>。</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2、投标保证金缴纳方式：</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lang w:val="zh-CN"/>
              </w:rPr>
              <w:t>2.</w:t>
            </w:r>
            <w:r>
              <w:rPr>
                <w:rFonts w:hint="eastAsia" w:hAnsi="宋体" w:cs="宋体"/>
                <w:color w:val="auto"/>
                <w:sz w:val="24"/>
                <w:highlight w:val="none"/>
              </w:rPr>
              <w:t>1</w:t>
            </w:r>
            <w:r>
              <w:rPr>
                <w:rFonts w:hint="eastAsia" w:hAnsi="宋体" w:cs="宋体"/>
                <w:color w:val="auto"/>
                <w:sz w:val="24"/>
                <w:highlight w:val="none"/>
                <w:lang w:val="zh-CN"/>
              </w:rPr>
              <w:t>投标人网上下载招标文件后</w:t>
            </w:r>
            <w:r>
              <w:rPr>
                <w:rFonts w:hint="eastAsia" w:hAnsi="宋体" w:cs="宋体"/>
                <w:color w:val="auto"/>
                <w:sz w:val="24"/>
                <w:highlight w:val="none"/>
              </w:rPr>
              <w:t>，</w:t>
            </w:r>
            <w:r>
              <w:rPr>
                <w:rFonts w:hint="eastAsia" w:hAnsi="宋体" w:cs="宋体"/>
                <w:color w:val="auto"/>
                <w:sz w:val="24"/>
                <w:highlight w:val="none"/>
                <w:lang w:val="zh-CN"/>
              </w:rPr>
              <w:t>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hAnsi="宋体" w:cs="宋体"/>
                <w:color w:val="auto"/>
                <w:sz w:val="24"/>
                <w:highlight w:val="none"/>
              </w:rPr>
              <w:t>http://221.14.6.70:8088/ggzy</w:t>
            </w:r>
            <w:r>
              <w:rPr>
                <w:rFonts w:hint="eastAsia" w:hAnsi="宋体" w:cs="宋体"/>
                <w:color w:val="auto"/>
                <w:sz w:val="24"/>
                <w:highlight w:val="none"/>
              </w:rPr>
              <w:fldChar w:fldCharType="end"/>
            </w:r>
            <w:r>
              <w:rPr>
                <w:rFonts w:hint="eastAsia" w:hAnsi="宋体" w:cs="宋体"/>
                <w:color w:val="auto"/>
                <w:sz w:val="24"/>
                <w:highlight w:val="none"/>
                <w:lang w:val="zh-CN"/>
              </w:rPr>
              <w:t>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费用缴纳说明</w:t>
            </w:r>
            <w:r>
              <w:rPr>
                <w:rFonts w:hint="eastAsia" w:hAnsi="宋体" w:cs="宋体"/>
                <w:color w:val="auto"/>
                <w:sz w:val="24"/>
                <w:highlight w:val="none"/>
              </w:rPr>
              <w:t>”→“</w:t>
            </w:r>
            <w:r>
              <w:rPr>
                <w:rFonts w:hint="eastAsia" w:hAnsi="宋体" w:cs="宋体"/>
                <w:color w:val="auto"/>
                <w:sz w:val="24"/>
                <w:highlight w:val="none"/>
                <w:lang w:val="zh-CN"/>
              </w:rPr>
              <w:t>保证金缴纳说明单</w:t>
            </w:r>
            <w:r>
              <w:rPr>
                <w:rFonts w:hint="eastAsia" w:hAnsi="宋体" w:cs="宋体"/>
                <w:color w:val="auto"/>
                <w:sz w:val="24"/>
                <w:highlight w:val="none"/>
              </w:rPr>
              <w:t>”，</w:t>
            </w:r>
            <w:r>
              <w:rPr>
                <w:rFonts w:hint="eastAsia" w:hAnsi="宋体" w:cs="宋体"/>
                <w:color w:val="auto"/>
                <w:sz w:val="24"/>
                <w:highlight w:val="none"/>
                <w:lang w:val="zh-CN"/>
              </w:rPr>
              <w:t>获取缴费说明单</w:t>
            </w:r>
            <w:r>
              <w:rPr>
                <w:rFonts w:hint="eastAsia" w:hAnsi="宋体" w:cs="宋体"/>
                <w:color w:val="auto"/>
                <w:sz w:val="24"/>
                <w:highlight w:val="none"/>
              </w:rPr>
              <w:t>，</w:t>
            </w:r>
            <w:r>
              <w:rPr>
                <w:rFonts w:hint="eastAsia" w:hAnsi="宋体" w:cs="宋体"/>
                <w:color w:val="auto"/>
                <w:sz w:val="24"/>
                <w:highlight w:val="none"/>
                <w:lang w:val="zh-CN"/>
              </w:rPr>
              <w:t>根据每个标段的缴纳说明单在缴纳截止时间前缴纳</w:t>
            </w:r>
            <w:r>
              <w:rPr>
                <w:rFonts w:hint="eastAsia" w:hAnsi="宋体" w:cs="宋体"/>
                <w:color w:val="auto"/>
                <w:sz w:val="24"/>
                <w:highlight w:val="none"/>
              </w:rPr>
              <w:t>；</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rPr>
              <w:t>2.2</w:t>
            </w:r>
            <w:r>
              <w:rPr>
                <w:rFonts w:hint="eastAsia" w:hAnsi="宋体" w:cs="宋体"/>
                <w:color w:val="auto"/>
                <w:sz w:val="24"/>
                <w:highlight w:val="none"/>
                <w:lang w:val="zh-CN"/>
              </w:rPr>
              <w:t>成功缴纳后</w:t>
            </w:r>
            <w:r>
              <w:rPr>
                <w:rFonts w:hint="eastAsia" w:hAnsi="宋体" w:cs="宋体"/>
                <w:color w:val="auto"/>
                <w:sz w:val="24"/>
                <w:highlight w:val="none"/>
              </w:rPr>
              <w:t>再次</w:t>
            </w:r>
            <w:r>
              <w:rPr>
                <w:rFonts w:hint="eastAsia" w:hAnsi="宋体" w:cs="宋体"/>
                <w:color w:val="auto"/>
                <w:sz w:val="24"/>
                <w:highlight w:val="none"/>
                <w:lang w:val="zh-CN"/>
              </w:rPr>
              <w:t>登录前述系统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保证金绑定</w:t>
            </w:r>
            <w:r>
              <w:rPr>
                <w:rFonts w:hint="eastAsia" w:hAnsi="宋体" w:cs="宋体"/>
                <w:color w:val="auto"/>
                <w:sz w:val="24"/>
                <w:highlight w:val="none"/>
              </w:rPr>
              <w:t>”→“</w:t>
            </w:r>
            <w:r>
              <w:rPr>
                <w:rFonts w:hint="eastAsia" w:hAnsi="宋体" w:cs="宋体"/>
                <w:color w:val="auto"/>
                <w:sz w:val="24"/>
                <w:highlight w:val="none"/>
                <w:lang w:val="zh-CN"/>
              </w:rPr>
              <w:t>绑定</w:t>
            </w:r>
            <w:r>
              <w:rPr>
                <w:rFonts w:hint="eastAsia" w:hAnsi="宋体" w:cs="宋体"/>
                <w:color w:val="auto"/>
                <w:sz w:val="24"/>
                <w:highlight w:val="none"/>
              </w:rPr>
              <w:t>”</w:t>
            </w:r>
            <w:r>
              <w:rPr>
                <w:rFonts w:hint="eastAsia" w:hAnsi="宋体" w:cs="宋体"/>
                <w:color w:val="auto"/>
                <w:sz w:val="24"/>
                <w:highlight w:val="none"/>
                <w:lang w:val="zh-CN"/>
              </w:rPr>
              <w:t>进行投标保证金绑定。未绑定标段的投标保证金，视为未按</w:t>
            </w:r>
            <w:r>
              <w:rPr>
                <w:rFonts w:hint="eastAsia" w:hAnsi="宋体" w:cs="宋体"/>
                <w:color w:val="auto"/>
                <w:sz w:val="24"/>
                <w:highlight w:val="none"/>
              </w:rPr>
              <w:t>规定提交</w:t>
            </w:r>
            <w:r>
              <w:rPr>
                <w:rFonts w:hint="eastAsia" w:hAnsi="宋体" w:cs="宋体"/>
                <w:color w:val="auto"/>
                <w:sz w:val="24"/>
                <w:highlight w:val="none"/>
                <w:lang w:val="zh-CN"/>
              </w:rPr>
              <w:t>。</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2.3投标人成功绑定投标保证金，将缴纳凭证</w:t>
            </w:r>
            <w:r>
              <w:rPr>
                <w:rFonts w:hint="eastAsia" w:hAnsi="宋体" w:cs="宋体"/>
                <w:color w:val="auto"/>
                <w:sz w:val="24"/>
                <w:highlight w:val="none"/>
              </w:rPr>
              <w:t>即本项目投保保证金</w:t>
            </w:r>
            <w:r>
              <w:rPr>
                <w:rFonts w:hint="eastAsia" w:hAnsi="宋体" w:cs="宋体"/>
                <w:color w:val="auto"/>
                <w:sz w:val="24"/>
                <w:highlight w:val="none"/>
                <w:lang w:val="zh-CN"/>
              </w:rPr>
              <w:t>“许昌公共资源交易中心保证金缴纳回执”附于投标文件中，</w:t>
            </w:r>
            <w:r>
              <w:rPr>
                <w:rFonts w:hint="eastAsia" w:hAnsi="宋体" w:cs="宋体"/>
                <w:color w:val="auto"/>
                <w:sz w:val="24"/>
                <w:highlight w:val="none"/>
              </w:rPr>
              <w:t>否则视为未按规定提交。</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2.4每个投标人每个项目每个标段只有唯一缴纳账号，</w:t>
            </w:r>
            <w:r>
              <w:rPr>
                <w:rFonts w:hint="eastAsia" w:hAnsi="宋体" w:cs="宋体"/>
                <w:color w:val="auto"/>
                <w:sz w:val="24"/>
                <w:highlight w:val="none"/>
              </w:rPr>
              <w:t>切勿重复缴纳或错误缴纳。</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3、未按上述规定操作引起的无效投标，由投标人自行负责。</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4、汇款凭证无须备注项目编号和项目名称。</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5、出现以下情形造成的投标保证金无效，由投标人自行负责。</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(1)投标保证金未从投标人的基本账户转出；</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(2)投标保证金未按照招标文件划分的标段转账。</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6、《保证金缴纳绑定操作指南》获取方法：</w:t>
            </w:r>
          </w:p>
          <w:p>
            <w:pPr>
              <w:autoSpaceDE w:val="0"/>
              <w:autoSpaceDN w:val="0"/>
              <w:adjustRightInd w:val="0"/>
              <w:spacing w:line="420" w:lineRule="exact"/>
              <w:jc w:val="left"/>
              <w:rPr>
                <w:rFonts w:hAnsi="宋体" w:cs="宋体"/>
                <w:color w:val="auto"/>
                <w:sz w:val="24"/>
                <w:highlight w:val="none"/>
                <w:lang w:val="zh-CN"/>
              </w:rPr>
            </w:pPr>
            <w:r>
              <w:rPr>
                <w:rFonts w:hint="eastAsia" w:hAnsi="宋体" w:cs="宋体"/>
                <w:color w:val="auto"/>
                <w:sz w:val="24"/>
                <w:highlight w:val="none"/>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highlight w:val="none"/>
                <w:lang w:val="zh-CN"/>
              </w:rPr>
              <w:t>。</w:t>
            </w:r>
            <w:r>
              <w:rPr>
                <w:rFonts w:hint="eastAsia" w:hAnsi="宋体" w:cs="宋体"/>
                <w:color w:val="auto"/>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highlight w:val="none"/>
              </w:rPr>
            </w:pPr>
            <w:r>
              <w:rPr>
                <w:rFonts w:hint="eastAsia" w:hAnsi="宋体" w:eastAsia="宋体" w:cs="宋体"/>
                <w:color w:val="auto"/>
                <w:sz w:val="24"/>
                <w:highlight w:val="none"/>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highlight w:val="none"/>
              </w:rPr>
            </w:pPr>
            <w:r>
              <w:rPr>
                <w:rFonts w:hint="eastAsia" w:hAnsi="宋体" w:cs="仿宋_GB2312"/>
                <w:color w:val="auto"/>
                <w:sz w:val="24"/>
                <w:highlight w:val="none"/>
              </w:rPr>
              <w:t>近年，指201</w:t>
            </w:r>
            <w:r>
              <w:rPr>
                <w:rFonts w:hint="eastAsia" w:hAnsi="宋体" w:cs="仿宋_GB2312"/>
                <w:color w:val="auto"/>
                <w:sz w:val="24"/>
                <w:highlight w:val="none"/>
                <w:lang w:val="en-US" w:eastAsia="zh-CN"/>
              </w:rPr>
              <w:t>7</w:t>
            </w:r>
            <w:r>
              <w:rPr>
                <w:rFonts w:hint="eastAsia" w:hAnsi="宋体" w:cs="仿宋_GB2312"/>
                <w:color w:val="auto"/>
                <w:sz w:val="24"/>
                <w:highlight w:val="none"/>
              </w:rPr>
              <w:t>、201</w:t>
            </w:r>
            <w:r>
              <w:rPr>
                <w:rFonts w:hint="eastAsia" w:hAnsi="宋体" w:cs="仿宋_GB2312"/>
                <w:color w:val="auto"/>
                <w:sz w:val="24"/>
                <w:highlight w:val="none"/>
                <w:lang w:val="en-US" w:eastAsia="zh-CN"/>
              </w:rPr>
              <w:t>8</w:t>
            </w:r>
            <w:r>
              <w:rPr>
                <w:rFonts w:hint="eastAsia" w:hAnsi="宋体" w:cs="仿宋_GB2312"/>
                <w:color w:val="auto"/>
                <w:sz w:val="24"/>
                <w:highlight w:val="none"/>
              </w:rPr>
              <w:t>、201</w:t>
            </w:r>
            <w:r>
              <w:rPr>
                <w:rFonts w:hint="eastAsia" w:hAnsi="宋体" w:cs="仿宋_GB2312"/>
                <w:color w:val="auto"/>
                <w:sz w:val="24"/>
                <w:highlight w:val="none"/>
                <w:lang w:val="en-US" w:eastAsia="zh-CN"/>
              </w:rPr>
              <w:t>9</w:t>
            </w:r>
            <w:r>
              <w:rPr>
                <w:rFonts w:hint="eastAsia" w:hAnsi="宋体" w:cs="仿宋_GB2312"/>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仿宋_GB2312"/>
                <w:color w:val="auto"/>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b/>
                <w:bCs/>
                <w:color w:val="auto"/>
                <w:sz w:val="24"/>
                <w:highlight w:val="none"/>
              </w:rPr>
              <w:t>开标时间：</w:t>
            </w:r>
            <w:r>
              <w:rPr>
                <w:rFonts w:hint="eastAsia" w:hAnsi="宋体" w:eastAsia="宋体" w:cs="宋体"/>
                <w:b/>
                <w:color w:val="auto"/>
                <w:sz w:val="24"/>
                <w:highlight w:val="none"/>
                <w:u w:val="single"/>
              </w:rPr>
              <w:t>同投标截止时间</w:t>
            </w:r>
          </w:p>
          <w:p>
            <w:pPr>
              <w:spacing w:line="440" w:lineRule="exact"/>
              <w:rPr>
                <w:rFonts w:hAnsi="宋体" w:cs="宋体"/>
                <w:color w:val="auto"/>
                <w:sz w:val="24"/>
                <w:szCs w:val="24"/>
              </w:rPr>
            </w:pPr>
            <w:r>
              <w:rPr>
                <w:rFonts w:hint="eastAsia" w:hAnsi="宋体" w:eastAsia="宋体" w:cs="宋体"/>
                <w:color w:val="auto"/>
                <w:sz w:val="24"/>
                <w:highlight w:val="none"/>
              </w:rPr>
              <w:t>开标地点：</w:t>
            </w:r>
            <w:r>
              <w:rPr>
                <w:rFonts w:hint="eastAsia" w:hAnsi="宋体" w:cs="宋体"/>
                <w:color w:val="auto"/>
                <w:sz w:val="24"/>
                <w:szCs w:val="24"/>
                <w:highlight w:val="none"/>
              </w:rPr>
              <w:t>许昌市公共资源交易中心（龙兴路与竹林路交汇处创业服务中心C</w:t>
            </w:r>
            <w:bookmarkStart w:id="82" w:name="_GoBack"/>
            <w:bookmarkEnd w:id="82"/>
            <w:r>
              <w:rPr>
                <w:rFonts w:hint="eastAsia" w:hAnsi="宋体" w:cs="宋体"/>
                <w:color w:val="auto"/>
                <w:sz w:val="24"/>
                <w:szCs w:val="24"/>
                <w:highlight w:val="none"/>
              </w:rPr>
              <w:t>座）三楼开标</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二</w:t>
            </w:r>
            <w:r>
              <w:rPr>
                <w:rFonts w:hint="eastAsia" w:hAnsi="宋体" w:cs="宋体"/>
                <w:color w:val="auto"/>
                <w:sz w:val="24"/>
                <w:szCs w:val="24"/>
                <w:highlight w:val="none"/>
                <w:lang w:eastAsia="zh-CN"/>
              </w:rPr>
              <w:t>）</w:t>
            </w:r>
            <w:r>
              <w:rPr>
                <w:rFonts w:hint="eastAsia" w:hAnsi="宋体" w:cs="宋体"/>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360" w:lineRule="auto"/>
              <w:rPr>
                <w:rFonts w:hAnsi="宋体"/>
                <w:color w:val="auto"/>
                <w:sz w:val="24"/>
              </w:rPr>
            </w:pPr>
            <w:r>
              <w:rPr>
                <w:rFonts w:hint="eastAsia" w:hAnsi="宋体" w:eastAsia="宋体" w:cs="宋体"/>
                <w:color w:val="auto"/>
                <w:sz w:val="24"/>
              </w:rPr>
              <w:t>(1</w:t>
            </w:r>
            <w:r>
              <w:rPr>
                <w:rFonts w:hint="eastAsia" w:hAnsi="宋体"/>
                <w:color w:val="auto"/>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color w:val="auto"/>
                <w:sz w:val="24"/>
              </w:rPr>
            </w:pPr>
            <w:r>
              <w:rPr>
                <w:rFonts w:hint="eastAsia" w:hAnsi="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color w:val="auto"/>
                <w:sz w:val="24"/>
              </w:rPr>
            </w:pPr>
            <w:r>
              <w:rPr>
                <w:rFonts w:hint="eastAsia" w:hAnsi="宋体"/>
                <w:color w:val="auto"/>
                <w:sz w:val="24"/>
              </w:rPr>
              <w:t xml:space="preserve">(3)解密完成后，招标人（代理机构）点击“系数抽取”按钮进行系数抽取，系数抽取情况在“公告通知”处显示。 </w:t>
            </w:r>
          </w:p>
          <w:p>
            <w:pPr>
              <w:spacing w:line="360" w:lineRule="auto"/>
              <w:rPr>
                <w:rFonts w:hAnsi="宋体"/>
                <w:color w:val="auto"/>
                <w:sz w:val="24"/>
              </w:rPr>
            </w:pPr>
            <w:r>
              <w:rPr>
                <w:rFonts w:hint="eastAsia" w:hAnsi="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color w:val="auto"/>
                <w:sz w:val="24"/>
              </w:rPr>
            </w:pPr>
            <w:r>
              <w:rPr>
                <w:rFonts w:hint="eastAsia" w:hAnsi="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hAnsi="宋体"/>
                <w:color w:val="auto"/>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spacing w:line="288" w:lineRule="auto"/>
              <w:rPr>
                <w:color w:val="auto"/>
                <w:sz w:val="24"/>
              </w:rPr>
            </w:pPr>
            <w:r>
              <w:rPr>
                <w:rFonts w:hint="eastAsia" w:ascii="新宋体" w:hAnsi="新宋体" w:eastAsia="新宋体"/>
                <w:color w:val="auto"/>
                <w:sz w:val="24"/>
                <w:highlight w:val="none"/>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CCE8C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CCE8CF" w:themeFill="background1"/>
            <w:vAlign w:val="center"/>
          </w:tcPr>
          <w:p>
            <w:pPr>
              <w:autoSpaceDE w:val="0"/>
              <w:autoSpaceDN w:val="0"/>
              <w:adjustRightInd w:val="0"/>
              <w:spacing w:line="420" w:lineRule="exact"/>
              <w:jc w:val="both"/>
              <w:rPr>
                <w:rFonts w:hAnsi="宋体" w:eastAsia="宋体" w:cs="宋体"/>
                <w:b/>
                <w:color w:val="auto"/>
                <w:sz w:val="24"/>
                <w:highlight w:val="none"/>
              </w:rPr>
            </w:pPr>
            <w:r>
              <w:rPr>
                <w:rFonts w:hint="eastAsia" w:hAnsi="宋体" w:eastAsia="宋体" w:cs="宋体"/>
                <w:b/>
                <w:color w:val="auto"/>
                <w:sz w:val="24"/>
                <w:highlight w:val="none"/>
                <w:shd w:val="clear"/>
              </w:rPr>
              <w:t>类似项目</w:t>
            </w:r>
          </w:p>
        </w:tc>
        <w:tc>
          <w:tcPr>
            <w:tcW w:w="7219" w:type="dxa"/>
            <w:gridSpan w:val="3"/>
            <w:shd w:val="clear" w:color="auto" w:fill="CCE8CF" w:themeFill="background1"/>
            <w:vAlign w:val="center"/>
          </w:tcPr>
          <w:p>
            <w:pPr>
              <w:pStyle w:val="12"/>
              <w:ind w:firstLine="0" w:firstLineChars="0"/>
              <w:rPr>
                <w:rFonts w:hAnsi="宋体" w:eastAsia="宋体" w:cs="宋体"/>
                <w:color w:val="auto"/>
                <w:sz w:val="24"/>
                <w:highlight w:val="none"/>
              </w:rPr>
            </w:pPr>
            <w:r>
              <w:rPr>
                <w:rFonts w:hint="eastAsia" w:hAnsi="宋体" w:cs="TimesNewRomanPSMT"/>
                <w:color w:val="auto"/>
                <w:sz w:val="24"/>
                <w:highlight w:val="none"/>
              </w:rPr>
              <w:t>指2017年1月1日以来承接过</w:t>
            </w:r>
            <w:r>
              <w:rPr>
                <w:rFonts w:hint="eastAsia" w:hAnsi="宋体" w:cs="TimesNewRomanPSMT"/>
                <w:color w:val="auto"/>
                <w:sz w:val="24"/>
                <w:highlight w:val="none"/>
                <w:lang w:val="en-US" w:eastAsia="zh-CN"/>
              </w:rPr>
              <w:t>的</w:t>
            </w:r>
            <w:r>
              <w:rPr>
                <w:rFonts w:hint="eastAsia" w:hAnsi="宋体" w:cs="TimesNewRomanPSMT"/>
                <w:color w:val="auto"/>
                <w:sz w:val="24"/>
                <w:highlight w:val="none"/>
              </w:rPr>
              <w:t>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b/>
                <w:color w:val="auto"/>
                <w:sz w:val="24"/>
                <w:highlight w:val="none"/>
              </w:rPr>
              <w:t>招标控制价</w:t>
            </w:r>
          </w:p>
        </w:tc>
        <w:tc>
          <w:tcPr>
            <w:tcW w:w="7219" w:type="dxa"/>
            <w:gridSpan w:val="3"/>
            <w:vAlign w:val="center"/>
          </w:tcPr>
          <w:p>
            <w:pPr>
              <w:keepNext/>
              <w:spacing w:line="276" w:lineRule="auto"/>
              <w:rPr>
                <w:rFonts w:hAnsi="宋体" w:cs="宋体"/>
                <w:color w:val="auto"/>
                <w:sz w:val="24"/>
                <w:highlight w:val="none"/>
              </w:rPr>
            </w:pPr>
            <w:r>
              <w:rPr>
                <w:rFonts w:hint="eastAsia" w:hAnsi="宋体" w:cs="宋体"/>
                <w:color w:val="auto"/>
                <w:sz w:val="24"/>
                <w:highlight w:val="none"/>
              </w:rPr>
              <w:t>本工程设招标控制价：</w:t>
            </w:r>
          </w:p>
          <w:p>
            <w:pPr>
              <w:keepNext/>
              <w:spacing w:line="276" w:lineRule="auto"/>
              <w:rPr>
                <w:rFonts w:hint="eastAsia" w:hAnsi="宋体" w:cs="宋体" w:eastAsiaTheme="minorEastAsia"/>
                <w:b/>
                <w:bCs/>
                <w:color w:val="auto"/>
                <w:sz w:val="24"/>
                <w:highlight w:val="none"/>
                <w:lang w:val="en-US" w:eastAsia="zh-CN"/>
              </w:rPr>
            </w:pPr>
            <w:r>
              <w:rPr>
                <w:rFonts w:hint="eastAsia" w:hAnsi="宋体" w:cs="宋体"/>
                <w:b/>
                <w:bCs/>
                <w:color w:val="auto"/>
                <w:sz w:val="24"/>
                <w:highlight w:val="none"/>
              </w:rPr>
              <w:t>大写：</w:t>
            </w:r>
            <w:r>
              <w:rPr>
                <w:rFonts w:hint="eastAsia" w:hAnsi="宋体" w:cs="宋体"/>
                <w:b/>
                <w:bCs/>
                <w:color w:val="auto"/>
                <w:sz w:val="24"/>
                <w:highlight w:val="none"/>
                <w:lang w:val="en-US" w:eastAsia="zh-CN"/>
              </w:rPr>
              <w:t>贰佰叁拾贰万玖仟捌佰捌拾捌元叁角</w:t>
            </w:r>
          </w:p>
          <w:p>
            <w:pPr>
              <w:keepNext/>
              <w:spacing w:line="276" w:lineRule="auto"/>
              <w:rPr>
                <w:rFonts w:hint="eastAsia" w:eastAsiaTheme="minorEastAsia"/>
                <w:b/>
                <w:bCs/>
                <w:color w:val="auto"/>
                <w:highlight w:val="none"/>
                <w:lang w:eastAsia="zh-CN"/>
              </w:rPr>
            </w:pPr>
            <w:r>
              <w:rPr>
                <w:rFonts w:hint="eastAsia" w:hAnsi="宋体" w:cs="宋体"/>
                <w:b/>
                <w:bCs/>
                <w:color w:val="auto"/>
                <w:sz w:val="24"/>
                <w:highlight w:val="none"/>
              </w:rPr>
              <w:t>小写：</w:t>
            </w:r>
            <w:r>
              <w:rPr>
                <w:rFonts w:hint="eastAsia" w:hAnsi="宋体" w:cs="宋体"/>
                <w:b/>
                <w:bCs/>
                <w:color w:val="auto"/>
                <w:sz w:val="24"/>
                <w:highlight w:val="none"/>
                <w:lang w:eastAsia="zh-CN"/>
              </w:rPr>
              <w:t>2329888.3元</w:t>
            </w:r>
          </w:p>
          <w:p>
            <w:pPr>
              <w:autoSpaceDE w:val="0"/>
              <w:autoSpaceDN w:val="0"/>
              <w:adjustRightInd w:val="0"/>
              <w:spacing w:line="420" w:lineRule="exact"/>
              <w:ind w:firstLine="235" w:firstLineChars="98"/>
              <w:rPr>
                <w:rFonts w:hAnsi="宋体" w:eastAsia="宋体" w:cs="宋体"/>
                <w:color w:val="auto"/>
                <w:sz w:val="24"/>
                <w:highlight w:val="none"/>
              </w:rPr>
            </w:pPr>
            <w:r>
              <w:rPr>
                <w:rFonts w:hint="eastAsia" w:ascii="新宋体" w:hAnsi="新宋体" w:eastAsia="新宋体"/>
                <w:b/>
                <w:color w:val="auto"/>
                <w:sz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int="eastAsia" w:hAnsi="宋体" w:cs="宋体"/>
          <w:color w:val="auto"/>
          <w:sz w:val="24"/>
        </w:rPr>
      </w:pPr>
      <w:bookmarkStart w:id="5" w:name="_Toc283559947"/>
    </w:p>
    <w:p>
      <w:pPr>
        <w:autoSpaceDE w:val="0"/>
        <w:autoSpaceDN w:val="0"/>
        <w:spacing w:line="440" w:lineRule="exact"/>
        <w:jc w:val="left"/>
        <w:outlineLvl w:val="0"/>
        <w:rPr>
          <w:rFonts w:hint="eastAsia" w:hAnsi="宋体" w:cs="宋体"/>
          <w:color w:val="auto"/>
          <w:sz w:val="24"/>
        </w:rPr>
      </w:pPr>
    </w:p>
    <w:p>
      <w:pPr>
        <w:autoSpaceDE w:val="0"/>
        <w:autoSpaceDN w:val="0"/>
        <w:spacing w:line="440" w:lineRule="exact"/>
        <w:jc w:val="left"/>
        <w:outlineLvl w:val="0"/>
        <w:rPr>
          <w:rFonts w:hAnsi="宋体" w:cs="宋体"/>
          <w:color w:val="auto"/>
          <w:sz w:val="24"/>
        </w:rPr>
      </w:pPr>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79632552"/>
      <w:bookmarkStart w:id="7" w:name="_Toc144974503"/>
      <w:bookmarkStart w:id="8" w:name="_Toc152045535"/>
      <w:bookmarkStart w:id="9" w:name="_Toc152042311"/>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52045536"/>
      <w:bookmarkStart w:id="11" w:name="_Toc179632553"/>
      <w:bookmarkStart w:id="12" w:name="_Toc144974504"/>
      <w:bookmarkStart w:id="13" w:name="_Toc152042312"/>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79632554"/>
      <w:bookmarkStart w:id="16" w:name="_Toc152042313"/>
      <w:bookmarkStart w:id="17" w:name="_Toc152045537"/>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79632555"/>
      <w:bookmarkStart w:id="19" w:name="_Toc144974506"/>
      <w:bookmarkStart w:id="20" w:name="_Toc152042314"/>
      <w:bookmarkStart w:id="21" w:name="_Toc152045538"/>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r>
        <w:rPr>
          <w:rFonts w:hint="eastAsia" w:hAnsi="宋体" w:cs="宋体"/>
          <w:color w:val="auto"/>
          <w:sz w:val="24"/>
          <w:szCs w:val="24"/>
          <w:highlight w:val="none"/>
        </w:rPr>
        <w:t>，投标文件附踏勘报告书。</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52042322"/>
      <w:bookmarkStart w:id="30" w:name="_Toc152045546"/>
      <w:bookmarkStart w:id="31" w:name="_Toc144974514"/>
      <w:bookmarkStart w:id="32" w:name="_Toc179632564"/>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  综合（信用）标组成：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（1）内容完整性</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（2）主要施工方案与技术措施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（3）质量管理体系与措施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（4）安全管理体系与措施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（5）文明施工、环境保护管理体系及施工现场扬尘治理措施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（6）工期保证措施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（7）拟投入资源配备计划</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（8）施工进度表与网络计划图</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（9）施工总平面图布置</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（10）技术创新的应用实施措施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（11）采用新工艺、新技术、新设备、新材料、BIM等的程度</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（12）施工现场实施信息化监控和数据处理</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（13）风险管理措施</w:t>
      </w:r>
    </w:p>
    <w:p>
      <w:pPr>
        <w:pStyle w:val="5"/>
        <w:bidi w:val="0"/>
        <w:rPr>
          <w:color w:val="auto"/>
        </w:rPr>
      </w:pPr>
      <w:r>
        <w:rPr>
          <w:rFonts w:hint="eastAsia"/>
          <w:color w:val="auto"/>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rPr>
        <w:t>提交</w:t>
      </w:r>
      <w:r>
        <w:rPr>
          <w:rFonts w:hint="eastAsia" w:ascii="新宋体" w:hAnsi="新宋体" w:eastAsia="新宋体" w:cs="仿宋_GB2312"/>
          <w:color w:val="auto"/>
          <w:sz w:val="24"/>
          <w:lang w:val="zh-CN"/>
        </w:rPr>
        <w:t>方式：</w:t>
      </w:r>
      <w:r>
        <w:rPr>
          <w:rFonts w:hAnsi="宋体" w:eastAsia="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color w:val="auto"/>
          <w:sz w:val="24"/>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w:t>
      </w:r>
      <w:r>
        <w:rPr>
          <w:rFonts w:hint="eastAsia" w:hAnsi="宋体" w:cs="宋体"/>
          <w:color w:val="auto"/>
          <w:sz w:val="24"/>
        </w:rPr>
        <w:t>投标</w:t>
      </w:r>
      <w:r>
        <w:rPr>
          <w:rFonts w:hint="eastAsia" w:hAnsi="宋体" w:cs="宋体"/>
          <w:color w:val="auto"/>
          <w:sz w:val="24"/>
          <w:lang w:val="zh-CN"/>
        </w:rPr>
        <w:t>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r>
        <w:rPr>
          <w:rFonts w:hint="eastAsia" w:hAnsi="宋体" w:cs="宋体"/>
          <w:color w:val="auto"/>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rPr>
        <w:t>规定</w:t>
      </w:r>
      <w:r>
        <w:rPr>
          <w:rFonts w:hint="eastAsia" w:hAnsi="宋体" w:cs="宋体"/>
          <w:color w:val="auto"/>
          <w:sz w:val="24"/>
          <w:lang w:val="zh-CN"/>
        </w:rPr>
        <w:t>交纳。</w:t>
      </w:r>
      <w:r>
        <w:rPr>
          <w:rFonts w:hint="eastAsia" w:hAnsi="宋体" w:eastAsia="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3.5.1 </w:t>
      </w:r>
      <w:r>
        <w:rPr>
          <w:rFonts w:hint="eastAsia" w:hAnsi="宋体" w:cs="宋体"/>
          <w:color w:val="auto"/>
          <w:sz w:val="24"/>
          <w:lang w:val="zh-CN"/>
        </w:rPr>
        <w:t>“投标人基本情况表”应附投标人营业执照副本、资质证书副本和安全生产许可证等材料的原件扫描件</w:t>
      </w:r>
      <w:r>
        <w:rPr>
          <w:rFonts w:hint="eastAsia" w:hAnsi="宋体" w:cs="宋体"/>
          <w:color w:val="auto"/>
          <w:sz w:val="24"/>
        </w:rPr>
        <w:t>。</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3.5.2 </w:t>
      </w:r>
      <w:r>
        <w:rPr>
          <w:rFonts w:hint="eastAsia" w:hAnsi="宋体" w:cs="宋体"/>
          <w:color w:val="auto"/>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auto"/>
          <w:sz w:val="24"/>
        </w:rPr>
        <w:t xml:space="preserve">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djustRightInd w:val="0"/>
        <w:snapToGrid w:val="0"/>
        <w:spacing w:line="360" w:lineRule="auto"/>
        <w:ind w:firstLine="480" w:firstLineChars="200"/>
        <w:rPr>
          <w:rFonts w:hint="eastAsia" w:ascii="新宋体" w:hAnsi="新宋体" w:eastAsia="新宋体" w:cs="仿宋_GB2312"/>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adjustRightInd w:val="0"/>
        <w:snapToGrid w:val="0"/>
        <w:spacing w:line="360" w:lineRule="auto"/>
        <w:ind w:firstLine="480"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3.5.</w:t>
      </w:r>
      <w:r>
        <w:rPr>
          <w:rFonts w:hint="eastAsia" w:ascii="宋体" w:hAnsi="宋体"/>
          <w:b/>
          <w:bCs/>
          <w:color w:val="auto"/>
          <w:sz w:val="24"/>
          <w:szCs w:val="24"/>
          <w:highlight w:val="none"/>
          <w:lang w:val="en-US" w:eastAsia="zh-CN"/>
        </w:rPr>
        <w:t xml:space="preserve">7  </w:t>
      </w:r>
      <w:r>
        <w:rPr>
          <w:rFonts w:hint="eastAsia" w:ascii="宋体" w:hAnsi="宋体"/>
          <w:b/>
          <w:bCs/>
          <w:color w:val="auto"/>
          <w:sz w:val="24"/>
          <w:szCs w:val="24"/>
          <w:highlight w:val="none"/>
        </w:rPr>
        <w:t>中标单位负责在项目建设中涉及地方关系等方面的协调,并承担由此产生的费用；同时对施工过程中的一切安全问题负责，投标人应对此项作出承诺，否则按废标处理。</w:t>
      </w:r>
    </w:p>
    <w:p>
      <w:pPr>
        <w:autoSpaceDE w:val="0"/>
        <w:autoSpaceDN w:val="0"/>
        <w:spacing w:line="440" w:lineRule="exact"/>
        <w:ind w:firstLine="480"/>
        <w:jc w:val="left"/>
        <w:rPr>
          <w:rFonts w:ascii="新宋体" w:hAnsi="新宋体" w:eastAsia="新宋体" w:cs="仿宋_GB2312"/>
          <w:color w:val="auto"/>
          <w:sz w:val="24"/>
        </w:rPr>
      </w:pPr>
    </w:p>
    <w:p>
      <w:pPr>
        <w:pStyle w:val="3"/>
        <w:spacing w:line="240" w:lineRule="auto"/>
        <w:rPr>
          <w:color w:val="auto"/>
        </w:rPr>
      </w:pPr>
      <w:r>
        <w:rPr>
          <w:rFonts w:hint="eastAsia" w:ascii="新宋体" w:hAnsi="新宋体" w:eastAsia="新宋体" w:cs="仿宋_GB2312"/>
          <w:color w:val="auto"/>
          <w:sz w:val="24"/>
        </w:rPr>
        <w:t>注：具体评审内容依据第三章评标办法。</w:t>
      </w:r>
    </w:p>
    <w:p>
      <w:pPr>
        <w:autoSpaceDE w:val="0"/>
        <w:autoSpaceDN w:val="0"/>
        <w:jc w:val="left"/>
        <w:rPr>
          <w:rFonts w:hAnsi="宋体" w:cs="宋体"/>
          <w:b/>
          <w:color w:val="auto"/>
          <w:sz w:val="24"/>
        </w:rPr>
      </w:pPr>
      <w:r>
        <w:rPr>
          <w:rFonts w:hint="eastAsia" w:hAnsi="宋体" w:cs="宋体"/>
          <w:b/>
          <w:color w:val="auto"/>
          <w:sz w:val="24"/>
        </w:rPr>
        <w:t xml:space="preserve">3.6 </w:t>
      </w:r>
      <w:bookmarkStart w:id="37" w:name="_Toc144974521"/>
      <w:bookmarkStart w:id="38" w:name="_Toc179632571"/>
      <w:bookmarkStart w:id="39" w:name="_Toc152045553"/>
      <w:bookmarkStart w:id="40" w:name="_Toc152042329"/>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
        <w:spacing w:line="440" w:lineRule="exact"/>
        <w:jc w:val="both"/>
        <w:outlineLvl w:val="0"/>
        <w:rPr>
          <w:rFonts w:hAnsi="宋体"/>
          <w:b/>
          <w:color w:val="auto"/>
        </w:rPr>
      </w:pPr>
      <w:bookmarkStart w:id="43" w:name="_Toc283559967"/>
      <w:r>
        <w:rPr>
          <w:rFonts w:hint="eastAsia" w:hAnsi="宋体"/>
          <w:b/>
          <w:color w:val="auto"/>
        </w:rPr>
        <w:t>5. 开标</w:t>
      </w:r>
      <w:bookmarkEnd w:id="43"/>
    </w:p>
    <w:p>
      <w:pPr>
        <w:autoSpaceDE w:val="0"/>
        <w:autoSpaceDN w:val="0"/>
        <w:adjustRightInd w:val="0"/>
        <w:spacing w:line="440" w:lineRule="exact"/>
        <w:jc w:val="left"/>
        <w:outlineLvl w:val="0"/>
        <w:rPr>
          <w:rFonts w:hAnsi="宋体" w:cs="宋体"/>
          <w:b/>
          <w:color w:val="auto"/>
          <w:sz w:val="24"/>
        </w:rPr>
      </w:pPr>
      <w:bookmarkStart w:id="44" w:name="_Toc283559968"/>
      <w:r>
        <w:rPr>
          <w:rFonts w:hint="eastAsia" w:hAnsi="宋体" w:cs="宋体"/>
          <w:b/>
          <w:color w:val="auto"/>
          <w:sz w:val="24"/>
        </w:rPr>
        <w:t>5.1 开标时间和地点</w:t>
      </w:r>
      <w:bookmarkEnd w:id="44"/>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360" w:lineRule="auto"/>
        <w:ind w:firstLine="480" w:firstLineChars="200"/>
        <w:rPr>
          <w:rFonts w:hAnsi="宋体"/>
          <w:color w:val="auto"/>
          <w:sz w:val="24"/>
        </w:rPr>
      </w:pPr>
      <w:bookmarkStart w:id="45" w:name="_Toc283559970"/>
      <w:r>
        <w:rPr>
          <w:rFonts w:hint="eastAsia" w:hAnsi="宋体" w:eastAsia="宋体" w:cs="宋体"/>
          <w:color w:val="auto"/>
          <w:sz w:val="24"/>
        </w:rPr>
        <w:t>(1</w:t>
      </w:r>
      <w:r>
        <w:rPr>
          <w:rFonts w:hint="eastAsia" w:hAnsi="宋体"/>
          <w:color w:val="auto"/>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color w:val="auto"/>
          <w:sz w:val="24"/>
        </w:rPr>
      </w:pPr>
      <w:r>
        <w:rPr>
          <w:rFonts w:hint="eastAsia" w:hAnsi="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color w:val="auto"/>
          <w:sz w:val="24"/>
        </w:rPr>
      </w:pPr>
      <w:r>
        <w:rPr>
          <w:rFonts w:hint="eastAsia" w:hAnsi="宋体"/>
          <w:color w:val="auto"/>
          <w:sz w:val="24"/>
        </w:rPr>
        <w:t xml:space="preserve">(3)解密完成后，招标人（代理机构）点击“系数抽取”按钮进行系数抽取，系数抽取情况在“公告通知”处显示。 </w:t>
      </w:r>
    </w:p>
    <w:p>
      <w:pPr>
        <w:spacing w:line="360" w:lineRule="auto"/>
        <w:ind w:firstLine="480" w:firstLineChars="200"/>
        <w:rPr>
          <w:rFonts w:hAnsi="宋体"/>
          <w:color w:val="auto"/>
          <w:sz w:val="24"/>
        </w:rPr>
      </w:pPr>
      <w:r>
        <w:rPr>
          <w:rFonts w:hint="eastAsia" w:hAnsi="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color w:val="auto"/>
          <w:sz w:val="24"/>
        </w:rPr>
      </w:pPr>
      <w:r>
        <w:rPr>
          <w:rFonts w:hint="eastAsia" w:hAnsi="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pStyle w:val="2"/>
        <w:spacing w:line="440" w:lineRule="exact"/>
        <w:ind w:firstLine="480" w:firstLineChars="200"/>
        <w:jc w:val="both"/>
        <w:outlineLvl w:val="0"/>
        <w:rPr>
          <w:rFonts w:hAnsi="宋体"/>
          <w:color w:val="auto"/>
          <w:szCs w:val="22"/>
        </w:rPr>
      </w:pPr>
      <w:r>
        <w:rPr>
          <w:rFonts w:hint="eastAsia" w:hAnsi="宋体"/>
          <w:color w:val="auto"/>
          <w:szCs w:val="22"/>
        </w:rPr>
        <w:t>（6）招标人（代理机构）签章并上传《开标记录表》，不见面开标活动结束。</w:t>
      </w:r>
    </w:p>
    <w:p>
      <w:pPr>
        <w:pStyle w:val="2"/>
        <w:spacing w:line="440" w:lineRule="exact"/>
        <w:jc w:val="both"/>
        <w:outlineLvl w:val="0"/>
        <w:rPr>
          <w:rFonts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color w:val="auto"/>
          <w:sz w:val="24"/>
        </w:rPr>
      </w:pPr>
      <w:bookmarkStart w:id="46" w:name="_Toc283559971"/>
      <w:r>
        <w:rPr>
          <w:rFonts w:hint="eastAsia" w:hAnsi="宋体" w:cs="宋体"/>
          <w:b/>
          <w:color w:val="auto"/>
          <w:sz w:val="24"/>
        </w:rPr>
        <w:t>6.1 评标委员会</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7" w:name="_Toc283559972"/>
      <w:r>
        <w:rPr>
          <w:rFonts w:hint="eastAsia" w:hAnsi="宋体" w:cs="宋体"/>
          <w:b/>
          <w:color w:val="auto"/>
          <w:sz w:val="24"/>
        </w:rPr>
        <w:t>6.2 评标原则</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8" w:name="_Toc283559973"/>
      <w:r>
        <w:rPr>
          <w:rFonts w:hint="eastAsia" w:hAnsi="宋体" w:cs="宋体"/>
          <w:b/>
          <w:color w:val="auto"/>
          <w:sz w:val="24"/>
        </w:rPr>
        <w:t>6.3 评标</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
        <w:spacing w:line="440" w:lineRule="exact"/>
        <w:jc w:val="both"/>
        <w:outlineLvl w:val="0"/>
        <w:rPr>
          <w:rFonts w:hAnsi="宋体"/>
          <w:b/>
          <w:color w:val="auto"/>
        </w:rPr>
      </w:pPr>
      <w:bookmarkStart w:id="49" w:name="_Toc283559974"/>
      <w:r>
        <w:rPr>
          <w:rFonts w:hint="eastAsia" w:hAnsi="宋体"/>
          <w:b/>
          <w:color w:val="auto"/>
        </w:rPr>
        <w:t>7. 合同授予</w:t>
      </w:r>
      <w:bookmarkEnd w:id="49"/>
    </w:p>
    <w:p>
      <w:pPr>
        <w:autoSpaceDE w:val="0"/>
        <w:autoSpaceDN w:val="0"/>
        <w:spacing w:line="440" w:lineRule="exact"/>
        <w:jc w:val="left"/>
        <w:outlineLvl w:val="0"/>
        <w:rPr>
          <w:rFonts w:hAnsi="宋体" w:cs="宋体"/>
          <w:b/>
          <w:color w:val="auto"/>
          <w:sz w:val="24"/>
        </w:rPr>
      </w:pPr>
      <w:bookmarkStart w:id="50" w:name="_Toc283559975"/>
      <w:r>
        <w:rPr>
          <w:rFonts w:hint="eastAsia" w:hAnsi="宋体" w:cs="宋体"/>
          <w:b/>
          <w:color w:val="auto"/>
          <w:sz w:val="24"/>
        </w:rPr>
        <w:t>7.1 定标方式</w:t>
      </w:r>
      <w:bookmarkEnd w:id="5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1" w:name="_Toc283559976"/>
      <w:r>
        <w:rPr>
          <w:rFonts w:hint="eastAsia" w:hAnsi="宋体" w:cs="宋体"/>
          <w:b/>
          <w:color w:val="auto"/>
          <w:sz w:val="24"/>
        </w:rPr>
        <w:t>7.2 中标通知</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2" w:name="_Toc179632587"/>
      <w:bookmarkStart w:id="53" w:name="_Toc152045569"/>
      <w:bookmarkStart w:id="54" w:name="_Toc152042345"/>
      <w:bookmarkStart w:id="55" w:name="_Toc14497453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2"/>
      <w:bookmarkEnd w:id="53"/>
      <w:bookmarkEnd w:id="54"/>
      <w:bookmarkEnd w:id="55"/>
      <w:bookmarkStart w:id="56" w:name="_Toc283559977"/>
      <w:r>
        <w:rPr>
          <w:rFonts w:hint="eastAsia" w:hAnsi="宋体" w:cs="宋体"/>
          <w:b/>
          <w:color w:val="auto"/>
          <w:sz w:val="24"/>
        </w:rPr>
        <w:t>3签订合同</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7" w:name="_Toc283559978"/>
      <w:r>
        <w:rPr>
          <w:rFonts w:hint="eastAsia" w:hAnsi="宋体" w:cs="宋体"/>
          <w:b/>
          <w:color w:val="auto"/>
          <w:sz w:val="24"/>
        </w:rPr>
        <w:t>8. 重新招标和不再招标</w:t>
      </w:r>
      <w:bookmarkEnd w:id="57"/>
    </w:p>
    <w:p>
      <w:pPr>
        <w:autoSpaceDE w:val="0"/>
        <w:autoSpaceDN w:val="0"/>
        <w:adjustRightInd w:val="0"/>
        <w:spacing w:line="440" w:lineRule="exact"/>
        <w:jc w:val="left"/>
        <w:outlineLvl w:val="0"/>
        <w:rPr>
          <w:rFonts w:hAnsi="宋体" w:cs="宋体"/>
          <w:b/>
          <w:color w:val="auto"/>
          <w:sz w:val="24"/>
        </w:rPr>
      </w:pPr>
      <w:bookmarkStart w:id="58" w:name="_Toc283559979"/>
      <w:r>
        <w:rPr>
          <w:rFonts w:hint="eastAsia" w:hAnsi="宋体" w:cs="宋体"/>
          <w:b/>
          <w:color w:val="auto"/>
          <w:sz w:val="24"/>
        </w:rPr>
        <w:t>8.1 重新招标</w:t>
      </w:r>
      <w:bookmarkEnd w:id="5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9" w:name="_Toc283559980"/>
      <w:r>
        <w:rPr>
          <w:rFonts w:hint="eastAsia" w:hAnsi="宋体" w:cs="宋体"/>
          <w:b/>
          <w:color w:val="auto"/>
          <w:sz w:val="24"/>
        </w:rPr>
        <w:t>8.2 不再招标</w:t>
      </w:r>
      <w:bookmarkEnd w:id="5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
        <w:spacing w:line="440" w:lineRule="exact"/>
        <w:jc w:val="both"/>
        <w:outlineLvl w:val="0"/>
        <w:rPr>
          <w:rFonts w:hAnsi="宋体"/>
          <w:b/>
          <w:color w:val="auto"/>
        </w:rPr>
      </w:pPr>
      <w:bookmarkStart w:id="60" w:name="_Toc283559981"/>
      <w:r>
        <w:rPr>
          <w:rFonts w:hint="eastAsia" w:hAnsi="宋体"/>
          <w:b/>
          <w:color w:val="auto"/>
        </w:rPr>
        <w:t>9. 纪律和监督</w:t>
      </w:r>
      <w:bookmarkEnd w:id="60"/>
    </w:p>
    <w:p>
      <w:pPr>
        <w:autoSpaceDE w:val="0"/>
        <w:autoSpaceDN w:val="0"/>
        <w:adjustRightInd w:val="0"/>
        <w:spacing w:line="440" w:lineRule="exact"/>
        <w:jc w:val="left"/>
        <w:outlineLvl w:val="0"/>
        <w:rPr>
          <w:rFonts w:hAnsi="宋体" w:cs="宋体"/>
          <w:b/>
          <w:color w:val="auto"/>
          <w:sz w:val="24"/>
        </w:rPr>
      </w:pPr>
      <w:bookmarkStart w:id="61" w:name="_Toc283559982"/>
      <w:r>
        <w:rPr>
          <w:rFonts w:hint="eastAsia" w:hAnsi="宋体" w:cs="宋体"/>
          <w:b/>
          <w:color w:val="auto"/>
          <w:sz w:val="24"/>
        </w:rPr>
        <w:t>9.1 对招标人的纪律要求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2" w:name="_Toc283559983"/>
      <w:r>
        <w:rPr>
          <w:rFonts w:hint="eastAsia" w:hAnsi="宋体" w:cs="宋体"/>
          <w:b/>
          <w:color w:val="auto"/>
          <w:sz w:val="24"/>
        </w:rPr>
        <w:t>9.2 对投标人的纪律要求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3" w:name="_Toc283559984"/>
      <w:r>
        <w:rPr>
          <w:rFonts w:hint="eastAsia" w:hAnsi="宋体" w:cs="宋体"/>
          <w:b/>
          <w:color w:val="auto"/>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4" w:name="_Toc283559985"/>
      <w:r>
        <w:rPr>
          <w:rFonts w:hint="eastAsia" w:hAnsi="宋体" w:cs="宋体"/>
          <w:b/>
          <w:color w:val="auto"/>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5" w:name="_Toc283559986"/>
      <w:r>
        <w:rPr>
          <w:rFonts w:hint="eastAsia" w:hAnsi="宋体" w:cs="宋体"/>
          <w:b/>
          <w:color w:val="auto"/>
          <w:sz w:val="24"/>
        </w:rPr>
        <w:t>9.5 投诉</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
        <w:spacing w:line="440" w:lineRule="exact"/>
        <w:jc w:val="both"/>
        <w:outlineLvl w:val="0"/>
        <w:rPr>
          <w:rFonts w:hAnsi="宋体"/>
          <w:b/>
          <w:color w:val="auto"/>
        </w:rPr>
      </w:pPr>
      <w:bookmarkStart w:id="66" w:name="_Toc283559987"/>
      <w:r>
        <w:rPr>
          <w:rFonts w:hint="eastAsia" w:hAnsi="宋体"/>
          <w:b/>
          <w:color w:val="auto"/>
        </w:rPr>
        <w:t>10. 需要补充的其他内容</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312" w:beforeLines="100" w:after="312" w:afterLines="100" w:line="400" w:lineRule="exact"/>
        <w:rPr>
          <w:rFonts w:hint="eastAsia" w:hAnsi="宋体" w:cs="宋体"/>
          <w:color w:val="auto"/>
          <w:sz w:val="24"/>
        </w:rPr>
      </w:pPr>
    </w:p>
    <w:p>
      <w:pPr>
        <w:spacing w:before="312" w:beforeLines="100" w:after="312" w:afterLines="100" w:line="400" w:lineRule="exact"/>
        <w:rPr>
          <w:rFonts w:hint="eastAsia" w:hAnsi="宋体" w:cs="宋体"/>
          <w:color w:val="auto"/>
          <w:sz w:val="24"/>
        </w:rPr>
      </w:pPr>
    </w:p>
    <w:p>
      <w:pPr>
        <w:spacing w:before="312" w:beforeLines="100" w:after="312" w:afterLines="100" w:line="400" w:lineRule="exact"/>
        <w:rPr>
          <w:rFonts w:hint="eastAsia" w:hAnsi="宋体" w:cs="宋体"/>
          <w:color w:val="auto"/>
          <w:sz w:val="24"/>
        </w:rPr>
      </w:pPr>
    </w:p>
    <w:p>
      <w:pPr>
        <w:spacing w:before="312" w:beforeLines="100" w:after="312" w:afterLines="100" w:line="400" w:lineRule="exact"/>
        <w:rPr>
          <w:rFonts w:hint="eastAsia" w:hAnsi="宋体" w:cs="宋体"/>
          <w:color w:val="auto"/>
          <w:sz w:val="24"/>
        </w:rPr>
      </w:pPr>
    </w:p>
    <w:p>
      <w:pPr>
        <w:spacing w:before="312" w:beforeLines="100" w:after="312" w:afterLines="100" w:line="400" w:lineRule="exact"/>
        <w:rPr>
          <w:rFonts w:hint="eastAsia" w:hAnsi="宋体" w:cs="宋体"/>
          <w:color w:val="auto"/>
          <w:sz w:val="24"/>
        </w:rPr>
      </w:pPr>
    </w:p>
    <w:p>
      <w:pPr>
        <w:spacing w:before="312" w:beforeLines="100" w:after="312" w:afterLines="100" w:line="400" w:lineRule="exact"/>
        <w:rPr>
          <w:rFonts w:hint="eastAsia" w:hAnsi="宋体" w:cs="宋体"/>
          <w:color w:val="auto"/>
          <w:sz w:val="24"/>
        </w:rPr>
      </w:pPr>
    </w:p>
    <w:p>
      <w:pPr>
        <w:spacing w:before="312" w:beforeLines="100" w:after="312" w:afterLines="100" w:line="400" w:lineRule="exact"/>
        <w:rPr>
          <w:rFonts w:hint="eastAsia" w:hAnsi="宋体" w:cs="宋体"/>
          <w:color w:val="auto"/>
          <w:sz w:val="24"/>
        </w:rPr>
      </w:pPr>
    </w:p>
    <w:p>
      <w:pPr>
        <w:spacing w:before="312" w:beforeLines="100" w:after="312" w:afterLines="100" w:line="400" w:lineRule="exact"/>
        <w:rPr>
          <w:rFonts w:hAnsi="宋体" w:cs="宋体"/>
          <w:color w:val="auto"/>
          <w:sz w:val="24"/>
        </w:rPr>
      </w:pPr>
      <w:r>
        <w:rPr>
          <w:rFonts w:hint="eastAsia" w:hAnsi="宋体" w:cs="宋体"/>
          <w:color w:val="auto"/>
          <w:sz w:val="24"/>
        </w:rPr>
        <w:t>附表一：</w:t>
      </w:r>
    </w:p>
    <w:p>
      <w:pPr>
        <w:spacing w:before="312" w:beforeLines="100" w:after="312"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312" w:beforeLines="100" w:after="312"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156" w:beforeLines="50" w:after="156"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bookmarkStart w:id="67" w:name="_Toc283559990"/>
      <w:r>
        <w:rPr>
          <w:rFonts w:hint="eastAsia" w:hAnsi="宋体" w:cs="宋体"/>
          <w:color w:val="auto"/>
          <w:sz w:val="24"/>
        </w:rPr>
        <w:t xml:space="preserve">     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color w:val="auto"/>
          <w:sz w:val="24"/>
        </w:rPr>
      </w:pPr>
      <w:r>
        <w:rPr>
          <w:rFonts w:hint="eastAsia" w:hAnsi="宋体" w:cs="宋体"/>
          <w:b/>
          <w:bCs/>
          <w:color w:val="auto"/>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auto"/>
          <w:sz w:val="24"/>
        </w:rPr>
      </w:pPr>
      <w:r>
        <w:rPr>
          <w:rFonts w:hint="eastAsia" w:hAnsi="宋体" w:cs="宋体"/>
          <w:b/>
          <w:color w:val="auto"/>
          <w:sz w:val="24"/>
        </w:rPr>
        <w:t>（一）技术标（25分）</w:t>
      </w:r>
    </w:p>
    <w:tbl>
      <w:tblPr>
        <w:tblStyle w:val="14"/>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color w:val="auto"/>
                <w:sz w:val="21"/>
                <w:szCs w:val="21"/>
              </w:rPr>
            </w:pPr>
            <w:bookmarkStart w:id="68" w:name="_Toc270931534"/>
            <w:bookmarkStart w:id="69" w:name="_Toc272833453"/>
            <w:bookmarkStart w:id="70" w:name="_Toc295572535"/>
            <w:bookmarkStart w:id="71" w:name="_Toc273546398"/>
            <w:r>
              <w:rPr>
                <w:rFonts w:hint="eastAsia" w:ascii="新宋体" w:hAnsi="新宋体" w:eastAsia="新宋体" w:cs="宋体"/>
                <w:bCs/>
                <w:color w:val="auto"/>
                <w:sz w:val="21"/>
                <w:szCs w:val="21"/>
              </w:rPr>
              <w:t>序号</w:t>
            </w:r>
          </w:p>
        </w:tc>
        <w:tc>
          <w:tcPr>
            <w:tcW w:w="1410"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内容</w:t>
            </w:r>
          </w:p>
        </w:tc>
        <w:tc>
          <w:tcPr>
            <w:tcW w:w="1265"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分值</w:t>
            </w:r>
          </w:p>
        </w:tc>
        <w:tc>
          <w:tcPr>
            <w:tcW w:w="5103"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评审标准</w:t>
            </w:r>
          </w:p>
        </w:tc>
        <w:tc>
          <w:tcPr>
            <w:tcW w:w="1559"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内容完整性</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0-0.5</w:t>
            </w:r>
          </w:p>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技术标的主要内容具有完整性，符合招标文件的要求。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技术标不符合招标文件要求。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主要施工方案与技术</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1-3分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质量管理体系与措施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安全管理体系与措施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1-3分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工期保证</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拟投入资源配备计划</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劳动力：投入计划与进度计划呼应，较好满足施工需要，调配投入计划合理、准确；</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劳动力：投入计划与进度计划呼应，基本满足施工需要，调配投入计划基本合理；</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8</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施工进度表与网络计划图</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关键线路基本准确，计划编制基本可行。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9</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施工总平面图布置</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0.5-1分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总体布置基本合理、基本满足施工需要。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10</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技术创新的应用实施</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施工现场实施信息化监控和数据</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处理</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0.5-1.5分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施工现场实施信息化监控数据处理系统布置合理，满足需要。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施工现场实施信息化监控数据处理系统布置基本符合需要。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风险管理</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color w:val="auto"/>
                <w:sz w:val="21"/>
                <w:szCs w:val="21"/>
              </w:rPr>
            </w:pPr>
          </w:p>
        </w:tc>
        <w:tc>
          <w:tcPr>
            <w:tcW w:w="1410" w:type="dxa"/>
            <w:vMerge w:val="continue"/>
            <w:vAlign w:val="center"/>
          </w:tcPr>
          <w:p>
            <w:pPr>
              <w:spacing w:line="360" w:lineRule="auto"/>
              <w:ind w:firstLine="420" w:firstLineChars="200"/>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color w:val="auto"/>
                <w:sz w:val="21"/>
                <w:szCs w:val="21"/>
              </w:rPr>
            </w:pPr>
            <w:r>
              <w:rPr>
                <w:rFonts w:hint="eastAsia" w:ascii="新宋体" w:hAnsi="新宋体" w:eastAsia="新宋体" w:cs="宋体"/>
                <w:bCs/>
                <w:color w:val="auto"/>
                <w:sz w:val="21"/>
                <w:szCs w:val="21"/>
              </w:rPr>
              <w:t>合计</w:t>
            </w:r>
          </w:p>
        </w:tc>
        <w:tc>
          <w:tcPr>
            <w:tcW w:w="1265"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10-25分</w:t>
            </w:r>
          </w:p>
        </w:tc>
        <w:tc>
          <w:tcPr>
            <w:tcW w:w="5103" w:type="dxa"/>
            <w:vAlign w:val="center"/>
          </w:tcPr>
          <w:p>
            <w:pPr>
              <w:jc w:val="center"/>
              <w:rPr>
                <w:rFonts w:ascii="新宋体" w:hAnsi="新宋体" w:eastAsia="新宋体" w:cs="新宋体"/>
                <w:b/>
                <w:color w:val="auto"/>
                <w:kern w:val="2"/>
                <w:sz w:val="21"/>
                <w:szCs w:val="21"/>
              </w:rPr>
            </w:pP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10≤得分≤25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int="eastAsia" w:hAnsi="宋体" w:cs="宋体"/>
          <w:b/>
          <w:bCs/>
          <w:color w:val="auto"/>
          <w:sz w:val="24"/>
          <w:szCs w:val="24"/>
        </w:rPr>
      </w:pPr>
    </w:p>
    <w:p>
      <w:pPr>
        <w:snapToGrid w:val="0"/>
        <w:spacing w:line="360" w:lineRule="auto"/>
        <w:jc w:val="left"/>
        <w:rPr>
          <w:rFonts w:hint="eastAsia" w:hAnsi="宋体" w:cs="宋体"/>
          <w:b/>
          <w:bCs/>
          <w:color w:val="auto"/>
          <w:sz w:val="24"/>
          <w:szCs w:val="24"/>
        </w:rPr>
      </w:pP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2"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rPr>
        <w:fldChar w:fldCharType="begin"/>
      </w:r>
      <w:r>
        <w:rPr>
          <w:rFonts w:hint="eastAsia" w:ascii="新宋体" w:hAnsi="新宋体" w:eastAsia="新宋体"/>
          <w:color w:val="auto"/>
          <w:sz w:val="24"/>
        </w:rPr>
        <w:instrText xml:space="preserve"> = 3 \* GB3 \* MERGEFORMAT </w:instrText>
      </w:r>
      <w:r>
        <w:rPr>
          <w:rFonts w:hint="eastAsia" w:ascii="新宋体" w:hAnsi="新宋体" w:eastAsia="新宋体"/>
          <w:color w:val="auto"/>
          <w:sz w:val="24"/>
        </w:rPr>
        <w:fldChar w:fldCharType="separate"/>
      </w:r>
      <w:r>
        <w:rPr>
          <w:rFonts w:hint="eastAsia" w:ascii="新宋体" w:hAnsi="新宋体" w:eastAsia="新宋体"/>
          <w:color w:val="auto"/>
          <w:sz w:val="24"/>
        </w:rPr>
        <w:t>③</w:t>
      </w:r>
      <w:r>
        <w:rPr>
          <w:rFonts w:hint="eastAsia" w:ascii="新宋体" w:hAnsi="新宋体" w:eastAsia="新宋体"/>
          <w:color w:val="auto"/>
          <w:sz w:val="24"/>
        </w:rPr>
        <w:fldChar w:fldCharType="end"/>
      </w:r>
      <w:r>
        <w:rPr>
          <w:rFonts w:hint="eastAsia" w:ascii="新宋体" w:hAnsi="新宋体" w:eastAsia="新宋体"/>
          <w:color w:val="auto"/>
          <w:sz w:val="24"/>
        </w:rPr>
        <w:t>上述招标控制价、投标报价、有效投标报价在参与评标基准价计算时，均不含：规费、安全文明施工措施费、暂列金额与专业暂估价、增值税。</w:t>
      </w:r>
      <w:bookmarkEnd w:id="72"/>
      <w:r>
        <w:rPr>
          <w:rFonts w:hint="eastAsia" w:hAnsi="宋体" w:cs="宋体"/>
          <w:b/>
          <w:bCs/>
          <w:color w:val="auto"/>
          <w:sz w:val="24"/>
          <w:szCs w:val="24"/>
        </w:rPr>
        <w:t xml:space="preserve"> </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color w:val="auto"/>
          <w:sz w:val="24"/>
          <w:szCs w:val="24"/>
        </w:rPr>
      </w:pPr>
      <w:r>
        <w:rPr>
          <w:rFonts w:hint="eastAsia" w:cs="宋体"/>
          <w:b/>
          <w:bCs/>
          <w:color w:val="auto"/>
          <w:sz w:val="24"/>
          <w:szCs w:val="24"/>
        </w:rPr>
        <w:t>（三）综合（信用）标的评标分值（25分）</w:t>
      </w:r>
    </w:p>
    <w:tbl>
      <w:tblPr>
        <w:tblStyle w:val="14"/>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序号</w:t>
            </w:r>
          </w:p>
        </w:tc>
        <w:tc>
          <w:tcPr>
            <w:tcW w:w="2096" w:type="dxa"/>
            <w:vAlign w:val="center"/>
          </w:tcPr>
          <w:p>
            <w:pPr>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项目</w:t>
            </w:r>
          </w:p>
        </w:tc>
        <w:tc>
          <w:tcPr>
            <w:tcW w:w="4992" w:type="dxa"/>
            <w:vAlign w:val="center"/>
          </w:tcPr>
          <w:p>
            <w:pPr>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评审标准</w:t>
            </w:r>
          </w:p>
        </w:tc>
        <w:tc>
          <w:tcPr>
            <w:tcW w:w="1529" w:type="dxa"/>
            <w:vAlign w:val="center"/>
          </w:tcPr>
          <w:p>
            <w:pPr>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1</w:t>
            </w:r>
          </w:p>
        </w:tc>
        <w:tc>
          <w:tcPr>
            <w:tcW w:w="2096" w:type="dxa"/>
            <w:vAlign w:val="center"/>
          </w:tcPr>
          <w:p>
            <w:pPr>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企业业绩</w:t>
            </w:r>
          </w:p>
        </w:tc>
        <w:tc>
          <w:tcPr>
            <w:tcW w:w="4992" w:type="dxa"/>
            <w:vAlign w:val="center"/>
          </w:tcPr>
          <w:p>
            <w:pPr>
              <w:jc w:val="left"/>
              <w:rPr>
                <w:rFonts w:asciiTheme="minorEastAsia" w:hAnsiTheme="minorEastAsia"/>
                <w:color w:val="auto"/>
                <w:kern w:val="2"/>
                <w:sz w:val="21"/>
                <w:szCs w:val="21"/>
              </w:rPr>
            </w:pPr>
            <w:r>
              <w:rPr>
                <w:rFonts w:hint="eastAsia" w:asciiTheme="minorEastAsia" w:hAnsiTheme="minorEastAsia"/>
                <w:color w:val="auto"/>
                <w:kern w:val="2"/>
                <w:sz w:val="21"/>
                <w:szCs w:val="21"/>
              </w:rPr>
              <w:t>自2017年1月1日以来（以合同签订时间为准）企业具有类似业绩者</w:t>
            </w:r>
            <w:r>
              <w:rPr>
                <w:rFonts w:hint="eastAsia" w:asciiTheme="minorEastAsia" w:hAnsiTheme="minorEastAsia"/>
                <w:color w:val="auto"/>
                <w:kern w:val="2"/>
                <w:sz w:val="21"/>
                <w:szCs w:val="21"/>
                <w:highlight w:val="none"/>
                <w:shd w:val="clear"/>
              </w:rPr>
              <w:t>每项得</w:t>
            </w:r>
            <w:r>
              <w:rPr>
                <w:rFonts w:hint="eastAsia" w:asciiTheme="minorEastAsia" w:hAnsiTheme="minorEastAsia"/>
                <w:color w:val="auto"/>
                <w:kern w:val="2"/>
                <w:sz w:val="21"/>
                <w:szCs w:val="21"/>
                <w:highlight w:val="none"/>
                <w:shd w:val="clear"/>
                <w:lang w:val="en-US" w:eastAsia="zh-CN"/>
              </w:rPr>
              <w:t>2</w:t>
            </w:r>
            <w:r>
              <w:rPr>
                <w:rFonts w:hint="eastAsia" w:asciiTheme="minorEastAsia" w:hAnsiTheme="minorEastAsia"/>
                <w:color w:val="auto"/>
                <w:kern w:val="2"/>
                <w:sz w:val="21"/>
                <w:szCs w:val="21"/>
                <w:highlight w:val="none"/>
                <w:shd w:val="clear"/>
              </w:rPr>
              <w:t>分，本项最高得4分。</w:t>
            </w:r>
            <w:r>
              <w:rPr>
                <w:rFonts w:hint="eastAsia" w:asciiTheme="minorEastAsia" w:hAnsiTheme="minorEastAsia"/>
                <w:color w:val="auto"/>
                <w:kern w:val="2"/>
                <w:sz w:val="21"/>
                <w:szCs w:val="21"/>
              </w:rPr>
              <w:t>（以施工合同和中标通知书或施工合同和竣工备案表为准，缺一项不得分）。</w:t>
            </w:r>
          </w:p>
        </w:tc>
        <w:tc>
          <w:tcPr>
            <w:tcW w:w="1529" w:type="dxa"/>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0</w:t>
            </w:r>
            <w:r>
              <w:rPr>
                <w:rFonts w:hint="eastAsia" w:asciiTheme="minorEastAsia" w:hAnsiTheme="minorEastAsia"/>
                <w:color w:val="auto"/>
                <w:kern w:val="2"/>
                <w:sz w:val="21"/>
                <w:szCs w:val="21"/>
              </w:rPr>
              <w:t>＜得分</w:t>
            </w:r>
            <w:r>
              <w:rPr>
                <w:rFonts w:asciiTheme="minorEastAsia" w:hAnsiTheme="minorEastAsia"/>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2</w:t>
            </w:r>
          </w:p>
        </w:tc>
        <w:tc>
          <w:tcPr>
            <w:tcW w:w="2096" w:type="dxa"/>
            <w:vAlign w:val="center"/>
          </w:tcPr>
          <w:p>
            <w:pPr>
              <w:jc w:val="center"/>
              <w:rPr>
                <w:rFonts w:asciiTheme="minorEastAsia" w:hAnsiTheme="minorEastAsia"/>
                <w:color w:val="auto"/>
                <w:kern w:val="2"/>
                <w:sz w:val="21"/>
                <w:szCs w:val="21"/>
                <w:highlight w:val="none"/>
              </w:rPr>
            </w:pPr>
            <w:r>
              <w:rPr>
                <w:rFonts w:hint="eastAsia" w:asciiTheme="minorEastAsia" w:hAnsiTheme="minorEastAsia"/>
                <w:color w:val="auto"/>
                <w:kern w:val="2"/>
                <w:sz w:val="21"/>
                <w:szCs w:val="21"/>
                <w:highlight w:val="none"/>
              </w:rPr>
              <w:t>项目负责人业绩</w:t>
            </w:r>
          </w:p>
        </w:tc>
        <w:tc>
          <w:tcPr>
            <w:tcW w:w="4992" w:type="dxa"/>
            <w:vAlign w:val="center"/>
          </w:tcPr>
          <w:p>
            <w:pPr>
              <w:jc w:val="left"/>
              <w:rPr>
                <w:rFonts w:asciiTheme="minorEastAsia" w:hAnsiTheme="minorEastAsia"/>
                <w:color w:val="auto"/>
                <w:kern w:val="2"/>
                <w:sz w:val="21"/>
                <w:szCs w:val="21"/>
                <w:highlight w:val="none"/>
              </w:rPr>
            </w:pPr>
            <w:r>
              <w:rPr>
                <w:rFonts w:hint="eastAsia" w:asciiTheme="minorEastAsia" w:hAnsiTheme="minorEastAsia"/>
                <w:color w:val="auto"/>
                <w:kern w:val="2"/>
                <w:sz w:val="21"/>
                <w:szCs w:val="21"/>
                <w:highlight w:val="none"/>
              </w:rPr>
              <w:t>自2017年1月1日以来（以合同签订时间为准）企业具有类似业绩者每项</w:t>
            </w:r>
            <w:r>
              <w:rPr>
                <w:rFonts w:hint="eastAsia" w:asciiTheme="minorEastAsia" w:hAnsiTheme="minorEastAsia"/>
                <w:color w:val="auto"/>
                <w:kern w:val="2"/>
                <w:sz w:val="21"/>
                <w:szCs w:val="21"/>
                <w:highlight w:val="none"/>
                <w:shd w:val="clear" w:fill="CCE8CF" w:themeFill="background1"/>
              </w:rPr>
              <w:t>得</w:t>
            </w:r>
            <w:r>
              <w:rPr>
                <w:rFonts w:hint="eastAsia" w:asciiTheme="minorEastAsia" w:hAnsiTheme="minorEastAsia"/>
                <w:color w:val="auto"/>
                <w:kern w:val="2"/>
                <w:sz w:val="21"/>
                <w:szCs w:val="21"/>
                <w:highlight w:val="none"/>
                <w:shd w:val="clear" w:fill="CCE8CF" w:themeFill="background1"/>
                <w:lang w:val="en-US" w:eastAsia="zh-CN"/>
              </w:rPr>
              <w:t>6</w:t>
            </w:r>
            <w:r>
              <w:rPr>
                <w:rFonts w:hint="eastAsia" w:asciiTheme="minorEastAsia" w:hAnsiTheme="minorEastAsia"/>
                <w:color w:val="auto"/>
                <w:kern w:val="2"/>
                <w:sz w:val="21"/>
                <w:szCs w:val="21"/>
                <w:highlight w:val="none"/>
                <w:shd w:val="clear" w:fill="CCE8CF" w:themeFill="background1"/>
              </w:rPr>
              <w:t>分，本项最高得6分</w:t>
            </w:r>
            <w:r>
              <w:rPr>
                <w:rFonts w:hint="eastAsia" w:asciiTheme="minorEastAsia" w:hAnsiTheme="minorEastAsia"/>
                <w:color w:val="auto"/>
                <w:kern w:val="2"/>
                <w:sz w:val="21"/>
                <w:szCs w:val="21"/>
                <w:highlight w:val="none"/>
              </w:rPr>
              <w:t>。（以施工合同和中标通知书或施工合同和竣工备案表为准，缺一项不得分）。</w:t>
            </w:r>
          </w:p>
        </w:tc>
        <w:tc>
          <w:tcPr>
            <w:tcW w:w="1529" w:type="dxa"/>
            <w:vAlign w:val="center"/>
          </w:tcPr>
          <w:p>
            <w:pPr>
              <w:jc w:val="center"/>
              <w:rPr>
                <w:rFonts w:asciiTheme="minorEastAsia" w:hAnsiTheme="minorEastAsia"/>
                <w:color w:val="auto"/>
                <w:kern w:val="2"/>
                <w:sz w:val="21"/>
                <w:szCs w:val="21"/>
                <w:highlight w:val="none"/>
              </w:rPr>
            </w:pPr>
            <w:r>
              <w:rPr>
                <w:rFonts w:asciiTheme="minorEastAsia" w:hAnsiTheme="minorEastAsia"/>
                <w:color w:val="auto"/>
                <w:kern w:val="2"/>
                <w:sz w:val="21"/>
                <w:szCs w:val="21"/>
                <w:highlight w:val="none"/>
              </w:rPr>
              <w:t>0</w:t>
            </w:r>
            <w:r>
              <w:rPr>
                <w:rFonts w:hint="eastAsia" w:asciiTheme="minorEastAsia" w:hAnsiTheme="minorEastAsia"/>
                <w:color w:val="auto"/>
                <w:kern w:val="2"/>
                <w:sz w:val="21"/>
                <w:szCs w:val="21"/>
                <w:highlight w:val="none"/>
              </w:rPr>
              <w:t>＜得分</w:t>
            </w:r>
            <w:r>
              <w:rPr>
                <w:rFonts w:asciiTheme="minorEastAsia" w:hAnsiTheme="minorEastAsia"/>
                <w:color w:val="auto"/>
                <w:kern w:val="2"/>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3</w:t>
            </w:r>
          </w:p>
        </w:tc>
        <w:tc>
          <w:tcPr>
            <w:tcW w:w="2096" w:type="dxa"/>
            <w:vMerge w:val="restart"/>
            <w:vAlign w:val="center"/>
          </w:tcPr>
          <w:p>
            <w:pPr>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优惠承诺</w:t>
            </w:r>
          </w:p>
        </w:tc>
        <w:tc>
          <w:tcPr>
            <w:tcW w:w="4992" w:type="dxa"/>
            <w:vAlign w:val="center"/>
          </w:tcPr>
          <w:p>
            <w:pPr>
              <w:spacing w:line="300" w:lineRule="exact"/>
              <w:rPr>
                <w:rFonts w:asciiTheme="minorEastAsia" w:hAnsiTheme="minorEastAsia"/>
                <w:color w:val="auto"/>
                <w:kern w:val="2"/>
                <w:sz w:val="21"/>
                <w:szCs w:val="21"/>
              </w:rPr>
            </w:pPr>
            <w:r>
              <w:rPr>
                <w:rFonts w:hint="eastAsia" w:asciiTheme="minorEastAsia" w:hAnsiTheme="minorEastAsia"/>
                <w:color w:val="auto"/>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3</w:t>
            </w:r>
            <w:r>
              <w:rPr>
                <w:rFonts w:hint="eastAsia" w:asciiTheme="minorEastAsia" w:hAnsiTheme="minorEastAsia"/>
                <w:color w:val="auto"/>
                <w:kern w:val="2"/>
                <w:sz w:val="21"/>
                <w:szCs w:val="21"/>
              </w:rPr>
              <w:t>＜得分</w:t>
            </w:r>
            <w:r>
              <w:rPr>
                <w:rFonts w:asciiTheme="minorEastAsia" w:hAnsiTheme="minorEastAsia"/>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color w:val="auto"/>
                <w:kern w:val="2"/>
                <w:sz w:val="21"/>
                <w:szCs w:val="21"/>
              </w:rPr>
            </w:pPr>
          </w:p>
        </w:tc>
        <w:tc>
          <w:tcPr>
            <w:tcW w:w="2096" w:type="dxa"/>
            <w:vMerge w:val="continue"/>
            <w:vAlign w:val="center"/>
          </w:tcPr>
          <w:p>
            <w:pPr>
              <w:jc w:val="left"/>
              <w:rPr>
                <w:rFonts w:asciiTheme="minorEastAsia" w:hAnsiTheme="minorEastAsia"/>
                <w:color w:val="auto"/>
                <w:kern w:val="2"/>
                <w:sz w:val="21"/>
                <w:szCs w:val="21"/>
              </w:rPr>
            </w:pPr>
          </w:p>
        </w:tc>
        <w:tc>
          <w:tcPr>
            <w:tcW w:w="4992" w:type="dxa"/>
            <w:vAlign w:val="center"/>
          </w:tcPr>
          <w:p>
            <w:pPr>
              <w:spacing w:line="300" w:lineRule="exact"/>
              <w:rPr>
                <w:rFonts w:asciiTheme="minorEastAsia" w:hAnsiTheme="minorEastAsia"/>
                <w:color w:val="auto"/>
                <w:kern w:val="2"/>
                <w:sz w:val="21"/>
                <w:szCs w:val="21"/>
              </w:rPr>
            </w:pPr>
            <w:r>
              <w:rPr>
                <w:rFonts w:hint="eastAsia" w:asciiTheme="minorEastAsia" w:hAnsiTheme="minorEastAsia"/>
                <w:color w:val="auto"/>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1≤</w:t>
            </w:r>
            <w:r>
              <w:rPr>
                <w:rFonts w:hint="eastAsia" w:asciiTheme="minorEastAsia" w:hAnsiTheme="minorEastAsia"/>
                <w:color w:val="auto"/>
                <w:kern w:val="2"/>
                <w:sz w:val="21"/>
                <w:szCs w:val="21"/>
              </w:rPr>
              <w:t>得分</w:t>
            </w:r>
            <w:r>
              <w:rPr>
                <w:rFonts w:asciiTheme="minorEastAsia" w:hAnsiTheme="minorEastAsia"/>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4</w:t>
            </w:r>
          </w:p>
        </w:tc>
        <w:tc>
          <w:tcPr>
            <w:tcW w:w="2096" w:type="dxa"/>
            <w:vMerge w:val="restart"/>
            <w:vAlign w:val="center"/>
          </w:tcPr>
          <w:p>
            <w:pPr>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履职尽责承诺</w:t>
            </w:r>
          </w:p>
        </w:tc>
        <w:tc>
          <w:tcPr>
            <w:tcW w:w="4992" w:type="dxa"/>
            <w:vAlign w:val="center"/>
          </w:tcPr>
          <w:p>
            <w:pPr>
              <w:spacing w:line="300" w:lineRule="exact"/>
              <w:rPr>
                <w:rFonts w:asciiTheme="minorEastAsia" w:hAnsiTheme="minorEastAsia"/>
                <w:color w:val="auto"/>
                <w:kern w:val="2"/>
                <w:sz w:val="21"/>
                <w:szCs w:val="21"/>
              </w:rPr>
            </w:pPr>
            <w:r>
              <w:rPr>
                <w:rFonts w:hint="eastAsia" w:asciiTheme="minorEastAsia" w:hAnsiTheme="minorEastAsia"/>
                <w:color w:val="auto"/>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color w:val="auto"/>
                <w:kern w:val="2"/>
                <w:sz w:val="21"/>
                <w:szCs w:val="21"/>
              </w:rPr>
            </w:pPr>
          </w:p>
        </w:tc>
        <w:tc>
          <w:tcPr>
            <w:tcW w:w="2096" w:type="dxa"/>
            <w:vMerge w:val="continue"/>
            <w:vAlign w:val="center"/>
          </w:tcPr>
          <w:p>
            <w:pPr>
              <w:jc w:val="left"/>
              <w:rPr>
                <w:rFonts w:asciiTheme="minorEastAsia" w:hAnsiTheme="minorEastAsia"/>
                <w:color w:val="auto"/>
                <w:kern w:val="2"/>
                <w:sz w:val="21"/>
                <w:szCs w:val="21"/>
              </w:rPr>
            </w:pPr>
          </w:p>
        </w:tc>
        <w:tc>
          <w:tcPr>
            <w:tcW w:w="4992" w:type="dxa"/>
            <w:vAlign w:val="center"/>
          </w:tcPr>
          <w:p>
            <w:pPr>
              <w:spacing w:line="300" w:lineRule="exact"/>
              <w:rPr>
                <w:rFonts w:asciiTheme="minorEastAsia" w:hAnsiTheme="minorEastAsia"/>
                <w:color w:val="auto"/>
                <w:kern w:val="2"/>
                <w:sz w:val="21"/>
                <w:szCs w:val="21"/>
              </w:rPr>
            </w:pPr>
            <w:r>
              <w:rPr>
                <w:rFonts w:hint="eastAsia" w:asciiTheme="minorEastAsia" w:hAnsiTheme="minorEastAsia"/>
                <w:color w:val="auto"/>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5</w:t>
            </w:r>
          </w:p>
        </w:tc>
        <w:tc>
          <w:tcPr>
            <w:tcW w:w="2096" w:type="dxa"/>
            <w:vAlign w:val="center"/>
          </w:tcPr>
          <w:p>
            <w:pPr>
              <w:jc w:val="left"/>
              <w:rPr>
                <w:rFonts w:asciiTheme="minorEastAsia" w:hAnsiTheme="minorEastAsia"/>
                <w:color w:val="auto"/>
                <w:kern w:val="2"/>
                <w:sz w:val="21"/>
                <w:szCs w:val="21"/>
                <w:highlight w:val="none"/>
              </w:rPr>
            </w:pPr>
            <w:r>
              <w:rPr>
                <w:rFonts w:hint="eastAsia" w:asciiTheme="minorEastAsia" w:hAnsiTheme="minorEastAsia"/>
                <w:color w:val="auto"/>
                <w:kern w:val="2"/>
                <w:sz w:val="21"/>
                <w:szCs w:val="21"/>
                <w:highlight w:val="none"/>
              </w:rPr>
              <w:t>企业信用（含纳税诚信）</w:t>
            </w:r>
          </w:p>
        </w:tc>
        <w:tc>
          <w:tcPr>
            <w:tcW w:w="4992" w:type="dxa"/>
            <w:shd w:val="clear" w:color="auto" w:fill="auto"/>
            <w:vAlign w:val="center"/>
          </w:tcPr>
          <w:p>
            <w:pPr>
              <w:pStyle w:val="4"/>
              <w:keepNext/>
              <w:keepLines/>
              <w:pageBreakBefore w:val="0"/>
              <w:widowControl w:val="0"/>
              <w:numPr>
                <w:ilvl w:val="0"/>
                <w:numId w:val="0"/>
              </w:numPr>
              <w:kinsoku/>
              <w:wordWrap/>
              <w:overflowPunct/>
              <w:topLinePunct w:val="0"/>
              <w:autoSpaceDE/>
              <w:autoSpaceDN/>
              <w:bidi w:val="0"/>
              <w:adjustRightInd/>
              <w:snapToGrid/>
              <w:spacing w:line="0" w:lineRule="atLeast"/>
              <w:textAlignment w:val="auto"/>
              <w:outlineLvl w:val="1"/>
              <w:rPr>
                <w:rFonts w:hint="default"/>
                <w:color w:val="auto"/>
                <w:highlight w:val="none"/>
                <w:lang w:val="en-US"/>
              </w:rPr>
            </w:pPr>
            <w:r>
              <w:rPr>
                <w:rFonts w:hint="eastAsia" w:ascii="宋体" w:hAnsi="宋体" w:eastAsia="宋体" w:cs="宋体"/>
                <w:b w:val="0"/>
                <w:bCs w:val="0"/>
                <w:color w:val="auto"/>
                <w:sz w:val="21"/>
                <w:szCs w:val="21"/>
                <w:highlight w:val="none"/>
                <w:lang w:val="en-US" w:eastAsia="zh-CN"/>
              </w:rPr>
              <w:t>自2017年1月1日以来投标人信用等级评为AAA级的得4分。</w:t>
            </w:r>
            <w:r>
              <w:rPr>
                <w:rFonts w:hint="eastAsia" w:ascii="宋体" w:hAnsi="宋体" w:eastAsia="宋体" w:cs="宋体"/>
                <w:b w:val="0"/>
                <w:bCs w:val="0"/>
                <w:color w:val="auto"/>
                <w:sz w:val="21"/>
                <w:szCs w:val="21"/>
                <w:highlight w:val="none"/>
                <w:lang w:val="en-US"/>
              </w:rPr>
              <w:t>（以证书</w:t>
            </w:r>
            <w:r>
              <w:rPr>
                <w:rFonts w:hint="eastAsia" w:ascii="宋体" w:hAnsi="宋体" w:eastAsia="宋体" w:cs="宋体"/>
                <w:b w:val="0"/>
                <w:bCs w:val="0"/>
                <w:color w:val="auto"/>
                <w:sz w:val="21"/>
                <w:szCs w:val="21"/>
                <w:highlight w:val="none"/>
                <w:lang w:val="en-US" w:eastAsia="zh-CN"/>
              </w:rPr>
              <w:t>原件扫描件</w:t>
            </w:r>
            <w:r>
              <w:rPr>
                <w:rFonts w:hint="eastAsia" w:ascii="宋体" w:hAnsi="宋体" w:eastAsia="宋体" w:cs="宋体"/>
                <w:b w:val="0"/>
                <w:bCs w:val="0"/>
                <w:color w:val="auto"/>
                <w:sz w:val="21"/>
                <w:szCs w:val="21"/>
                <w:highlight w:val="none"/>
                <w:lang w:val="en-US"/>
              </w:rPr>
              <w:t>为准）。</w:t>
            </w:r>
          </w:p>
        </w:tc>
        <w:tc>
          <w:tcPr>
            <w:tcW w:w="1529" w:type="dxa"/>
            <w:vAlign w:val="center"/>
          </w:tcPr>
          <w:p>
            <w:pPr>
              <w:jc w:val="center"/>
              <w:rPr>
                <w:rFonts w:asciiTheme="minorEastAsia" w:hAnsiTheme="minorEastAsia"/>
                <w:color w:val="auto"/>
                <w:kern w:val="2"/>
                <w:sz w:val="21"/>
                <w:szCs w:val="21"/>
                <w:highlight w:val="none"/>
              </w:rPr>
            </w:pPr>
            <w:r>
              <w:rPr>
                <w:rFonts w:hint="eastAsia" w:asciiTheme="minorEastAsia" w:hAnsiTheme="minorEastAsia"/>
                <w:color w:val="auto"/>
                <w:kern w:val="2"/>
                <w:sz w:val="21"/>
                <w:szCs w:val="21"/>
                <w:highlight w:val="none"/>
              </w:rPr>
              <w:t>0</w:t>
            </w:r>
            <w:r>
              <w:rPr>
                <w:rFonts w:asciiTheme="minorEastAsia" w:hAnsiTheme="minorEastAsia"/>
                <w:color w:val="auto"/>
                <w:kern w:val="2"/>
                <w:sz w:val="21"/>
                <w:szCs w:val="21"/>
                <w:highlight w:val="none"/>
              </w:rPr>
              <w:t>≤</w:t>
            </w:r>
            <w:r>
              <w:rPr>
                <w:rFonts w:hint="eastAsia" w:asciiTheme="minorEastAsia" w:hAnsiTheme="minorEastAsia"/>
                <w:color w:val="auto"/>
                <w:kern w:val="2"/>
                <w:sz w:val="21"/>
                <w:szCs w:val="21"/>
                <w:highlight w:val="none"/>
              </w:rPr>
              <w:t>得分</w:t>
            </w:r>
            <w:r>
              <w:rPr>
                <w:rFonts w:asciiTheme="minorEastAsia" w:hAnsiTheme="minorEastAsia"/>
                <w:color w:val="auto"/>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6</w:t>
            </w:r>
          </w:p>
        </w:tc>
        <w:tc>
          <w:tcPr>
            <w:tcW w:w="2096" w:type="dxa"/>
            <w:vAlign w:val="center"/>
          </w:tcPr>
          <w:p>
            <w:pPr>
              <w:jc w:val="left"/>
              <w:rPr>
                <w:rFonts w:asciiTheme="minorEastAsia" w:hAnsiTheme="minorEastAsia"/>
                <w:color w:val="auto"/>
                <w:kern w:val="2"/>
                <w:sz w:val="21"/>
                <w:szCs w:val="21"/>
                <w:highlight w:val="none"/>
              </w:rPr>
            </w:pPr>
            <w:r>
              <w:rPr>
                <w:rFonts w:hint="eastAsia" w:asciiTheme="minorEastAsia" w:hAnsiTheme="minorEastAsia"/>
                <w:color w:val="auto"/>
                <w:kern w:val="2"/>
                <w:sz w:val="21"/>
                <w:szCs w:val="21"/>
                <w:highlight w:val="none"/>
              </w:rPr>
              <w:t>项目负责人信用</w:t>
            </w:r>
          </w:p>
        </w:tc>
        <w:tc>
          <w:tcPr>
            <w:tcW w:w="4992" w:type="dxa"/>
            <w:vAlign w:val="center"/>
          </w:tcPr>
          <w:p>
            <w:pPr>
              <w:jc w:val="left"/>
              <w:rPr>
                <w:rFonts w:hint="eastAsia" w:asciiTheme="minorEastAsia" w:hAnsiTheme="minorEastAsia"/>
                <w:color w:val="auto"/>
                <w:kern w:val="2"/>
                <w:sz w:val="21"/>
                <w:szCs w:val="21"/>
                <w:highlight w:val="none"/>
                <w:lang w:val="en-US" w:eastAsia="zh-CN"/>
              </w:rPr>
            </w:pPr>
            <w:r>
              <w:rPr>
                <w:rFonts w:hint="eastAsia" w:asciiTheme="minorEastAsia" w:hAnsiTheme="minorEastAsia"/>
                <w:color w:val="auto"/>
                <w:kern w:val="2"/>
                <w:sz w:val="21"/>
                <w:szCs w:val="21"/>
                <w:highlight w:val="none"/>
                <w:lang w:val="en-US" w:eastAsia="zh-CN"/>
              </w:rPr>
              <w:t>1、项目</w:t>
            </w:r>
            <w:r>
              <w:rPr>
                <w:rFonts w:hint="eastAsia" w:asciiTheme="minorEastAsia" w:hAnsiTheme="minorEastAsia"/>
                <w:color w:val="auto"/>
                <w:kern w:val="2"/>
                <w:sz w:val="21"/>
                <w:szCs w:val="21"/>
                <w:highlight w:val="none"/>
              </w:rPr>
              <w:t>负责人</w:t>
            </w:r>
            <w:r>
              <w:rPr>
                <w:rFonts w:hint="eastAsia" w:asciiTheme="minorEastAsia" w:hAnsiTheme="minorEastAsia"/>
                <w:color w:val="auto"/>
                <w:kern w:val="2"/>
                <w:sz w:val="21"/>
                <w:szCs w:val="21"/>
                <w:highlight w:val="none"/>
                <w:lang w:val="en-US" w:eastAsia="zh-CN"/>
              </w:rPr>
              <w:t>具有相关专业中级以上职称的得1分，本项最高得1分；</w:t>
            </w:r>
          </w:p>
          <w:p>
            <w:pPr>
              <w:jc w:val="left"/>
              <w:rPr>
                <w:rFonts w:asciiTheme="minorEastAsia" w:hAnsiTheme="minorEastAsia"/>
                <w:color w:val="auto"/>
                <w:kern w:val="2"/>
                <w:sz w:val="21"/>
                <w:szCs w:val="21"/>
                <w:highlight w:val="none"/>
              </w:rPr>
            </w:pPr>
            <w:r>
              <w:rPr>
                <w:rFonts w:hint="eastAsia" w:asciiTheme="minorEastAsia" w:hAnsiTheme="minorEastAsia"/>
                <w:color w:val="auto"/>
                <w:kern w:val="2"/>
                <w:sz w:val="21"/>
                <w:szCs w:val="21"/>
                <w:highlight w:val="none"/>
                <w:lang w:val="en-US" w:eastAsia="zh-CN"/>
              </w:rPr>
              <w:t>2、</w:t>
            </w:r>
            <w:r>
              <w:rPr>
                <w:rFonts w:hint="eastAsia" w:asciiTheme="minorEastAsia" w:hAnsiTheme="minorEastAsia"/>
                <w:color w:val="auto"/>
                <w:kern w:val="2"/>
                <w:sz w:val="21"/>
                <w:szCs w:val="21"/>
                <w:highlight w:val="none"/>
              </w:rPr>
              <w:t>项目负责人连续三年获得过省级安全文明标准工地奖并附相关网页截图的得</w:t>
            </w:r>
            <w:r>
              <w:rPr>
                <w:rFonts w:hint="eastAsia" w:asciiTheme="minorEastAsia" w:hAnsiTheme="minorEastAsia"/>
                <w:color w:val="auto"/>
                <w:kern w:val="2"/>
                <w:sz w:val="21"/>
                <w:szCs w:val="21"/>
                <w:highlight w:val="none"/>
                <w:lang w:val="en-US" w:eastAsia="zh-CN"/>
              </w:rPr>
              <w:t>1</w:t>
            </w:r>
            <w:r>
              <w:rPr>
                <w:rFonts w:hint="eastAsia" w:asciiTheme="minorEastAsia" w:hAnsiTheme="minorEastAsia"/>
                <w:color w:val="auto"/>
                <w:kern w:val="2"/>
                <w:sz w:val="21"/>
                <w:szCs w:val="21"/>
                <w:highlight w:val="none"/>
              </w:rPr>
              <w:t>分，本项最高得</w:t>
            </w:r>
            <w:r>
              <w:rPr>
                <w:rFonts w:hint="eastAsia" w:asciiTheme="minorEastAsia" w:hAnsiTheme="minorEastAsia"/>
                <w:color w:val="auto"/>
                <w:kern w:val="2"/>
                <w:sz w:val="21"/>
                <w:szCs w:val="21"/>
                <w:highlight w:val="none"/>
                <w:lang w:val="en-US" w:eastAsia="zh-CN"/>
              </w:rPr>
              <w:t>1</w:t>
            </w:r>
            <w:r>
              <w:rPr>
                <w:rFonts w:hint="eastAsia" w:asciiTheme="minorEastAsia" w:hAnsiTheme="minorEastAsia"/>
                <w:color w:val="auto"/>
                <w:kern w:val="2"/>
                <w:sz w:val="21"/>
                <w:szCs w:val="21"/>
                <w:highlight w:val="none"/>
              </w:rPr>
              <w:t>分。（以有效期内的证书原件扫描件为准）。</w:t>
            </w:r>
          </w:p>
        </w:tc>
        <w:tc>
          <w:tcPr>
            <w:tcW w:w="1529" w:type="dxa"/>
            <w:vAlign w:val="center"/>
          </w:tcPr>
          <w:p>
            <w:pPr>
              <w:jc w:val="center"/>
              <w:rPr>
                <w:rFonts w:asciiTheme="minorEastAsia" w:hAnsiTheme="minorEastAsia"/>
                <w:color w:val="auto"/>
                <w:kern w:val="2"/>
                <w:sz w:val="21"/>
                <w:szCs w:val="21"/>
                <w:highlight w:val="none"/>
              </w:rPr>
            </w:pPr>
            <w:r>
              <w:rPr>
                <w:rFonts w:hint="eastAsia" w:asciiTheme="minorEastAsia" w:hAnsiTheme="minorEastAsia"/>
                <w:color w:val="auto"/>
                <w:kern w:val="2"/>
                <w:sz w:val="21"/>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7</w:t>
            </w:r>
          </w:p>
        </w:tc>
        <w:tc>
          <w:tcPr>
            <w:tcW w:w="2096" w:type="dxa"/>
            <w:vAlign w:val="center"/>
          </w:tcPr>
          <w:p>
            <w:pPr>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招标人意见</w:t>
            </w:r>
          </w:p>
        </w:tc>
        <w:tc>
          <w:tcPr>
            <w:tcW w:w="4992" w:type="dxa"/>
            <w:vAlign w:val="center"/>
          </w:tcPr>
          <w:p>
            <w:pPr>
              <w:spacing w:line="300" w:lineRule="exact"/>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各投标人得分均按2分计算</w:t>
            </w:r>
          </w:p>
        </w:tc>
        <w:tc>
          <w:tcPr>
            <w:tcW w:w="1529" w:type="dxa"/>
            <w:vAlign w:val="center"/>
          </w:tcPr>
          <w:p>
            <w:pPr>
              <w:jc w:val="center"/>
              <w:rPr>
                <w:rFonts w:asciiTheme="minorEastAsia" w:hAnsiTheme="minorEastAsia"/>
                <w:color w:val="auto"/>
                <w:kern w:val="2"/>
                <w:sz w:val="21"/>
                <w:szCs w:val="21"/>
              </w:rPr>
            </w:pPr>
            <w:r>
              <w:rPr>
                <w:rFonts w:asciiTheme="minorEastAsia" w:hAnsiTheme="minorEastAsia"/>
                <w:color w:val="auto"/>
                <w:kern w:val="2"/>
                <w:sz w:val="21"/>
                <w:szCs w:val="21"/>
              </w:rPr>
              <w:t>0≤</w:t>
            </w:r>
            <w:r>
              <w:rPr>
                <w:rFonts w:hint="eastAsia" w:asciiTheme="minorEastAsia" w:hAnsiTheme="minorEastAsia"/>
                <w:color w:val="auto"/>
                <w:kern w:val="2"/>
                <w:sz w:val="21"/>
                <w:szCs w:val="21"/>
              </w:rPr>
              <w:t>得分</w:t>
            </w:r>
            <w:r>
              <w:rPr>
                <w:rFonts w:asciiTheme="minorEastAsia" w:hAnsiTheme="minorEastAsia"/>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color w:val="auto"/>
                <w:kern w:val="2"/>
                <w:sz w:val="21"/>
                <w:szCs w:val="21"/>
              </w:rPr>
            </w:pPr>
            <w:r>
              <w:rPr>
                <w:rFonts w:hint="eastAsia" w:asciiTheme="minorEastAsia" w:hAnsiTheme="minorEastAsia"/>
                <w:color w:val="auto"/>
                <w:kern w:val="2"/>
                <w:sz w:val="21"/>
                <w:szCs w:val="21"/>
              </w:rPr>
              <w:t>以上各项评审内容缺项不得分</w:t>
            </w:r>
          </w:p>
        </w:tc>
      </w:tr>
    </w:tbl>
    <w:p>
      <w:pPr>
        <w:snapToGrid w:val="0"/>
        <w:spacing w:line="420" w:lineRule="exact"/>
        <w:ind w:firstLine="480" w:firstLineChars="200"/>
        <w:rPr>
          <w:rFonts w:hAnsi="宋体" w:cs="宋体"/>
          <w:b/>
          <w:bCs/>
          <w:color w:val="auto"/>
          <w:sz w:val="24"/>
        </w:rPr>
      </w:pPr>
      <w:r>
        <w:rPr>
          <w:rFonts w:hint="eastAsia" w:hAnsi="宋体" w:cs="宋体"/>
          <w:b/>
          <w:bCs/>
          <w:color w:val="auto"/>
          <w:sz w:val="24"/>
        </w:rPr>
        <w:t>注：1）近年年份要求：2017年1月1日以来；</w:t>
      </w:r>
    </w:p>
    <w:p>
      <w:pPr>
        <w:snapToGrid w:val="0"/>
        <w:spacing w:line="420" w:lineRule="exact"/>
        <w:ind w:firstLine="960" w:firstLineChars="400"/>
        <w:rPr>
          <w:rFonts w:hAnsi="宋体" w:cs="宋体"/>
          <w:b/>
          <w:bCs/>
          <w:color w:val="auto"/>
          <w:sz w:val="24"/>
        </w:rPr>
      </w:pPr>
      <w:r>
        <w:rPr>
          <w:rFonts w:hint="eastAsia" w:hAnsi="宋体" w:cs="宋体"/>
          <w:b/>
          <w:bCs/>
          <w:color w:val="auto"/>
          <w:sz w:val="24"/>
        </w:rPr>
        <w:t>2）类似工程：指2017年1月1日以来承接过的</w:t>
      </w:r>
      <w:r>
        <w:rPr>
          <w:rFonts w:hint="eastAsia" w:hAnsi="宋体" w:cs="宋体"/>
          <w:b/>
          <w:bCs/>
          <w:color w:val="auto"/>
          <w:sz w:val="24"/>
          <w:highlight w:val="none"/>
          <w:lang w:val="en-US" w:eastAsia="zh-CN"/>
        </w:rPr>
        <w:t>建筑</w:t>
      </w:r>
      <w:r>
        <w:rPr>
          <w:rFonts w:hint="eastAsia" w:hAnsi="宋体" w:cs="宋体"/>
          <w:b/>
          <w:bCs/>
          <w:color w:val="auto"/>
          <w:sz w:val="24"/>
        </w:rPr>
        <w:t>工程建设项目；</w:t>
      </w:r>
    </w:p>
    <w:p>
      <w:pPr>
        <w:snapToGrid w:val="0"/>
        <w:spacing w:line="420" w:lineRule="exact"/>
        <w:ind w:firstLine="960" w:firstLineChars="400"/>
        <w:rPr>
          <w:rFonts w:hAnsi="宋体" w:cs="宋体"/>
          <w:b/>
          <w:bCs/>
          <w:color w:val="auto"/>
          <w:sz w:val="24"/>
        </w:rPr>
      </w:pPr>
      <w:r>
        <w:rPr>
          <w:rFonts w:hint="eastAsia" w:hAnsi="宋体" w:cs="宋体"/>
          <w:b/>
          <w:bCs/>
          <w:color w:val="auto"/>
          <w:sz w:val="24"/>
        </w:rPr>
        <w:t>3）业绩合同以合同签订日期为准，获奖证书以发证日期为准；</w:t>
      </w:r>
    </w:p>
    <w:p>
      <w:pPr>
        <w:snapToGrid w:val="0"/>
        <w:spacing w:line="420" w:lineRule="exact"/>
        <w:ind w:firstLine="960" w:firstLineChars="400"/>
        <w:rPr>
          <w:rFonts w:hAnsi="宋体" w:cs="宋体"/>
          <w:b/>
          <w:bCs/>
          <w:color w:val="auto"/>
          <w:sz w:val="24"/>
        </w:rPr>
      </w:pPr>
      <w:r>
        <w:rPr>
          <w:rFonts w:hint="eastAsia" w:hAnsi="宋体" w:cs="宋体"/>
          <w:b/>
          <w:bCs/>
          <w:color w:val="auto"/>
          <w:sz w:val="24"/>
        </w:rPr>
        <w:t>4）企业业绩和建造师业绩不可累计使用。</w:t>
      </w:r>
    </w:p>
    <w:p>
      <w:pPr>
        <w:snapToGrid w:val="0"/>
        <w:spacing w:line="420" w:lineRule="exact"/>
        <w:ind w:firstLine="240" w:firstLineChars="100"/>
        <w:rPr>
          <w:rFonts w:hAnsi="宋体" w:cs="宋体"/>
          <w:b/>
          <w:bCs/>
          <w:color w:val="auto"/>
          <w:sz w:val="24"/>
        </w:rPr>
      </w:pPr>
      <w:r>
        <w:rPr>
          <w:rFonts w:hint="eastAsia" w:hAnsi="宋体" w:cs="宋体"/>
          <w:b/>
          <w:bCs/>
          <w:color w:val="auto"/>
          <w:sz w:val="24"/>
        </w:rPr>
        <w:t>（四）投标人综合得分按下列公式计算：</w:t>
      </w:r>
    </w:p>
    <w:p>
      <w:pPr>
        <w:snapToGrid w:val="0"/>
        <w:spacing w:line="420" w:lineRule="exact"/>
        <w:ind w:firstLine="960" w:firstLineChars="400"/>
        <w:rPr>
          <w:rFonts w:hAnsi="宋体" w:cs="宋体"/>
          <w:b/>
          <w:bCs/>
          <w:color w:val="auto"/>
          <w:sz w:val="24"/>
        </w:rPr>
      </w:pPr>
      <w:r>
        <w:rPr>
          <w:rFonts w:hint="eastAsia" w:hAnsi="宋体" w:cs="宋体"/>
          <w:color w:val="auto"/>
          <w:sz w:val="24"/>
          <w:szCs w:val="24"/>
        </w:rPr>
        <w:t>投标人综合得分＝技术标得分＋商务标得分＋综合（信用）标得分。</w:t>
      </w:r>
    </w:p>
    <w:p>
      <w:pPr>
        <w:snapToGrid w:val="0"/>
        <w:spacing w:line="420" w:lineRule="exact"/>
        <w:ind w:firstLine="240" w:firstLineChars="100"/>
        <w:rPr>
          <w:rFonts w:hAnsi="宋体" w:cs="宋体"/>
          <w:b/>
          <w:bCs/>
          <w:color w:val="auto"/>
          <w:sz w:val="24"/>
        </w:rPr>
      </w:pPr>
      <w:r>
        <w:rPr>
          <w:rFonts w:hint="eastAsia" w:hAnsi="宋体" w:cs="宋体"/>
          <w:b/>
          <w:bCs/>
          <w:color w:val="auto"/>
          <w:sz w:val="24"/>
        </w:rPr>
        <w:t>（五）投标人的最终得分及中标候选人排序</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rPr>
      </w:pPr>
      <w:r>
        <w:rPr>
          <w:rFonts w:hint="eastAsia" w:hAnsi="宋体" w:cs="宋体"/>
          <w:color w:val="auto"/>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rPr>
      </w:pPr>
      <w:r>
        <w:rPr>
          <w:rFonts w:hint="eastAsia" w:ascii="新宋体" w:eastAsia="新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rPr>
      </w:pPr>
      <w:r>
        <w:rPr>
          <w:rFonts w:hint="eastAsia" w:ascii="新宋体" w:eastAsia="新宋体" w:cs="宋体"/>
          <w:b/>
          <w:color w:val="auto"/>
          <w:sz w:val="24"/>
        </w:rPr>
        <w:t>八、定标</w:t>
      </w:r>
    </w:p>
    <w:p>
      <w:pPr>
        <w:snapToGrid w:val="0"/>
        <w:spacing w:line="336" w:lineRule="auto"/>
        <w:ind w:firstLine="480" w:firstLineChars="200"/>
        <w:rPr>
          <w:rFonts w:ascii="新宋体" w:eastAsia="新宋体"/>
          <w:b/>
          <w:color w:val="auto"/>
          <w:sz w:val="24"/>
        </w:rPr>
      </w:pPr>
      <w:r>
        <w:rPr>
          <w:rFonts w:hint="eastAsia" w:asci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3" w:name="_Toc23277"/>
      <w:r>
        <w:rPr>
          <w:rFonts w:hint="eastAsia" w:ascii="新宋体" w:eastAsia="新宋体"/>
          <w:b/>
          <w:color w:val="auto"/>
          <w:szCs w:val="24"/>
        </w:rPr>
        <w:t>九、评标报告</w:t>
      </w:r>
      <w:bookmarkEnd w:id="73"/>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4" w:name="_Toc8686"/>
      <w:r>
        <w:rPr>
          <w:rFonts w:hint="eastAsia" w:ascii="新宋体" w:eastAsia="新宋体"/>
          <w:b/>
          <w:color w:val="auto"/>
        </w:rPr>
        <w:t>十、</w:t>
      </w:r>
      <w:r>
        <w:rPr>
          <w:rFonts w:hint="eastAsia" w:ascii="新宋体" w:eastAsia="新宋体"/>
          <w:b/>
          <w:color w:val="auto"/>
          <w:szCs w:val="24"/>
        </w:rPr>
        <w:t>公示</w:t>
      </w:r>
      <w:bookmarkEnd w:id="74"/>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十一、特殊情况的处置程序</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11.1关于澄清、说明或补正</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11.2关于评标活动暂停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11.3关于评标中途更换评标委员会成员</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11.3.1除非发生下列情况之一，评标委员会成员不得在评标中途更换：</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（1）因不可抗拒的客观原因，不能到场或需在评标中途退出评标活动。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（2）根据法律法规规定，某个或某几个评标委员会成员需要回避。</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11.4记名投票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rPr>
      </w:pPr>
      <w:r>
        <w:rPr>
          <w:rFonts w:hint="eastAsia"/>
          <w:b/>
          <w:color w:val="auto"/>
          <w:sz w:val="24"/>
        </w:rPr>
        <w:t>11.5评标委员会对评标结果有异议的</w:t>
      </w:r>
    </w:p>
    <w:p>
      <w:pPr>
        <w:snapToGrid w:val="0"/>
        <w:spacing w:line="336" w:lineRule="auto"/>
        <w:ind w:firstLine="468" w:firstLineChars="200"/>
        <w:jc w:val="left"/>
        <w:rPr>
          <w:rFonts w:hAnsi="宋体" w:cs="黑体"/>
          <w:b/>
          <w:color w:val="auto"/>
          <w:sz w:val="36"/>
          <w:szCs w:val="36"/>
        </w:rPr>
      </w:pPr>
      <w:r>
        <w:rPr>
          <w:rFonts w:hint="eastAsia"/>
          <w:color w:val="auto"/>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rPr>
          <w:rFonts w:hAnsi="宋体" w:cs="宋体"/>
          <w:color w:val="auto"/>
          <w:spacing w:val="-3"/>
          <w:sz w:val="24"/>
        </w:rPr>
      </w:pPr>
    </w:p>
    <w:p>
      <w:pPr>
        <w:rPr>
          <w:rFonts w:hAnsi="宋体" w:cs="宋体"/>
          <w:b/>
          <w:color w:val="auto"/>
          <w:sz w:val="36"/>
          <w:szCs w:val="36"/>
        </w:rPr>
      </w:pPr>
      <w:r>
        <w:rPr>
          <w:rFonts w:hint="eastAsia" w:hAnsi="宋体" w:cs="宋体"/>
          <w:b/>
          <w:color w:val="auto"/>
          <w:sz w:val="36"/>
          <w:szCs w:val="36"/>
        </w:rPr>
        <w:br w:type="page"/>
      </w: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7"/>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ascii="新宋体" w:hAnsi="新宋体" w:eastAsia="新宋体"/>
          <w:b/>
          <w:color w:val="auto"/>
          <w:sz w:val="24"/>
        </w:rPr>
      </w:pPr>
      <w:r>
        <w:rPr>
          <w:rFonts w:hint="eastAsia" w:ascii="新宋体" w:hAnsi="新宋体" w:eastAsia="新宋体"/>
          <w:b/>
          <w:color w:val="auto"/>
          <w:sz w:val="24"/>
        </w:rPr>
        <w:t>1、工程量清单说明</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color w:val="auto"/>
          <w:sz w:val="24"/>
          <w:u w:val="single"/>
        </w:rPr>
      </w:pPr>
      <w:r>
        <w:rPr>
          <w:rFonts w:hint="eastAsia" w:ascii="新宋体" w:hAnsi="新宋体" w:eastAsia="新宋体"/>
          <w:color w:val="auto"/>
          <w:sz w:val="24"/>
        </w:rPr>
        <w:t>1.4补充子目的子目特征、计量单位、工程量计算规则及工作内容说明如下：</w:t>
      </w:r>
      <w:r>
        <w:rPr>
          <w:rFonts w:hint="eastAsia" w:ascii="新宋体" w:hAnsi="新宋体" w:eastAsia="新宋体"/>
          <w:color w:val="auto"/>
          <w:sz w:val="24"/>
          <w:u w:val="single"/>
        </w:rPr>
        <w:t>本工程使用《建设工程工程量清单计价规范》（GB50500-2013）</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1.6 本条与下述第2条和第3条的说明内容是构成合同文件的已标价工程量清单的组成部分。</w:t>
      </w:r>
    </w:p>
    <w:p>
      <w:pPr>
        <w:spacing w:line="440" w:lineRule="exact"/>
        <w:rPr>
          <w:rFonts w:ascii="新宋体" w:hAnsi="新宋体" w:eastAsia="新宋体"/>
          <w:b/>
          <w:color w:val="auto"/>
          <w:sz w:val="24"/>
        </w:rPr>
      </w:pPr>
      <w:r>
        <w:rPr>
          <w:rFonts w:hint="eastAsia" w:ascii="新宋体" w:hAnsi="新宋体" w:eastAsia="新宋体"/>
          <w:b/>
          <w:color w:val="auto"/>
          <w:sz w:val="24"/>
        </w:rPr>
        <w:t>2、投标报价说明</w:t>
      </w:r>
    </w:p>
    <w:p>
      <w:pPr>
        <w:autoSpaceDE w:val="0"/>
        <w:autoSpaceDN w:val="0"/>
        <w:spacing w:line="360" w:lineRule="exact"/>
        <w:ind w:firstLine="480" w:firstLineChars="200"/>
        <w:jc w:val="left"/>
        <w:outlineLvl w:val="0"/>
        <w:rPr>
          <w:rFonts w:ascii="新宋体" w:hAnsi="新宋体" w:eastAsia="新宋体"/>
          <w:color w:val="auto"/>
          <w:sz w:val="24"/>
        </w:rPr>
      </w:pPr>
      <w:r>
        <w:rPr>
          <w:rFonts w:hint="eastAsia" w:ascii="新宋体" w:hAnsi="新宋体" w:eastAsia="新宋体"/>
          <w:color w:val="auto"/>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ascii="新宋体" w:hAnsi="新宋体" w:eastAsia="新宋体"/>
          <w:color w:val="auto"/>
          <w:sz w:val="24"/>
        </w:rPr>
      </w:pPr>
      <w:r>
        <w:rPr>
          <w:rFonts w:hint="eastAsia" w:ascii="新宋体" w:hAnsi="新宋体" w:eastAsia="新宋体"/>
          <w:color w:val="auto"/>
          <w:sz w:val="24"/>
        </w:rPr>
        <w:t>(1) 本招标文件。</w:t>
      </w:r>
    </w:p>
    <w:p>
      <w:pPr>
        <w:autoSpaceDE w:val="0"/>
        <w:autoSpaceDN w:val="0"/>
        <w:spacing w:line="360" w:lineRule="exact"/>
        <w:ind w:firstLine="480" w:firstLineChars="200"/>
        <w:jc w:val="left"/>
        <w:outlineLvl w:val="0"/>
        <w:rPr>
          <w:rFonts w:ascii="新宋体" w:hAnsi="新宋体" w:eastAsia="新宋体"/>
          <w:color w:val="auto"/>
          <w:sz w:val="24"/>
        </w:rPr>
      </w:pPr>
      <w:r>
        <w:rPr>
          <w:rFonts w:hint="eastAsia" w:ascii="新宋体" w:hAnsi="新宋体" w:eastAsia="新宋体"/>
          <w:color w:val="auto"/>
          <w:sz w:val="24"/>
        </w:rPr>
        <w:t>(2)《建设工程工程量清单计价规范（GB50500-2013）》。</w:t>
      </w:r>
    </w:p>
    <w:p>
      <w:pPr>
        <w:autoSpaceDE w:val="0"/>
        <w:autoSpaceDN w:val="0"/>
        <w:spacing w:line="360" w:lineRule="exact"/>
        <w:ind w:firstLine="480" w:firstLineChars="200"/>
        <w:jc w:val="left"/>
        <w:outlineLvl w:val="0"/>
        <w:rPr>
          <w:rFonts w:ascii="新宋体" w:hAnsi="新宋体" w:eastAsia="新宋体"/>
          <w:color w:val="auto"/>
          <w:sz w:val="24"/>
        </w:rPr>
      </w:pPr>
      <w:r>
        <w:rPr>
          <w:rFonts w:hint="eastAsia" w:ascii="新宋体" w:hAnsi="新宋体" w:eastAsia="新宋体"/>
          <w:color w:val="auto"/>
          <w:sz w:val="24"/>
        </w:rPr>
        <w:t>（3）《河南省房屋建筑与装饰工程预算定额》（HA01-31-2016）、《河南省通用安装工程预算定额》（HA02-31-2016）、《河南省市政工程预算定额》（HAA1-31-2016）及其他相关造价文件。</w:t>
      </w:r>
    </w:p>
    <w:p>
      <w:pPr>
        <w:autoSpaceDE w:val="0"/>
        <w:autoSpaceDN w:val="0"/>
        <w:spacing w:line="360" w:lineRule="exact"/>
        <w:ind w:firstLine="480" w:firstLineChars="200"/>
        <w:jc w:val="left"/>
        <w:outlineLvl w:val="0"/>
        <w:rPr>
          <w:rFonts w:ascii="新宋体" w:hAnsi="新宋体" w:eastAsia="新宋体"/>
          <w:color w:val="auto"/>
          <w:sz w:val="24"/>
        </w:rPr>
      </w:pPr>
      <w:r>
        <w:rPr>
          <w:rFonts w:hint="eastAsia" w:ascii="新宋体" w:hAnsi="新宋体" w:eastAsia="新宋体"/>
          <w:color w:val="auto"/>
          <w:sz w:val="24"/>
        </w:rPr>
        <w:t>(4) 材料价格按《许昌工程造价信息》（2019年第五期）信息价11月份主材价及市场询价。人工价格指数调整按豫建标定【2019】50号文执行。</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(5)税金调整按9%计入。</w:t>
      </w:r>
    </w:p>
    <w:p>
      <w:pPr>
        <w:autoSpaceDE w:val="0"/>
        <w:autoSpaceDN w:val="0"/>
        <w:spacing w:line="360" w:lineRule="exact"/>
        <w:ind w:firstLine="480" w:firstLineChars="200"/>
        <w:jc w:val="left"/>
        <w:outlineLvl w:val="0"/>
        <w:rPr>
          <w:rFonts w:ascii="新宋体" w:hAnsi="新宋体" w:eastAsia="新宋体"/>
          <w:color w:val="auto"/>
          <w:sz w:val="24"/>
        </w:rPr>
      </w:pPr>
      <w:r>
        <w:rPr>
          <w:rFonts w:hint="eastAsia" w:ascii="新宋体" w:hAnsi="新宋体" w:eastAsia="新宋体"/>
          <w:color w:val="auto"/>
          <w:sz w:val="24"/>
        </w:rPr>
        <w:t>2.2 工程量清单中的每一子目须填入单价或价格，且只允许有一个报价。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 分部分项工程项目按下列要求报价：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 措施项目按下列要求报价：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 其他项目清单费应按下列规定报价：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color w:val="auto"/>
          <w:sz w:val="24"/>
        </w:rPr>
      </w:pPr>
      <w:r>
        <w:rPr>
          <w:rFonts w:hint="eastAsia" w:ascii="新宋体" w:hAnsi="新宋体" w:eastAsia="新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2.10 除招标文件有强制性规定外，投标报价由投标人自主确定，但不得低于其成本。</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2.13 投标报价中应考虑招标文件中要求投标人承担的风险范围以及相关的费用。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spacing w:line="440" w:lineRule="exact"/>
        <w:ind w:firstLine="481"/>
        <w:rPr>
          <w:rFonts w:ascii="新宋体" w:hAnsi="新宋体" w:eastAsia="新宋体"/>
          <w:b/>
          <w:color w:val="auto"/>
          <w:sz w:val="24"/>
        </w:rPr>
      </w:pPr>
      <w:r>
        <w:rPr>
          <w:rFonts w:hint="eastAsia" w:ascii="新宋体" w:hAnsi="新宋体" w:eastAsia="新宋体"/>
          <w:b/>
          <w:color w:val="auto"/>
          <w:sz w:val="24"/>
        </w:rPr>
        <w:t>3、其他说明</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3.1词语和定义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3.1.1 工程量清单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3.1.2 总价子目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3.1.3 单价子目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3.1.4 子目编码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3.1.5 子目特征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3.1.6 规费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3.1.7 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3.1.8 总承包服务费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3.1.9 同义词语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color w:val="auto"/>
          <w:sz w:val="24"/>
        </w:rPr>
      </w:pPr>
      <w:r>
        <w:rPr>
          <w:rFonts w:hint="eastAsia" w:ascii="新宋体" w:hAnsi="新宋体" w:eastAsia="新宋体"/>
          <w:color w:val="auto"/>
          <w:sz w:val="24"/>
        </w:rPr>
        <w:t>3.2工程量差异调整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3.3暂列金额和暂估价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3.4其他补充说明</w:t>
      </w:r>
    </w:p>
    <w:p>
      <w:pPr>
        <w:spacing w:line="440" w:lineRule="exact"/>
        <w:ind w:firstLine="523" w:firstLineChars="218"/>
        <w:rPr>
          <w:rFonts w:ascii="新宋体" w:hAnsi="新宋体" w:eastAsia="新宋体"/>
          <w:color w:val="auto"/>
          <w:sz w:val="24"/>
          <w:u w:val="single"/>
        </w:rPr>
      </w:pPr>
      <w:r>
        <w:rPr>
          <w:rFonts w:hint="eastAsia" w:ascii="新宋体" w:hAnsi="新宋体" w:eastAsia="新宋体"/>
          <w:color w:val="auto"/>
          <w:sz w:val="24"/>
          <w:u w:val="single"/>
        </w:rPr>
        <w:t xml:space="preserve">                                                                     ；</w:t>
      </w:r>
    </w:p>
    <w:p>
      <w:pPr>
        <w:spacing w:line="440" w:lineRule="exact"/>
        <w:rPr>
          <w:rFonts w:ascii="新宋体" w:hAnsi="新宋体" w:eastAsia="新宋体"/>
          <w:b/>
          <w:color w:val="auto"/>
          <w:sz w:val="24"/>
        </w:rPr>
      </w:pPr>
      <w:r>
        <w:rPr>
          <w:rFonts w:hint="eastAsia" w:ascii="新宋体" w:hAnsi="新宋体" w:eastAsia="新宋体"/>
          <w:b/>
          <w:color w:val="auto"/>
          <w:sz w:val="24"/>
        </w:rPr>
        <w:t>4．工程量清单</w:t>
      </w:r>
    </w:p>
    <w:p>
      <w:pPr>
        <w:spacing w:line="440" w:lineRule="exact"/>
        <w:rPr>
          <w:rFonts w:hAnsi="宋体" w:cs="宋体"/>
          <w:color w:val="auto"/>
          <w:sz w:val="36"/>
          <w:szCs w:val="36"/>
          <w:u w:val="single"/>
        </w:rPr>
      </w:pPr>
      <w:r>
        <w:rPr>
          <w:rFonts w:hint="eastAsia" w:ascii="新宋体" w:hAnsi="新宋体" w:eastAsia="新宋体"/>
          <w:color w:val="auto"/>
          <w:sz w:val="24"/>
        </w:rPr>
        <w:t>工程量清单在《全国公共资源交易平台(河南省▪许昌市)》（http://ggzy.xuchang.gov.cn/），通过“投标人/供应商登录”后自行下载。</w:t>
      </w:r>
    </w:p>
    <w:p>
      <w:pPr>
        <w:widowControl/>
        <w:jc w:val="center"/>
        <w:rPr>
          <w:rFonts w:hAnsi="宋体" w:cs="宋体"/>
          <w:b/>
          <w:color w:val="auto"/>
          <w:sz w:val="36"/>
          <w:szCs w:val="36"/>
        </w:rPr>
      </w:pPr>
      <w:r>
        <w:rPr>
          <w:rFonts w:hAnsi="宋体" w:cs="宋体"/>
          <w:b/>
          <w:color w:val="auto"/>
          <w:sz w:val="36"/>
          <w:szCs w:val="36"/>
        </w:rPr>
        <w:br w:type="page"/>
      </w:r>
    </w:p>
    <w:p>
      <w:pPr>
        <w:widowControl/>
        <w:jc w:val="center"/>
        <w:rPr>
          <w:rFonts w:hAnsi="宋体" w:cs="宋体"/>
          <w:b/>
          <w:color w:val="auto"/>
          <w:sz w:val="36"/>
          <w:szCs w:val="36"/>
        </w:rPr>
      </w:pPr>
    </w:p>
    <w:p>
      <w:pPr>
        <w:widowControl/>
        <w:jc w:val="center"/>
        <w:rPr>
          <w:rFonts w:hAnsi="宋体" w:cs="宋体"/>
          <w:b/>
          <w:color w:val="auto"/>
          <w:sz w:val="36"/>
          <w:szCs w:val="36"/>
        </w:rPr>
      </w:pPr>
      <w:r>
        <w:rPr>
          <w:rFonts w:hint="eastAsia" w:hAnsi="宋体" w:cs="宋体"/>
          <w:b/>
          <w:color w:val="auto"/>
          <w:sz w:val="36"/>
          <w:szCs w:val="36"/>
        </w:rPr>
        <w:t>第六章 图 纸</w:t>
      </w:r>
      <w:bookmarkEnd w:id="76"/>
      <w:r>
        <w:rPr>
          <w:rFonts w:hint="eastAsia" w:hAnsi="宋体" w:cs="宋体"/>
          <w:b/>
          <w:color w:val="auto"/>
          <w:sz w:val="36"/>
          <w:szCs w:val="36"/>
        </w:rPr>
        <w:t>（如有）</w:t>
      </w:r>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highlight w:val="yellow"/>
        </w:rPr>
      </w:pPr>
    </w:p>
    <w:p>
      <w:pPr>
        <w:spacing w:line="500" w:lineRule="exact"/>
        <w:ind w:firstLine="480" w:firstLineChars="200"/>
        <w:jc w:val="left"/>
        <w:rPr>
          <w:rFonts w:hint="eastAsia" w:hAnsi="宋体" w:cs="宋体"/>
          <w:color w:val="auto"/>
          <w:sz w:val="24"/>
          <w:highlight w:val="none"/>
          <w:shd w:val="clear" w:color="auto" w:fill="auto"/>
        </w:rPr>
      </w:pPr>
      <w:r>
        <w:rPr>
          <w:rFonts w:hint="eastAsia" w:hAnsi="宋体" w:cs="宋体"/>
          <w:color w:val="auto"/>
          <w:sz w:val="24"/>
          <w:highlight w:val="none"/>
          <w:shd w:val="clear" w:color="auto" w:fill="auto"/>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highlight w:val="none"/>
          <w:shd w:val="clear" w:color="auto" w:fill="auto"/>
        </w:rPr>
      </w:pPr>
      <w:r>
        <w:rPr>
          <w:rFonts w:hint="eastAsia" w:hAnsi="宋体" w:cs="宋体"/>
          <w:color w:val="auto"/>
          <w:sz w:val="24"/>
          <w:highlight w:val="none"/>
          <w:shd w:val="clear" w:color="auto" w:fill="auto"/>
        </w:rPr>
        <w:t>2、为确保后期施工措施合理，投标文件技术标封面的编制须本工程技术负责人审核予以签字确认。</w:t>
      </w:r>
    </w:p>
    <w:p>
      <w:pPr>
        <w:spacing w:line="500" w:lineRule="exact"/>
        <w:ind w:firstLine="480" w:firstLineChars="200"/>
        <w:jc w:val="left"/>
        <w:rPr>
          <w:rFonts w:hAnsi="宋体" w:cs="宋体"/>
          <w:color w:val="auto"/>
          <w:sz w:val="24"/>
          <w:highlight w:val="none"/>
          <w:shd w:val="clear" w:color="auto" w:fill="auto"/>
        </w:rPr>
      </w:pPr>
      <w:r>
        <w:rPr>
          <w:rFonts w:hint="eastAsia" w:hAnsi="宋体" w:cs="宋体"/>
          <w:color w:val="auto"/>
          <w:sz w:val="24"/>
          <w:highlight w:val="none"/>
          <w:shd w:val="clear" w:color="auto" w:fill="auto"/>
          <w:lang w:val="en-US" w:eastAsia="zh-CN"/>
        </w:rPr>
        <w:t>3</w:t>
      </w:r>
      <w:r>
        <w:rPr>
          <w:rFonts w:hint="eastAsia" w:hAnsi="宋体" w:cs="宋体"/>
          <w:color w:val="auto"/>
          <w:sz w:val="24"/>
          <w:highlight w:val="none"/>
          <w:shd w:val="clear" w:color="auto" w:fill="auto"/>
        </w:rPr>
        <w:t>、施工工地扬尘污染整治标准以《许昌市施工工地扬尘污染综合整治工作方案》许气联办【2016】21号文件为准。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pStyle w:val="12"/>
        <w:ind w:firstLine="0" w:firstLineChars="0"/>
        <w:rPr>
          <w:color w:val="auto"/>
        </w:rPr>
      </w:pPr>
    </w:p>
    <w:p>
      <w:pPr>
        <w:autoSpaceDE w:val="0"/>
        <w:autoSpaceDN w:val="0"/>
        <w:adjustRightInd w:val="0"/>
        <w:spacing w:before="312" w:beforeLines="100" w:after="312"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rPr>
      </w:pPr>
      <w:r>
        <w:rPr>
          <w:rFonts w:hint="eastAsia" w:ascii="黑体" w:eastAsia="黑体"/>
          <w:b/>
          <w:color w:val="auto"/>
          <w:sz w:val="32"/>
          <w:u w:val="single"/>
        </w:rPr>
        <w:t>　　(项目名称)/标段</w:t>
      </w:r>
    </w:p>
    <w:p>
      <w:pPr>
        <w:tabs>
          <w:tab w:val="center" w:pos="4739"/>
        </w:tabs>
        <w:ind w:left="180"/>
        <w:jc w:val="center"/>
        <w:rPr>
          <w:rFonts w:ascii="黑体" w:eastAsia="黑体"/>
          <w:b/>
          <w:color w:val="auto"/>
          <w:sz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r>
        <w:rPr>
          <w:rFonts w:hAnsi="宋体" w:cs="黑体"/>
          <w:b/>
          <w:color w:val="auto"/>
          <w:sz w:val="36"/>
          <w:szCs w:val="36"/>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tabs>
          <w:tab w:val="center" w:pos="4739"/>
        </w:tabs>
        <w:ind w:left="180"/>
        <w:jc w:val="right"/>
        <w:rPr>
          <w:color w:val="auto"/>
          <w:sz w:val="24"/>
        </w:rPr>
      </w:pP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u w:val="single"/>
        </w:rPr>
      </w:pPr>
    </w:p>
    <w:p>
      <w:pPr>
        <w:tabs>
          <w:tab w:val="center" w:pos="4739"/>
        </w:tabs>
        <w:ind w:left="180"/>
        <w:jc w:val="center"/>
        <w:rPr>
          <w:rFonts w:eastAsia="黑体"/>
          <w:color w:val="auto"/>
          <w:sz w:val="24"/>
        </w:rPr>
      </w:pPr>
      <w:r>
        <w:rPr>
          <w:rFonts w:hint="eastAsia" w:ascii="黑体" w:eastAsia="黑体"/>
          <w:b/>
          <w:color w:val="auto"/>
          <w:sz w:val="32"/>
          <w:u w:val="single"/>
        </w:rPr>
        <w:t xml:space="preserve">  (项目名称)/标段</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综合（信用）标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pStyle w:val="12"/>
        <w:ind w:firstLine="340"/>
        <w:rPr>
          <w:color w:val="auto"/>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312" w:beforeLines="100" w:line="510" w:lineRule="exact"/>
        <w:jc w:val="center"/>
        <w:rPr>
          <w:rFonts w:ascii="黑体" w:hAnsi="宋体" w:eastAsia="黑体"/>
          <w:color w:val="auto"/>
          <w:sz w:val="24"/>
        </w:rPr>
      </w:pPr>
    </w:p>
    <w:p>
      <w:pPr>
        <w:spacing w:before="312" w:beforeLines="100" w:line="510" w:lineRule="exact"/>
        <w:jc w:val="center"/>
        <w:rPr>
          <w:rFonts w:ascii="黑体" w:hAnsi="宋体" w:eastAsia="黑体"/>
          <w:color w:val="auto"/>
          <w:sz w:val="28"/>
          <w:szCs w:val="28"/>
        </w:rPr>
      </w:pPr>
    </w:p>
    <w:p>
      <w:pPr>
        <w:spacing w:before="312" w:beforeLines="100" w:line="510" w:lineRule="exact"/>
        <w:jc w:val="center"/>
        <w:rPr>
          <w:rFonts w:ascii="黑体" w:hAnsi="宋体" w:eastAsia="黑体"/>
          <w:color w:val="auto"/>
          <w:sz w:val="28"/>
          <w:szCs w:val="28"/>
        </w:rPr>
      </w:pPr>
    </w:p>
    <w:p>
      <w:pPr>
        <w:spacing w:before="312" w:beforeLines="100" w:line="510" w:lineRule="exact"/>
        <w:jc w:val="center"/>
        <w:rPr>
          <w:rFonts w:ascii="黑体" w:hAnsi="宋体" w:eastAsia="黑体"/>
          <w:color w:val="auto"/>
          <w:sz w:val="28"/>
          <w:szCs w:val="28"/>
        </w:rPr>
      </w:pPr>
    </w:p>
    <w:p>
      <w:pPr>
        <w:spacing w:before="312"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312" w:beforeLines="100" w:after="156" w:afterLines="50" w:line="510" w:lineRule="exact"/>
        <w:jc w:val="center"/>
        <w:rPr>
          <w:rFonts w:ascii="黑体" w:eastAsia="黑体"/>
          <w:color w:val="auto"/>
          <w:sz w:val="28"/>
          <w:szCs w:val="28"/>
        </w:rPr>
      </w:pPr>
      <w:bookmarkStart w:id="78" w:name="_Toc271787730"/>
      <w:r>
        <w:rPr>
          <w:rFonts w:hint="eastAsia" w:ascii="黑体" w:eastAsia="黑体"/>
          <w:color w:val="auto"/>
          <w:sz w:val="28"/>
          <w:szCs w:val="28"/>
        </w:rPr>
        <w:t>（一）投标函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960" w:firstLineChars="400"/>
        <w:rPr>
          <w:rFonts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w:t>
      </w:r>
      <w:r>
        <w:rPr>
          <w:rFonts w:hint="eastAsia" w:ascii="新宋体" w:hAnsi="新宋体" w:eastAsia="新宋体"/>
          <w:color w:val="auto"/>
          <w:sz w:val="24"/>
          <w:u w:val="single"/>
        </w:rPr>
        <w:t xml:space="preserve">    </w:t>
      </w:r>
      <w:r>
        <w:rPr>
          <w:rFonts w:hint="eastAsia" w:ascii="新宋体" w:hAnsi="新宋体" w:eastAsia="新宋体"/>
          <w:color w:val="auto"/>
          <w:sz w:val="24"/>
        </w:rPr>
        <w:t>天（日历日）内竣工，并确保工程质量达到</w:t>
      </w:r>
      <w:r>
        <w:rPr>
          <w:rFonts w:hint="eastAsia" w:ascii="新宋体" w:hAnsi="新宋体" w:eastAsia="新宋体"/>
          <w:color w:val="auto"/>
          <w:sz w:val="24"/>
          <w:u w:val="single"/>
        </w:rPr>
        <w:t xml:space="preserve">    </w:t>
      </w:r>
      <w:r>
        <w:rPr>
          <w:rFonts w:hint="eastAsia" w:ascii="新宋体" w:hAnsi="新宋体" w:eastAsia="新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highlight w:val="none"/>
        </w:rPr>
        <w:t>法人代表或委托代理人（签</w:t>
      </w:r>
      <w:r>
        <w:rPr>
          <w:rFonts w:hint="eastAsia" w:ascii="新宋体" w:hAnsi="新宋体" w:eastAsia="新宋体"/>
          <w:color w:val="auto"/>
          <w:sz w:val="24"/>
          <w:highlight w:val="none"/>
          <w:lang w:val="en-US" w:eastAsia="zh-CN"/>
        </w:rPr>
        <w:t>章</w:t>
      </w:r>
      <w:r>
        <w:rPr>
          <w:rFonts w:hint="eastAsia" w:ascii="新宋体" w:hAnsi="新宋体" w:eastAsia="新宋体"/>
          <w:color w:val="auto"/>
          <w:sz w:val="24"/>
          <w:highlight w:val="none"/>
        </w:rPr>
        <w:t>）</w:t>
      </w:r>
      <w:r>
        <w:rPr>
          <w:rFonts w:hint="eastAsia" w:ascii="新宋体" w:hAnsi="新宋体" w:eastAsia="新宋体"/>
          <w:color w:val="auto"/>
          <w:sz w:val="24"/>
        </w:rPr>
        <w:t>：</w:t>
      </w:r>
    </w:p>
    <w:p>
      <w:pPr>
        <w:spacing w:line="480" w:lineRule="exact"/>
        <w:ind w:firstLine="480" w:firstLineChars="200"/>
        <w:rPr>
          <w:rFonts w:ascii="黑体" w:hAnsi="新宋体" w:eastAsia="黑体" w:cs="黑体"/>
          <w:color w:val="auto"/>
          <w:sz w:val="28"/>
          <w:szCs w:val="28"/>
        </w:rPr>
      </w:pPr>
      <w:r>
        <w:rPr>
          <w:rFonts w:hint="eastAsia" w:ascii="新宋体" w:hAnsi="新宋体" w:eastAsia="新宋体"/>
          <w:color w:val="auto"/>
          <w:sz w:val="24"/>
        </w:rPr>
        <w:t>日期：年月日</w:t>
      </w:r>
      <w:bookmarkStart w:id="79" w:name="_Toc250616672"/>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79"/>
    </w:p>
    <w:tbl>
      <w:tblPr>
        <w:tblStyle w:val="1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工程名称/标段</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Ansi="宋体" w:cs="宋体"/>
                <w:color w:val="auto"/>
                <w:sz w:val="24"/>
              </w:rPr>
            </w:pPr>
            <w:r>
              <w:rPr>
                <w:rFonts w:hint="eastAsia" w:hAnsi="宋体" w:cs="宋体"/>
                <w:color w:val="auto"/>
                <w:sz w:val="24"/>
              </w:rPr>
              <w:t>暂列金额RMB￥：元</w:t>
            </w:r>
          </w:p>
          <w:p>
            <w:pPr>
              <w:ind w:firstLine="600" w:firstLineChars="250"/>
              <w:rPr>
                <w:rFonts w:ascii="新宋体" w:hAnsi="新宋体" w:eastAsia="新宋体"/>
                <w:color w:val="auto"/>
                <w:sz w:val="24"/>
              </w:rPr>
            </w:pPr>
            <w:r>
              <w:rPr>
                <w:rFonts w:hint="eastAsia" w:hAnsi="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highlight w:val="none"/>
        </w:rPr>
      </w:pPr>
      <w:r>
        <w:rPr>
          <w:rFonts w:hint="eastAsia" w:ascii="新宋体" w:hAnsi="新宋体" w:eastAsia="新宋体"/>
          <w:color w:val="auto"/>
          <w:sz w:val="24"/>
          <w:highlight w:val="none"/>
        </w:rPr>
        <w:t>法定代表人</w:t>
      </w:r>
      <w:r>
        <w:rPr>
          <w:rFonts w:hint="eastAsia" w:ascii="新宋体" w:hAnsi="新宋体" w:eastAsia="新宋体"/>
          <w:color w:val="auto"/>
          <w:sz w:val="24"/>
          <w:highlight w:val="none"/>
          <w:lang w:val="en-US" w:eastAsia="zh-CN"/>
        </w:rPr>
        <w:t>或</w:t>
      </w:r>
      <w:r>
        <w:rPr>
          <w:rFonts w:hint="eastAsia" w:ascii="新宋体" w:hAnsi="新宋体" w:eastAsia="新宋体"/>
          <w:color w:val="auto"/>
          <w:sz w:val="24"/>
          <w:highlight w:val="none"/>
        </w:rPr>
        <w:t>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8"/>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0" w:name="_Toc271787731"/>
      <w:r>
        <w:rPr>
          <w:rFonts w:hint="eastAsia" w:ascii="黑体" w:hAnsi="新宋体" w:eastAsia="黑体" w:cs="黑体"/>
          <w:color w:val="auto"/>
          <w:sz w:val="28"/>
          <w:szCs w:val="28"/>
        </w:rPr>
        <w:t>（一）法定代表人身份证明</w:t>
      </w:r>
      <w:bookmarkEnd w:id="8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non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non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non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none"/>
        </w:rPr>
        <w:t>_____</w:t>
      </w:r>
      <w:r>
        <w:rPr>
          <w:rFonts w:hint="eastAsia" w:hAnsi="宋体" w:cs="仿宋_GB2312"/>
          <w:color w:val="auto"/>
          <w:sz w:val="24"/>
        </w:rPr>
        <w:t>年</w:t>
      </w:r>
      <w:r>
        <w:rPr>
          <w:rFonts w:hAnsi="宋体" w:cs="TimesNewRomanPSMT"/>
          <w:color w:val="auto"/>
          <w:sz w:val="24"/>
          <w:u w:val="none"/>
        </w:rPr>
        <w:t>_____</w:t>
      </w:r>
      <w:r>
        <w:rPr>
          <w:rFonts w:hint="eastAsia" w:hAnsi="宋体" w:cs="仿宋_GB2312"/>
          <w:color w:val="auto"/>
          <w:sz w:val="24"/>
        </w:rPr>
        <w:t>月</w:t>
      </w:r>
      <w:r>
        <w:rPr>
          <w:rFonts w:hAnsi="宋体" w:cs="TimesNewRomanPSMT"/>
          <w:color w:val="auto"/>
          <w:sz w:val="24"/>
          <w:u w:val="none"/>
        </w:rPr>
        <w:t>_____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non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none"/>
        </w:rPr>
        <w:t>_____</w:t>
      </w:r>
      <w:r>
        <w:rPr>
          <w:rFonts w:hint="eastAsia" w:hAnsi="宋体" w:cs="仿宋_GB2312"/>
          <w:color w:val="auto"/>
          <w:sz w:val="24"/>
        </w:rPr>
        <w:t>性别：</w:t>
      </w:r>
      <w:r>
        <w:rPr>
          <w:rFonts w:hAnsi="宋体" w:cs="TimesNewRomanPSMT"/>
          <w:color w:val="auto"/>
          <w:sz w:val="24"/>
          <w:u w:val="none"/>
        </w:rPr>
        <w:t>_____</w:t>
      </w:r>
      <w:r>
        <w:rPr>
          <w:rFonts w:hint="eastAsia" w:hAnsi="宋体" w:cs="仿宋_GB2312"/>
          <w:color w:val="auto"/>
          <w:sz w:val="24"/>
        </w:rPr>
        <w:t>年龄：</w:t>
      </w:r>
      <w:r>
        <w:rPr>
          <w:rFonts w:hAnsi="宋体" w:cs="TimesNewRomanPSMT"/>
          <w:color w:val="auto"/>
          <w:sz w:val="24"/>
          <w:u w:val="none"/>
        </w:rPr>
        <w:t>_____</w:t>
      </w:r>
      <w:r>
        <w:rPr>
          <w:rFonts w:hint="eastAsia" w:hAnsi="宋体" w:cs="仿宋_GB2312"/>
          <w:color w:val="auto"/>
          <w:sz w:val="24"/>
        </w:rPr>
        <w:t>职务：</w:t>
      </w:r>
      <w:r>
        <w:rPr>
          <w:rFonts w:hAnsi="宋体" w:cs="TimesNewRomanPSMT"/>
          <w:color w:val="auto"/>
          <w:sz w:val="24"/>
          <w:u w:val="none"/>
        </w:rPr>
        <w:t>_____</w:t>
      </w:r>
      <w:r>
        <w:rPr>
          <w:rFonts w:hint="eastAsia" w:hAnsi="宋体" w:cs="宋体"/>
          <w:b/>
          <w:bCs/>
          <w:color w:val="auto"/>
          <w:sz w:val="24"/>
        </w:rPr>
        <w:t>联系电话:</w:t>
      </w:r>
      <w:r>
        <w:rPr>
          <w:rFonts w:hAnsi="宋体" w:cs="TimesNewRomanPSMT"/>
          <w:color w:val="auto"/>
          <w:sz w:val="24"/>
          <w:u w:val="non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u w:val="none"/>
        </w:rPr>
        <w:t>____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u w:val="none"/>
        </w:rPr>
        <w:t>_____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u w:val="none"/>
        </w:rPr>
        <w:t>____</w:t>
      </w:r>
      <w:r>
        <w:rPr>
          <w:rFonts w:hAnsi="宋体" w:cs="TimesNewRomanPSMT"/>
          <w:color w:val="auto"/>
          <w:sz w:val="24"/>
        </w:rPr>
        <w:t>_</w:t>
      </w:r>
      <w:r>
        <w:rPr>
          <w:rFonts w:hint="eastAsia" w:hAnsi="宋体" w:cs="仿宋_GB2312"/>
          <w:color w:val="auto"/>
          <w:sz w:val="24"/>
        </w:rPr>
        <w:t>年</w:t>
      </w:r>
      <w:r>
        <w:rPr>
          <w:rFonts w:hAnsi="宋体" w:cs="TimesNewRomanPSMT"/>
          <w:color w:val="auto"/>
          <w:sz w:val="24"/>
          <w:u w:val="none"/>
        </w:rPr>
        <w:t>_____</w:t>
      </w:r>
      <w:r>
        <w:rPr>
          <w:rFonts w:hint="eastAsia" w:hAnsi="宋体" w:cs="仿宋_GB2312"/>
          <w:color w:val="auto"/>
          <w:sz w:val="24"/>
        </w:rPr>
        <w:t>月</w:t>
      </w:r>
      <w:r>
        <w:rPr>
          <w:rFonts w:hAnsi="宋体" w:cs="TimesNewRomanPSMT"/>
          <w:color w:val="auto"/>
          <w:sz w:val="24"/>
          <w:u w:val="none"/>
        </w:rPr>
        <w:t>___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1" w:name="_Toc271787732"/>
      <w:r>
        <w:rPr>
          <w:rFonts w:hint="eastAsia" w:ascii="黑体" w:hAnsi="新宋体" w:eastAsia="黑体" w:cs="黑体"/>
          <w:color w:val="auto"/>
          <w:sz w:val="28"/>
          <w:szCs w:val="28"/>
        </w:rPr>
        <w:t>（二）授权委托书</w:t>
      </w:r>
      <w:bookmarkEnd w:id="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bCs/>
          <w:color w:val="auto"/>
          <w:sz w:val="24"/>
        </w:rPr>
      </w:pPr>
      <w:r>
        <w:rPr>
          <w:rFonts w:hint="eastAsia" w:hAnsi="宋体" w:cs="宋体"/>
          <w:bCs/>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rPr>
          <w:rFonts w:ascii="黑体" w:hAnsi="新宋体" w:eastAsia="黑体" w:cs="黑体"/>
          <w:color w:val="auto"/>
          <w:sz w:val="28"/>
          <w:szCs w:val="28"/>
        </w:rPr>
      </w:pPr>
    </w:p>
    <w:p>
      <w:pPr>
        <w:spacing w:line="360" w:lineRule="auto"/>
        <w:ind w:firstLine="3080" w:firstLineChars="1100"/>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rPr>
          <w:color w:val="auto"/>
          <w:sz w:val="24"/>
        </w:rPr>
      </w:pPr>
    </w:p>
    <w:p>
      <w:pPr>
        <w:spacing w:line="360" w:lineRule="auto"/>
        <w:rPr>
          <w:color w:val="auto"/>
          <w:sz w:val="24"/>
        </w:rPr>
      </w:pPr>
      <w:r>
        <w:rPr>
          <w:rFonts w:hint="eastAsia"/>
          <w:color w:val="auto"/>
          <w:sz w:val="24"/>
        </w:rPr>
        <w:t>（招标人名称）：</w:t>
      </w:r>
    </w:p>
    <w:p>
      <w:pPr>
        <w:spacing w:line="360" w:lineRule="auto"/>
        <w:ind w:left="237" w:leftChars="70" w:firstLine="98" w:firstLineChars="41"/>
        <w:rPr>
          <w:color w:val="auto"/>
          <w:sz w:val="24"/>
        </w:rPr>
      </w:pPr>
      <w:r>
        <w:rPr>
          <w:rFonts w:hint="eastAsia"/>
          <w:color w:val="auto"/>
          <w:sz w:val="24"/>
        </w:rPr>
        <w:t>本人（姓名）系我公司拟派 （项目名称/标段）</w:t>
      </w:r>
      <w:r>
        <w:rPr>
          <w:rFonts w:hint="eastAsia"/>
          <w:color w:val="auto"/>
          <w:sz w:val="24"/>
          <w:u w:val="single"/>
        </w:rPr>
        <w:t>　　</w:t>
      </w:r>
      <w:r>
        <w:rPr>
          <w:rFonts w:hint="eastAsia"/>
          <w:color w:val="auto"/>
          <w:sz w:val="24"/>
        </w:rPr>
        <w:t>的项目负责人，现承诺：愿意承担因我方就此弄虚作假所引起的一切法律后果。</w:t>
      </w:r>
    </w:p>
    <w:p>
      <w:pPr>
        <w:spacing w:line="360" w:lineRule="auto"/>
        <w:ind w:firstLine="480"/>
        <w:rPr>
          <w:color w:val="auto"/>
          <w:sz w:val="24"/>
        </w:rPr>
      </w:pPr>
      <w:r>
        <w:rPr>
          <w:rFonts w:hint="eastAsia"/>
          <w:color w:val="auto"/>
          <w:sz w:val="24"/>
        </w:rPr>
        <w:t xml:space="preserve">特此承诺  </w:t>
      </w:r>
    </w:p>
    <w:p>
      <w:pPr>
        <w:spacing w:line="360" w:lineRule="auto"/>
        <w:ind w:firstLine="480"/>
        <w:rPr>
          <w:color w:val="auto"/>
          <w:sz w:val="24"/>
        </w:rPr>
      </w:pPr>
    </w:p>
    <w:p>
      <w:pPr>
        <w:spacing w:line="720" w:lineRule="auto"/>
        <w:ind w:firstLine="482"/>
        <w:rPr>
          <w:color w:val="auto"/>
          <w:sz w:val="24"/>
        </w:rPr>
      </w:pPr>
      <w:r>
        <w:rPr>
          <w:rFonts w:hint="eastAsia"/>
          <w:color w:val="auto"/>
          <w:sz w:val="24"/>
        </w:rPr>
        <w:t>附：项目负责人身份证明</w:t>
      </w:r>
    </w:p>
    <w:p>
      <w:pPr>
        <w:spacing w:line="720" w:lineRule="auto"/>
        <w:ind w:firstLine="482"/>
        <w:rPr>
          <w:color w:val="auto"/>
          <w:sz w:val="24"/>
        </w:rPr>
      </w:pPr>
      <w:r>
        <w:rPr>
          <w:rFonts w:hint="eastAsia"/>
          <w:color w:val="auto"/>
          <w:sz w:val="24"/>
        </w:rPr>
        <w:t>投  标  人： （盖单位章）</w:t>
      </w:r>
    </w:p>
    <w:p>
      <w:pPr>
        <w:spacing w:line="720" w:lineRule="auto"/>
        <w:ind w:firstLine="482"/>
        <w:rPr>
          <w:color w:val="auto"/>
          <w:sz w:val="24"/>
        </w:rPr>
      </w:pPr>
      <w:r>
        <w:rPr>
          <w:rFonts w:hint="eastAsia"/>
          <w:color w:val="auto"/>
          <w:sz w:val="24"/>
        </w:rPr>
        <w:t>项目负责人： （须本人签字）</w:t>
      </w:r>
    </w:p>
    <w:p>
      <w:pPr>
        <w:spacing w:line="72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rPr>
            </w:pPr>
            <w:r>
              <w:rPr>
                <w:rFonts w:hint="eastAsia"/>
                <w:color w:val="auto"/>
                <w:sz w:val="24"/>
              </w:rPr>
              <w:t xml:space="preserve">身份证原件扫描件或图片 </w:t>
            </w:r>
          </w:p>
        </w:tc>
        <w:tc>
          <w:tcPr>
            <w:tcW w:w="4195" w:type="dxa"/>
            <w:vAlign w:val="center"/>
          </w:tcPr>
          <w:p>
            <w:pPr>
              <w:spacing w:line="360" w:lineRule="auto"/>
              <w:jc w:val="center"/>
              <w:rPr>
                <w:color w:val="auto"/>
                <w:sz w:val="24"/>
              </w:rPr>
            </w:pPr>
            <w:r>
              <w:rPr>
                <w:rFonts w:hint="eastAsia"/>
                <w:color w:val="auto"/>
                <w:sz w:val="24"/>
              </w:rPr>
              <w:t>建造师证书原件扫描件或图片</w:t>
            </w:r>
          </w:p>
        </w:tc>
      </w:tr>
    </w:tbl>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color w:val="auto"/>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olor w:val="auto"/>
        </w:rPr>
        <w:t>四</w:t>
      </w:r>
      <w:r>
        <w:rPr>
          <w:rFonts w:hint="eastAsia" w:hAnsi="宋体"/>
          <w:b/>
          <w:color w:val="auto"/>
          <w:sz w:val="32"/>
        </w:rPr>
        <w:t>、投标保证金</w:t>
      </w:r>
    </w:p>
    <w:p>
      <w:pPr>
        <w:autoSpaceDE w:val="0"/>
        <w:autoSpaceDN w:val="0"/>
        <w:adjustRightInd w:val="0"/>
        <w:spacing w:line="340" w:lineRule="exact"/>
        <w:rPr>
          <w:rFonts w:hAnsi="宋体" w:cs="宋体"/>
          <w:color w:val="auto"/>
          <w:sz w:val="24"/>
        </w:rPr>
      </w:pPr>
      <w:r>
        <w:rPr>
          <w:rFonts w:hint="eastAsia" w:hAnsi="宋体" w:cs="宋体"/>
          <w:color w:val="auto"/>
          <w:sz w:val="24"/>
        </w:rPr>
        <w:t>附提交凭证：</w:t>
      </w:r>
    </w:p>
    <w:p>
      <w:pPr>
        <w:numPr>
          <w:ilvl w:val="0"/>
          <w:numId w:val="8"/>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rPr>
        <w:t>附本项目本标段</w:t>
      </w:r>
      <w:r>
        <w:rPr>
          <w:rFonts w:hint="eastAsia" w:hAnsi="宋体" w:cs="宋体"/>
          <w:color w:val="auto"/>
          <w:sz w:val="24"/>
          <w:lang w:val="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rPr>
        <w:t>真实</w:t>
      </w:r>
      <w:r>
        <w:rPr>
          <w:rFonts w:hint="eastAsia" w:hAnsi="宋体" w:cs="宋体"/>
          <w:color w:val="auto"/>
          <w:sz w:val="24"/>
          <w:lang w:val="zh-CN"/>
        </w:rPr>
        <w:t>合法的银行保函原件扫描件，否则视为未按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4"/>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156" w:beforeLines="50" w:after="312"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ind w:firstLine="720" w:firstLineChars="300"/>
        <w:rPr>
          <w:rFonts w:hint="eastAsia" w:ascii="黑体" w:hAnsi="宋体" w:eastAsia="黑体"/>
          <w:color w:val="auto"/>
          <w:sz w:val="24"/>
        </w:rPr>
      </w:pPr>
      <w:r>
        <w:rPr>
          <w:rFonts w:hint="eastAsia" w:ascii="黑体" w:hAnsi="宋体" w:eastAsia="黑体"/>
          <w:color w:val="auto"/>
          <w:sz w:val="24"/>
        </w:rPr>
        <w:t>附1：项目负责人简历表</w:t>
      </w:r>
    </w:p>
    <w:p>
      <w:pPr>
        <w:spacing w:line="420" w:lineRule="exact"/>
        <w:ind w:firstLine="720" w:firstLineChars="300"/>
        <w:rPr>
          <w:rFonts w:hint="eastAsia" w:hAnsi="宋体" w:cs="宋体"/>
          <w:color w:val="auto"/>
          <w:sz w:val="24"/>
          <w:szCs w:val="24"/>
          <w:highlight w:val="none"/>
        </w:rPr>
      </w:pPr>
      <w:r>
        <w:rPr>
          <w:rFonts w:hint="eastAsia" w:hAnsi="宋体" w:cs="宋体"/>
          <w:color w:val="auto"/>
          <w:sz w:val="24"/>
          <w:szCs w:val="24"/>
          <w:highlight w:val="none"/>
        </w:rPr>
        <w:t>项目负责人应附项目负责人注册证书、安全生产考核合格证书、身份证、养老保险及中标后在履行合同期间到达现场参与施工管理的承诺书，管理过的项目业绩须附以网上中标结果公告截图和中标通知书和施工合同或网上中标结果公告截图和施工合同和竣工验收表原件扫描件或图片。类似项目限于以项目负责人身份参与的项目。</w:t>
      </w:r>
    </w:p>
    <w:p>
      <w:pPr>
        <w:spacing w:line="420" w:lineRule="exact"/>
        <w:rPr>
          <w:rFonts w:ascii="黑体" w:hAnsi="宋体" w:eastAsia="黑体"/>
          <w:color w:val="auto"/>
          <w:sz w:val="24"/>
        </w:rPr>
      </w:pPr>
    </w:p>
    <w:tbl>
      <w:tblPr>
        <w:tblStyle w:val="1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1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p>
            <w:pPr>
              <w:rPr>
                <w:rFonts w:hAnsi="宋体"/>
                <w:color w:val="auto"/>
                <w:sz w:val="24"/>
              </w:rPr>
            </w:pPr>
            <w:r>
              <w:rPr>
                <w:rFonts w:hint="eastAsia" w:hAnsi="宋体"/>
                <w:color w:val="auto"/>
                <w:sz w:val="24"/>
              </w:rPr>
              <w:t>业绩</w:t>
            </w:r>
          </w:p>
          <w:p>
            <w:pPr>
              <w:rPr>
                <w:rFonts w:hAnsi="宋体"/>
                <w:color w:val="auto"/>
                <w:sz w:val="24"/>
              </w:rPr>
            </w:pPr>
            <w:r>
              <w:rPr>
                <w:rFonts w:hint="eastAsia" w:hAnsi="宋体"/>
                <w:color w:val="auto"/>
                <w:sz w:val="24"/>
              </w:rPr>
              <w:t>及担</w:t>
            </w:r>
          </w:p>
          <w:p>
            <w:pPr>
              <w:rPr>
                <w:rFonts w:hAnsi="宋体"/>
                <w:color w:val="auto"/>
                <w:sz w:val="24"/>
              </w:rPr>
            </w:pPr>
            <w:r>
              <w:rPr>
                <w:rFonts w:hint="eastAsia" w:hAnsi="宋体"/>
                <w:color w:val="auto"/>
                <w:sz w:val="24"/>
              </w:rPr>
              <w:t>任的</w:t>
            </w:r>
          </w:p>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312"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我方在此声明，我方拟派往（项目名称/标段）（以下简称“本工程”）的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1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color w:val="auto"/>
          <w:sz w:val="24"/>
        </w:rPr>
      </w:pPr>
      <w:r>
        <w:rPr>
          <w:rFonts w:hint="eastAsia" w:hAnsi="宋体"/>
          <w:color w:val="auto"/>
          <w:sz w:val="24"/>
        </w:rPr>
        <w:t>（附原件扫描件或图片）</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1、完成的类似项目情况</w:t>
      </w:r>
    </w:p>
    <w:tbl>
      <w:tblPr>
        <w:tblStyle w:val="1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tabs>
          <w:tab w:val="center" w:pos="4739"/>
        </w:tabs>
        <w:ind w:left="180"/>
        <w:jc w:val="right"/>
        <w:rPr>
          <w:color w:val="auto"/>
          <w:sz w:val="32"/>
          <w:szCs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p>
    <w:p>
      <w:pPr>
        <w:tabs>
          <w:tab w:val="center" w:pos="4739"/>
        </w:tabs>
        <w:ind w:left="180"/>
        <w:jc w:val="center"/>
        <w:rPr>
          <w:rFonts w:ascii="黑体" w:eastAsia="黑体"/>
          <w:bCs/>
          <w:color w:val="auto"/>
          <w:sz w:val="32"/>
        </w:rPr>
      </w:pPr>
      <w:r>
        <w:rPr>
          <w:rFonts w:hint="eastAsia" w:ascii="黑体" w:eastAsia="黑体"/>
          <w:b/>
          <w:color w:val="auto"/>
          <w:sz w:val="32"/>
          <w:u w:val="single"/>
        </w:rPr>
        <w:t xml:space="preserve">(项目名称)/标段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84"/>
        </w:rPr>
      </w:pPr>
      <w:r>
        <w:rPr>
          <w:rFonts w:hint="eastAsia" w:ascii="黑体" w:eastAsia="黑体"/>
          <w:b/>
          <w:color w:val="auto"/>
          <w:sz w:val="84"/>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法定代表人或其委托代理人:(签</w:t>
      </w:r>
      <w:r>
        <w:rPr>
          <w:rFonts w:hint="eastAsia" w:ascii="黑体" w:eastAsia="黑体"/>
          <w:b/>
          <w:color w:val="auto"/>
          <w:sz w:val="32"/>
          <w:highlight w:val="none"/>
          <w:lang w:val="en-US" w:eastAsia="zh-CN"/>
        </w:rPr>
        <w:t>章</w:t>
      </w:r>
      <w:r>
        <w:rPr>
          <w:rFonts w:hint="eastAsia" w:ascii="黑体" w:eastAsia="黑体"/>
          <w:b/>
          <w:color w:val="auto"/>
          <w:sz w:val="32"/>
          <w:highlight w:val="none"/>
        </w:rPr>
        <w:t>)</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2、主要施工方案与技术措施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w:t>
      </w:r>
      <w:r>
        <w:rPr>
          <w:rFonts w:hint="eastAsia" w:hAnsi="宋体" w:cs="宋体"/>
          <w:b/>
          <w:color w:val="auto"/>
          <w:sz w:val="26"/>
          <w:szCs w:val="26"/>
        </w:rPr>
        <w:tab/>
      </w:r>
      <w:r>
        <w:rPr>
          <w:rFonts w:hint="eastAsia" w:hAnsi="宋体" w:cs="宋体"/>
          <w:b/>
          <w:color w:val="auto"/>
          <w:sz w:val="26"/>
          <w:szCs w:val="26"/>
        </w:rPr>
        <w:t>、技术创新的应用实施措施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tabs>
          <w:tab w:val="center" w:pos="4739"/>
        </w:tabs>
        <w:ind w:left="180"/>
        <w:rPr>
          <w:rFonts w:hAnsi="宋体" w:cs="TimesNewRomanPSMT"/>
          <w:color w:val="auto"/>
          <w:sz w:val="18"/>
          <w:szCs w:val="18"/>
        </w:rPr>
      </w:pPr>
    </w:p>
    <w:p>
      <w:pPr>
        <w:autoSpaceDE w:val="0"/>
        <w:autoSpaceDN w:val="0"/>
        <w:spacing w:line="540" w:lineRule="exact"/>
        <w:ind w:firstLine="520" w:firstLineChars="200"/>
        <w:jc w:val="left"/>
        <w:rPr>
          <w:rFonts w:hAnsi="宋体" w:cs="宋体"/>
          <w:b/>
          <w:color w:val="auto"/>
          <w:sz w:val="26"/>
          <w:szCs w:val="26"/>
        </w:rPr>
      </w:pPr>
    </w:p>
    <w:sectPr>
      <w:footerReference r:id="rId10" w:type="first"/>
      <w:headerReference r:id="rId8" w:type="default"/>
      <w:footerReference r:id="rId9" w:type="default"/>
      <w:pgSz w:w="11906" w:h="16838"/>
      <w:pgMar w:top="1304" w:right="1134" w:bottom="1304" w:left="1134"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vert="horz" wrap="none" lIns="0" tIns="0" rIns="0" bIns="0" anchor="t"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CDbDRrNAQAAegMAAA4AAAAAAAAAAQAgAAAAIgEAAGRy&#10;cy9lMm9Eb2MueG1sUEsFBgAAAAAGAAYAWQEAAGE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0PZXbFAQAAbAMAAA4AAAAAAAAAAQAgAAAAHgEAAGRycy9lMm9Eb2MueG1s&#10;UEsFBgAAAAAGAAYAWQEAAFUFA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ind w:firstLine="402" w:firstLineChars="200"/>
      <w:jc w:val="left"/>
    </w:pPr>
    <w:r>
      <w:rPr>
        <w:rFonts w:hint="eastAsia" w:hAnsi="宋体" w:cs="宋体"/>
        <w:b/>
        <w:sz w:val="20"/>
      </w:rPr>
      <w:t>许昌市老旧小区“四改一增”老街道改造提升项目（二标段）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jc w:val="left"/>
      <w:rPr>
        <w:rFonts w:hAnsi="宋体" w:cs="宋体"/>
        <w:b/>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2EE1"/>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13B8"/>
    <w:rsid w:val="0071185C"/>
    <w:rsid w:val="007122BF"/>
    <w:rsid w:val="00716101"/>
    <w:rsid w:val="00720D43"/>
    <w:rsid w:val="00721059"/>
    <w:rsid w:val="00721C55"/>
    <w:rsid w:val="00721C57"/>
    <w:rsid w:val="007318DC"/>
    <w:rsid w:val="007321D3"/>
    <w:rsid w:val="007346A4"/>
    <w:rsid w:val="0073567B"/>
    <w:rsid w:val="007434F5"/>
    <w:rsid w:val="0076002E"/>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E4F17"/>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44D5C"/>
    <w:rsid w:val="00C521BD"/>
    <w:rsid w:val="00C527C3"/>
    <w:rsid w:val="00C57288"/>
    <w:rsid w:val="00C6074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CA675F"/>
    <w:rsid w:val="01DB434E"/>
    <w:rsid w:val="025A1A0E"/>
    <w:rsid w:val="03B64D1B"/>
    <w:rsid w:val="04657E28"/>
    <w:rsid w:val="05B347DC"/>
    <w:rsid w:val="05BB20C7"/>
    <w:rsid w:val="05D07F30"/>
    <w:rsid w:val="06E835F7"/>
    <w:rsid w:val="073B4335"/>
    <w:rsid w:val="07E778CA"/>
    <w:rsid w:val="08CA67DF"/>
    <w:rsid w:val="08F576CB"/>
    <w:rsid w:val="09FB6392"/>
    <w:rsid w:val="0A4866D0"/>
    <w:rsid w:val="0A8E6F0E"/>
    <w:rsid w:val="0A9A38CE"/>
    <w:rsid w:val="0AB30D1E"/>
    <w:rsid w:val="0B0010DA"/>
    <w:rsid w:val="0B4C6956"/>
    <w:rsid w:val="0BAC12EB"/>
    <w:rsid w:val="0CF42ED6"/>
    <w:rsid w:val="0D8116DE"/>
    <w:rsid w:val="0E274A96"/>
    <w:rsid w:val="0E4D3374"/>
    <w:rsid w:val="0EB217EF"/>
    <w:rsid w:val="0F3930AA"/>
    <w:rsid w:val="0F852B24"/>
    <w:rsid w:val="0FDD387F"/>
    <w:rsid w:val="0FE557E4"/>
    <w:rsid w:val="10085E52"/>
    <w:rsid w:val="100E2C81"/>
    <w:rsid w:val="11374A16"/>
    <w:rsid w:val="11C03509"/>
    <w:rsid w:val="13CC49C6"/>
    <w:rsid w:val="13CF3AD8"/>
    <w:rsid w:val="14D972B5"/>
    <w:rsid w:val="14EC08FF"/>
    <w:rsid w:val="151E2293"/>
    <w:rsid w:val="15AC6033"/>
    <w:rsid w:val="17170149"/>
    <w:rsid w:val="1769612C"/>
    <w:rsid w:val="176C0E13"/>
    <w:rsid w:val="182B79B3"/>
    <w:rsid w:val="19CB5023"/>
    <w:rsid w:val="1A6627AB"/>
    <w:rsid w:val="1A8C3E4C"/>
    <w:rsid w:val="1AC14286"/>
    <w:rsid w:val="1ADA0CB9"/>
    <w:rsid w:val="1B874646"/>
    <w:rsid w:val="1B9C6BB5"/>
    <w:rsid w:val="1C063260"/>
    <w:rsid w:val="1CE276BD"/>
    <w:rsid w:val="1D004958"/>
    <w:rsid w:val="1D726CFF"/>
    <w:rsid w:val="1E5D72B9"/>
    <w:rsid w:val="1F887040"/>
    <w:rsid w:val="20173BD0"/>
    <w:rsid w:val="203866A1"/>
    <w:rsid w:val="20717C17"/>
    <w:rsid w:val="2119095A"/>
    <w:rsid w:val="21421D01"/>
    <w:rsid w:val="220075A0"/>
    <w:rsid w:val="2216665C"/>
    <w:rsid w:val="22F50FD7"/>
    <w:rsid w:val="238F41BA"/>
    <w:rsid w:val="24077B40"/>
    <w:rsid w:val="26166079"/>
    <w:rsid w:val="269D2D47"/>
    <w:rsid w:val="26AC047F"/>
    <w:rsid w:val="26F60D04"/>
    <w:rsid w:val="27ED097F"/>
    <w:rsid w:val="27FD27F9"/>
    <w:rsid w:val="280D5608"/>
    <w:rsid w:val="282C6749"/>
    <w:rsid w:val="28C01D96"/>
    <w:rsid w:val="28E326BB"/>
    <w:rsid w:val="2AB95941"/>
    <w:rsid w:val="2ABC6414"/>
    <w:rsid w:val="2C196A2E"/>
    <w:rsid w:val="2D1246BF"/>
    <w:rsid w:val="2D1C76DE"/>
    <w:rsid w:val="2D2C6D7A"/>
    <w:rsid w:val="2DA978B9"/>
    <w:rsid w:val="2DEF4A1F"/>
    <w:rsid w:val="2E5A7D24"/>
    <w:rsid w:val="2F3A012D"/>
    <w:rsid w:val="2FFD3C00"/>
    <w:rsid w:val="30D23E37"/>
    <w:rsid w:val="30E64908"/>
    <w:rsid w:val="30F03510"/>
    <w:rsid w:val="31107A12"/>
    <w:rsid w:val="316F1155"/>
    <w:rsid w:val="32833199"/>
    <w:rsid w:val="32D53070"/>
    <w:rsid w:val="3427237C"/>
    <w:rsid w:val="343C7DB6"/>
    <w:rsid w:val="35254EA4"/>
    <w:rsid w:val="358E19EB"/>
    <w:rsid w:val="35DC23A2"/>
    <w:rsid w:val="374F10C7"/>
    <w:rsid w:val="375271E8"/>
    <w:rsid w:val="37B54823"/>
    <w:rsid w:val="37B71904"/>
    <w:rsid w:val="386C05F9"/>
    <w:rsid w:val="3945175B"/>
    <w:rsid w:val="39D40903"/>
    <w:rsid w:val="39E42654"/>
    <w:rsid w:val="3A360E81"/>
    <w:rsid w:val="3A4820C8"/>
    <w:rsid w:val="3A4C2479"/>
    <w:rsid w:val="3C0D3CB2"/>
    <w:rsid w:val="3C526FDA"/>
    <w:rsid w:val="3E052E0D"/>
    <w:rsid w:val="3E0C767D"/>
    <w:rsid w:val="3E0D7E01"/>
    <w:rsid w:val="3EDE5F9D"/>
    <w:rsid w:val="3F557D77"/>
    <w:rsid w:val="3F653ECD"/>
    <w:rsid w:val="3F8C2381"/>
    <w:rsid w:val="40B1193E"/>
    <w:rsid w:val="40EF27CC"/>
    <w:rsid w:val="41A24648"/>
    <w:rsid w:val="42647F28"/>
    <w:rsid w:val="42B750E0"/>
    <w:rsid w:val="42E171A3"/>
    <w:rsid w:val="44DA3BD7"/>
    <w:rsid w:val="45C149C9"/>
    <w:rsid w:val="46066264"/>
    <w:rsid w:val="4608522B"/>
    <w:rsid w:val="46170712"/>
    <w:rsid w:val="46C97F82"/>
    <w:rsid w:val="476A20C4"/>
    <w:rsid w:val="477255F8"/>
    <w:rsid w:val="4A8C21D9"/>
    <w:rsid w:val="4ABC5B1A"/>
    <w:rsid w:val="4C536B94"/>
    <w:rsid w:val="4CBD1010"/>
    <w:rsid w:val="4CE129A1"/>
    <w:rsid w:val="4CEF3CF8"/>
    <w:rsid w:val="4D855B94"/>
    <w:rsid w:val="4DF956E2"/>
    <w:rsid w:val="4E1B15A0"/>
    <w:rsid w:val="4E841886"/>
    <w:rsid w:val="4F9417D0"/>
    <w:rsid w:val="50CA37AB"/>
    <w:rsid w:val="51025EEC"/>
    <w:rsid w:val="516C77AE"/>
    <w:rsid w:val="51773CFC"/>
    <w:rsid w:val="525C2B2E"/>
    <w:rsid w:val="528F4C5D"/>
    <w:rsid w:val="52CB4273"/>
    <w:rsid w:val="53A57B3A"/>
    <w:rsid w:val="554B55F7"/>
    <w:rsid w:val="559558C2"/>
    <w:rsid w:val="55FB531E"/>
    <w:rsid w:val="566A5FED"/>
    <w:rsid w:val="56AA4199"/>
    <w:rsid w:val="56BD391A"/>
    <w:rsid w:val="56E35A9C"/>
    <w:rsid w:val="59120F59"/>
    <w:rsid w:val="591D3BA7"/>
    <w:rsid w:val="594304CC"/>
    <w:rsid w:val="596E7B6E"/>
    <w:rsid w:val="5AA9798C"/>
    <w:rsid w:val="5ACB4F32"/>
    <w:rsid w:val="5B244A5A"/>
    <w:rsid w:val="5B621989"/>
    <w:rsid w:val="5B74382F"/>
    <w:rsid w:val="5C691376"/>
    <w:rsid w:val="5C7134DE"/>
    <w:rsid w:val="5CAF735A"/>
    <w:rsid w:val="5D176B71"/>
    <w:rsid w:val="5E352002"/>
    <w:rsid w:val="5E774B97"/>
    <w:rsid w:val="5F1C7AED"/>
    <w:rsid w:val="5F2B14F0"/>
    <w:rsid w:val="5F90413A"/>
    <w:rsid w:val="60221384"/>
    <w:rsid w:val="60565855"/>
    <w:rsid w:val="60D62690"/>
    <w:rsid w:val="60F56473"/>
    <w:rsid w:val="60F86FD4"/>
    <w:rsid w:val="610A4B5F"/>
    <w:rsid w:val="616E4CF3"/>
    <w:rsid w:val="61CE2308"/>
    <w:rsid w:val="61ED3E3C"/>
    <w:rsid w:val="633B3EAB"/>
    <w:rsid w:val="63EB2E1A"/>
    <w:rsid w:val="6424370A"/>
    <w:rsid w:val="647916AF"/>
    <w:rsid w:val="64B31810"/>
    <w:rsid w:val="650D1C96"/>
    <w:rsid w:val="6518479E"/>
    <w:rsid w:val="65853E6F"/>
    <w:rsid w:val="6642520A"/>
    <w:rsid w:val="66882038"/>
    <w:rsid w:val="66CC144B"/>
    <w:rsid w:val="67236075"/>
    <w:rsid w:val="67457E5B"/>
    <w:rsid w:val="68100710"/>
    <w:rsid w:val="688641BC"/>
    <w:rsid w:val="69FA48EF"/>
    <w:rsid w:val="6AB32E4C"/>
    <w:rsid w:val="6C965D84"/>
    <w:rsid w:val="6D866737"/>
    <w:rsid w:val="6F0B65A9"/>
    <w:rsid w:val="6F303BFC"/>
    <w:rsid w:val="6FA96611"/>
    <w:rsid w:val="709344DD"/>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BAC6795"/>
    <w:rsid w:val="7BB328EF"/>
    <w:rsid w:val="7C5E37E6"/>
    <w:rsid w:val="7CE6293F"/>
    <w:rsid w:val="7DD81E64"/>
    <w:rsid w:val="7E196C57"/>
    <w:rsid w:val="7E2F40B0"/>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3">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4">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6">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w:basedOn w:val="6"/>
    <w:next w:val="13"/>
    <w:qFormat/>
    <w:uiPriority w:val="0"/>
    <w:pPr>
      <w:ind w:firstLine="420" w:firstLineChars="100"/>
    </w:pPr>
  </w:style>
  <w:style w:type="paragraph" w:styleId="13">
    <w:name w:val="Body Text First Indent 2"/>
    <w:basedOn w:val="7"/>
    <w:next w:val="1"/>
    <w:qFormat/>
    <w:uiPriority w:val="99"/>
    <w:pPr>
      <w:ind w:firstLine="420" w:firstLineChars="200"/>
    </w:pPr>
  </w:style>
  <w:style w:type="table" w:styleId="15">
    <w:name w:val="Table Grid"/>
    <w:basedOn w:val="1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000000"/>
      <w:u w:val="none"/>
    </w:rPr>
  </w:style>
  <w:style w:type="character" w:styleId="19">
    <w:name w:val="Emphasis"/>
    <w:basedOn w:val="16"/>
    <w:qFormat/>
    <w:uiPriority w:val="0"/>
  </w:style>
  <w:style w:type="character" w:styleId="20">
    <w:name w:val="Hyperlink"/>
    <w:basedOn w:val="16"/>
    <w:qFormat/>
    <w:uiPriority w:val="0"/>
    <w:rPr>
      <w:color w:val="000000"/>
      <w:u w:val="none"/>
    </w:rPr>
  </w:style>
  <w:style w:type="paragraph" w:customStyle="1" w:styleId="21">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22">
    <w:name w:val="red"/>
    <w:basedOn w:val="16"/>
    <w:qFormat/>
    <w:uiPriority w:val="0"/>
    <w:rPr>
      <w:color w:val="FF0000"/>
      <w:sz w:val="18"/>
      <w:szCs w:val="18"/>
    </w:rPr>
  </w:style>
  <w:style w:type="character" w:customStyle="1" w:styleId="23">
    <w:name w:val="red1"/>
    <w:basedOn w:val="16"/>
    <w:qFormat/>
    <w:uiPriority w:val="0"/>
    <w:rPr>
      <w:color w:val="FF0000"/>
      <w:sz w:val="18"/>
      <w:szCs w:val="18"/>
    </w:rPr>
  </w:style>
  <w:style w:type="character" w:customStyle="1" w:styleId="24">
    <w:name w:val="red2"/>
    <w:basedOn w:val="16"/>
    <w:qFormat/>
    <w:uiPriority w:val="0"/>
    <w:rPr>
      <w:color w:val="CC0000"/>
    </w:rPr>
  </w:style>
  <w:style w:type="character" w:customStyle="1" w:styleId="25">
    <w:name w:val="red3"/>
    <w:basedOn w:val="16"/>
    <w:qFormat/>
    <w:uiPriority w:val="0"/>
    <w:rPr>
      <w:color w:val="FF0000"/>
    </w:rPr>
  </w:style>
  <w:style w:type="character" w:customStyle="1" w:styleId="26">
    <w:name w:val="hover25"/>
    <w:basedOn w:val="16"/>
    <w:qFormat/>
    <w:uiPriority w:val="0"/>
  </w:style>
  <w:style w:type="character" w:customStyle="1" w:styleId="27">
    <w:name w:val="green"/>
    <w:basedOn w:val="16"/>
    <w:qFormat/>
    <w:uiPriority w:val="0"/>
    <w:rPr>
      <w:color w:val="66AE00"/>
      <w:sz w:val="18"/>
      <w:szCs w:val="18"/>
    </w:rPr>
  </w:style>
  <w:style w:type="character" w:customStyle="1" w:styleId="28">
    <w:name w:val="green1"/>
    <w:basedOn w:val="16"/>
    <w:qFormat/>
    <w:uiPriority w:val="0"/>
    <w:rPr>
      <w:color w:val="66AE00"/>
      <w:sz w:val="18"/>
      <w:szCs w:val="18"/>
    </w:rPr>
  </w:style>
  <w:style w:type="character" w:customStyle="1" w:styleId="29">
    <w:name w:val="blue"/>
    <w:basedOn w:val="16"/>
    <w:qFormat/>
    <w:uiPriority w:val="0"/>
    <w:rPr>
      <w:color w:val="0371C6"/>
      <w:sz w:val="21"/>
      <w:szCs w:val="21"/>
    </w:rPr>
  </w:style>
  <w:style w:type="character" w:customStyle="1" w:styleId="30">
    <w:name w:val="gb-jt"/>
    <w:basedOn w:val="16"/>
    <w:qFormat/>
    <w:uiPriority w:val="0"/>
  </w:style>
  <w:style w:type="character" w:customStyle="1" w:styleId="31">
    <w:name w:val="right"/>
    <w:basedOn w:val="16"/>
    <w:qFormat/>
    <w:uiPriority w:val="0"/>
    <w:rPr>
      <w:color w:val="999999"/>
      <w:sz w:val="18"/>
      <w:szCs w:val="18"/>
    </w:rPr>
  </w:style>
  <w:style w:type="character" w:customStyle="1" w:styleId="32">
    <w:name w:val="标题 2 字符"/>
    <w:basedOn w:val="16"/>
    <w:link w:val="4"/>
    <w:semiHidden/>
    <w:qFormat/>
    <w:uiPriority w:val="0"/>
    <w:rPr>
      <w:rFonts w:asciiTheme="majorHAnsi" w:hAnsiTheme="majorHAnsi" w:eastAsiaTheme="majorEastAsia" w:cstheme="majorBidi"/>
      <w:b/>
      <w:bCs/>
      <w:sz w:val="32"/>
      <w:szCs w:val="32"/>
    </w:rPr>
  </w:style>
  <w:style w:type="character" w:customStyle="1" w:styleId="33">
    <w:name w:val="批注框文本 字符"/>
    <w:basedOn w:val="16"/>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 w:type="character" w:customStyle="1" w:styleId="37">
    <w:name w:val="hover"/>
    <w:basedOn w:val="16"/>
    <w:qFormat/>
    <w:uiPriority w:val="0"/>
  </w:style>
  <w:style w:type="character" w:customStyle="1" w:styleId="38">
    <w:name w:val="hover24"/>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5699</Words>
  <Characters>32490</Characters>
  <Lines>270</Lines>
  <Paragraphs>76</Paragraphs>
  <TotalTime>308</TotalTime>
  <ScaleCrop>false</ScaleCrop>
  <LinksUpToDate>false</LinksUpToDate>
  <CharactersWithSpaces>38113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凋零在冬末的忧伤</cp:lastModifiedBy>
  <cp:lastPrinted>2020-04-07T02:12:00Z</cp:lastPrinted>
  <dcterms:modified xsi:type="dcterms:W3CDTF">2020-05-06T00:41:51Z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