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Ansi="宋体" w:cs="宋体"/>
          <w:b/>
          <w:color w:val="auto"/>
          <w:sz w:val="48"/>
          <w:szCs w:val="48"/>
        </w:rPr>
      </w:pPr>
      <w:r>
        <w:rPr>
          <w:rFonts w:hint="eastAsia" w:hAnsi="宋体" w:cs="宋体"/>
          <w:b/>
          <w:color w:val="auto"/>
          <w:sz w:val="48"/>
          <w:szCs w:val="48"/>
        </w:rPr>
        <w:t>许昌市中心医院“</w:t>
      </w:r>
      <w:r>
        <w:rPr>
          <w:rFonts w:hint="eastAsia" w:hAnsi="宋体" w:cs="宋体"/>
          <w:b/>
          <w:color w:val="auto"/>
          <w:sz w:val="48"/>
          <w:szCs w:val="48"/>
          <w:lang w:eastAsia="zh-CN"/>
        </w:rPr>
        <w:t>许昌市中心医院新院区垃圾及被服系统工程</w:t>
      </w:r>
      <w:r>
        <w:rPr>
          <w:rFonts w:hint="eastAsia" w:hAnsi="宋体" w:cs="宋体"/>
          <w:b/>
          <w:color w:val="auto"/>
          <w:sz w:val="48"/>
          <w:szCs w:val="48"/>
        </w:rPr>
        <w:t>”</w:t>
      </w:r>
    </w:p>
    <w:p>
      <w:pPr>
        <w:autoSpaceDE w:val="0"/>
        <w:autoSpaceDN w:val="0"/>
        <w:adjustRightInd w:val="0"/>
        <w:rPr>
          <w:rFonts w:hAnsi="宋体" w:cs="宋体"/>
          <w:b/>
          <w:color w:val="auto"/>
          <w:sz w:val="40"/>
          <w:szCs w:val="40"/>
        </w:rPr>
      </w:pPr>
    </w:p>
    <w:p>
      <w:pPr>
        <w:autoSpaceDE w:val="0"/>
        <w:autoSpaceDN w:val="0"/>
        <w:adjustRightInd w:val="0"/>
        <w:jc w:val="center"/>
        <w:rPr>
          <w:rFonts w:hAnsi="宋体" w:cs="宋体"/>
          <w:b/>
          <w:color w:val="auto"/>
          <w:sz w:val="52"/>
          <w:szCs w:val="52"/>
        </w:rPr>
      </w:pPr>
      <w:r>
        <w:rPr>
          <w:rFonts w:hint="eastAsia" w:hAnsi="宋体" w:cs="宋体"/>
          <w:b/>
          <w:color w:val="auto"/>
          <w:sz w:val="52"/>
          <w:szCs w:val="52"/>
        </w:rPr>
        <w:t>招标文件</w:t>
      </w:r>
    </w:p>
    <w:p>
      <w:pPr>
        <w:autoSpaceDE w:val="0"/>
        <w:autoSpaceDN w:val="0"/>
        <w:adjustRightInd w:val="0"/>
        <w:rPr>
          <w:rFonts w:hAnsi="宋体" w:cs="黑体"/>
          <w:b/>
          <w:color w:val="auto"/>
          <w:sz w:val="32"/>
          <w:szCs w:val="32"/>
        </w:rPr>
      </w:pPr>
    </w:p>
    <w:p>
      <w:pPr>
        <w:autoSpaceDE w:val="0"/>
        <w:autoSpaceDN w:val="0"/>
        <w:adjustRightInd w:val="0"/>
        <w:jc w:val="center"/>
        <w:rPr>
          <w:rFonts w:hint="default" w:hAnsi="宋体" w:cs="宋体"/>
          <w:b/>
          <w:color w:val="auto"/>
          <w:sz w:val="32"/>
          <w:szCs w:val="32"/>
          <w:lang w:val="en-US"/>
        </w:rPr>
      </w:pPr>
      <w:r>
        <w:rPr>
          <w:rFonts w:hint="eastAsia" w:hAnsi="宋体" w:cs="宋体"/>
          <w:b/>
          <w:color w:val="auto"/>
          <w:sz w:val="32"/>
          <w:szCs w:val="32"/>
        </w:rPr>
        <w:t>项目编号：</w:t>
      </w:r>
      <w:r>
        <w:rPr>
          <w:rFonts w:hint="eastAsia" w:hAnsi="宋体" w:cs="宋体"/>
          <w:b/>
          <w:color w:val="auto"/>
          <w:sz w:val="32"/>
          <w:szCs w:val="32"/>
          <w:lang w:eastAsia="zh-CN"/>
        </w:rPr>
        <w:t>XCGC-F2020</w:t>
      </w:r>
      <w:r>
        <w:rPr>
          <w:rFonts w:hint="eastAsia" w:hAnsi="宋体" w:cs="宋体"/>
          <w:b/>
          <w:color w:val="auto"/>
          <w:sz w:val="32"/>
          <w:szCs w:val="32"/>
          <w:lang w:val="en-US" w:eastAsia="zh-CN"/>
        </w:rPr>
        <w:t>096</w:t>
      </w:r>
      <w:r>
        <w:rPr>
          <w:rFonts w:hint="eastAsia" w:hAnsi="宋体" w:cs="宋体"/>
          <w:b/>
          <w:color w:val="auto"/>
          <w:sz w:val="32"/>
          <w:szCs w:val="32"/>
          <w:lang w:eastAsia="zh-CN"/>
        </w:rPr>
        <w:t xml:space="preserve">   </w:t>
      </w:r>
      <w:r>
        <w:rPr>
          <w:rFonts w:hint="eastAsia" w:hAnsi="宋体" w:cs="宋体"/>
          <w:b/>
          <w:color w:val="auto"/>
          <w:sz w:val="32"/>
          <w:szCs w:val="32"/>
          <w:u w:val="none"/>
          <w:lang w:val="en-US" w:eastAsia="zh-CN"/>
        </w:rPr>
        <w:t xml:space="preserve">  </w:t>
      </w:r>
      <w:r>
        <w:rPr>
          <w:rFonts w:hint="eastAsia" w:hAnsi="宋体" w:cs="宋体"/>
          <w:b/>
          <w:color w:val="auto"/>
          <w:sz w:val="32"/>
          <w:szCs w:val="32"/>
          <w:lang w:val="en-US" w:eastAsia="zh-CN"/>
        </w:rPr>
        <w:t xml:space="preserve">  </w:t>
      </w:r>
    </w:p>
    <w:p>
      <w:pPr>
        <w:pStyle w:val="2"/>
        <w:ind w:firstLine="340"/>
        <w:rPr>
          <w:rFonts w:hint="default" w:eastAsia="宋体"/>
          <w:color w:val="auto"/>
          <w:lang w:val="en-US" w:eastAsia="zh-CN"/>
        </w:rPr>
      </w:pPr>
      <w:r>
        <w:rPr>
          <w:rFonts w:hint="eastAsia"/>
          <w:color w:val="auto"/>
          <w:lang w:val="en-US" w:eastAsia="zh-CN"/>
        </w:rPr>
        <w:t xml:space="preserve">                     不见面开标</w:t>
      </w:r>
    </w:p>
    <w:p>
      <w:pPr>
        <w:autoSpaceDE w:val="0"/>
        <w:autoSpaceDN w:val="0"/>
        <w:adjustRightInd w:val="0"/>
        <w:jc w:val="center"/>
        <w:rPr>
          <w:rFonts w:hAnsi="宋体" w:cs="黑体"/>
          <w:color w:val="auto"/>
          <w:sz w:val="44"/>
          <w:szCs w:val="44"/>
        </w:rPr>
      </w:pPr>
    </w:p>
    <w:p>
      <w:pPr>
        <w:pStyle w:val="2"/>
        <w:rPr>
          <w:rFonts w:hAnsi="宋体" w:cs="黑体"/>
          <w:color w:val="auto"/>
          <w:sz w:val="44"/>
          <w:szCs w:val="44"/>
        </w:rPr>
      </w:pPr>
    </w:p>
    <w:p>
      <w:pPr>
        <w:pStyle w:val="2"/>
        <w:rPr>
          <w:rFonts w:hAnsi="宋体" w:cs="黑体"/>
          <w:color w:val="auto"/>
          <w:sz w:val="44"/>
          <w:szCs w:val="44"/>
        </w:rPr>
      </w:pPr>
    </w:p>
    <w:p>
      <w:pPr>
        <w:pStyle w:val="2"/>
        <w:jc w:val="center"/>
        <w:rPr>
          <w:rFonts w:hAnsi="宋体" w:cs="黑体"/>
          <w:color w:val="auto"/>
          <w:sz w:val="44"/>
          <w:szCs w:val="44"/>
        </w:rPr>
      </w:pPr>
      <w:r>
        <w:rPr>
          <w:rFonts w:hint="eastAsia" w:hAnsi="宋体" w:cs="黑体"/>
          <w:color w:val="auto"/>
          <w:sz w:val="44"/>
          <w:szCs w:val="44"/>
        </w:rPr>
        <w:drawing>
          <wp:inline distT="0" distB="0" distL="114300" distR="114300">
            <wp:extent cx="1699260" cy="1427480"/>
            <wp:effectExtent l="0" t="0" r="7620" b="12700"/>
            <wp:docPr id="5" name="图片 5" descr="微信图片_20180913102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80913102325"/>
                    <pic:cNvPicPr>
                      <a:picLocks noChangeAspect="1"/>
                    </pic:cNvPicPr>
                  </pic:nvPicPr>
                  <pic:blipFill>
                    <a:blip r:embed="rId13" cstate="print"/>
                    <a:stretch>
                      <a:fillRect/>
                    </a:stretch>
                  </pic:blipFill>
                  <pic:spPr>
                    <a:xfrm>
                      <a:off x="0" y="0"/>
                      <a:ext cx="1699260" cy="1427480"/>
                    </a:xfrm>
                    <a:prstGeom prst="rect">
                      <a:avLst/>
                    </a:prstGeom>
                  </pic:spPr>
                </pic:pic>
              </a:graphicData>
            </a:graphic>
          </wp:inline>
        </w:drawing>
      </w:r>
    </w:p>
    <w:p>
      <w:pPr>
        <w:pStyle w:val="2"/>
        <w:rPr>
          <w:rFonts w:hAnsi="宋体" w:cs="黑体"/>
          <w:color w:val="auto"/>
          <w:sz w:val="44"/>
          <w:szCs w:val="44"/>
        </w:rPr>
      </w:pPr>
    </w:p>
    <w:p>
      <w:pPr>
        <w:tabs>
          <w:tab w:val="left" w:pos="6642"/>
        </w:tabs>
        <w:autoSpaceDE w:val="0"/>
        <w:autoSpaceDN w:val="0"/>
        <w:adjustRightInd w:val="0"/>
        <w:jc w:val="left"/>
        <w:rPr>
          <w:rFonts w:hAnsi="宋体" w:cs="黑体"/>
          <w:color w:val="auto"/>
          <w:sz w:val="44"/>
          <w:szCs w:val="44"/>
        </w:rPr>
      </w:pPr>
    </w:p>
    <w:p>
      <w:pPr>
        <w:pStyle w:val="2"/>
        <w:ind w:left="0" w:leftChars="0" w:firstLine="0" w:firstLineChars="0"/>
        <w:rPr>
          <w:color w:val="auto"/>
        </w:rPr>
      </w:pPr>
    </w:p>
    <w:p>
      <w:pPr>
        <w:ind w:firstLine="1600" w:firstLineChars="500"/>
        <w:jc w:val="left"/>
        <w:rPr>
          <w:rFonts w:hint="default" w:hAnsi="宋体" w:eastAsia="宋体" w:cs="宋体"/>
          <w:b/>
          <w:color w:val="auto"/>
          <w:sz w:val="32"/>
          <w:szCs w:val="32"/>
          <w:u w:val="none"/>
          <w:lang w:val="en-US" w:eastAsia="zh-CN"/>
        </w:rPr>
      </w:pPr>
      <w:r>
        <w:rPr>
          <w:rFonts w:hint="default" w:hAnsi="宋体" w:eastAsia="宋体" w:cs="宋体"/>
          <w:b/>
          <w:color w:val="auto"/>
          <w:sz w:val="32"/>
          <w:szCs w:val="32"/>
          <w:u w:val="none"/>
          <w:lang w:val="en-US" w:eastAsia="zh-CN"/>
        </w:rPr>
        <w:t>招 标 人：许昌市中心医院</w:t>
      </w:r>
    </w:p>
    <w:p>
      <w:pPr>
        <w:ind w:firstLine="1600" w:firstLineChars="500"/>
        <w:jc w:val="left"/>
        <w:rPr>
          <w:rFonts w:hint="default" w:hAnsi="宋体" w:eastAsia="宋体" w:cs="宋体"/>
          <w:b/>
          <w:color w:val="auto"/>
          <w:sz w:val="32"/>
          <w:szCs w:val="32"/>
          <w:u w:val="none"/>
          <w:lang w:val="en-US" w:eastAsia="zh-CN"/>
        </w:rPr>
      </w:pPr>
      <w:r>
        <w:rPr>
          <w:rFonts w:hint="default" w:hAnsi="宋体" w:eastAsia="宋体" w:cs="宋体"/>
          <w:b/>
          <w:color w:val="auto"/>
          <w:sz w:val="32"/>
          <w:szCs w:val="32"/>
          <w:u w:val="none"/>
          <w:lang w:val="en-US" w:eastAsia="zh-CN"/>
        </w:rPr>
        <w:t>招标代理机构：河南永明工程管理有限公司</w:t>
      </w:r>
    </w:p>
    <w:p>
      <w:pPr>
        <w:ind w:firstLine="3200" w:firstLineChars="1000"/>
        <w:jc w:val="both"/>
        <w:rPr>
          <w:rFonts w:hAnsi="宋体" w:cs="黑体"/>
          <w:b/>
          <w:color w:val="auto"/>
          <w:sz w:val="32"/>
          <w:szCs w:val="32"/>
        </w:rPr>
      </w:pPr>
      <w:r>
        <w:rPr>
          <w:rFonts w:hint="eastAsia" w:hAnsi="宋体" w:cs="黑体"/>
          <w:b/>
          <w:color w:val="auto"/>
          <w:sz w:val="32"/>
          <w:szCs w:val="32"/>
        </w:rPr>
        <w:t>二〇二〇年</w:t>
      </w:r>
      <w:r>
        <w:rPr>
          <w:rFonts w:hint="eastAsia" w:hAnsi="宋体" w:cs="黑体"/>
          <w:b/>
          <w:color w:val="auto"/>
          <w:sz w:val="32"/>
          <w:szCs w:val="32"/>
          <w:lang w:val="en-US" w:eastAsia="zh-CN"/>
        </w:rPr>
        <w:t>四</w:t>
      </w:r>
      <w:r>
        <w:rPr>
          <w:rFonts w:hint="eastAsia" w:hAnsi="宋体" w:cs="黑体"/>
          <w:b/>
          <w:color w:val="auto"/>
          <w:sz w:val="32"/>
          <w:szCs w:val="32"/>
        </w:rPr>
        <w:t>月</w:t>
      </w:r>
    </w:p>
    <w:p>
      <w:pPr>
        <w:rPr>
          <w:rFonts w:ascii="黑体" w:hAnsi="宋体" w:eastAsia="黑体"/>
          <w:b/>
          <w:color w:val="auto"/>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fmt="decimal" w:start="1"/>
          <w:cols w:space="720" w:num="1"/>
          <w:docGrid w:type="linesAndChars" w:linePitch="312" w:charSpace="0"/>
        </w:sectPr>
      </w:pPr>
    </w:p>
    <w:p>
      <w:pPr>
        <w:pStyle w:val="12"/>
        <w:ind w:left="0" w:leftChars="0" w:firstLine="0" w:firstLineChars="0"/>
        <w:rPr>
          <w:color w:val="auto"/>
        </w:rPr>
      </w:pPr>
    </w:p>
    <w:p>
      <w:pPr>
        <w:jc w:val="center"/>
        <w:rPr>
          <w:rFonts w:ascii="黑体" w:hAnsi="宋体" w:eastAsia="黑体"/>
          <w:b/>
          <w:color w:val="auto"/>
          <w:sz w:val="44"/>
        </w:rPr>
      </w:pPr>
      <w:r>
        <w:rPr>
          <w:rFonts w:hint="eastAsia" w:ascii="黑体" w:hAnsi="宋体" w:eastAsia="黑体"/>
          <w:b/>
          <w:color w:val="auto"/>
          <w:sz w:val="44"/>
        </w:rPr>
        <w:t>目  录</w:t>
      </w:r>
    </w:p>
    <w:p>
      <w:pPr>
        <w:jc w:val="center"/>
        <w:rPr>
          <w:rFonts w:hAnsi="宋体"/>
          <w:b/>
          <w:color w:val="auto"/>
          <w:sz w:val="32"/>
        </w:rPr>
      </w:pPr>
    </w:p>
    <w:p>
      <w:pPr>
        <w:tabs>
          <w:tab w:val="left" w:leader="hyphen" w:pos="7919"/>
        </w:tabs>
        <w:snapToGrid w:val="0"/>
        <w:spacing w:line="480" w:lineRule="auto"/>
        <w:ind w:firstLine="645"/>
        <w:rPr>
          <w:rFonts w:ascii="黑体" w:hAnsi="宋体" w:eastAsia="黑体"/>
          <w:b/>
          <w:color w:val="auto"/>
          <w:sz w:val="28"/>
        </w:rPr>
      </w:pPr>
      <w:r>
        <w:rPr>
          <w:rFonts w:hint="eastAsia" w:ascii="黑体" w:hAnsi="宋体" w:eastAsia="黑体"/>
          <w:b/>
          <w:color w:val="auto"/>
          <w:sz w:val="28"/>
          <w:szCs w:val="28"/>
        </w:rPr>
        <w:t>第一章  招标公告</w:t>
      </w:r>
      <w:r>
        <w:rPr>
          <w:rFonts w:ascii="黑体" w:hAnsi="宋体" w:eastAsia="黑体"/>
          <w:b/>
          <w:color w:val="auto"/>
          <w:sz w:val="28"/>
        </w:rPr>
        <w:tab/>
      </w:r>
      <w:r>
        <w:rPr>
          <w:rFonts w:hint="eastAsia" w:ascii="黑体" w:hAnsi="宋体" w:eastAsia="黑体"/>
          <w:b/>
          <w:color w:val="auto"/>
          <w:sz w:val="28"/>
          <w:lang w:val="en-US" w:eastAsia="zh-CN"/>
        </w:rPr>
        <w:t>1</w:t>
      </w:r>
      <w:r>
        <w:rPr>
          <w:rFonts w:hint="eastAsia" w:ascii="黑体" w:hAnsi="宋体" w:eastAsia="黑体"/>
          <w:b/>
          <w:color w:val="auto"/>
          <w:sz w:val="28"/>
        </w:rPr>
        <w:tab/>
      </w:r>
    </w:p>
    <w:p>
      <w:pPr>
        <w:tabs>
          <w:tab w:val="left" w:leader="hyphen" w:pos="7919"/>
        </w:tabs>
        <w:snapToGrid w:val="0"/>
        <w:spacing w:line="480" w:lineRule="auto"/>
        <w:ind w:firstLine="645"/>
        <w:rPr>
          <w:rFonts w:ascii="黑体" w:hAnsi="宋体" w:eastAsia="黑体"/>
          <w:b/>
          <w:color w:val="auto"/>
          <w:sz w:val="28"/>
        </w:rPr>
      </w:pPr>
      <w:r>
        <w:rPr>
          <w:rFonts w:hint="eastAsia" w:ascii="黑体" w:hAnsi="宋体" w:eastAsia="黑体"/>
          <w:b/>
          <w:color w:val="auto"/>
          <w:sz w:val="28"/>
        </w:rPr>
        <w:t>第二章  投标须知</w:t>
      </w:r>
      <w:r>
        <w:rPr>
          <w:rFonts w:ascii="黑体" w:hAnsi="宋体" w:eastAsia="黑体"/>
          <w:b/>
          <w:color w:val="auto"/>
          <w:sz w:val="28"/>
        </w:rPr>
        <w:tab/>
      </w:r>
      <w:r>
        <w:rPr>
          <w:rFonts w:hint="eastAsia" w:ascii="黑体" w:hAnsi="宋体" w:eastAsia="黑体"/>
          <w:b/>
          <w:color w:val="auto"/>
          <w:sz w:val="28"/>
        </w:rPr>
        <w:t>6</w:t>
      </w:r>
    </w:p>
    <w:p>
      <w:pPr>
        <w:tabs>
          <w:tab w:val="left" w:leader="hyphen" w:pos="7919"/>
        </w:tabs>
        <w:snapToGrid w:val="0"/>
        <w:spacing w:line="480" w:lineRule="auto"/>
        <w:ind w:firstLine="645"/>
        <w:rPr>
          <w:rFonts w:ascii="黑体" w:hAnsi="宋体" w:eastAsia="黑体"/>
          <w:b/>
          <w:color w:val="auto"/>
          <w:sz w:val="28"/>
        </w:rPr>
      </w:pPr>
      <w:r>
        <w:rPr>
          <w:rFonts w:hint="eastAsia" w:ascii="黑体" w:hAnsi="宋体" w:eastAsia="黑体"/>
          <w:b/>
          <w:color w:val="auto"/>
          <w:sz w:val="28"/>
        </w:rPr>
        <w:t>第三章  评标办法</w:t>
      </w:r>
      <w:r>
        <w:rPr>
          <w:rFonts w:ascii="黑体" w:hAnsi="宋体" w:eastAsia="黑体"/>
          <w:b/>
          <w:color w:val="auto"/>
          <w:sz w:val="28"/>
        </w:rPr>
        <w:tab/>
      </w:r>
      <w:r>
        <w:rPr>
          <w:rFonts w:hint="eastAsia" w:ascii="黑体" w:hAnsi="宋体" w:eastAsia="黑体"/>
          <w:b/>
          <w:color w:val="auto"/>
          <w:sz w:val="28"/>
        </w:rPr>
        <w:t>26</w:t>
      </w:r>
    </w:p>
    <w:p>
      <w:pPr>
        <w:tabs>
          <w:tab w:val="left" w:leader="hyphen" w:pos="7919"/>
        </w:tabs>
        <w:snapToGrid w:val="0"/>
        <w:spacing w:line="480" w:lineRule="auto"/>
        <w:ind w:firstLine="645"/>
        <w:rPr>
          <w:rFonts w:hint="eastAsia" w:ascii="黑体" w:hAnsi="宋体" w:eastAsia="黑体"/>
          <w:b/>
          <w:color w:val="auto"/>
          <w:sz w:val="28"/>
          <w:lang w:eastAsia="zh-CN"/>
        </w:rPr>
      </w:pPr>
      <w:r>
        <w:rPr>
          <w:rFonts w:hint="eastAsia" w:ascii="黑体" w:hAnsi="宋体" w:eastAsia="黑体"/>
          <w:b/>
          <w:color w:val="auto"/>
          <w:sz w:val="28"/>
        </w:rPr>
        <w:t>第四章  合同条款</w:t>
      </w:r>
      <w:r>
        <w:rPr>
          <w:rFonts w:ascii="黑体" w:hAnsi="宋体" w:eastAsia="黑体"/>
          <w:b/>
          <w:color w:val="auto"/>
          <w:sz w:val="28"/>
        </w:rPr>
        <w:tab/>
      </w:r>
      <w:r>
        <w:rPr>
          <w:rFonts w:hint="eastAsia" w:ascii="黑体" w:hAnsi="宋体" w:eastAsia="黑体"/>
          <w:b/>
          <w:color w:val="auto"/>
          <w:sz w:val="28"/>
        </w:rPr>
        <w:t>3</w:t>
      </w:r>
      <w:r>
        <w:rPr>
          <w:rFonts w:hint="eastAsia" w:ascii="黑体" w:hAnsi="宋体" w:eastAsia="黑体"/>
          <w:b/>
          <w:color w:val="auto"/>
          <w:sz w:val="28"/>
          <w:lang w:val="en-US" w:eastAsia="zh-CN"/>
        </w:rPr>
        <w:t>7</w:t>
      </w:r>
    </w:p>
    <w:p>
      <w:pPr>
        <w:tabs>
          <w:tab w:val="left" w:leader="hyphen" w:pos="7919"/>
        </w:tabs>
        <w:snapToGrid w:val="0"/>
        <w:spacing w:line="480" w:lineRule="auto"/>
        <w:ind w:firstLine="645"/>
        <w:rPr>
          <w:rFonts w:hint="eastAsia" w:ascii="黑体" w:hAnsi="宋体" w:eastAsia="黑体"/>
          <w:b/>
          <w:color w:val="auto"/>
          <w:sz w:val="28"/>
          <w:lang w:eastAsia="zh-CN"/>
        </w:rPr>
      </w:pPr>
      <w:r>
        <w:rPr>
          <w:rFonts w:hint="eastAsia" w:ascii="黑体" w:hAnsi="宋体" w:eastAsia="黑体"/>
          <w:b/>
          <w:color w:val="auto"/>
          <w:sz w:val="28"/>
        </w:rPr>
        <w:t>第五章  工程量清单</w:t>
      </w:r>
      <w:r>
        <w:rPr>
          <w:rFonts w:ascii="黑体" w:hAnsi="宋体" w:eastAsia="黑体"/>
          <w:b/>
          <w:color w:val="auto"/>
          <w:sz w:val="28"/>
        </w:rPr>
        <w:tab/>
      </w:r>
      <w:r>
        <w:rPr>
          <w:rFonts w:hint="eastAsia" w:ascii="黑体" w:hAnsi="宋体" w:eastAsia="黑体"/>
          <w:b/>
          <w:color w:val="auto"/>
          <w:sz w:val="28"/>
        </w:rPr>
        <w:t>3</w:t>
      </w:r>
      <w:r>
        <w:rPr>
          <w:rFonts w:hint="eastAsia" w:ascii="黑体" w:hAnsi="宋体" w:eastAsia="黑体"/>
          <w:b/>
          <w:color w:val="auto"/>
          <w:sz w:val="28"/>
          <w:lang w:val="en-US" w:eastAsia="zh-CN"/>
        </w:rPr>
        <w:t>8</w:t>
      </w:r>
    </w:p>
    <w:p>
      <w:pPr>
        <w:tabs>
          <w:tab w:val="left" w:leader="hyphen" w:pos="7919"/>
        </w:tabs>
        <w:snapToGrid w:val="0"/>
        <w:spacing w:line="480" w:lineRule="auto"/>
        <w:ind w:firstLine="645"/>
        <w:rPr>
          <w:rFonts w:hint="eastAsia" w:ascii="黑体" w:hAnsi="宋体" w:eastAsia="黑体"/>
          <w:b/>
          <w:color w:val="auto"/>
          <w:sz w:val="28"/>
          <w:lang w:eastAsia="zh-CN"/>
        </w:rPr>
      </w:pPr>
      <w:r>
        <w:rPr>
          <w:rFonts w:hint="eastAsia" w:ascii="黑体" w:hAnsi="宋体" w:eastAsia="黑体"/>
          <w:b/>
          <w:color w:val="auto"/>
          <w:sz w:val="28"/>
        </w:rPr>
        <w:t>第六章  图  纸</w:t>
      </w:r>
      <w:r>
        <w:rPr>
          <w:rFonts w:ascii="黑体" w:hAnsi="宋体" w:eastAsia="黑体"/>
          <w:b/>
          <w:color w:val="auto"/>
          <w:sz w:val="28"/>
        </w:rPr>
        <w:tab/>
      </w:r>
      <w:r>
        <w:rPr>
          <w:rFonts w:hint="eastAsia" w:ascii="黑体" w:hAnsi="宋体" w:eastAsia="黑体"/>
          <w:b/>
          <w:color w:val="auto"/>
          <w:sz w:val="28"/>
        </w:rPr>
        <w:t>4</w:t>
      </w:r>
      <w:r>
        <w:rPr>
          <w:rFonts w:hint="eastAsia" w:ascii="黑体" w:hAnsi="宋体" w:eastAsia="黑体"/>
          <w:b/>
          <w:color w:val="auto"/>
          <w:sz w:val="28"/>
          <w:lang w:val="en-US" w:eastAsia="zh-CN"/>
        </w:rPr>
        <w:t>4</w:t>
      </w:r>
    </w:p>
    <w:p>
      <w:pPr>
        <w:tabs>
          <w:tab w:val="left" w:leader="hyphen" w:pos="7919"/>
        </w:tabs>
        <w:snapToGrid w:val="0"/>
        <w:spacing w:line="480" w:lineRule="auto"/>
        <w:ind w:firstLine="645"/>
        <w:rPr>
          <w:rFonts w:ascii="黑体" w:hAnsi="宋体" w:eastAsia="黑体"/>
          <w:b/>
          <w:color w:val="auto"/>
          <w:sz w:val="28"/>
        </w:rPr>
      </w:pPr>
      <w:r>
        <w:rPr>
          <w:rFonts w:hint="eastAsia" w:ascii="黑体" w:hAnsi="宋体" w:eastAsia="黑体"/>
          <w:b/>
          <w:color w:val="auto"/>
          <w:sz w:val="28"/>
        </w:rPr>
        <w:t>第七章  技术标准和要求</w:t>
      </w:r>
      <w:r>
        <w:rPr>
          <w:rFonts w:ascii="黑体" w:hAnsi="宋体" w:eastAsia="黑体"/>
          <w:b/>
          <w:color w:val="auto"/>
          <w:sz w:val="28"/>
        </w:rPr>
        <w:tab/>
      </w:r>
      <w:r>
        <w:rPr>
          <w:rFonts w:hint="eastAsia" w:ascii="黑体" w:hAnsi="宋体" w:eastAsia="黑体"/>
          <w:b/>
          <w:color w:val="auto"/>
          <w:sz w:val="28"/>
        </w:rPr>
        <w:t>4</w:t>
      </w:r>
      <w:r>
        <w:rPr>
          <w:rFonts w:hint="eastAsia" w:ascii="黑体" w:hAnsi="宋体" w:eastAsia="黑体"/>
          <w:b/>
          <w:color w:val="auto"/>
          <w:sz w:val="28"/>
          <w:lang w:val="en-US" w:eastAsia="zh-CN"/>
        </w:rPr>
        <w:t>5</w:t>
      </w:r>
      <w:r>
        <w:rPr>
          <w:rFonts w:ascii="黑体" w:hAnsi="宋体" w:eastAsia="黑体"/>
          <w:b/>
          <w:color w:val="auto"/>
          <w:sz w:val="28"/>
        </w:rPr>
        <w:tab/>
      </w:r>
    </w:p>
    <w:p>
      <w:pPr>
        <w:tabs>
          <w:tab w:val="left" w:leader="hyphen" w:pos="7919"/>
        </w:tabs>
        <w:snapToGrid w:val="0"/>
        <w:spacing w:line="480" w:lineRule="auto"/>
        <w:ind w:firstLine="645"/>
        <w:rPr>
          <w:rFonts w:hint="default" w:ascii="黑体" w:hAnsi="宋体" w:eastAsia="黑体"/>
          <w:b/>
          <w:color w:val="auto"/>
          <w:sz w:val="28"/>
          <w:lang w:val="en-US" w:eastAsia="zh-CN"/>
        </w:rPr>
      </w:pPr>
      <w:r>
        <w:rPr>
          <w:rFonts w:hint="eastAsia" w:ascii="黑体" w:hAnsi="宋体" w:eastAsia="黑体"/>
          <w:b/>
          <w:color w:val="auto"/>
          <w:sz w:val="28"/>
        </w:rPr>
        <w:t>第八章  投标文件格式</w:t>
      </w:r>
      <w:r>
        <w:rPr>
          <w:rFonts w:ascii="黑体" w:hAnsi="宋体" w:eastAsia="黑体"/>
          <w:b/>
          <w:color w:val="auto"/>
          <w:sz w:val="28"/>
        </w:rPr>
        <w:tab/>
      </w:r>
      <w:r>
        <w:rPr>
          <w:rFonts w:hint="eastAsia" w:ascii="黑体" w:hAnsi="宋体" w:eastAsia="黑体"/>
          <w:b/>
          <w:color w:val="auto"/>
          <w:sz w:val="28"/>
          <w:lang w:val="en-US" w:eastAsia="zh-CN"/>
        </w:rPr>
        <w:t>54</w:t>
      </w:r>
    </w:p>
    <w:p>
      <w:pPr>
        <w:rPr>
          <w:rFonts w:hAnsi="宋体" w:cs="黑体"/>
          <w:b/>
          <w:color w:val="auto"/>
          <w:sz w:val="32"/>
          <w:szCs w:val="32"/>
        </w:rPr>
      </w:pPr>
    </w:p>
    <w:p>
      <w:pPr>
        <w:ind w:firstLine="3465" w:firstLineChars="1083"/>
        <w:rPr>
          <w:rFonts w:hAnsi="宋体" w:cs="黑体"/>
          <w:b/>
          <w:color w:val="auto"/>
          <w:sz w:val="32"/>
          <w:szCs w:val="32"/>
        </w:rPr>
      </w:pPr>
    </w:p>
    <w:p>
      <w:pPr>
        <w:rPr>
          <w:b/>
          <w:color w:val="auto"/>
          <w:sz w:val="48"/>
          <w:szCs w:val="48"/>
        </w:rPr>
      </w:pPr>
    </w:p>
    <w:p>
      <w:pPr>
        <w:rPr>
          <w:rFonts w:hAnsi="宋体" w:cs="黑体"/>
          <w:b/>
          <w:color w:val="auto"/>
          <w:sz w:val="32"/>
          <w:szCs w:val="32"/>
        </w:rPr>
      </w:pPr>
    </w:p>
    <w:p>
      <w:pPr>
        <w:ind w:firstLine="4765" w:firstLineChars="1083"/>
        <w:rPr>
          <w:rFonts w:ascii="黑体" w:hAnsi="宋体" w:eastAsia="黑体"/>
          <w:b/>
          <w:color w:val="auto"/>
          <w:sz w:val="44"/>
        </w:rPr>
        <w:sectPr>
          <w:headerReference r:id="rId7" w:type="default"/>
          <w:footerReference r:id="rId8" w:type="default"/>
          <w:pgSz w:w="11906" w:h="16838"/>
          <w:pgMar w:top="1304" w:right="1134" w:bottom="1304" w:left="1134" w:header="851" w:footer="992" w:gutter="0"/>
          <w:pgNumType w:fmt="decimal" w:start="1"/>
          <w:cols w:space="720" w:num="1"/>
          <w:docGrid w:type="linesAndChars" w:linePitch="312" w:charSpace="0"/>
        </w:sectPr>
      </w:pPr>
    </w:p>
    <w:p>
      <w:pPr>
        <w:ind w:firstLine="3465" w:firstLineChars="1083"/>
        <w:rPr>
          <w:rFonts w:hAnsi="宋体" w:cs="黑体"/>
          <w:b/>
          <w:color w:val="auto"/>
          <w:sz w:val="32"/>
          <w:szCs w:val="32"/>
        </w:rPr>
      </w:pPr>
    </w:p>
    <w:p>
      <w:pPr>
        <w:tabs>
          <w:tab w:val="left" w:pos="3185"/>
          <w:tab w:val="center" w:pos="5452"/>
        </w:tabs>
        <w:snapToGrid w:val="0"/>
        <w:spacing w:beforeLines="50"/>
        <w:jc w:val="left"/>
        <w:rPr>
          <w:rFonts w:hAnsi="宋体" w:cs="黑体"/>
          <w:b/>
          <w:color w:val="auto"/>
          <w:sz w:val="36"/>
          <w:szCs w:val="36"/>
        </w:rPr>
      </w:pPr>
    </w:p>
    <w:p>
      <w:pPr>
        <w:tabs>
          <w:tab w:val="left" w:pos="3185"/>
          <w:tab w:val="center" w:pos="5452"/>
        </w:tabs>
        <w:snapToGrid w:val="0"/>
        <w:spacing w:beforeLines="50"/>
        <w:jc w:val="left"/>
        <w:rPr>
          <w:rFonts w:hAnsi="宋体" w:cs="黑体"/>
          <w:b/>
          <w:color w:val="auto"/>
          <w:sz w:val="36"/>
          <w:szCs w:val="36"/>
        </w:rPr>
      </w:pPr>
    </w:p>
    <w:p>
      <w:pPr>
        <w:tabs>
          <w:tab w:val="left" w:pos="3185"/>
          <w:tab w:val="center" w:pos="5452"/>
        </w:tabs>
        <w:snapToGrid w:val="0"/>
        <w:spacing w:beforeLines="50"/>
        <w:jc w:val="left"/>
        <w:rPr>
          <w:rFonts w:hAnsi="宋体" w:cs="黑体"/>
          <w:b/>
          <w:color w:val="auto"/>
          <w:sz w:val="36"/>
          <w:szCs w:val="36"/>
        </w:rPr>
      </w:pPr>
    </w:p>
    <w:p>
      <w:pPr>
        <w:tabs>
          <w:tab w:val="left" w:pos="3185"/>
          <w:tab w:val="center" w:pos="5452"/>
        </w:tabs>
        <w:snapToGrid w:val="0"/>
        <w:spacing w:beforeLines="50"/>
        <w:jc w:val="left"/>
        <w:rPr>
          <w:rFonts w:hAnsi="宋体" w:cs="黑体"/>
          <w:b/>
          <w:color w:val="auto"/>
          <w:sz w:val="36"/>
          <w:szCs w:val="36"/>
        </w:rPr>
      </w:pPr>
    </w:p>
    <w:p>
      <w:pPr>
        <w:tabs>
          <w:tab w:val="left" w:pos="3185"/>
          <w:tab w:val="center" w:pos="5452"/>
        </w:tabs>
        <w:snapToGrid w:val="0"/>
        <w:spacing w:beforeLines="50"/>
        <w:jc w:val="left"/>
        <w:rPr>
          <w:rFonts w:hAnsi="宋体" w:cs="黑体"/>
          <w:b/>
          <w:color w:val="auto"/>
          <w:sz w:val="36"/>
          <w:szCs w:val="36"/>
        </w:rPr>
        <w:sectPr>
          <w:type w:val="continuous"/>
          <w:pgSz w:w="11906" w:h="16838"/>
          <w:pgMar w:top="1304" w:right="1134" w:bottom="1304" w:left="1134" w:header="851" w:footer="992" w:gutter="0"/>
          <w:pgNumType w:fmt="decimal"/>
          <w:cols w:space="720" w:num="1"/>
          <w:titlePg/>
          <w:docGrid w:type="linesAndChars" w:linePitch="312" w:charSpace="0"/>
        </w:sectPr>
      </w:pPr>
    </w:p>
    <w:p>
      <w:pPr>
        <w:numPr>
          <w:ilvl w:val="0"/>
          <w:numId w:val="1"/>
        </w:numPr>
        <w:tabs>
          <w:tab w:val="left" w:pos="3185"/>
          <w:tab w:val="center" w:pos="5452"/>
        </w:tabs>
        <w:snapToGrid w:val="0"/>
        <w:spacing w:beforeLines="50"/>
        <w:jc w:val="center"/>
        <w:rPr>
          <w:rFonts w:hAnsi="宋体" w:cs="黑体"/>
          <w:b/>
          <w:color w:val="auto"/>
          <w:sz w:val="36"/>
          <w:szCs w:val="36"/>
        </w:rPr>
      </w:pPr>
      <w:r>
        <w:rPr>
          <w:rFonts w:hint="eastAsia" w:hAnsi="宋体" w:cs="黑体"/>
          <w:b/>
          <w:color w:val="auto"/>
          <w:sz w:val="36"/>
          <w:szCs w:val="36"/>
        </w:rPr>
        <w:t xml:space="preserve"> </w:t>
      </w:r>
    </w:p>
    <w:p>
      <w:pPr>
        <w:tabs>
          <w:tab w:val="left" w:pos="3185"/>
          <w:tab w:val="center" w:pos="5452"/>
        </w:tabs>
        <w:snapToGrid w:val="0"/>
        <w:spacing w:beforeLines="50"/>
        <w:jc w:val="center"/>
        <w:rPr>
          <w:rFonts w:hAnsi="宋体" w:cs="黑体"/>
          <w:b/>
          <w:color w:val="auto"/>
          <w:sz w:val="36"/>
          <w:szCs w:val="36"/>
        </w:rPr>
      </w:pPr>
      <w:r>
        <w:rPr>
          <w:rFonts w:hint="eastAsia" w:hAnsi="宋体" w:cs="黑体"/>
          <w:b/>
          <w:color w:val="auto"/>
          <w:sz w:val="36"/>
          <w:szCs w:val="36"/>
          <w:lang w:val="en-US" w:eastAsia="zh-CN"/>
        </w:rPr>
        <w:t>XCGC-F2020096许昌市中心医院</w:t>
      </w:r>
      <w:r>
        <w:rPr>
          <w:rFonts w:hint="eastAsia" w:hAnsi="宋体" w:cs="黑体"/>
          <w:b/>
          <w:color w:val="auto"/>
          <w:sz w:val="36"/>
          <w:szCs w:val="36"/>
        </w:rPr>
        <w:t>“</w:t>
      </w:r>
      <w:r>
        <w:rPr>
          <w:rFonts w:hint="eastAsia" w:hAnsi="宋体" w:cs="黑体"/>
          <w:b/>
          <w:color w:val="auto"/>
          <w:sz w:val="36"/>
          <w:szCs w:val="36"/>
          <w:lang w:eastAsia="zh-CN"/>
        </w:rPr>
        <w:t>许昌市中心医院新院区垃圾及被服系统工程</w:t>
      </w:r>
      <w:r>
        <w:rPr>
          <w:rFonts w:hint="eastAsia" w:hAnsi="宋体" w:cs="黑体"/>
          <w:b/>
          <w:color w:val="auto"/>
          <w:sz w:val="36"/>
          <w:szCs w:val="36"/>
        </w:rPr>
        <w:t>”（不见面开标）</w:t>
      </w:r>
    </w:p>
    <w:p>
      <w:pPr>
        <w:tabs>
          <w:tab w:val="left" w:pos="3185"/>
          <w:tab w:val="center" w:pos="5452"/>
        </w:tabs>
        <w:snapToGrid w:val="0"/>
        <w:spacing w:beforeLines="50"/>
        <w:jc w:val="center"/>
        <w:rPr>
          <w:rFonts w:hAnsi="宋体" w:cs="黑体"/>
          <w:b/>
          <w:color w:val="auto"/>
          <w:sz w:val="36"/>
          <w:szCs w:val="36"/>
        </w:rPr>
      </w:pPr>
      <w:r>
        <w:rPr>
          <w:rFonts w:hint="eastAsia" w:hAnsi="宋体" w:cs="黑体"/>
          <w:b/>
          <w:color w:val="auto"/>
          <w:sz w:val="36"/>
          <w:szCs w:val="36"/>
        </w:rPr>
        <w:t>招标公告</w:t>
      </w:r>
    </w:p>
    <w:p>
      <w:pPr>
        <w:widowControl/>
        <w:numPr>
          <w:ilvl w:val="0"/>
          <w:numId w:val="2"/>
        </w:numPr>
        <w:spacing w:line="312" w:lineRule="auto"/>
        <w:rPr>
          <w:rFonts w:hint="eastAsia" w:hAnsi="宋体"/>
          <w:b/>
          <w:color w:val="auto"/>
          <w:sz w:val="24"/>
        </w:rPr>
      </w:pPr>
      <w:r>
        <w:rPr>
          <w:rFonts w:hint="eastAsia" w:hAnsi="宋体"/>
          <w:b/>
          <w:color w:val="auto"/>
          <w:sz w:val="24"/>
        </w:rPr>
        <w:t>招标条件</w:t>
      </w:r>
    </w:p>
    <w:p>
      <w:pPr>
        <w:widowControl/>
        <w:spacing w:line="312" w:lineRule="auto"/>
        <w:ind w:firstLine="480" w:firstLineChars="200"/>
        <w:rPr>
          <w:rFonts w:hint="eastAsia" w:hAnsi="宋体"/>
          <w:color w:val="auto"/>
          <w:sz w:val="24"/>
          <w:szCs w:val="22"/>
        </w:rPr>
      </w:pPr>
      <w:r>
        <w:rPr>
          <w:rFonts w:hint="eastAsia" w:hAnsi="宋体"/>
          <w:color w:val="auto"/>
          <w:sz w:val="24"/>
          <w:szCs w:val="22"/>
        </w:rPr>
        <w:t>许昌市中心医院“</w:t>
      </w:r>
      <w:r>
        <w:rPr>
          <w:rFonts w:hint="eastAsia" w:hAnsi="宋体"/>
          <w:color w:val="auto"/>
          <w:sz w:val="24"/>
          <w:szCs w:val="22"/>
          <w:lang w:eastAsia="zh-CN"/>
        </w:rPr>
        <w:t>许昌市中心医院新院区垃圾及被服系统工程</w:t>
      </w:r>
      <w:r>
        <w:rPr>
          <w:rFonts w:hint="eastAsia" w:hAnsi="宋体"/>
          <w:color w:val="auto"/>
          <w:sz w:val="24"/>
          <w:szCs w:val="22"/>
        </w:rPr>
        <w:t>”，已由许发改社会审【2016】21号文件批准建设，建设资金已落实。招标人为许昌市中心医院，建设资金为财政资金。项目已具备招标条件，现对该项目施工进行公开招标。</w:t>
      </w:r>
    </w:p>
    <w:p>
      <w:pPr>
        <w:widowControl/>
        <w:spacing w:line="312" w:lineRule="auto"/>
        <w:rPr>
          <w:rFonts w:hAnsi="宋体"/>
          <w:b/>
          <w:color w:val="auto"/>
          <w:sz w:val="24"/>
        </w:rPr>
      </w:pPr>
      <w:r>
        <w:rPr>
          <w:rFonts w:hint="eastAsia" w:hAnsi="宋体"/>
          <w:b/>
          <w:color w:val="auto"/>
          <w:sz w:val="24"/>
        </w:rPr>
        <w:t>2.项目概况与招标范围</w:t>
      </w:r>
    </w:p>
    <w:p>
      <w:pPr>
        <w:widowControl/>
        <w:spacing w:line="300" w:lineRule="auto"/>
        <w:rPr>
          <w:rFonts w:hint="eastAsia" w:hAnsi="宋体"/>
          <w:color w:val="auto"/>
          <w:sz w:val="24"/>
          <w:szCs w:val="24"/>
        </w:rPr>
      </w:pPr>
      <w:r>
        <w:rPr>
          <w:rFonts w:hint="eastAsia" w:hAnsi="宋体"/>
          <w:color w:val="auto"/>
          <w:sz w:val="24"/>
        </w:rPr>
        <w:t xml:space="preserve">    2.1项目编号</w:t>
      </w:r>
      <w:r>
        <w:rPr>
          <w:rFonts w:hint="eastAsia" w:hAnsi="宋体"/>
          <w:color w:val="auto"/>
          <w:sz w:val="24"/>
          <w:szCs w:val="24"/>
        </w:rPr>
        <w:t>：</w:t>
      </w:r>
      <w:r>
        <w:rPr>
          <w:rFonts w:hint="eastAsia" w:hAnsi="宋体"/>
          <w:color w:val="auto"/>
          <w:sz w:val="24"/>
          <w:szCs w:val="24"/>
          <w:lang w:eastAsia="zh-CN"/>
        </w:rPr>
        <w:t>XCGC-F2020</w:t>
      </w:r>
      <w:r>
        <w:rPr>
          <w:rFonts w:hint="eastAsia" w:hAnsi="宋体"/>
          <w:color w:val="auto"/>
          <w:sz w:val="24"/>
          <w:szCs w:val="24"/>
          <w:lang w:val="en-US" w:eastAsia="zh-CN"/>
        </w:rPr>
        <w:t>096</w:t>
      </w:r>
      <w:r>
        <w:rPr>
          <w:rFonts w:hint="eastAsia" w:hAnsi="宋体"/>
          <w:color w:val="auto"/>
          <w:sz w:val="24"/>
          <w:szCs w:val="24"/>
          <w:lang w:eastAsia="zh-CN"/>
        </w:rPr>
        <w:t xml:space="preserve">   </w:t>
      </w:r>
      <w:r>
        <w:rPr>
          <w:rFonts w:hint="eastAsia" w:hAnsi="宋体"/>
          <w:color w:val="auto"/>
          <w:sz w:val="24"/>
          <w:szCs w:val="24"/>
          <w:lang w:val="en-US" w:eastAsia="zh-CN"/>
        </w:rPr>
        <w:t xml:space="preserve"> </w:t>
      </w:r>
      <w:r>
        <w:rPr>
          <w:rFonts w:hint="eastAsia" w:hAnsi="宋体"/>
          <w:color w:val="auto"/>
          <w:sz w:val="24"/>
          <w:szCs w:val="24"/>
        </w:rPr>
        <w:t xml:space="preserve">  </w:t>
      </w:r>
    </w:p>
    <w:p>
      <w:pPr>
        <w:widowControl/>
        <w:spacing w:line="312" w:lineRule="auto"/>
        <w:ind w:firstLine="480" w:firstLineChars="200"/>
        <w:rPr>
          <w:rFonts w:hint="eastAsia" w:hAnsi="宋体"/>
          <w:color w:val="auto"/>
          <w:sz w:val="24"/>
          <w:szCs w:val="22"/>
          <w:lang w:eastAsia="zh-CN"/>
        </w:rPr>
      </w:pPr>
      <w:r>
        <w:rPr>
          <w:rFonts w:hint="eastAsia" w:hAnsi="宋体"/>
          <w:color w:val="auto"/>
          <w:sz w:val="24"/>
          <w:szCs w:val="22"/>
          <w:lang w:eastAsia="zh-CN"/>
        </w:rPr>
        <w:t>2.2项目建设地点：本项目位于许昌市魏文路以东，德兴路以西，文轩路以北，清苑路以南。</w:t>
      </w:r>
    </w:p>
    <w:p>
      <w:pPr>
        <w:widowControl/>
        <w:spacing w:line="312" w:lineRule="auto"/>
        <w:ind w:firstLine="480" w:firstLineChars="200"/>
        <w:rPr>
          <w:rFonts w:hint="eastAsia" w:hAnsi="宋体"/>
          <w:color w:val="auto"/>
          <w:sz w:val="24"/>
          <w:szCs w:val="22"/>
          <w:lang w:val="en-US" w:eastAsia="zh-CN"/>
        </w:rPr>
      </w:pPr>
      <w:r>
        <w:rPr>
          <w:rFonts w:hint="eastAsia" w:hAnsi="宋体"/>
          <w:color w:val="auto"/>
          <w:sz w:val="24"/>
          <w:szCs w:val="22"/>
          <w:lang w:eastAsia="zh-CN"/>
        </w:rPr>
        <w:t>2.3工程概况：本项目为许昌中心医院新院区垃圾及被服系统工程，含气压式污物管道智能物流系统和重力式污被服管道收集系统各两套，主要用于收集处理门急诊医技病房综合楼内生活垃圾、医疗垃圾及污被服等，实现日产日清。</w:t>
      </w:r>
    </w:p>
    <w:p>
      <w:pPr>
        <w:widowControl/>
        <w:spacing w:line="312" w:lineRule="auto"/>
        <w:ind w:firstLine="480" w:firstLineChars="200"/>
        <w:rPr>
          <w:rFonts w:hint="eastAsia" w:hAnsi="宋体"/>
          <w:color w:val="auto"/>
          <w:sz w:val="24"/>
          <w:szCs w:val="22"/>
          <w:lang w:eastAsia="zh-CN"/>
        </w:rPr>
      </w:pPr>
      <w:r>
        <w:rPr>
          <w:rFonts w:hint="eastAsia" w:hAnsi="宋体"/>
          <w:color w:val="auto"/>
          <w:sz w:val="24"/>
          <w:szCs w:val="22"/>
          <w:lang w:eastAsia="zh-CN"/>
        </w:rPr>
        <w:t>2.4招标范围：招标文件、工程量清单、施工图纸、答疑纪要和补充文件（如有）范围内的所有建设内容。</w:t>
      </w:r>
    </w:p>
    <w:p>
      <w:pPr>
        <w:widowControl/>
        <w:spacing w:line="312" w:lineRule="auto"/>
        <w:ind w:firstLine="480" w:firstLineChars="200"/>
        <w:rPr>
          <w:rFonts w:hint="eastAsia" w:hAnsi="宋体"/>
          <w:color w:val="auto"/>
          <w:sz w:val="24"/>
          <w:szCs w:val="22"/>
          <w:lang w:eastAsia="zh-CN"/>
        </w:rPr>
      </w:pPr>
      <w:r>
        <w:rPr>
          <w:rFonts w:hint="eastAsia" w:hAnsi="宋体"/>
          <w:color w:val="auto"/>
          <w:sz w:val="24"/>
          <w:szCs w:val="22"/>
          <w:lang w:eastAsia="zh-CN"/>
        </w:rPr>
        <w:t>2.5标段划分：本工程共设</w:t>
      </w:r>
      <w:r>
        <w:rPr>
          <w:rFonts w:hint="eastAsia" w:hAnsi="宋体"/>
          <w:color w:val="auto"/>
          <w:sz w:val="24"/>
          <w:szCs w:val="22"/>
          <w:lang w:val="en-US" w:eastAsia="zh-CN"/>
        </w:rPr>
        <w:t>一</w:t>
      </w:r>
      <w:r>
        <w:rPr>
          <w:rFonts w:hint="eastAsia" w:hAnsi="宋体"/>
          <w:color w:val="auto"/>
          <w:sz w:val="24"/>
          <w:szCs w:val="22"/>
          <w:lang w:eastAsia="zh-CN"/>
        </w:rPr>
        <w:t>个标段。</w:t>
      </w:r>
    </w:p>
    <w:p>
      <w:pPr>
        <w:widowControl/>
        <w:spacing w:line="312" w:lineRule="auto"/>
        <w:ind w:firstLine="480" w:firstLineChars="200"/>
        <w:rPr>
          <w:rFonts w:hint="eastAsia" w:hAnsi="宋体"/>
          <w:color w:val="auto"/>
          <w:sz w:val="24"/>
          <w:szCs w:val="22"/>
          <w:lang w:eastAsia="zh-CN"/>
        </w:rPr>
      </w:pPr>
      <w:r>
        <w:rPr>
          <w:rFonts w:hint="eastAsia" w:hAnsi="宋体"/>
          <w:color w:val="auto"/>
          <w:sz w:val="24"/>
          <w:szCs w:val="22"/>
          <w:lang w:eastAsia="zh-CN"/>
        </w:rPr>
        <w:t>2.6招标控制价:</w:t>
      </w:r>
      <w:r>
        <w:rPr>
          <w:rFonts w:hint="eastAsia" w:hAnsi="宋体"/>
          <w:color w:val="auto"/>
          <w:sz w:val="24"/>
          <w:szCs w:val="22"/>
          <w:lang w:val="en-US" w:eastAsia="zh-CN"/>
        </w:rPr>
        <w:t>15277739.84</w:t>
      </w:r>
      <w:r>
        <w:rPr>
          <w:rFonts w:hint="eastAsia" w:hAnsi="宋体"/>
          <w:color w:val="auto"/>
          <w:sz w:val="24"/>
          <w:szCs w:val="22"/>
          <w:lang w:eastAsia="zh-CN"/>
        </w:rPr>
        <w:t>元。</w:t>
      </w:r>
    </w:p>
    <w:p>
      <w:pPr>
        <w:widowControl/>
        <w:spacing w:line="312" w:lineRule="auto"/>
        <w:ind w:firstLine="480" w:firstLineChars="200"/>
        <w:rPr>
          <w:rFonts w:hint="eastAsia" w:hAnsi="宋体"/>
          <w:color w:val="auto"/>
          <w:sz w:val="24"/>
          <w:szCs w:val="22"/>
          <w:lang w:eastAsia="zh-CN"/>
        </w:rPr>
      </w:pPr>
      <w:r>
        <w:rPr>
          <w:rFonts w:hint="eastAsia" w:hAnsi="宋体"/>
          <w:color w:val="auto"/>
          <w:sz w:val="24"/>
          <w:szCs w:val="22"/>
          <w:lang w:eastAsia="zh-CN"/>
        </w:rPr>
        <w:t>2.7计划工</w:t>
      </w:r>
      <w:r>
        <w:rPr>
          <w:rFonts w:hint="eastAsia" w:hAnsi="宋体"/>
          <w:color w:val="auto"/>
          <w:sz w:val="24"/>
          <w:szCs w:val="22"/>
          <w:lang w:val="en-US" w:eastAsia="zh-CN"/>
        </w:rPr>
        <w:t>期：180日历天。</w:t>
      </w:r>
    </w:p>
    <w:p>
      <w:pPr>
        <w:widowControl/>
        <w:spacing w:line="312" w:lineRule="auto"/>
        <w:ind w:firstLine="480" w:firstLineChars="200"/>
        <w:rPr>
          <w:rFonts w:hint="eastAsia" w:hAnsi="宋体"/>
          <w:color w:val="auto"/>
          <w:sz w:val="24"/>
          <w:szCs w:val="22"/>
          <w:lang w:eastAsia="zh-CN"/>
        </w:rPr>
      </w:pPr>
      <w:r>
        <w:rPr>
          <w:rFonts w:hint="eastAsia" w:hAnsi="宋体"/>
          <w:color w:val="auto"/>
          <w:sz w:val="24"/>
          <w:szCs w:val="22"/>
          <w:lang w:eastAsia="zh-CN"/>
        </w:rPr>
        <w:t>2.8质量要求：合格（符合国家现行的验收规范和标准）。</w:t>
      </w:r>
    </w:p>
    <w:p>
      <w:pPr>
        <w:widowControl/>
        <w:numPr>
          <w:ilvl w:val="0"/>
          <w:numId w:val="3"/>
        </w:numPr>
        <w:spacing w:line="360" w:lineRule="auto"/>
        <w:rPr>
          <w:rFonts w:hAnsi="宋体"/>
          <w:b/>
          <w:color w:val="auto"/>
          <w:sz w:val="24"/>
        </w:rPr>
      </w:pPr>
      <w:r>
        <w:rPr>
          <w:rFonts w:hint="eastAsia" w:hAnsi="宋体"/>
          <w:b/>
          <w:color w:val="auto"/>
          <w:sz w:val="24"/>
        </w:rPr>
        <w:t>资格要求</w:t>
      </w:r>
    </w:p>
    <w:p>
      <w:pPr>
        <w:widowControl/>
        <w:numPr>
          <w:ilvl w:val="1"/>
          <w:numId w:val="3"/>
        </w:numPr>
        <w:shd w:val="clear" w:color="auto" w:fill="FFFFFF"/>
        <w:spacing w:line="560" w:lineRule="atLeast"/>
        <w:ind w:firstLine="481"/>
        <w:jc w:val="left"/>
        <w:rPr>
          <w:rFonts w:hint="eastAsia" w:ascii="宋体" w:hAnsi="宋体" w:cs="Times New Roman" w:eastAsiaTheme="minorEastAsia"/>
          <w:color w:val="auto"/>
          <w:sz w:val="24"/>
          <w:szCs w:val="24"/>
          <w:lang w:val="en-US" w:eastAsia="zh-CN" w:bidi="ar-SA"/>
        </w:rPr>
      </w:pPr>
      <w:r>
        <w:rPr>
          <w:rFonts w:hint="eastAsia" w:ascii="宋体" w:hAnsi="宋体" w:cs="Times New Roman" w:eastAsiaTheme="minorEastAsia"/>
          <w:color w:val="auto"/>
          <w:sz w:val="24"/>
          <w:szCs w:val="24"/>
          <w:lang w:val="en-US" w:eastAsia="zh-CN" w:bidi="ar-SA"/>
        </w:rPr>
        <w:t>要求投标人须具有独立法人资格，须具备建设行政主管部门颁发的建筑机电安装工程专业承包</w:t>
      </w:r>
      <w:r>
        <w:rPr>
          <w:rFonts w:hint="eastAsia" w:hAnsi="宋体" w:cs="Times New Roman"/>
          <w:color w:val="auto"/>
          <w:sz w:val="24"/>
          <w:szCs w:val="24"/>
          <w:lang w:val="en-US" w:eastAsia="zh-CN" w:bidi="ar-SA"/>
        </w:rPr>
        <w:t>二</w:t>
      </w:r>
      <w:r>
        <w:rPr>
          <w:rFonts w:hint="eastAsia" w:ascii="宋体" w:hAnsi="宋体" w:cs="Times New Roman" w:eastAsiaTheme="minorEastAsia"/>
          <w:color w:val="auto"/>
          <w:sz w:val="24"/>
          <w:szCs w:val="24"/>
          <w:lang w:val="en-US" w:eastAsia="zh-CN" w:bidi="ar-SA"/>
        </w:rPr>
        <w:t>级及以上资质，且具有有效的安全生产许可证；拟派项目负责人必须具备二级注册建造师（机电工程专业）及以上和安全生产考核合格证，且未担任其他在施建设工程项目的项目负责人。</w:t>
      </w:r>
    </w:p>
    <w:p>
      <w:pPr>
        <w:widowControl/>
        <w:numPr>
          <w:ilvl w:val="1"/>
          <w:numId w:val="3"/>
        </w:numPr>
        <w:shd w:val="clear" w:color="auto" w:fill="FFFFFF"/>
        <w:spacing w:line="560" w:lineRule="atLeast"/>
        <w:ind w:firstLine="481"/>
        <w:jc w:val="left"/>
        <w:rPr>
          <w:rFonts w:hint="eastAsia" w:ascii="宋体" w:hAnsi="宋体" w:cs="Times New Roman" w:eastAsiaTheme="minorEastAsia"/>
          <w:color w:val="auto"/>
          <w:sz w:val="24"/>
          <w:szCs w:val="24"/>
          <w:lang w:val="en-US" w:eastAsia="zh-CN" w:bidi="ar-SA"/>
        </w:rPr>
      </w:pPr>
      <w:r>
        <w:rPr>
          <w:rFonts w:hint="eastAsia" w:ascii="宋体" w:hAnsi="宋体" w:cs="Times New Roman" w:eastAsiaTheme="minorEastAsia"/>
          <w:color w:val="auto"/>
          <w:sz w:val="24"/>
          <w:szCs w:val="24"/>
          <w:lang w:val="en-US" w:eastAsia="zh-CN" w:bidi="ar-SA"/>
        </w:rPr>
        <w:t>投标人未被“信用中国”列入失信被执行人、重大税收违法案件当事人名单，未被“信用河南”网站信用信息栏列入黑名单，以及未被“国家企业信用信息公示系统”列入经营异常名录或严重失信黑名单的投标人（招标人、代理机构或评标专家委员会于评标现场查询）；信用信息查询记录和证据留存具体方式：经评标委员会确认的查询结果网页截图作为查询记录和证据，与其他文件一并保存。</w:t>
      </w:r>
    </w:p>
    <w:p>
      <w:pPr>
        <w:widowControl/>
        <w:shd w:val="clear" w:color="auto" w:fill="FFFFFF"/>
        <w:spacing w:line="560" w:lineRule="atLeast"/>
        <w:ind w:firstLine="481"/>
        <w:jc w:val="left"/>
        <w:rPr>
          <w:rFonts w:hint="eastAsia" w:ascii="宋体" w:hAnsi="宋体" w:cs="Times New Roman" w:eastAsiaTheme="minorEastAsia"/>
          <w:color w:val="auto"/>
          <w:sz w:val="24"/>
          <w:szCs w:val="24"/>
          <w:lang w:val="en-US" w:eastAsia="zh-CN" w:bidi="ar-SA"/>
        </w:rPr>
      </w:pPr>
      <w:r>
        <w:rPr>
          <w:rFonts w:hint="eastAsia" w:ascii="宋体" w:hAnsi="宋体" w:cs="Times New Roman" w:eastAsiaTheme="minorEastAsia"/>
          <w:color w:val="auto"/>
          <w:sz w:val="24"/>
          <w:szCs w:val="24"/>
          <w:lang w:val="en-US" w:eastAsia="zh-CN" w:bidi="ar-SA"/>
        </w:rPr>
        <w:t>3.</w:t>
      </w:r>
      <w:r>
        <w:rPr>
          <w:rFonts w:hint="eastAsia" w:hAnsi="宋体" w:cs="Times New Roman"/>
          <w:color w:val="auto"/>
          <w:sz w:val="24"/>
          <w:szCs w:val="24"/>
          <w:lang w:val="en-US" w:eastAsia="zh-CN" w:bidi="ar-SA"/>
        </w:rPr>
        <w:t>3</w:t>
      </w:r>
      <w:r>
        <w:rPr>
          <w:rFonts w:hint="eastAsia" w:ascii="宋体" w:hAnsi="宋体" w:cs="Times New Roman" w:eastAsiaTheme="minorEastAsia"/>
          <w:color w:val="auto"/>
          <w:sz w:val="24"/>
          <w:szCs w:val="24"/>
          <w:lang w:val="en-US" w:eastAsia="zh-CN" w:bidi="ar-SA"/>
        </w:rPr>
        <w:t xml:space="preserve"> 本次招标不接受联合体投标。</w:t>
      </w:r>
    </w:p>
    <w:p>
      <w:pPr>
        <w:widowControl/>
        <w:shd w:val="clear" w:color="auto" w:fill="FFFFFF"/>
        <w:spacing w:line="560" w:lineRule="atLeast"/>
        <w:ind w:firstLine="481"/>
        <w:jc w:val="left"/>
        <w:rPr>
          <w:rFonts w:hint="eastAsia" w:ascii="宋体" w:hAnsi="宋体" w:cs="Times New Roman" w:eastAsiaTheme="minorEastAsia"/>
          <w:color w:val="auto"/>
          <w:sz w:val="24"/>
          <w:szCs w:val="24"/>
          <w:lang w:val="en-US" w:eastAsia="zh-CN" w:bidi="ar-SA"/>
        </w:rPr>
      </w:pPr>
      <w:r>
        <w:rPr>
          <w:rFonts w:hint="eastAsia" w:ascii="宋体" w:hAnsi="宋体" w:cs="Times New Roman" w:eastAsiaTheme="minorEastAsia"/>
          <w:color w:val="auto"/>
          <w:sz w:val="24"/>
          <w:szCs w:val="24"/>
          <w:lang w:val="en-US" w:eastAsia="zh-CN" w:bidi="ar-SA"/>
        </w:rPr>
        <w:t>3</w:t>
      </w:r>
      <w:r>
        <w:rPr>
          <w:rFonts w:hint="eastAsia" w:hAnsi="宋体" w:cs="Times New Roman"/>
          <w:color w:val="auto"/>
          <w:sz w:val="24"/>
          <w:szCs w:val="24"/>
          <w:lang w:val="en-US" w:eastAsia="zh-CN" w:bidi="ar-SA"/>
        </w:rPr>
        <w:t>.4</w:t>
      </w:r>
      <w:r>
        <w:rPr>
          <w:rFonts w:hint="eastAsia" w:ascii="宋体" w:hAnsi="宋体" w:cs="Times New Roman" w:eastAsiaTheme="minorEastAsia"/>
          <w:color w:val="auto"/>
          <w:sz w:val="24"/>
          <w:szCs w:val="24"/>
          <w:lang w:val="en-US" w:eastAsia="zh-CN" w:bidi="ar-SA"/>
        </w:rPr>
        <w:t xml:space="preserve"> 本次招标实行资格后审。</w:t>
      </w:r>
    </w:p>
    <w:p>
      <w:pPr>
        <w:widowControl/>
        <w:spacing w:line="360" w:lineRule="auto"/>
        <w:rPr>
          <w:rFonts w:hAnsi="宋体"/>
          <w:b/>
          <w:color w:val="auto"/>
          <w:sz w:val="24"/>
        </w:rPr>
      </w:pPr>
      <w:r>
        <w:rPr>
          <w:rFonts w:hint="eastAsia" w:hAnsi="宋体"/>
          <w:b/>
          <w:color w:val="auto"/>
          <w:sz w:val="24"/>
        </w:rPr>
        <w:t>4、网上下载招标文件</w:t>
      </w:r>
    </w:p>
    <w:p>
      <w:pPr>
        <w:pStyle w:val="11"/>
        <w:wordWrap w:val="0"/>
        <w:spacing w:before="0" w:beforeAutospacing="0" w:after="0" w:afterAutospacing="0" w:line="360" w:lineRule="auto"/>
        <w:ind w:firstLine="480" w:firstLineChars="200"/>
        <w:rPr>
          <w:rFonts w:cs="Times New Roman"/>
          <w:color w:val="auto"/>
          <w:szCs w:val="24"/>
        </w:rPr>
      </w:pPr>
      <w:r>
        <w:rPr>
          <w:rFonts w:hint="eastAsia" w:cs="Times New Roman"/>
          <w:color w:val="auto"/>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11"/>
        <w:wordWrap w:val="0"/>
        <w:spacing w:before="0" w:beforeAutospacing="0" w:after="0" w:afterAutospacing="0" w:line="360" w:lineRule="auto"/>
        <w:ind w:firstLine="480" w:firstLineChars="200"/>
        <w:rPr>
          <w:rFonts w:cs="Times New Roman"/>
          <w:color w:val="auto"/>
          <w:szCs w:val="24"/>
        </w:rPr>
      </w:pPr>
      <w:r>
        <w:rPr>
          <w:rFonts w:hint="eastAsia" w:cs="Times New Roman"/>
          <w:color w:val="auto"/>
          <w:szCs w:val="24"/>
        </w:rPr>
        <w:t>4.2在投标截止时间前登录《全国公共资源交易平台（河南省·许昌市）》“投标人/供应商登录”入口（http://221.14.6.70:8088/ggzy/）自行下载招标文件（详见“常见问题解答-交易系统操作手册”）。</w:t>
      </w:r>
    </w:p>
    <w:p>
      <w:pPr>
        <w:autoSpaceDE w:val="0"/>
        <w:autoSpaceDN w:val="0"/>
        <w:adjustRightInd w:val="0"/>
        <w:spacing w:line="360" w:lineRule="auto"/>
        <w:rPr>
          <w:rFonts w:hAnsi="宋体"/>
          <w:b/>
          <w:color w:val="auto"/>
          <w:sz w:val="24"/>
        </w:rPr>
      </w:pPr>
      <w:r>
        <w:rPr>
          <w:rFonts w:hint="eastAsia" w:hAnsi="宋体"/>
          <w:b/>
          <w:color w:val="auto"/>
          <w:sz w:val="24"/>
        </w:rPr>
        <w:t>5</w:t>
      </w:r>
      <w:r>
        <w:rPr>
          <w:rFonts w:hint="eastAsia" w:hAnsi="宋体"/>
          <w:b/>
          <w:color w:val="auto"/>
          <w:sz w:val="24"/>
          <w:lang w:eastAsia="zh-CN"/>
        </w:rPr>
        <w:t>、</w:t>
      </w:r>
      <w:r>
        <w:rPr>
          <w:rFonts w:hint="eastAsia" w:hAnsi="宋体"/>
          <w:b/>
          <w:color w:val="auto"/>
          <w:sz w:val="24"/>
        </w:rPr>
        <w:t xml:space="preserve">招标文件和施工图纸的获取                                                                                                                                                                                                                                 </w:t>
      </w:r>
    </w:p>
    <w:p>
      <w:pPr>
        <w:widowControl/>
        <w:spacing w:line="360" w:lineRule="auto"/>
        <w:ind w:firstLine="480" w:firstLineChars="200"/>
        <w:rPr>
          <w:rFonts w:hAnsi="宋体"/>
          <w:bCs/>
          <w:color w:val="auto"/>
          <w:sz w:val="24"/>
        </w:rPr>
      </w:pPr>
      <w:r>
        <w:rPr>
          <w:rFonts w:hint="eastAsia" w:hAnsi="宋体"/>
          <w:bCs/>
          <w:color w:val="auto"/>
          <w:sz w:val="24"/>
        </w:rPr>
        <w:t xml:space="preserve"> 5.1招标文件和工程量清单的获取：投标人于投标文件递交截止时间前均可登录《全国公共资源交易平台(河南省▪许昌市)》（http://ggzy.xuchang.gov.cn/），通过“投标人/供应商登录” 入口自行下载。</w:t>
      </w:r>
    </w:p>
    <w:p>
      <w:pPr>
        <w:widowControl/>
        <w:spacing w:line="360" w:lineRule="auto"/>
        <w:ind w:firstLine="480" w:firstLineChars="200"/>
        <w:rPr>
          <w:rFonts w:hint="eastAsia" w:hAnsi="宋体"/>
          <w:bCs/>
          <w:color w:val="auto"/>
          <w:sz w:val="24"/>
        </w:rPr>
      </w:pPr>
      <w:r>
        <w:rPr>
          <w:rFonts w:hint="eastAsia" w:hAnsi="宋体"/>
          <w:bCs/>
          <w:color w:val="auto"/>
          <w:sz w:val="24"/>
        </w:rPr>
        <w:t xml:space="preserve"> 5.2施工图纸下载：按照招标文件中第二章投标人须知前附表自行下载。</w:t>
      </w:r>
    </w:p>
    <w:p>
      <w:pPr>
        <w:widowControl/>
        <w:spacing w:line="360" w:lineRule="auto"/>
        <w:ind w:firstLine="480" w:firstLineChars="200"/>
        <w:rPr>
          <w:rFonts w:hint="eastAsia" w:hAnsi="宋体"/>
          <w:bCs/>
          <w:color w:val="auto"/>
          <w:sz w:val="24"/>
        </w:rPr>
      </w:pPr>
      <w:r>
        <w:rPr>
          <w:rFonts w:hint="eastAsia" w:hAnsi="宋体"/>
          <w:bCs/>
          <w:color w:val="auto"/>
          <w:sz w:val="24"/>
        </w:rPr>
        <w:t xml:space="preserve"> 5.3招标文件每套售价</w:t>
      </w:r>
      <w:r>
        <w:rPr>
          <w:rFonts w:hint="eastAsia" w:hAnsi="宋体"/>
          <w:bCs/>
          <w:color w:val="auto"/>
          <w:sz w:val="24"/>
          <w:lang w:val="en-US" w:eastAsia="zh-CN"/>
        </w:rPr>
        <w:t>300</w:t>
      </w:r>
      <w:r>
        <w:rPr>
          <w:rFonts w:hint="eastAsia" w:hAnsi="宋体"/>
          <w:bCs/>
          <w:color w:val="auto"/>
          <w:sz w:val="24"/>
        </w:rPr>
        <w:t>元，投标人于开标结束后转账至支付宝账户：13243333750（转账时请备注项目编号、所属标段及公司名称）。</w:t>
      </w:r>
    </w:p>
    <w:p>
      <w:pPr>
        <w:widowControl/>
        <w:numPr>
          <w:ilvl w:val="0"/>
          <w:numId w:val="0"/>
        </w:numPr>
        <w:spacing w:line="312" w:lineRule="auto"/>
        <w:rPr>
          <w:rFonts w:hAnsi="宋体"/>
          <w:b/>
          <w:color w:val="auto"/>
          <w:sz w:val="24"/>
        </w:rPr>
      </w:pPr>
      <w:r>
        <w:rPr>
          <w:rFonts w:hint="eastAsia" w:hAnsi="宋体"/>
          <w:b/>
          <w:color w:val="auto"/>
          <w:sz w:val="24"/>
          <w:lang w:val="en-US" w:eastAsia="zh-CN"/>
        </w:rPr>
        <w:t>6、</w:t>
      </w:r>
      <w:r>
        <w:rPr>
          <w:rFonts w:hint="eastAsia" w:hAnsi="宋体"/>
          <w:b/>
          <w:color w:val="auto"/>
          <w:sz w:val="24"/>
        </w:rPr>
        <w:t>投标文件的递交</w:t>
      </w:r>
    </w:p>
    <w:p>
      <w:pPr>
        <w:spacing w:line="530" w:lineRule="exact"/>
        <w:ind w:firstLine="465"/>
        <w:rPr>
          <w:rFonts w:hAnsi="宋体" w:cs="宋体"/>
          <w:color w:val="auto"/>
          <w:sz w:val="24"/>
          <w:szCs w:val="24"/>
        </w:rPr>
      </w:pPr>
      <w:r>
        <w:rPr>
          <w:rFonts w:hAnsi="宋体"/>
          <w:bCs/>
          <w:color w:val="auto"/>
          <w:sz w:val="24"/>
        </w:rPr>
        <w:t>6</w:t>
      </w:r>
      <w:r>
        <w:rPr>
          <w:rFonts w:hint="eastAsia" w:hAnsi="宋体"/>
          <w:bCs/>
          <w:color w:val="auto"/>
          <w:sz w:val="24"/>
        </w:rPr>
        <w:t>.1 本项目为全流程电子化交易项目，</w:t>
      </w:r>
      <w:r>
        <w:rPr>
          <w:rFonts w:hint="eastAsia" w:hAnsi="宋体"/>
          <w:bCs/>
          <w:color w:val="auto"/>
          <w:sz w:val="24"/>
          <w:lang w:val="en-US" w:eastAsia="zh-CN"/>
        </w:rPr>
        <w:t>投标人应按规定在</w:t>
      </w:r>
      <w:r>
        <w:rPr>
          <w:rFonts w:hint="eastAsia" w:hAnsi="宋体"/>
          <w:bCs/>
          <w:color w:val="auto"/>
          <w:sz w:val="24"/>
        </w:rPr>
        <w:t>投标</w:t>
      </w:r>
      <w:r>
        <w:rPr>
          <w:rFonts w:hint="eastAsia" w:hAnsi="宋体"/>
          <w:bCs/>
          <w:color w:val="auto"/>
          <w:sz w:val="24"/>
          <w:lang w:val="en-US" w:eastAsia="zh-CN"/>
        </w:rPr>
        <w:t>截止时间（同开标时间）前通过</w:t>
      </w:r>
      <w:r>
        <w:rPr>
          <w:rFonts w:hint="eastAsia" w:hAnsi="宋体"/>
          <w:bCs/>
          <w:color w:val="auto"/>
          <w:sz w:val="24"/>
        </w:rPr>
        <w:t>《全国公共资源交易平台(河南省▪许昌市)》公共资源交易系统</w:t>
      </w:r>
      <w:r>
        <w:rPr>
          <w:rFonts w:hint="eastAsia" w:hAnsi="宋体"/>
          <w:bCs/>
          <w:color w:val="auto"/>
          <w:sz w:val="24"/>
          <w:lang w:val="en-US" w:eastAsia="zh-CN"/>
        </w:rPr>
        <w:t>成功上传本项目加密电子投标文件</w:t>
      </w:r>
      <w:r>
        <w:rPr>
          <w:rFonts w:hint="eastAsia" w:hAnsi="宋体"/>
          <w:bCs/>
          <w:color w:val="auto"/>
          <w:sz w:val="24"/>
        </w:rPr>
        <w:t>。</w:t>
      </w:r>
    </w:p>
    <w:p>
      <w:pPr>
        <w:widowControl/>
        <w:spacing w:line="360" w:lineRule="auto"/>
        <w:ind w:firstLine="480" w:firstLineChars="200"/>
        <w:rPr>
          <w:rFonts w:hAnsi="宋体"/>
          <w:bCs/>
          <w:color w:val="auto"/>
          <w:sz w:val="24"/>
          <w:szCs w:val="22"/>
        </w:rPr>
      </w:pPr>
      <w:r>
        <w:rPr>
          <w:rFonts w:hint="eastAsia" w:hAnsi="宋体"/>
          <w:bCs/>
          <w:color w:val="auto"/>
          <w:sz w:val="24"/>
        </w:rPr>
        <w:t>6.2 投标截止时间及开</w:t>
      </w:r>
      <w:r>
        <w:rPr>
          <w:rFonts w:hint="eastAsia" w:hAnsi="宋体"/>
          <w:bCs/>
          <w:color w:val="auto"/>
          <w:sz w:val="24"/>
          <w:szCs w:val="22"/>
        </w:rPr>
        <w:t>标时间：2020年</w:t>
      </w:r>
      <w:r>
        <w:rPr>
          <w:rFonts w:hint="eastAsia" w:hAnsi="宋体"/>
          <w:bCs/>
          <w:color w:val="auto"/>
          <w:sz w:val="24"/>
          <w:szCs w:val="22"/>
          <w:lang w:val="en-US" w:eastAsia="zh-CN"/>
        </w:rPr>
        <w:t>5</w:t>
      </w:r>
      <w:r>
        <w:rPr>
          <w:rFonts w:hint="eastAsia" w:hAnsi="宋体"/>
          <w:bCs/>
          <w:color w:val="auto"/>
          <w:sz w:val="24"/>
          <w:szCs w:val="22"/>
        </w:rPr>
        <w:t>月</w:t>
      </w:r>
      <w:r>
        <w:rPr>
          <w:rFonts w:hint="eastAsia" w:hAnsi="宋体"/>
          <w:bCs/>
          <w:color w:val="auto"/>
          <w:sz w:val="24"/>
          <w:szCs w:val="22"/>
          <w:lang w:val="en-US" w:eastAsia="zh-CN"/>
        </w:rPr>
        <w:t>25</w:t>
      </w:r>
      <w:r>
        <w:rPr>
          <w:rFonts w:hint="eastAsia" w:hAnsi="宋体"/>
          <w:bCs/>
          <w:color w:val="auto"/>
          <w:sz w:val="24"/>
          <w:szCs w:val="22"/>
        </w:rPr>
        <w:t>日</w:t>
      </w:r>
      <w:r>
        <w:rPr>
          <w:rFonts w:hint="eastAsia" w:hAnsi="宋体"/>
          <w:bCs/>
          <w:color w:val="auto"/>
          <w:sz w:val="24"/>
          <w:szCs w:val="22"/>
          <w:lang w:val="en-US" w:eastAsia="zh-CN"/>
        </w:rPr>
        <w:t>8</w:t>
      </w:r>
      <w:r>
        <w:rPr>
          <w:rFonts w:hint="eastAsia" w:hAnsi="宋体"/>
          <w:bCs/>
          <w:color w:val="auto"/>
          <w:sz w:val="24"/>
          <w:szCs w:val="22"/>
        </w:rPr>
        <w:t>时</w:t>
      </w:r>
      <w:r>
        <w:rPr>
          <w:rFonts w:hint="eastAsia" w:hAnsi="宋体"/>
          <w:bCs/>
          <w:color w:val="auto"/>
          <w:sz w:val="24"/>
          <w:szCs w:val="22"/>
          <w:lang w:val="en-US" w:eastAsia="zh-CN"/>
        </w:rPr>
        <w:t>30</w:t>
      </w:r>
      <w:r>
        <w:rPr>
          <w:rFonts w:hint="eastAsia" w:hAnsi="宋体"/>
          <w:bCs/>
          <w:color w:val="auto"/>
          <w:sz w:val="24"/>
          <w:szCs w:val="22"/>
        </w:rPr>
        <w:t>分。</w:t>
      </w:r>
    </w:p>
    <w:p>
      <w:pPr>
        <w:widowControl/>
        <w:spacing w:line="360" w:lineRule="auto"/>
        <w:ind w:firstLine="480" w:firstLineChars="200"/>
        <w:rPr>
          <w:rFonts w:hint="default" w:hAnsi="宋体"/>
          <w:bCs/>
          <w:color w:val="auto"/>
          <w:sz w:val="24"/>
          <w:szCs w:val="22"/>
          <w:lang w:val="en-US" w:eastAsia="zh-CN"/>
        </w:rPr>
      </w:pPr>
      <w:r>
        <w:rPr>
          <w:rFonts w:hint="eastAsia" w:hAnsi="宋体"/>
          <w:bCs/>
          <w:color w:val="auto"/>
          <w:sz w:val="24"/>
        </w:rPr>
        <w:t>6.</w:t>
      </w:r>
      <w:r>
        <w:rPr>
          <w:rFonts w:hint="eastAsia" w:hAnsi="宋体"/>
          <w:bCs/>
          <w:color w:val="auto"/>
          <w:sz w:val="24"/>
          <w:lang w:val="en-US" w:eastAsia="zh-CN"/>
        </w:rPr>
        <w:t>3招标人（代理机构）线上开标</w:t>
      </w:r>
      <w:r>
        <w:rPr>
          <w:rFonts w:hint="eastAsia" w:hAnsi="宋体"/>
          <w:bCs/>
          <w:color w:val="auto"/>
          <w:sz w:val="24"/>
        </w:rPr>
        <w:t>地点：许昌市公共资源交易中心（龙兴路与竹林路交汇处创业服务中心C 座）三</w:t>
      </w:r>
      <w:r>
        <w:rPr>
          <w:rFonts w:hint="eastAsia" w:hAnsi="宋体"/>
          <w:bCs/>
          <w:color w:val="auto"/>
          <w:sz w:val="24"/>
          <w:szCs w:val="22"/>
        </w:rPr>
        <w:t>楼开标</w:t>
      </w:r>
      <w:r>
        <w:rPr>
          <w:rFonts w:hint="eastAsia" w:hAnsi="宋体"/>
          <w:bCs/>
          <w:color w:val="auto"/>
          <w:sz w:val="24"/>
          <w:szCs w:val="22"/>
          <w:u w:val="single"/>
          <w:lang w:val="en-US" w:eastAsia="zh-CN"/>
        </w:rPr>
        <w:t>一</w:t>
      </w:r>
      <w:r>
        <w:rPr>
          <w:rFonts w:hint="eastAsia" w:hAnsi="宋体"/>
          <w:bCs/>
          <w:color w:val="auto"/>
          <w:sz w:val="24"/>
          <w:szCs w:val="22"/>
        </w:rPr>
        <w:t>室。本项目采用远程不见面开标，投标人无须到</w:t>
      </w:r>
      <w:r>
        <w:rPr>
          <w:rFonts w:hint="eastAsia" w:hAnsi="宋体"/>
          <w:bCs/>
          <w:color w:val="auto"/>
          <w:sz w:val="24"/>
          <w:szCs w:val="22"/>
          <w:lang w:val="en-US" w:eastAsia="zh-CN"/>
        </w:rPr>
        <w:t>开标</w:t>
      </w:r>
      <w:r>
        <w:rPr>
          <w:rFonts w:hint="eastAsia" w:hAnsi="宋体"/>
          <w:bCs/>
          <w:color w:val="auto"/>
          <w:sz w:val="24"/>
          <w:szCs w:val="22"/>
        </w:rPr>
        <w:t>现场</w:t>
      </w:r>
      <w:r>
        <w:rPr>
          <w:rFonts w:hint="eastAsia" w:hAnsi="宋体"/>
          <w:bCs/>
          <w:color w:val="auto"/>
          <w:sz w:val="24"/>
          <w:szCs w:val="22"/>
          <w:lang w:val="en-US" w:eastAsia="zh-CN"/>
        </w:rPr>
        <w:t>参加开标会议</w:t>
      </w:r>
      <w:r>
        <w:rPr>
          <w:rFonts w:hint="eastAsia" w:hAnsi="宋体"/>
          <w:bCs/>
          <w:color w:val="auto"/>
          <w:sz w:val="24"/>
          <w:szCs w:val="22"/>
          <w:lang w:eastAsia="zh-CN"/>
        </w:rPr>
        <w:t>、</w:t>
      </w:r>
      <w:r>
        <w:rPr>
          <w:rFonts w:hint="eastAsia" w:hAnsi="宋体"/>
          <w:bCs/>
          <w:color w:val="auto"/>
          <w:sz w:val="24"/>
          <w:szCs w:val="22"/>
          <w:lang w:val="en-US" w:eastAsia="zh-CN"/>
        </w:rPr>
        <w:t>无须现场提交有关原件资料；投标人在开标时间前持</w:t>
      </w:r>
      <w:r>
        <w:rPr>
          <w:rFonts w:hint="eastAsia" w:hAnsi="宋体"/>
          <w:bCs/>
          <w:color w:val="auto"/>
          <w:sz w:val="24"/>
          <w:szCs w:val="22"/>
        </w:rPr>
        <w:t>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pPr>
        <w:widowControl/>
        <w:spacing w:line="360" w:lineRule="auto"/>
        <w:ind w:firstLine="480" w:firstLineChars="200"/>
        <w:rPr>
          <w:rFonts w:hAnsi="宋体"/>
          <w:bCs/>
          <w:color w:val="auto"/>
          <w:sz w:val="24"/>
        </w:rPr>
      </w:pPr>
      <w:r>
        <w:rPr>
          <w:rFonts w:hint="eastAsia" w:hAnsi="宋体"/>
          <w:bCs/>
          <w:color w:val="auto"/>
          <w:sz w:val="24"/>
        </w:rPr>
        <w:t>6.</w:t>
      </w:r>
      <w:r>
        <w:rPr>
          <w:rFonts w:hint="eastAsia" w:hAnsi="宋体"/>
          <w:bCs/>
          <w:color w:val="auto"/>
          <w:sz w:val="24"/>
          <w:lang w:val="en-US" w:eastAsia="zh-CN"/>
        </w:rPr>
        <w:t>4</w:t>
      </w:r>
      <w:r>
        <w:rPr>
          <w:rFonts w:hint="eastAsia" w:hAnsi="宋体"/>
          <w:bCs/>
          <w:color w:val="auto"/>
          <w:sz w:val="24"/>
        </w:rPr>
        <w:t>逾期送达</w:t>
      </w:r>
      <w:r>
        <w:rPr>
          <w:rFonts w:hint="eastAsia" w:hAnsi="宋体"/>
          <w:bCs/>
          <w:color w:val="auto"/>
          <w:sz w:val="24"/>
          <w:lang w:eastAsia="zh-CN"/>
        </w:rPr>
        <w:t>（</w:t>
      </w:r>
      <w:r>
        <w:rPr>
          <w:rFonts w:hint="eastAsia" w:hAnsi="宋体"/>
          <w:bCs/>
          <w:color w:val="auto"/>
          <w:sz w:val="24"/>
          <w:szCs w:val="22"/>
          <w:lang w:val="en-US" w:eastAsia="zh-CN"/>
        </w:rPr>
        <w:t>未成功上传</w:t>
      </w:r>
      <w:r>
        <w:rPr>
          <w:rFonts w:hint="eastAsia" w:hAnsi="宋体"/>
          <w:bCs/>
          <w:color w:val="auto"/>
          <w:sz w:val="24"/>
          <w:lang w:eastAsia="zh-CN"/>
        </w:rPr>
        <w:t>）</w:t>
      </w:r>
      <w:r>
        <w:rPr>
          <w:rFonts w:hint="eastAsia" w:hAnsi="宋体"/>
          <w:bCs/>
          <w:color w:val="auto"/>
          <w:sz w:val="24"/>
        </w:rPr>
        <w:t>的或者未</w:t>
      </w:r>
      <w:r>
        <w:rPr>
          <w:rFonts w:hint="eastAsia" w:hAnsi="宋体"/>
          <w:bCs/>
          <w:color w:val="auto"/>
          <w:sz w:val="24"/>
          <w:szCs w:val="22"/>
          <w:lang w:val="en-US" w:eastAsia="zh-CN"/>
        </w:rPr>
        <w:t>按规定解密的</w:t>
      </w:r>
      <w:r>
        <w:rPr>
          <w:rFonts w:hint="eastAsia" w:hAnsi="宋体" w:cs="宋体"/>
          <w:color w:val="auto"/>
          <w:sz w:val="24"/>
        </w:rPr>
        <w:t>电子投标文件</w:t>
      </w:r>
      <w:r>
        <w:rPr>
          <w:rFonts w:hint="eastAsia" w:hAnsi="宋体"/>
          <w:bCs/>
          <w:color w:val="auto"/>
          <w:sz w:val="24"/>
        </w:rPr>
        <w:t>，招标人不予受理。</w:t>
      </w:r>
    </w:p>
    <w:p>
      <w:pPr>
        <w:widowControl/>
        <w:spacing w:line="312" w:lineRule="auto"/>
        <w:rPr>
          <w:rFonts w:hAnsi="宋体"/>
          <w:b/>
          <w:color w:val="auto"/>
          <w:sz w:val="24"/>
        </w:rPr>
      </w:pPr>
      <w:r>
        <w:rPr>
          <w:rFonts w:hint="eastAsia" w:hAnsi="宋体"/>
          <w:b/>
          <w:color w:val="auto"/>
          <w:sz w:val="24"/>
        </w:rPr>
        <w:t>7</w:t>
      </w:r>
      <w:r>
        <w:rPr>
          <w:rFonts w:hint="eastAsia" w:hAnsi="宋体"/>
          <w:b/>
          <w:color w:val="auto"/>
          <w:sz w:val="24"/>
          <w:lang w:eastAsia="zh-CN"/>
        </w:rPr>
        <w:t>、</w:t>
      </w:r>
      <w:r>
        <w:rPr>
          <w:rFonts w:hint="eastAsia" w:hAnsi="宋体"/>
          <w:b/>
          <w:color w:val="auto"/>
          <w:sz w:val="24"/>
        </w:rPr>
        <w:t>发布公告的媒介</w:t>
      </w:r>
    </w:p>
    <w:p>
      <w:pPr>
        <w:widowControl/>
        <w:spacing w:line="312" w:lineRule="auto"/>
        <w:ind w:firstLine="480" w:firstLineChars="200"/>
        <w:rPr>
          <w:rFonts w:hAnsi="宋体"/>
          <w:color w:val="auto"/>
          <w:sz w:val="24"/>
        </w:rPr>
      </w:pPr>
      <w:r>
        <w:rPr>
          <w:rFonts w:hint="eastAsia" w:hAnsi="宋体"/>
          <w:color w:val="auto"/>
          <w:sz w:val="24"/>
        </w:rPr>
        <w:t>本公告同时在《全国公共资源交易平台(河南省▪许昌市</w:t>
      </w:r>
      <w:r>
        <w:rPr>
          <w:rFonts w:hAnsi="宋体"/>
          <w:color w:val="auto"/>
          <w:sz w:val="24"/>
        </w:rPr>
        <w:t>)</w:t>
      </w:r>
      <w:r>
        <w:rPr>
          <w:rFonts w:hint="eastAsia" w:hAnsi="宋体"/>
          <w:color w:val="auto"/>
          <w:sz w:val="24"/>
        </w:rPr>
        <w:t>》、《河南省电子招标投标公共服务平台》上发布。</w:t>
      </w:r>
    </w:p>
    <w:p>
      <w:pPr>
        <w:widowControl/>
        <w:spacing w:line="312" w:lineRule="auto"/>
        <w:rPr>
          <w:rFonts w:hAnsi="宋体"/>
          <w:b/>
          <w:color w:val="auto"/>
          <w:sz w:val="24"/>
        </w:rPr>
      </w:pPr>
      <w:r>
        <w:rPr>
          <w:rFonts w:hint="eastAsia" w:hAnsi="宋体"/>
          <w:b/>
          <w:color w:val="auto"/>
          <w:sz w:val="24"/>
        </w:rPr>
        <w:t>8</w:t>
      </w:r>
      <w:r>
        <w:rPr>
          <w:rFonts w:hint="eastAsia" w:hAnsi="宋体"/>
          <w:b/>
          <w:color w:val="auto"/>
          <w:sz w:val="24"/>
          <w:lang w:eastAsia="zh-CN"/>
        </w:rPr>
        <w:t>、</w:t>
      </w:r>
      <w:r>
        <w:rPr>
          <w:rFonts w:hint="eastAsia" w:hAnsi="宋体"/>
          <w:b/>
          <w:color w:val="auto"/>
          <w:sz w:val="24"/>
        </w:rPr>
        <w:t>联系事项</w:t>
      </w:r>
    </w:p>
    <w:p>
      <w:pPr>
        <w:spacing w:line="360" w:lineRule="auto"/>
        <w:ind w:firstLine="480" w:firstLineChars="200"/>
        <w:rPr>
          <w:rFonts w:hint="eastAsia" w:hAnsi="宋体"/>
          <w:color w:val="auto"/>
          <w:sz w:val="24"/>
          <w:szCs w:val="22"/>
          <w:lang w:val="en-US" w:eastAsia="zh-CN"/>
        </w:rPr>
      </w:pPr>
      <w:r>
        <w:rPr>
          <w:rFonts w:hint="eastAsia" w:hAnsi="宋体"/>
          <w:color w:val="auto"/>
          <w:sz w:val="24"/>
          <w:szCs w:val="22"/>
          <w:lang w:val="en-US" w:eastAsia="zh-CN"/>
        </w:rPr>
        <w:t>采 购 人：许昌市中心医院</w:t>
      </w:r>
    </w:p>
    <w:p>
      <w:pPr>
        <w:spacing w:line="360" w:lineRule="auto"/>
        <w:ind w:firstLine="480" w:firstLineChars="200"/>
        <w:rPr>
          <w:rFonts w:hint="eastAsia" w:hAnsi="宋体"/>
          <w:color w:val="auto"/>
          <w:sz w:val="24"/>
          <w:szCs w:val="22"/>
          <w:lang w:val="en-US" w:eastAsia="zh-CN"/>
        </w:rPr>
      </w:pPr>
      <w:r>
        <w:rPr>
          <w:rFonts w:hint="eastAsia" w:hAnsi="宋体"/>
          <w:color w:val="auto"/>
          <w:sz w:val="24"/>
          <w:szCs w:val="22"/>
          <w:lang w:val="en-US" w:eastAsia="zh-CN"/>
        </w:rPr>
        <w:t>地    址：许昌市中心医院新院区项目部</w:t>
      </w:r>
    </w:p>
    <w:p>
      <w:pPr>
        <w:spacing w:line="360" w:lineRule="auto"/>
        <w:ind w:firstLine="480" w:firstLineChars="200"/>
        <w:rPr>
          <w:rFonts w:hint="eastAsia" w:hAnsi="宋体"/>
          <w:color w:val="auto"/>
          <w:sz w:val="24"/>
          <w:szCs w:val="22"/>
          <w:lang w:val="en-US" w:eastAsia="zh-CN"/>
        </w:rPr>
      </w:pPr>
      <w:r>
        <w:rPr>
          <w:rFonts w:hint="eastAsia" w:hAnsi="宋体"/>
          <w:color w:val="auto"/>
          <w:sz w:val="24"/>
          <w:szCs w:val="22"/>
          <w:lang w:val="en-US" w:eastAsia="zh-CN"/>
        </w:rPr>
        <w:t xml:space="preserve">联 系 人： 赵女士       </w:t>
      </w:r>
    </w:p>
    <w:p>
      <w:pPr>
        <w:spacing w:line="360" w:lineRule="auto"/>
        <w:ind w:firstLine="480" w:firstLineChars="200"/>
        <w:rPr>
          <w:rFonts w:hint="eastAsia" w:hAnsi="宋体"/>
          <w:color w:val="auto"/>
          <w:sz w:val="24"/>
          <w:szCs w:val="22"/>
          <w:lang w:val="en-US" w:eastAsia="zh-CN"/>
        </w:rPr>
      </w:pPr>
      <w:r>
        <w:rPr>
          <w:rFonts w:hint="eastAsia" w:hAnsi="宋体"/>
          <w:color w:val="auto"/>
          <w:sz w:val="24"/>
          <w:szCs w:val="22"/>
          <w:lang w:val="en-US" w:eastAsia="zh-CN"/>
        </w:rPr>
        <w:t>联系电话：13027675526</w:t>
      </w:r>
    </w:p>
    <w:p>
      <w:pPr>
        <w:spacing w:line="360" w:lineRule="auto"/>
        <w:ind w:firstLine="480" w:firstLineChars="200"/>
        <w:rPr>
          <w:rFonts w:hint="eastAsia" w:hAnsi="宋体"/>
          <w:color w:val="auto"/>
          <w:sz w:val="24"/>
          <w:szCs w:val="22"/>
          <w:lang w:val="en-US" w:eastAsia="zh-CN"/>
        </w:rPr>
      </w:pPr>
      <w:r>
        <w:rPr>
          <w:rFonts w:hint="eastAsia" w:hAnsi="宋体"/>
          <w:color w:val="auto"/>
          <w:sz w:val="24"/>
          <w:szCs w:val="22"/>
          <w:lang w:val="en-US" w:eastAsia="zh-CN"/>
        </w:rPr>
        <w:t>代理机构：河南永明工程管理有限公司</w:t>
      </w:r>
    </w:p>
    <w:p>
      <w:pPr>
        <w:spacing w:line="360" w:lineRule="auto"/>
        <w:ind w:firstLine="480" w:firstLineChars="200"/>
        <w:rPr>
          <w:rFonts w:hint="eastAsia" w:hAnsi="宋体"/>
          <w:color w:val="auto"/>
          <w:sz w:val="24"/>
          <w:szCs w:val="22"/>
          <w:lang w:val="en-US" w:eastAsia="zh-CN"/>
        </w:rPr>
      </w:pPr>
      <w:r>
        <w:rPr>
          <w:rFonts w:hint="eastAsia" w:hAnsi="宋体"/>
          <w:color w:val="auto"/>
          <w:sz w:val="24"/>
          <w:szCs w:val="22"/>
          <w:lang w:val="en-US" w:eastAsia="zh-CN"/>
        </w:rPr>
        <w:t>地    址：许昌市示范区众信国际</w:t>
      </w:r>
    </w:p>
    <w:p>
      <w:pPr>
        <w:spacing w:line="360" w:lineRule="auto"/>
        <w:ind w:firstLine="480" w:firstLineChars="200"/>
        <w:rPr>
          <w:rFonts w:hint="eastAsia" w:hAnsi="宋体"/>
          <w:color w:val="auto"/>
          <w:sz w:val="24"/>
          <w:szCs w:val="22"/>
          <w:lang w:val="en-US" w:eastAsia="zh-CN"/>
        </w:rPr>
      </w:pPr>
      <w:r>
        <w:rPr>
          <w:rFonts w:hint="eastAsia" w:hAnsi="宋体"/>
          <w:color w:val="auto"/>
          <w:sz w:val="24"/>
          <w:szCs w:val="22"/>
          <w:lang w:val="en-US" w:eastAsia="zh-CN"/>
        </w:rPr>
        <w:t>联 系 人：李女士</w:t>
      </w:r>
    </w:p>
    <w:p>
      <w:pPr>
        <w:spacing w:line="360" w:lineRule="auto"/>
        <w:ind w:firstLine="480" w:firstLineChars="200"/>
        <w:rPr>
          <w:rFonts w:hAnsi="宋体"/>
          <w:color w:val="auto"/>
          <w:sz w:val="24"/>
          <w:szCs w:val="22"/>
        </w:rPr>
      </w:pPr>
      <w:r>
        <w:rPr>
          <w:rFonts w:hint="eastAsia" w:hAnsi="宋体"/>
          <w:color w:val="auto"/>
          <w:sz w:val="24"/>
          <w:szCs w:val="22"/>
          <w:lang w:val="en-US" w:eastAsia="zh-CN"/>
        </w:rPr>
        <w:t xml:space="preserve">联系电话：13243333750 </w:t>
      </w:r>
      <w:r>
        <w:rPr>
          <w:rFonts w:hint="eastAsia" w:hAnsi="宋体"/>
          <w:color w:val="auto"/>
          <w:sz w:val="24"/>
          <w:szCs w:val="22"/>
        </w:rPr>
        <w:t xml:space="preserve">     </w:t>
      </w:r>
    </w:p>
    <w:p>
      <w:pPr>
        <w:autoSpaceDE w:val="0"/>
        <w:autoSpaceDN w:val="0"/>
        <w:adjustRightInd w:val="0"/>
        <w:spacing w:line="360" w:lineRule="auto"/>
        <w:ind w:firstLine="480" w:firstLineChars="200"/>
        <w:jc w:val="left"/>
        <w:rPr>
          <w:rFonts w:hAnsi="宋体"/>
          <w:color w:val="auto"/>
          <w:sz w:val="24"/>
          <w:szCs w:val="24"/>
        </w:rPr>
      </w:pPr>
    </w:p>
    <w:p>
      <w:pPr>
        <w:spacing w:line="360" w:lineRule="auto"/>
        <w:jc w:val="center"/>
        <w:rPr>
          <w:rFonts w:hint="eastAsia" w:hAnsi="宋体"/>
          <w:b w:val="0"/>
          <w:bCs/>
          <w:color w:val="auto"/>
          <w:sz w:val="28"/>
          <w:szCs w:val="28"/>
        </w:rPr>
      </w:pPr>
      <w:r>
        <w:rPr>
          <w:rFonts w:hint="eastAsia" w:hAnsi="宋体"/>
          <w:b w:val="0"/>
          <w:bCs/>
          <w:color w:val="auto"/>
          <w:sz w:val="28"/>
          <w:szCs w:val="28"/>
          <w:lang w:val="en-US" w:eastAsia="zh-CN"/>
        </w:rPr>
        <w:t xml:space="preserve">                                                  </w:t>
      </w:r>
      <w:r>
        <w:rPr>
          <w:rFonts w:hint="eastAsia" w:hAnsi="宋体"/>
          <w:b w:val="0"/>
          <w:bCs/>
          <w:color w:val="auto"/>
          <w:sz w:val="28"/>
          <w:szCs w:val="28"/>
        </w:rPr>
        <w:t>许昌市中心医院</w:t>
      </w:r>
    </w:p>
    <w:p>
      <w:pPr>
        <w:spacing w:line="360" w:lineRule="auto"/>
        <w:jc w:val="right"/>
        <w:rPr>
          <w:rFonts w:hint="eastAsia" w:hAnsi="宋体"/>
          <w:b w:val="0"/>
          <w:bCs/>
          <w:color w:val="auto"/>
          <w:sz w:val="28"/>
          <w:szCs w:val="28"/>
        </w:rPr>
      </w:pPr>
      <w:r>
        <w:rPr>
          <w:rFonts w:hint="eastAsia" w:hAnsi="宋体"/>
          <w:b w:val="0"/>
          <w:bCs/>
          <w:color w:val="auto"/>
          <w:sz w:val="28"/>
          <w:szCs w:val="28"/>
        </w:rPr>
        <w:t>2020年</w:t>
      </w:r>
      <w:r>
        <w:rPr>
          <w:rFonts w:hint="eastAsia" w:hAnsi="宋体"/>
          <w:b w:val="0"/>
          <w:bCs/>
          <w:color w:val="auto"/>
          <w:sz w:val="28"/>
          <w:szCs w:val="28"/>
          <w:lang w:val="en-US" w:eastAsia="zh-CN"/>
        </w:rPr>
        <w:t>4</w:t>
      </w:r>
      <w:r>
        <w:rPr>
          <w:rFonts w:hint="eastAsia" w:hAnsi="宋体"/>
          <w:b w:val="0"/>
          <w:bCs/>
          <w:color w:val="auto"/>
          <w:sz w:val="28"/>
          <w:szCs w:val="28"/>
        </w:rPr>
        <w:t>月</w:t>
      </w:r>
      <w:r>
        <w:rPr>
          <w:rFonts w:hint="eastAsia" w:hAnsi="宋体"/>
          <w:b w:val="0"/>
          <w:bCs/>
          <w:color w:val="auto"/>
          <w:sz w:val="28"/>
          <w:szCs w:val="28"/>
          <w:lang w:val="en-US" w:eastAsia="zh-CN"/>
        </w:rPr>
        <w:t>28</w:t>
      </w:r>
      <w:r>
        <w:rPr>
          <w:rFonts w:hint="eastAsia" w:hAnsi="宋体"/>
          <w:b w:val="0"/>
          <w:bCs/>
          <w:color w:val="auto"/>
          <w:sz w:val="28"/>
          <w:szCs w:val="28"/>
        </w:rPr>
        <w:t>日</w:t>
      </w:r>
    </w:p>
    <w:p>
      <w:pPr>
        <w:spacing w:line="360" w:lineRule="auto"/>
        <w:rPr>
          <w:rFonts w:hint="eastAsia" w:hAnsi="宋体"/>
          <w:b/>
          <w:color w:val="auto"/>
          <w:sz w:val="28"/>
          <w:szCs w:val="28"/>
        </w:rPr>
      </w:pPr>
    </w:p>
    <w:p>
      <w:pPr>
        <w:spacing w:line="360" w:lineRule="auto"/>
        <w:rPr>
          <w:rFonts w:hint="eastAsia" w:hAnsi="宋体"/>
          <w:b/>
          <w:color w:val="auto"/>
          <w:sz w:val="28"/>
          <w:szCs w:val="28"/>
        </w:rPr>
      </w:pPr>
    </w:p>
    <w:p>
      <w:pPr>
        <w:spacing w:line="360" w:lineRule="auto"/>
        <w:rPr>
          <w:rFonts w:hint="eastAsia" w:hAnsi="宋体"/>
          <w:b/>
          <w:color w:val="auto"/>
          <w:sz w:val="28"/>
          <w:szCs w:val="28"/>
        </w:rPr>
      </w:pPr>
    </w:p>
    <w:p>
      <w:pPr>
        <w:spacing w:line="360" w:lineRule="auto"/>
        <w:rPr>
          <w:rFonts w:hint="eastAsia" w:hAnsi="宋体"/>
          <w:b/>
          <w:color w:val="auto"/>
          <w:sz w:val="28"/>
          <w:szCs w:val="28"/>
        </w:rPr>
      </w:pPr>
    </w:p>
    <w:p>
      <w:pPr>
        <w:spacing w:line="440" w:lineRule="exact"/>
        <w:rPr>
          <w:rFonts w:hint="eastAsia" w:hAnsi="宋体"/>
          <w:b/>
          <w:sz w:val="28"/>
          <w:szCs w:val="28"/>
        </w:rPr>
      </w:pPr>
      <w:bookmarkStart w:id="0" w:name="_Toc215282124"/>
    </w:p>
    <w:p>
      <w:pPr>
        <w:spacing w:line="440" w:lineRule="exact"/>
        <w:rPr>
          <w:rFonts w:hint="eastAsia" w:hAnsi="宋体"/>
          <w:b/>
          <w:sz w:val="28"/>
          <w:szCs w:val="28"/>
        </w:rPr>
      </w:pPr>
    </w:p>
    <w:p>
      <w:pPr>
        <w:rPr>
          <w:rFonts w:hint="eastAsia" w:hAnsi="宋体"/>
          <w:b/>
          <w:sz w:val="28"/>
          <w:szCs w:val="28"/>
        </w:rPr>
      </w:pPr>
      <w:r>
        <w:rPr>
          <w:rFonts w:hint="eastAsia" w:hAnsi="宋体"/>
          <w:b/>
          <w:sz w:val="28"/>
          <w:szCs w:val="28"/>
        </w:rPr>
        <w:br w:type="page"/>
      </w:r>
    </w:p>
    <w:p>
      <w:pPr>
        <w:spacing w:line="440" w:lineRule="exact"/>
        <w:rPr>
          <w:rFonts w:hAnsi="宋体"/>
          <w:b/>
          <w:sz w:val="28"/>
          <w:szCs w:val="28"/>
        </w:rPr>
      </w:pPr>
      <w:r>
        <w:rPr>
          <w:rFonts w:hint="eastAsia" w:hAnsi="宋体"/>
          <w:b/>
          <w:sz w:val="28"/>
          <w:szCs w:val="28"/>
        </w:rPr>
        <w:t>温馨提示：</w:t>
      </w:r>
    </w:p>
    <w:p>
      <w:pPr>
        <w:spacing w:line="560" w:lineRule="exact"/>
        <w:ind w:firstLine="480" w:firstLineChars="200"/>
        <w:rPr>
          <w:rFonts w:hAnsi="宋体"/>
          <w:sz w:val="24"/>
          <w:szCs w:val="24"/>
        </w:rPr>
      </w:pPr>
      <w:r>
        <w:rPr>
          <w:rFonts w:hint="eastAsia" w:hAnsi="宋体"/>
          <w:b/>
          <w:sz w:val="24"/>
          <w:szCs w:val="24"/>
        </w:rPr>
        <w:t>本项目为全流程电子化交易项目，请认真阅读招标文件，并注意以下事项。</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1.投标人应按招标文件规定编制、提交、解密电子投标文件。</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2.电子文件下载、制作、提交期间和远程不见面开标（电子投标文件的解密）环节，投标人须使用同一个CA数字证书（证书须在有效期内并可正常使用）。</w:t>
      </w:r>
    </w:p>
    <w:p>
      <w:pPr>
        <w:tabs>
          <w:tab w:val="left" w:pos="7095"/>
        </w:tabs>
        <w:spacing w:line="560" w:lineRule="exact"/>
        <w:ind w:firstLine="480" w:firstLineChars="200"/>
        <w:contextualSpacing/>
        <w:rPr>
          <w:rFonts w:asciiTheme="minorEastAsia" w:hAnsiTheme="minorEastAsia"/>
          <w:b/>
          <w:sz w:val="24"/>
          <w:szCs w:val="24"/>
        </w:rPr>
      </w:pPr>
      <w:r>
        <w:rPr>
          <w:rFonts w:hint="eastAsia" w:asciiTheme="minorEastAsia" w:hAnsiTheme="minorEastAsia"/>
          <w:b/>
          <w:sz w:val="24"/>
          <w:szCs w:val="24"/>
        </w:rPr>
        <w:t>3.电子投标文件的制作</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3.1 投标人登录《全国公共资源交易平台(河南省▪许昌市)》公共资源交易系统（</w:t>
      </w:r>
      <w:r>
        <w:rPr>
          <w:rFonts w:hint="eastAsia" w:asciiTheme="minorEastAsia" w:hAnsiTheme="minorEastAsia"/>
          <w:sz w:val="24"/>
          <w:szCs w:val="24"/>
        </w:rPr>
        <w:fldChar w:fldCharType="begin"/>
      </w:r>
      <w:r>
        <w:rPr>
          <w:rFonts w:hint="eastAsia" w:asciiTheme="minorEastAsia" w:hAnsiTheme="minorEastAsia"/>
          <w:sz w:val="24"/>
          <w:szCs w:val="24"/>
        </w:rPr>
        <w:instrText xml:space="preserve"> HYPERLINK "http://221.14.6.70:8088/ggzy/" </w:instrText>
      </w:r>
      <w:r>
        <w:rPr>
          <w:rFonts w:hint="eastAsia" w:asciiTheme="minorEastAsia" w:hAnsiTheme="minorEastAsia"/>
          <w:sz w:val="24"/>
          <w:szCs w:val="24"/>
        </w:rPr>
        <w:fldChar w:fldCharType="separate"/>
      </w:r>
      <w:r>
        <w:rPr>
          <w:rFonts w:hint="eastAsia" w:asciiTheme="minorEastAsia" w:hAnsiTheme="minorEastAsia"/>
          <w:sz w:val="24"/>
          <w:szCs w:val="24"/>
        </w:rPr>
        <w:t>http://221.14.6.70:8088/ggzy/</w:t>
      </w:r>
      <w:r>
        <w:rPr>
          <w:rFonts w:hint="eastAsia" w:asciiTheme="minorEastAsia" w:hAnsiTheme="minorEastAsia"/>
          <w:sz w:val="24"/>
          <w:szCs w:val="24"/>
        </w:rPr>
        <w:fldChar w:fldCharType="end"/>
      </w:r>
      <w:r>
        <w:rPr>
          <w:rFonts w:hint="eastAsia" w:asciiTheme="minorEastAsia" w:hAnsiTheme="minorEastAsia"/>
          <w:sz w:val="24"/>
          <w:szCs w:val="24"/>
        </w:rPr>
        <w:t>）下载“许昌投标文件制作系统SEARUN 最新版本”，按招标文件要求制作电子投标文件。</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电子投标文件的制作，参考《全国公共资源交易平台(河南省▪许昌市)》公共资源交易系统——组件下载——交易系统操作手册（投标人、供应商）。</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3.2 投标人须将招标文件要求的资质、业绩、荣誉及相关人员证明材料等资料原件扫描件（或图片）制作到所提交的电子投标文件中。</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一个标段对应生成一个文件夹（xxxx项目xx标段）,其中后缀名为“.file”的文件用于电子投标使用。</w:t>
      </w:r>
    </w:p>
    <w:p>
      <w:pPr>
        <w:autoSpaceDE w:val="0"/>
        <w:autoSpaceDN w:val="0"/>
        <w:adjustRightInd w:val="0"/>
        <w:spacing w:line="340" w:lineRule="exact"/>
        <w:ind w:firstLine="480" w:firstLineChars="200"/>
        <w:rPr>
          <w:rFonts w:hAnsi="宋体"/>
          <w:b/>
          <w:bCs/>
          <w:sz w:val="24"/>
        </w:rPr>
      </w:pPr>
      <w:r>
        <w:rPr>
          <w:rFonts w:hint="eastAsia" w:hAnsi="宋体" w:cs="宋体"/>
          <w:b/>
          <w:bCs/>
          <w:sz w:val="24"/>
        </w:rPr>
        <w:t>4.投标保证金的提交</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4.1使用银行转帐方式提交的，投标人通过基本账户将款项一次足额递交、成功绑定，以收款人到账时间为准。</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4.1.1投标人网上下载招标文件并根据每个标段的缴纳说明单在开标截止时间前提交。每个投标人每个项目每个标段只有唯一缴纳账号，切勿重复缴纳或错误缴纳。</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4.1.2提交后再次登录</w:t>
      </w:r>
      <w:r>
        <w:rPr>
          <w:rFonts w:hint="eastAsia" w:asciiTheme="minorEastAsia" w:hAnsiTheme="minorEastAsia"/>
          <w:sz w:val="24"/>
          <w:szCs w:val="24"/>
        </w:rPr>
        <w:fldChar w:fldCharType="begin"/>
      </w:r>
      <w:r>
        <w:rPr>
          <w:rFonts w:hint="eastAsia" w:asciiTheme="minorEastAsia" w:hAnsiTheme="minorEastAsia"/>
          <w:sz w:val="24"/>
          <w:szCs w:val="24"/>
        </w:rPr>
        <w:instrText xml:space="preserve"> HYPERLINK "http://221.14.6.70:8088/ggzy" </w:instrText>
      </w:r>
      <w:r>
        <w:rPr>
          <w:rFonts w:hint="eastAsia" w:asciiTheme="minorEastAsia" w:hAnsiTheme="minorEastAsia"/>
          <w:sz w:val="24"/>
          <w:szCs w:val="24"/>
        </w:rPr>
        <w:fldChar w:fldCharType="separate"/>
      </w:r>
      <w:r>
        <w:rPr>
          <w:rFonts w:hint="eastAsia" w:asciiTheme="minorEastAsia" w:hAnsiTheme="minorEastAsia"/>
          <w:sz w:val="24"/>
          <w:szCs w:val="24"/>
        </w:rPr>
        <w:t>http://221.14.6.70:8088/ggzy</w:t>
      </w:r>
      <w:r>
        <w:rPr>
          <w:rFonts w:hint="eastAsia" w:asciiTheme="minorEastAsia" w:hAnsiTheme="minorEastAsia"/>
          <w:sz w:val="24"/>
          <w:szCs w:val="24"/>
        </w:rPr>
        <w:fldChar w:fldCharType="end"/>
      </w:r>
      <w:r>
        <w:rPr>
          <w:rFonts w:hint="eastAsia" w:asciiTheme="minorEastAsia" w:hAnsiTheme="minorEastAsia"/>
          <w:sz w:val="24"/>
          <w:szCs w:val="24"/>
        </w:rPr>
        <w:t>系统，依次点击“会员向导”→“参与投标”→“保证金绑定”→“绑定”进行投标保证金绑定，前述系统显示“许昌公共资源交易中心保证金缴纳回执”表示投标保证金提交完成。未绑定标段的投标保证金，视为未按规定提交。</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4.1.3投标人按照所投项目及标段将缴纳凭证“许昌公共资源交易中心保证金缴纳回执”附于投标文件中。</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4.2使用银行保函方式提交的，投标人办理银行保函，银行保函应明确所投项目名称、项目编号及标段、受益人（招标人）、有效期（不低于本项目投标有效期）、担保金额（不低于本项目本标段投标保证金数额）。投标人应将银行保函原件扫描件附于投标文件中，否则视为未按规定提交投标保证金。</w:t>
      </w:r>
    </w:p>
    <w:p>
      <w:pPr>
        <w:tabs>
          <w:tab w:val="left" w:pos="7095"/>
        </w:tabs>
        <w:spacing w:line="560" w:lineRule="exact"/>
        <w:ind w:firstLine="480" w:firstLineChars="200"/>
        <w:contextualSpacing/>
        <w:rPr>
          <w:rFonts w:asciiTheme="minorEastAsia" w:hAnsiTheme="minorEastAsia"/>
          <w:b/>
          <w:sz w:val="24"/>
          <w:szCs w:val="24"/>
        </w:rPr>
      </w:pPr>
      <w:r>
        <w:rPr>
          <w:rFonts w:hint="eastAsia" w:asciiTheme="minorEastAsia" w:hAnsiTheme="minorEastAsia"/>
          <w:b/>
          <w:sz w:val="24"/>
          <w:szCs w:val="24"/>
        </w:rPr>
        <w:t>5.加密电子投标文件的提交</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5.1电子投标文件应在规定的投标截止时间（开标时间）之前成功提交至【全国公共资源交易平台(河南省▪许昌市)】公共资源交易系统（</w:t>
      </w:r>
      <w:r>
        <w:rPr>
          <w:rFonts w:hint="eastAsia" w:asciiTheme="minorEastAsia" w:hAnsiTheme="minorEastAsia"/>
          <w:sz w:val="24"/>
          <w:szCs w:val="24"/>
        </w:rPr>
        <w:fldChar w:fldCharType="begin"/>
      </w:r>
      <w:r>
        <w:rPr>
          <w:rFonts w:hint="eastAsia" w:asciiTheme="minorEastAsia" w:hAnsiTheme="minorEastAsia"/>
          <w:sz w:val="24"/>
          <w:szCs w:val="24"/>
        </w:rPr>
        <w:instrText xml:space="preserve"> HYPERLINK "http://221.14.6.70:8088/ggzy/" </w:instrText>
      </w:r>
      <w:r>
        <w:rPr>
          <w:rFonts w:hint="eastAsia" w:asciiTheme="minorEastAsia" w:hAnsiTheme="minorEastAsia"/>
          <w:sz w:val="24"/>
          <w:szCs w:val="24"/>
        </w:rPr>
        <w:fldChar w:fldCharType="separate"/>
      </w:r>
      <w:r>
        <w:rPr>
          <w:rFonts w:hint="eastAsia" w:asciiTheme="minorEastAsia" w:hAnsiTheme="minorEastAsia"/>
          <w:sz w:val="24"/>
          <w:szCs w:val="24"/>
        </w:rPr>
        <w:t>http://221.14.6.70:8088/ggzy/</w:t>
      </w:r>
      <w:r>
        <w:rPr>
          <w:rFonts w:hint="eastAsia" w:asciiTheme="minorEastAsia" w:hAnsiTheme="minorEastAsia"/>
          <w:sz w:val="24"/>
          <w:szCs w:val="24"/>
        </w:rPr>
        <w:fldChar w:fldCharType="end"/>
      </w:r>
      <w:r>
        <w:rPr>
          <w:rFonts w:hint="eastAsia" w:asciiTheme="minorEastAsia" w:hAnsiTheme="minorEastAsia"/>
          <w:sz w:val="24"/>
          <w:szCs w:val="24"/>
        </w:rPr>
        <w:t>）。</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投标人应充分考虑并预留技术处理和上传数据所需时间。</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5.2 投标人对同一项目多个标段进行投标的，电子投标文件应按标段分别提交。</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5.3加密电子投标文件成功提交后，《全国公共资源交易平台（河南省·许昌市）》公共资源交易系统（</w:t>
      </w:r>
      <w:r>
        <w:rPr>
          <w:rFonts w:hint="eastAsia" w:asciiTheme="minorEastAsia" w:hAnsiTheme="minorEastAsia"/>
          <w:sz w:val="24"/>
          <w:szCs w:val="24"/>
        </w:rPr>
        <w:fldChar w:fldCharType="begin"/>
      </w:r>
      <w:r>
        <w:rPr>
          <w:rFonts w:hint="eastAsia" w:asciiTheme="minorEastAsia" w:hAnsiTheme="minorEastAsia"/>
          <w:sz w:val="24"/>
          <w:szCs w:val="24"/>
        </w:rPr>
        <w:instrText xml:space="preserve"> HYPERLINK "http://221.14.6.70" </w:instrText>
      </w:r>
      <w:r>
        <w:rPr>
          <w:rFonts w:hint="eastAsia" w:asciiTheme="minorEastAsia" w:hAnsiTheme="minorEastAsia"/>
          <w:sz w:val="24"/>
          <w:szCs w:val="24"/>
        </w:rPr>
        <w:fldChar w:fldCharType="separate"/>
      </w:r>
      <w:r>
        <w:rPr>
          <w:rFonts w:hint="eastAsia" w:asciiTheme="minorEastAsia" w:hAnsiTheme="minorEastAsia"/>
          <w:sz w:val="24"/>
          <w:szCs w:val="24"/>
        </w:rPr>
        <w:t>http://221.14.6.70</w:t>
      </w:r>
      <w:r>
        <w:rPr>
          <w:rFonts w:hint="eastAsia" w:asciiTheme="minorEastAsia" w:hAnsiTheme="minorEastAsia"/>
          <w:sz w:val="24"/>
          <w:szCs w:val="24"/>
        </w:rPr>
        <w:fldChar w:fldCharType="end"/>
      </w:r>
      <w:r>
        <w:rPr>
          <w:rFonts w:hint="eastAsia" w:asciiTheme="minorEastAsia" w:hAnsiTheme="minorEastAsia"/>
          <w:sz w:val="24"/>
          <w:szCs w:val="24"/>
        </w:rPr>
        <w:t>：8088/ggzy/）生成“投标文件提交回执单”。</w:t>
      </w:r>
    </w:p>
    <w:p>
      <w:pPr>
        <w:tabs>
          <w:tab w:val="left" w:pos="7095"/>
        </w:tabs>
        <w:spacing w:line="560" w:lineRule="exact"/>
        <w:ind w:firstLine="480" w:firstLineChars="200"/>
        <w:contextualSpacing/>
        <w:rPr>
          <w:rFonts w:asciiTheme="minorEastAsia" w:hAnsiTheme="minorEastAsia"/>
          <w:b/>
          <w:sz w:val="24"/>
          <w:szCs w:val="24"/>
        </w:rPr>
      </w:pPr>
      <w:r>
        <w:rPr>
          <w:rFonts w:hint="eastAsia" w:asciiTheme="minorEastAsia" w:hAnsiTheme="minorEastAsia"/>
          <w:b/>
          <w:sz w:val="24"/>
          <w:szCs w:val="24"/>
        </w:rPr>
        <w:t>6.远程不见面开标(电子投标文件的解密)</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6.1 投标人应熟悉《许昌市不见面开标操作手册》，并提前设置不见面开标浏览器（设置流程详见《许昌市不见面开标操作手册》）。</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6.2 《许昌市不见面开标操作手册》下载路径：全国公共资源交易平台（河南省·许昌市）—“资料下载”栏目。</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6.3开标时间前投标人应登录本项目不见面开标大厅，按照招标文件确定的开标时间准时参加网上开标。</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6.4投标人对开标过程和开标记录如有疑义，可在本项目不见面开标大厅“文字互动”对话框或“新增质疑”处在线提出询问。</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6.6项目远程不见面开标活动结束时，投标人应在《开标记录表》上进行电子签章。投标人未签章的，视同认可开标结果。</w:t>
      </w:r>
    </w:p>
    <w:p>
      <w:pPr>
        <w:spacing w:line="360" w:lineRule="auto"/>
        <w:ind w:firstLine="480" w:firstLineChars="200"/>
        <w:rPr>
          <w:rFonts w:hAnsi="宋体"/>
          <w:b/>
          <w:bCs/>
          <w:sz w:val="24"/>
        </w:rPr>
      </w:pPr>
      <w:r>
        <w:rPr>
          <w:rFonts w:hint="eastAsia" w:hAnsi="宋体"/>
          <w:b/>
          <w:bCs/>
          <w:sz w:val="24"/>
        </w:rPr>
        <w:t>7.评标依据</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7.1全流程电子化交易（远程不见面开标）项目，评标委员会以成功上传、解密的电子投标文件为评标依据。</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7.2 评审期间，保持投标文件提供的联系方式畅通，评标委员会随时可能对投标文件内容质询，投标人应及时进行答复（包括但不限于电子文档、电子邮件等）。</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7.3 有多轮报价的，各投标人应提前准备好分项报价，为多轮报价做好准备，在谈判小组发起报价通知后，在规定时间内提交有效报价。</w:t>
      </w:r>
    </w:p>
    <w:p>
      <w:pPr>
        <w:tabs>
          <w:tab w:val="left" w:pos="4140"/>
          <w:tab w:val="left" w:pos="4260"/>
        </w:tabs>
        <w:spacing w:line="360" w:lineRule="auto"/>
        <w:ind w:right="-578" w:rightChars="-170"/>
        <w:jc w:val="center"/>
        <w:rPr>
          <w:rFonts w:hint="eastAsia" w:hAnsi="宋体" w:cs="宋体"/>
          <w:b/>
          <w:color w:val="000000" w:themeColor="text1"/>
          <w:sz w:val="36"/>
          <w:szCs w:val="36"/>
          <w14:textFill>
            <w14:solidFill>
              <w14:schemeClr w14:val="tx1"/>
            </w14:solidFill>
          </w14:textFill>
        </w:rPr>
      </w:pPr>
    </w:p>
    <w:p>
      <w:pPr>
        <w:tabs>
          <w:tab w:val="left" w:pos="4140"/>
          <w:tab w:val="left" w:pos="4260"/>
        </w:tabs>
        <w:spacing w:line="360" w:lineRule="auto"/>
        <w:ind w:right="-578" w:rightChars="-170"/>
        <w:jc w:val="center"/>
        <w:rPr>
          <w:rFonts w:hint="eastAsia" w:hAnsi="宋体" w:cs="宋体"/>
          <w:b/>
          <w:color w:val="000000" w:themeColor="text1"/>
          <w:sz w:val="36"/>
          <w:szCs w:val="36"/>
          <w14:textFill>
            <w14:solidFill>
              <w14:schemeClr w14:val="tx1"/>
            </w14:solidFill>
          </w14:textFill>
        </w:rPr>
      </w:pPr>
    </w:p>
    <w:p>
      <w:pPr>
        <w:tabs>
          <w:tab w:val="left" w:pos="4140"/>
          <w:tab w:val="left" w:pos="4260"/>
        </w:tabs>
        <w:spacing w:line="360" w:lineRule="auto"/>
        <w:ind w:right="-578" w:rightChars="-170"/>
        <w:jc w:val="center"/>
        <w:rPr>
          <w:rFonts w:hint="eastAsia" w:hAnsi="宋体" w:cs="宋体"/>
          <w:b/>
          <w:color w:val="000000" w:themeColor="text1"/>
          <w:sz w:val="36"/>
          <w:szCs w:val="36"/>
          <w14:textFill>
            <w14:solidFill>
              <w14:schemeClr w14:val="tx1"/>
            </w14:solidFill>
          </w14:textFill>
        </w:rPr>
      </w:pPr>
    </w:p>
    <w:p>
      <w:pPr>
        <w:tabs>
          <w:tab w:val="left" w:pos="4140"/>
          <w:tab w:val="left" w:pos="4260"/>
        </w:tabs>
        <w:spacing w:line="360" w:lineRule="auto"/>
        <w:ind w:right="-578" w:rightChars="-170"/>
        <w:jc w:val="center"/>
        <w:rPr>
          <w:rFonts w:hint="eastAsia" w:hAnsi="宋体" w:cs="宋体"/>
          <w:b/>
          <w:color w:val="000000" w:themeColor="text1"/>
          <w:sz w:val="36"/>
          <w:szCs w:val="36"/>
          <w14:textFill>
            <w14:solidFill>
              <w14:schemeClr w14:val="tx1"/>
            </w14:solidFill>
          </w14:textFill>
        </w:rPr>
      </w:pPr>
    </w:p>
    <w:p>
      <w:pPr>
        <w:tabs>
          <w:tab w:val="left" w:pos="4140"/>
          <w:tab w:val="left" w:pos="4260"/>
        </w:tabs>
        <w:spacing w:line="360" w:lineRule="auto"/>
        <w:ind w:right="-578" w:rightChars="-170"/>
        <w:jc w:val="center"/>
        <w:rPr>
          <w:rFonts w:hint="eastAsia" w:hAnsi="宋体" w:cs="宋体"/>
          <w:b/>
          <w:color w:val="000000" w:themeColor="text1"/>
          <w:sz w:val="36"/>
          <w:szCs w:val="36"/>
          <w14:textFill>
            <w14:solidFill>
              <w14:schemeClr w14:val="tx1"/>
            </w14:solidFill>
          </w14:textFill>
        </w:rPr>
      </w:pPr>
    </w:p>
    <w:p>
      <w:pPr>
        <w:tabs>
          <w:tab w:val="left" w:pos="4140"/>
          <w:tab w:val="left" w:pos="4260"/>
        </w:tabs>
        <w:spacing w:line="360" w:lineRule="auto"/>
        <w:ind w:right="-578" w:rightChars="-170"/>
        <w:jc w:val="center"/>
        <w:rPr>
          <w:rFonts w:hint="eastAsia" w:hAnsi="宋体" w:cs="宋体"/>
          <w:b/>
          <w:color w:val="000000" w:themeColor="text1"/>
          <w:sz w:val="36"/>
          <w:szCs w:val="36"/>
          <w14:textFill>
            <w14:solidFill>
              <w14:schemeClr w14:val="tx1"/>
            </w14:solidFill>
          </w14:textFill>
        </w:rPr>
      </w:pPr>
    </w:p>
    <w:p>
      <w:pPr>
        <w:tabs>
          <w:tab w:val="left" w:pos="4140"/>
          <w:tab w:val="left" w:pos="4260"/>
        </w:tabs>
        <w:spacing w:line="360" w:lineRule="auto"/>
        <w:ind w:right="-578" w:rightChars="-170"/>
        <w:jc w:val="center"/>
        <w:rPr>
          <w:rFonts w:hint="eastAsia" w:hAnsi="宋体" w:cs="宋体"/>
          <w:b/>
          <w:color w:val="auto"/>
          <w:sz w:val="36"/>
          <w:szCs w:val="36"/>
        </w:rPr>
      </w:pPr>
      <w:bookmarkStart w:id="81" w:name="_GoBack"/>
      <w:bookmarkEnd w:id="81"/>
    </w:p>
    <w:p>
      <w:pPr>
        <w:rPr>
          <w:rFonts w:hint="eastAsia" w:hAnsi="宋体" w:cs="宋体"/>
          <w:b/>
          <w:color w:val="auto"/>
          <w:sz w:val="36"/>
          <w:szCs w:val="36"/>
        </w:rPr>
      </w:pPr>
      <w:r>
        <w:rPr>
          <w:rFonts w:hint="eastAsia" w:hAnsi="宋体" w:cs="宋体"/>
          <w:b/>
          <w:color w:val="auto"/>
          <w:sz w:val="36"/>
          <w:szCs w:val="36"/>
        </w:rPr>
        <w:br w:type="page"/>
      </w:r>
    </w:p>
    <w:p>
      <w:pPr>
        <w:tabs>
          <w:tab w:val="left" w:pos="4140"/>
          <w:tab w:val="left" w:pos="4260"/>
        </w:tabs>
        <w:spacing w:line="360" w:lineRule="auto"/>
        <w:ind w:right="-578" w:rightChars="-170"/>
        <w:jc w:val="center"/>
        <w:rPr>
          <w:rFonts w:hAnsi="宋体" w:cs="宋体"/>
          <w:b/>
          <w:color w:val="auto"/>
          <w:sz w:val="36"/>
          <w:szCs w:val="36"/>
        </w:rPr>
      </w:pPr>
      <w:r>
        <w:rPr>
          <w:rFonts w:hint="eastAsia" w:hAnsi="宋体" w:cs="宋体"/>
          <w:b/>
          <w:color w:val="auto"/>
          <w:sz w:val="36"/>
          <w:szCs w:val="36"/>
        </w:rPr>
        <w:t xml:space="preserve">第二章  </w:t>
      </w:r>
      <w:bookmarkEnd w:id="0"/>
      <w:r>
        <w:rPr>
          <w:rFonts w:hint="eastAsia" w:hAnsi="宋体" w:cs="宋体"/>
          <w:b/>
          <w:color w:val="auto"/>
          <w:sz w:val="36"/>
          <w:szCs w:val="36"/>
        </w:rPr>
        <w:t>投标人须知</w:t>
      </w:r>
    </w:p>
    <w:p>
      <w:pPr>
        <w:autoSpaceDE w:val="0"/>
        <w:autoSpaceDN w:val="0"/>
        <w:adjustRightInd w:val="0"/>
        <w:outlineLvl w:val="0"/>
        <w:rPr>
          <w:rFonts w:hAnsi="宋体" w:cs="宋体"/>
          <w:b/>
          <w:color w:val="auto"/>
          <w:sz w:val="28"/>
          <w:szCs w:val="28"/>
        </w:rPr>
      </w:pPr>
      <w:bookmarkStart w:id="1" w:name="_Toc283559940"/>
      <w:r>
        <w:rPr>
          <w:rFonts w:hint="eastAsia" w:hAnsi="宋体" w:cs="宋体"/>
          <w:b/>
          <w:color w:val="auto"/>
          <w:sz w:val="28"/>
          <w:szCs w:val="28"/>
        </w:rPr>
        <w:t>投标人须知前附表</w:t>
      </w:r>
      <w:bookmarkEnd w:id="1"/>
    </w:p>
    <w:tbl>
      <w:tblPr>
        <w:tblStyle w:val="13"/>
        <w:tblW w:w="9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80"/>
        <w:gridCol w:w="25"/>
        <w:gridCol w:w="1540"/>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eastAsia="宋体" w:cs="宋体"/>
                <w:b/>
                <w:color w:val="auto"/>
                <w:sz w:val="24"/>
              </w:rPr>
            </w:pPr>
            <w:r>
              <w:rPr>
                <w:rFonts w:hint="eastAsia" w:hAnsi="宋体" w:eastAsia="宋体" w:cs="宋体"/>
                <w:b/>
                <w:color w:val="auto"/>
                <w:sz w:val="24"/>
              </w:rPr>
              <w:t>条款号</w:t>
            </w:r>
          </w:p>
        </w:tc>
        <w:tc>
          <w:tcPr>
            <w:tcW w:w="2590" w:type="dxa"/>
            <w:gridSpan w:val="4"/>
            <w:vAlign w:val="center"/>
          </w:tcPr>
          <w:p>
            <w:pPr>
              <w:autoSpaceDE w:val="0"/>
              <w:autoSpaceDN w:val="0"/>
              <w:adjustRightInd w:val="0"/>
              <w:spacing w:line="420" w:lineRule="exact"/>
              <w:jc w:val="center"/>
              <w:rPr>
                <w:rFonts w:hAnsi="宋体" w:eastAsia="宋体" w:cs="宋体"/>
                <w:b/>
                <w:color w:val="auto"/>
                <w:sz w:val="24"/>
              </w:rPr>
            </w:pPr>
            <w:r>
              <w:rPr>
                <w:rFonts w:hint="eastAsia" w:hAnsi="宋体" w:eastAsia="宋体" w:cs="宋体"/>
                <w:b/>
                <w:color w:val="auto"/>
                <w:sz w:val="24"/>
              </w:rPr>
              <w:t>条 款 名 称</w:t>
            </w:r>
          </w:p>
        </w:tc>
        <w:tc>
          <w:tcPr>
            <w:tcW w:w="6274" w:type="dxa"/>
            <w:gridSpan w:val="2"/>
            <w:vAlign w:val="center"/>
          </w:tcPr>
          <w:p>
            <w:pPr>
              <w:autoSpaceDE w:val="0"/>
              <w:autoSpaceDN w:val="0"/>
              <w:adjustRightInd w:val="0"/>
              <w:spacing w:line="420" w:lineRule="exact"/>
              <w:jc w:val="center"/>
              <w:rPr>
                <w:rFonts w:hAnsi="宋体" w:eastAsia="宋体" w:cs="宋体"/>
                <w:b/>
                <w:color w:val="auto"/>
                <w:sz w:val="24"/>
              </w:rPr>
            </w:pPr>
            <w:r>
              <w:rPr>
                <w:rFonts w:hint="eastAsia" w:hAnsi="宋体" w:eastAsia="宋体" w:cs="宋体"/>
                <w:b/>
                <w:color w:val="auto"/>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1.1.2</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招标人</w:t>
            </w:r>
          </w:p>
        </w:tc>
        <w:tc>
          <w:tcPr>
            <w:tcW w:w="6274" w:type="dxa"/>
            <w:gridSpan w:val="2"/>
            <w:vAlign w:val="center"/>
          </w:tcPr>
          <w:p>
            <w:pPr>
              <w:autoSpaceDE w:val="0"/>
              <w:autoSpaceDN w:val="0"/>
              <w:adjustRightInd w:val="0"/>
              <w:spacing w:line="420" w:lineRule="exact"/>
              <w:jc w:val="left"/>
              <w:rPr>
                <w:rFonts w:hint="eastAsia" w:hAnsi="宋体" w:eastAsia="宋体" w:cs="宋体"/>
                <w:color w:val="auto"/>
                <w:sz w:val="24"/>
              </w:rPr>
            </w:pPr>
            <w:r>
              <w:rPr>
                <w:rFonts w:hint="eastAsia" w:hAnsi="宋体" w:eastAsia="宋体" w:cs="宋体"/>
                <w:color w:val="auto"/>
                <w:sz w:val="24"/>
              </w:rPr>
              <w:t>采购人：许昌市中心医院</w:t>
            </w:r>
          </w:p>
          <w:p>
            <w:pPr>
              <w:autoSpaceDE w:val="0"/>
              <w:autoSpaceDN w:val="0"/>
              <w:adjustRightInd w:val="0"/>
              <w:spacing w:line="420" w:lineRule="exact"/>
              <w:jc w:val="left"/>
              <w:rPr>
                <w:rFonts w:hint="eastAsia" w:hAnsi="宋体" w:eastAsia="宋体" w:cs="宋体"/>
                <w:color w:val="auto"/>
                <w:sz w:val="24"/>
              </w:rPr>
            </w:pPr>
            <w:r>
              <w:rPr>
                <w:rFonts w:hint="eastAsia" w:hAnsi="宋体" w:eastAsia="宋体" w:cs="宋体"/>
                <w:color w:val="auto"/>
                <w:sz w:val="24"/>
              </w:rPr>
              <w:t>地  址：许昌市中心医院新院区项目部</w:t>
            </w:r>
          </w:p>
          <w:p>
            <w:pPr>
              <w:autoSpaceDE w:val="0"/>
              <w:autoSpaceDN w:val="0"/>
              <w:adjustRightInd w:val="0"/>
              <w:spacing w:line="420" w:lineRule="exact"/>
              <w:jc w:val="left"/>
              <w:rPr>
                <w:rFonts w:hint="eastAsia" w:hAnsi="宋体" w:eastAsia="宋体" w:cs="宋体"/>
                <w:color w:val="auto"/>
                <w:sz w:val="24"/>
              </w:rPr>
            </w:pPr>
            <w:r>
              <w:rPr>
                <w:rFonts w:hint="eastAsia" w:hAnsi="宋体" w:eastAsia="宋体" w:cs="宋体"/>
                <w:color w:val="auto"/>
                <w:sz w:val="24"/>
              </w:rPr>
              <w:t xml:space="preserve">联系人： 赵女士       </w:t>
            </w:r>
          </w:p>
          <w:p>
            <w:pPr>
              <w:autoSpaceDE w:val="0"/>
              <w:autoSpaceDN w:val="0"/>
              <w:adjustRightInd w:val="0"/>
              <w:spacing w:line="420" w:lineRule="exact"/>
              <w:jc w:val="left"/>
              <w:rPr>
                <w:rFonts w:hint="eastAsia" w:hAnsi="宋体" w:eastAsia="宋体" w:cs="宋体"/>
                <w:color w:val="auto"/>
                <w:sz w:val="24"/>
              </w:rPr>
            </w:pPr>
            <w:r>
              <w:rPr>
                <w:rFonts w:hint="eastAsia" w:hAnsi="宋体" w:eastAsia="宋体" w:cs="宋体"/>
                <w:color w:val="auto"/>
                <w:sz w:val="24"/>
              </w:rPr>
              <w:t>联系电话：13027675526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1.1.3</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招标代理机构</w:t>
            </w:r>
          </w:p>
        </w:tc>
        <w:tc>
          <w:tcPr>
            <w:tcW w:w="6274" w:type="dxa"/>
            <w:gridSpan w:val="2"/>
            <w:vAlign w:val="center"/>
          </w:tcPr>
          <w:p>
            <w:pPr>
              <w:autoSpaceDE w:val="0"/>
              <w:autoSpaceDN w:val="0"/>
              <w:adjustRightInd w:val="0"/>
              <w:spacing w:line="420" w:lineRule="exact"/>
              <w:jc w:val="left"/>
              <w:rPr>
                <w:rFonts w:hint="eastAsia" w:hAnsi="宋体" w:eastAsia="宋体" w:cs="宋体"/>
                <w:color w:val="auto"/>
                <w:sz w:val="24"/>
              </w:rPr>
            </w:pPr>
            <w:r>
              <w:rPr>
                <w:rFonts w:hint="eastAsia" w:hAnsi="宋体" w:eastAsia="宋体" w:cs="宋体"/>
                <w:color w:val="auto"/>
                <w:sz w:val="24"/>
              </w:rPr>
              <w:t>代理机构：河南永明工程管理有限公司</w:t>
            </w:r>
          </w:p>
          <w:p>
            <w:pPr>
              <w:autoSpaceDE w:val="0"/>
              <w:autoSpaceDN w:val="0"/>
              <w:adjustRightInd w:val="0"/>
              <w:spacing w:line="420" w:lineRule="exact"/>
              <w:jc w:val="left"/>
              <w:rPr>
                <w:rFonts w:hint="eastAsia" w:hAnsi="宋体" w:eastAsia="宋体" w:cs="宋体"/>
                <w:color w:val="auto"/>
                <w:sz w:val="24"/>
              </w:rPr>
            </w:pPr>
            <w:r>
              <w:rPr>
                <w:rFonts w:hint="eastAsia" w:hAnsi="宋体" w:eastAsia="宋体" w:cs="宋体"/>
                <w:color w:val="auto"/>
                <w:sz w:val="24"/>
              </w:rPr>
              <w:t>地    址：许昌市示范区众信国际</w:t>
            </w:r>
          </w:p>
          <w:p>
            <w:pPr>
              <w:autoSpaceDE w:val="0"/>
              <w:autoSpaceDN w:val="0"/>
              <w:adjustRightInd w:val="0"/>
              <w:spacing w:line="420" w:lineRule="exact"/>
              <w:jc w:val="left"/>
              <w:rPr>
                <w:rFonts w:hint="eastAsia" w:hAnsi="宋体" w:eastAsia="宋体" w:cs="宋体"/>
                <w:color w:val="auto"/>
                <w:sz w:val="24"/>
              </w:rPr>
            </w:pPr>
            <w:r>
              <w:rPr>
                <w:rFonts w:hint="eastAsia" w:hAnsi="宋体" w:eastAsia="宋体" w:cs="宋体"/>
                <w:color w:val="auto"/>
                <w:sz w:val="24"/>
              </w:rPr>
              <w:t>项目负责人：            （签字）</w:t>
            </w:r>
          </w:p>
          <w:p>
            <w:pPr>
              <w:autoSpaceDE w:val="0"/>
              <w:autoSpaceDN w:val="0"/>
              <w:adjustRightInd w:val="0"/>
              <w:spacing w:line="420" w:lineRule="exact"/>
              <w:jc w:val="left"/>
              <w:rPr>
                <w:rFonts w:hint="eastAsia" w:hAnsi="宋体" w:eastAsia="宋体" w:cs="宋体"/>
                <w:color w:val="auto"/>
                <w:sz w:val="24"/>
              </w:rPr>
            </w:pPr>
            <w:r>
              <w:rPr>
                <w:rFonts w:hint="eastAsia" w:hAnsi="宋体" w:eastAsia="宋体" w:cs="宋体"/>
                <w:color w:val="auto"/>
                <w:sz w:val="24"/>
              </w:rPr>
              <w:t>联 系 人：李女士</w:t>
            </w:r>
          </w:p>
          <w:p>
            <w:pPr>
              <w:autoSpaceDE w:val="0"/>
              <w:autoSpaceDN w:val="0"/>
              <w:adjustRightInd w:val="0"/>
              <w:spacing w:line="420" w:lineRule="exact"/>
              <w:jc w:val="left"/>
              <w:rPr>
                <w:rFonts w:hint="eastAsia" w:hAnsi="宋体" w:eastAsia="宋体" w:cs="宋体"/>
                <w:color w:val="auto"/>
                <w:sz w:val="24"/>
              </w:rPr>
            </w:pPr>
            <w:r>
              <w:rPr>
                <w:rFonts w:hint="eastAsia" w:hAnsi="宋体" w:eastAsia="宋体" w:cs="宋体"/>
                <w:color w:val="auto"/>
                <w:sz w:val="24"/>
              </w:rPr>
              <w:t>联系电话：13243333750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1.1.4</w:t>
            </w:r>
          </w:p>
        </w:tc>
        <w:tc>
          <w:tcPr>
            <w:tcW w:w="2590" w:type="dxa"/>
            <w:gridSpan w:val="4"/>
            <w:vAlign w:val="center"/>
          </w:tcPr>
          <w:p>
            <w:pPr>
              <w:autoSpaceDE w:val="0"/>
              <w:autoSpaceDN w:val="0"/>
              <w:adjustRightInd w:val="0"/>
              <w:spacing w:line="420" w:lineRule="exact"/>
              <w:ind w:firstLine="720" w:firstLineChars="300"/>
              <w:rPr>
                <w:rFonts w:hAnsi="宋体" w:eastAsia="宋体" w:cs="宋体"/>
                <w:color w:val="auto"/>
                <w:sz w:val="24"/>
              </w:rPr>
            </w:pPr>
            <w:r>
              <w:rPr>
                <w:rFonts w:hint="eastAsia" w:hAnsi="宋体" w:eastAsia="宋体" w:cs="宋体"/>
                <w:color w:val="auto"/>
                <w:sz w:val="24"/>
              </w:rPr>
              <w:t>项目名称</w:t>
            </w:r>
          </w:p>
        </w:tc>
        <w:tc>
          <w:tcPr>
            <w:tcW w:w="6274" w:type="dxa"/>
            <w:gridSpan w:val="2"/>
            <w:vAlign w:val="center"/>
          </w:tcPr>
          <w:p>
            <w:pPr>
              <w:autoSpaceDE w:val="0"/>
              <w:autoSpaceDN w:val="0"/>
              <w:adjustRightInd w:val="0"/>
              <w:spacing w:line="420" w:lineRule="exact"/>
              <w:jc w:val="left"/>
              <w:rPr>
                <w:rFonts w:hint="eastAsia" w:hAnsi="宋体" w:eastAsia="宋体" w:cs="宋体"/>
                <w:color w:val="auto"/>
                <w:sz w:val="24"/>
              </w:rPr>
            </w:pPr>
            <w:r>
              <w:rPr>
                <w:rFonts w:hint="eastAsia" w:hAnsi="宋体" w:eastAsia="宋体" w:cs="宋体"/>
                <w:color w:val="auto"/>
                <w:sz w:val="24"/>
                <w:lang w:eastAsia="zh-CN"/>
              </w:rPr>
              <w:t>许昌市中心医院新院区垃圾及被服系统工程</w:t>
            </w:r>
            <w:r>
              <w:rPr>
                <w:rFonts w:hint="eastAsia" w:hAnsi="宋体" w:eastAsia="宋体" w:cs="宋体"/>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1.1.5</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建设地点</w:t>
            </w:r>
          </w:p>
        </w:tc>
        <w:tc>
          <w:tcPr>
            <w:tcW w:w="6274" w:type="dxa"/>
            <w:gridSpan w:val="2"/>
            <w:vAlign w:val="center"/>
          </w:tcPr>
          <w:p>
            <w:pPr>
              <w:autoSpaceDE w:val="0"/>
              <w:autoSpaceDN w:val="0"/>
              <w:adjustRightInd w:val="0"/>
              <w:spacing w:line="420" w:lineRule="exact"/>
              <w:jc w:val="left"/>
              <w:rPr>
                <w:rFonts w:hint="eastAsia" w:hAnsi="宋体" w:eastAsia="宋体" w:cs="宋体"/>
                <w:color w:val="auto"/>
                <w:sz w:val="24"/>
              </w:rPr>
            </w:pPr>
            <w:r>
              <w:rPr>
                <w:rFonts w:hint="eastAsia" w:hAnsi="宋体" w:eastAsia="宋体" w:cs="宋体"/>
                <w:color w:val="auto"/>
                <w:sz w:val="24"/>
              </w:rPr>
              <w:t>本项目位于许昌市魏文路以东，德兴路以西，文轩路以北，清苑路以南。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1.2.1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资金来源</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1.2.2</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出资比例</w:t>
            </w:r>
          </w:p>
        </w:tc>
        <w:tc>
          <w:tcPr>
            <w:tcW w:w="6274" w:type="dxa"/>
            <w:gridSpan w:val="2"/>
          </w:tcPr>
          <w:p>
            <w:pPr>
              <w:autoSpaceDE w:val="0"/>
              <w:autoSpaceDN w:val="0"/>
              <w:adjustRightInd w:val="0"/>
              <w:spacing w:line="420" w:lineRule="exact"/>
              <w:rPr>
                <w:rFonts w:hAnsi="宋体" w:eastAsia="宋体" w:cs="宋体"/>
                <w:color w:val="auto"/>
                <w:sz w:val="24"/>
              </w:rPr>
            </w:pPr>
            <w:r>
              <w:rPr>
                <w:rFonts w:hint="eastAsia" w:hAnsi="宋体" w:eastAsia="宋体" w:cs="宋体"/>
                <w:color w:val="auto"/>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1.2.3</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资金落实情况</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1.3.1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招标范围</w:t>
            </w:r>
          </w:p>
        </w:tc>
        <w:tc>
          <w:tcPr>
            <w:tcW w:w="6274" w:type="dxa"/>
            <w:gridSpan w:val="2"/>
            <w:tcBorders>
              <w:bottom w:val="single" w:color="auto" w:sz="4" w:space="0"/>
            </w:tcBorders>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1.3.2</w:t>
            </w:r>
          </w:p>
        </w:tc>
        <w:tc>
          <w:tcPr>
            <w:tcW w:w="2590" w:type="dxa"/>
            <w:gridSpan w:val="4"/>
            <w:tcBorders>
              <w:right w:val="single" w:color="auto" w:sz="4" w:space="0"/>
            </w:tcBorders>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color w:val="auto"/>
                <w:sz w:val="24"/>
                <w:szCs w:val="24"/>
              </w:rPr>
            </w:pPr>
            <w:r>
              <w:rPr>
                <w:rFonts w:hint="eastAsia" w:hAnsi="宋体" w:eastAsia="宋体" w:cs="宋体"/>
                <w:color w:val="auto"/>
                <w:sz w:val="24"/>
                <w:szCs w:val="24"/>
                <w:lang w:val="en-US" w:eastAsia="zh-CN"/>
              </w:rPr>
              <w:t>180</w:t>
            </w:r>
            <w:r>
              <w:rPr>
                <w:rFonts w:hint="eastAsia" w:hAnsi="宋体" w:eastAsia="宋体" w:cs="宋体"/>
                <w:color w:val="auto"/>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1.3.3</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质量要求</w:t>
            </w:r>
          </w:p>
        </w:tc>
        <w:tc>
          <w:tcPr>
            <w:tcW w:w="6274" w:type="dxa"/>
            <w:gridSpan w:val="2"/>
            <w:tcBorders>
              <w:top w:val="single" w:color="auto" w:sz="4" w:space="0"/>
            </w:tcBorders>
            <w:vAlign w:val="center"/>
          </w:tcPr>
          <w:p>
            <w:pPr>
              <w:autoSpaceDE w:val="0"/>
              <w:autoSpaceDN w:val="0"/>
              <w:adjustRightInd w:val="0"/>
              <w:spacing w:line="420" w:lineRule="exact"/>
              <w:rPr>
                <w:rFonts w:hAnsi="宋体" w:eastAsia="宋体" w:cs="宋体"/>
                <w:color w:val="auto"/>
                <w:sz w:val="24"/>
              </w:rPr>
            </w:pPr>
            <w:r>
              <w:rPr>
                <w:rFonts w:hint="eastAsia" w:hAnsi="宋体" w:eastAsia="宋体" w:cs="宋体"/>
                <w:color w:val="auto"/>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1.4.1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投标人资质条件</w:t>
            </w:r>
          </w:p>
        </w:tc>
        <w:tc>
          <w:tcPr>
            <w:tcW w:w="6274" w:type="dxa"/>
            <w:gridSpan w:val="2"/>
          </w:tcPr>
          <w:p>
            <w:pPr>
              <w:autoSpaceDE w:val="0"/>
              <w:autoSpaceDN w:val="0"/>
              <w:adjustRightInd w:val="0"/>
              <w:spacing w:line="420" w:lineRule="exact"/>
              <w:rPr>
                <w:rFonts w:hAnsi="宋体" w:eastAsia="宋体" w:cs="宋体"/>
                <w:color w:val="auto"/>
                <w:sz w:val="24"/>
              </w:rPr>
            </w:pPr>
            <w:r>
              <w:rPr>
                <w:rFonts w:hint="eastAsia" w:hAnsi="宋体" w:eastAsia="宋体" w:cs="宋体"/>
                <w:color w:val="auto"/>
                <w:sz w:val="24"/>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1.4.2</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是否接受联合体投标</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1.9.1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踏勘现场</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1.10.1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投标预备会</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1.10.2</w:t>
            </w:r>
          </w:p>
        </w:tc>
        <w:tc>
          <w:tcPr>
            <w:tcW w:w="2590" w:type="dxa"/>
            <w:gridSpan w:val="4"/>
            <w:vAlign w:val="center"/>
          </w:tcPr>
          <w:p>
            <w:pPr>
              <w:autoSpaceDE w:val="0"/>
              <w:autoSpaceDN w:val="0"/>
              <w:adjustRightInd w:val="0"/>
              <w:spacing w:line="360" w:lineRule="exact"/>
              <w:jc w:val="center"/>
              <w:rPr>
                <w:rFonts w:hAnsi="宋体" w:eastAsia="宋体" w:cs="宋体"/>
                <w:color w:val="auto"/>
                <w:sz w:val="24"/>
              </w:rPr>
            </w:pPr>
            <w:r>
              <w:rPr>
                <w:rFonts w:hint="eastAsia" w:hAnsi="宋体" w:eastAsia="宋体" w:cs="宋体"/>
                <w:color w:val="auto"/>
                <w:sz w:val="24"/>
              </w:rPr>
              <w:t>投标人提出问题的</w:t>
            </w:r>
          </w:p>
          <w:p>
            <w:pPr>
              <w:autoSpaceDE w:val="0"/>
              <w:autoSpaceDN w:val="0"/>
              <w:adjustRightInd w:val="0"/>
              <w:spacing w:line="360" w:lineRule="exact"/>
              <w:jc w:val="center"/>
              <w:rPr>
                <w:rFonts w:hAnsi="宋体" w:eastAsia="宋体" w:cs="宋体"/>
                <w:color w:val="auto"/>
                <w:sz w:val="24"/>
              </w:rPr>
            </w:pPr>
            <w:r>
              <w:rPr>
                <w:rFonts w:hint="eastAsia" w:hAnsi="宋体" w:eastAsia="宋体" w:cs="宋体"/>
                <w:color w:val="auto"/>
                <w:sz w:val="24"/>
              </w:rPr>
              <w:t>截止时间</w:t>
            </w:r>
          </w:p>
        </w:tc>
        <w:tc>
          <w:tcPr>
            <w:tcW w:w="6274" w:type="dxa"/>
            <w:gridSpan w:val="2"/>
            <w:vAlign w:val="center"/>
          </w:tcPr>
          <w:p>
            <w:pPr>
              <w:rPr>
                <w:rFonts w:hAnsi="宋体" w:eastAsia="宋体" w:cs="宋体"/>
                <w:color w:val="auto"/>
                <w:sz w:val="24"/>
              </w:rPr>
            </w:pPr>
            <w:r>
              <w:rPr>
                <w:rFonts w:hint="eastAsia" w:hAnsi="宋体" w:eastAsia="宋体" w:cs="宋体"/>
                <w:color w:val="auto"/>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eastAsia="宋体" w:cs="宋体"/>
                <w:color w:val="auto"/>
                <w:sz w:val="24"/>
              </w:rPr>
            </w:pPr>
            <w:r>
              <w:rPr>
                <w:rFonts w:hint="eastAsia" w:hAnsi="宋体" w:eastAsia="宋体" w:cs="宋体"/>
                <w:color w:val="auto"/>
                <w:sz w:val="24"/>
              </w:rPr>
              <w:t>1.10.3</w:t>
            </w:r>
          </w:p>
        </w:tc>
        <w:tc>
          <w:tcPr>
            <w:tcW w:w="2590" w:type="dxa"/>
            <w:gridSpan w:val="4"/>
            <w:vAlign w:val="center"/>
          </w:tcPr>
          <w:p>
            <w:pPr>
              <w:jc w:val="center"/>
              <w:rPr>
                <w:rFonts w:hAnsi="宋体" w:eastAsia="宋体" w:cs="宋体"/>
                <w:color w:val="auto"/>
                <w:sz w:val="24"/>
              </w:rPr>
            </w:pPr>
            <w:r>
              <w:rPr>
                <w:rFonts w:hint="eastAsia" w:hAnsi="宋体" w:eastAsia="宋体" w:cs="宋体"/>
                <w:color w:val="auto"/>
                <w:sz w:val="24"/>
              </w:rPr>
              <w:t>招标人澄清的时间</w:t>
            </w:r>
          </w:p>
        </w:tc>
        <w:tc>
          <w:tcPr>
            <w:tcW w:w="6274" w:type="dxa"/>
            <w:gridSpan w:val="2"/>
            <w:vAlign w:val="center"/>
          </w:tcPr>
          <w:p>
            <w:pPr>
              <w:rPr>
                <w:rFonts w:hAnsi="宋体" w:eastAsia="宋体" w:cs="宋体"/>
                <w:color w:val="auto"/>
                <w:sz w:val="24"/>
              </w:rPr>
            </w:pPr>
            <w:r>
              <w:rPr>
                <w:rFonts w:hint="eastAsia" w:hAnsi="宋体" w:eastAsia="宋体" w:cs="宋体"/>
                <w:color w:val="auto"/>
                <w:sz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1.11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分包</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 xml:space="preserve">1.12 </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偏离</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 xml:space="preserve">2.1 </w:t>
            </w:r>
          </w:p>
        </w:tc>
        <w:tc>
          <w:tcPr>
            <w:tcW w:w="2590" w:type="dxa"/>
            <w:gridSpan w:val="4"/>
            <w:vAlign w:val="center"/>
          </w:tcPr>
          <w:p>
            <w:pPr>
              <w:autoSpaceDE w:val="0"/>
              <w:autoSpaceDN w:val="0"/>
              <w:adjustRightInd w:val="0"/>
              <w:spacing w:line="340" w:lineRule="exact"/>
              <w:jc w:val="center"/>
              <w:rPr>
                <w:rFonts w:hAnsi="宋体" w:eastAsia="宋体" w:cs="宋体"/>
                <w:color w:val="auto"/>
                <w:sz w:val="24"/>
              </w:rPr>
            </w:pPr>
            <w:r>
              <w:rPr>
                <w:rFonts w:hint="eastAsia" w:hAnsi="宋体" w:eastAsia="宋体" w:cs="宋体"/>
                <w:color w:val="auto"/>
                <w:sz w:val="24"/>
              </w:rPr>
              <w:t>招标文件及图纸的</w:t>
            </w:r>
          </w:p>
          <w:p>
            <w:pPr>
              <w:autoSpaceDE w:val="0"/>
              <w:autoSpaceDN w:val="0"/>
              <w:adjustRightInd w:val="0"/>
              <w:spacing w:line="340" w:lineRule="exact"/>
              <w:jc w:val="center"/>
              <w:rPr>
                <w:rFonts w:hAnsi="宋体" w:eastAsia="宋体" w:cs="宋体"/>
                <w:color w:val="auto"/>
                <w:sz w:val="24"/>
              </w:rPr>
            </w:pPr>
            <w:r>
              <w:rPr>
                <w:rFonts w:hint="eastAsia" w:hAnsi="宋体" w:eastAsia="宋体" w:cs="宋体"/>
                <w:color w:val="auto"/>
                <w:sz w:val="24"/>
              </w:rPr>
              <w:t>获取</w:t>
            </w:r>
          </w:p>
        </w:tc>
        <w:tc>
          <w:tcPr>
            <w:tcW w:w="6274" w:type="dxa"/>
            <w:gridSpan w:val="2"/>
          </w:tcPr>
          <w:p>
            <w:pPr>
              <w:autoSpaceDE w:val="0"/>
              <w:autoSpaceDN w:val="0"/>
              <w:adjustRightInd w:val="0"/>
              <w:spacing w:line="340" w:lineRule="exact"/>
              <w:rPr>
                <w:rFonts w:hAnsi="宋体" w:eastAsia="宋体" w:cs="宋体"/>
                <w:color w:val="auto"/>
                <w:sz w:val="24"/>
              </w:rPr>
            </w:pPr>
            <w:r>
              <w:rPr>
                <w:rFonts w:hint="eastAsia" w:hAnsi="宋体" w:eastAsia="宋体" w:cs="宋体"/>
                <w:color w:val="auto"/>
                <w:sz w:val="24"/>
              </w:rPr>
              <w:t>招标文件和工程量清单及图纸的获取：投标人于投标文件递交截止时间前均可登录【全国公共资源交易平台(河南省▪许昌市)】（http://www.xcggzy.gov.cn/），通过“投标人/供应商登录”后自行下载。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2.1.1</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构成招标文件的其他材料</w:t>
            </w:r>
          </w:p>
        </w:tc>
        <w:tc>
          <w:tcPr>
            <w:tcW w:w="6274" w:type="dxa"/>
            <w:gridSpan w:val="2"/>
            <w:vAlign w:val="center"/>
          </w:tcPr>
          <w:p>
            <w:pPr>
              <w:autoSpaceDE w:val="0"/>
              <w:autoSpaceDN w:val="0"/>
              <w:adjustRightInd w:val="0"/>
              <w:rPr>
                <w:rFonts w:hAnsi="宋体" w:eastAsia="宋体" w:cs="宋体"/>
                <w:color w:val="auto"/>
                <w:sz w:val="24"/>
              </w:rPr>
            </w:pPr>
            <w:r>
              <w:rPr>
                <w:rFonts w:hint="eastAsia" w:hAnsi="宋体" w:eastAsia="宋体" w:cs="宋体"/>
                <w:color w:val="auto"/>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2.2.1</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投标人要求澄清招标文件的截止时间</w:t>
            </w:r>
          </w:p>
        </w:tc>
        <w:tc>
          <w:tcPr>
            <w:tcW w:w="6274" w:type="dxa"/>
            <w:gridSpan w:val="2"/>
            <w:vAlign w:val="center"/>
          </w:tcPr>
          <w:p>
            <w:pPr>
              <w:autoSpaceDE w:val="0"/>
              <w:autoSpaceDN w:val="0"/>
              <w:adjustRightInd w:val="0"/>
              <w:rPr>
                <w:rFonts w:hAnsi="宋体" w:eastAsia="宋体" w:cs="宋体"/>
                <w:color w:val="auto"/>
                <w:sz w:val="24"/>
              </w:rPr>
            </w:pPr>
            <w:r>
              <w:rPr>
                <w:rFonts w:hint="eastAsia" w:hAnsi="宋体" w:eastAsia="宋体" w:cs="宋体"/>
                <w:color w:val="auto"/>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2.2.2</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投标截止时间</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cs="宋体"/>
                <w:color w:val="auto"/>
                <w:sz w:val="24"/>
                <w:szCs w:val="24"/>
                <w:highlight w:val="none"/>
              </w:rPr>
              <w:t>2020年</w:t>
            </w:r>
            <w:r>
              <w:rPr>
                <w:rFonts w:hint="eastAsia" w:hAnsi="宋体" w:cs="宋体"/>
                <w:color w:val="auto"/>
                <w:sz w:val="24"/>
                <w:szCs w:val="24"/>
                <w:highlight w:val="none"/>
                <w:lang w:val="en-US" w:eastAsia="zh-CN"/>
              </w:rPr>
              <w:t>5</w:t>
            </w:r>
            <w:r>
              <w:rPr>
                <w:rFonts w:hint="eastAsia" w:hAnsi="宋体" w:cs="宋体"/>
                <w:color w:val="auto"/>
                <w:sz w:val="24"/>
                <w:szCs w:val="24"/>
                <w:highlight w:val="none"/>
              </w:rPr>
              <w:t>月</w:t>
            </w:r>
            <w:r>
              <w:rPr>
                <w:rFonts w:hint="eastAsia" w:hAnsi="宋体" w:cs="宋体"/>
                <w:color w:val="auto"/>
                <w:sz w:val="24"/>
                <w:szCs w:val="24"/>
                <w:highlight w:val="none"/>
                <w:lang w:val="en-US" w:eastAsia="zh-CN"/>
              </w:rPr>
              <w:t>25</w:t>
            </w:r>
            <w:r>
              <w:rPr>
                <w:rFonts w:hint="eastAsia" w:hAnsi="宋体" w:cs="宋体"/>
                <w:color w:val="auto"/>
                <w:sz w:val="24"/>
                <w:szCs w:val="24"/>
                <w:highlight w:val="none"/>
              </w:rPr>
              <w:t>日</w:t>
            </w:r>
            <w:r>
              <w:rPr>
                <w:rFonts w:hint="eastAsia" w:hAnsi="宋体" w:cs="宋体"/>
                <w:color w:val="auto"/>
                <w:sz w:val="24"/>
                <w:szCs w:val="24"/>
                <w:highlight w:val="none"/>
                <w:lang w:val="en-US" w:eastAsia="zh-CN"/>
              </w:rPr>
              <w:t>8</w:t>
            </w:r>
            <w:r>
              <w:rPr>
                <w:rFonts w:hint="eastAsia" w:hAnsi="宋体" w:cs="宋体"/>
                <w:color w:val="auto"/>
                <w:sz w:val="24"/>
                <w:szCs w:val="24"/>
                <w:highlight w:val="none"/>
              </w:rPr>
              <w:t>时</w:t>
            </w:r>
            <w:r>
              <w:rPr>
                <w:rFonts w:hint="eastAsia" w:hAnsi="宋体" w:cs="宋体"/>
                <w:color w:val="auto"/>
                <w:sz w:val="24"/>
                <w:szCs w:val="24"/>
                <w:highlight w:val="none"/>
                <w:lang w:val="en-US" w:eastAsia="zh-CN"/>
              </w:rPr>
              <w:t>30</w:t>
            </w:r>
            <w:r>
              <w:rPr>
                <w:rFonts w:hint="eastAsia" w:hAnsi="宋体" w:cs="宋体"/>
                <w:color w:val="auto"/>
                <w:sz w:val="24"/>
                <w:szCs w:val="24"/>
                <w:highlight w:val="none"/>
              </w:rPr>
              <w:t>分</w:t>
            </w:r>
            <w:r>
              <w:rPr>
                <w:rFonts w:hint="eastAsia" w:hAnsi="宋体" w:eastAsia="宋体" w:cs="宋体"/>
                <w:color w:val="auto"/>
                <w:sz w:val="24"/>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2.2.3</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投标人确认收到招标文件澄清的时间</w:t>
            </w:r>
          </w:p>
        </w:tc>
        <w:tc>
          <w:tcPr>
            <w:tcW w:w="6274" w:type="dxa"/>
            <w:gridSpan w:val="2"/>
            <w:vAlign w:val="center"/>
          </w:tcPr>
          <w:p>
            <w:pPr>
              <w:autoSpaceDE w:val="0"/>
              <w:autoSpaceDN w:val="0"/>
              <w:adjustRightInd w:val="0"/>
              <w:rPr>
                <w:rFonts w:hAnsi="宋体" w:eastAsia="宋体" w:cs="宋体"/>
                <w:color w:val="auto"/>
                <w:sz w:val="24"/>
              </w:rPr>
            </w:pP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2.3.1</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投标人确认收到招标文件修改的时间</w:t>
            </w:r>
          </w:p>
        </w:tc>
        <w:tc>
          <w:tcPr>
            <w:tcW w:w="6274" w:type="dxa"/>
            <w:gridSpan w:val="2"/>
            <w:vAlign w:val="center"/>
          </w:tcPr>
          <w:p>
            <w:pPr>
              <w:autoSpaceDE w:val="0"/>
              <w:autoSpaceDN w:val="0"/>
              <w:adjustRightInd w:val="0"/>
              <w:rPr>
                <w:rFonts w:hAnsi="宋体" w:eastAsia="宋体" w:cs="宋体"/>
                <w:color w:val="auto"/>
                <w:sz w:val="24"/>
              </w:rPr>
            </w:pP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3.1.1</w:t>
            </w:r>
          </w:p>
        </w:tc>
        <w:tc>
          <w:tcPr>
            <w:tcW w:w="2590" w:type="dxa"/>
            <w:gridSpan w:val="4"/>
            <w:vAlign w:val="center"/>
          </w:tcPr>
          <w:p>
            <w:pPr>
              <w:autoSpaceDE w:val="0"/>
              <w:autoSpaceDN w:val="0"/>
              <w:adjustRightInd w:val="0"/>
              <w:spacing w:line="300" w:lineRule="exact"/>
              <w:jc w:val="center"/>
              <w:rPr>
                <w:rFonts w:hAnsi="宋体" w:eastAsia="宋体" w:cs="宋体"/>
                <w:color w:val="auto"/>
                <w:sz w:val="24"/>
              </w:rPr>
            </w:pPr>
            <w:r>
              <w:rPr>
                <w:rFonts w:hint="eastAsia" w:hAnsi="宋体" w:eastAsia="宋体" w:cs="宋体"/>
                <w:color w:val="auto"/>
                <w:sz w:val="24"/>
              </w:rPr>
              <w:t>构成投标文件的其他材料</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3.3.1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投标有效期</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lang w:val="en-US" w:eastAsia="zh-CN"/>
              </w:rPr>
              <w:t>60</w:t>
            </w:r>
            <w:r>
              <w:rPr>
                <w:rFonts w:hint="eastAsia" w:hAnsi="宋体" w:eastAsia="宋体" w:cs="宋体"/>
                <w:color w:val="auto"/>
                <w:sz w:val="24"/>
              </w:rPr>
              <w:t>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3.4.1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投标保证金须知</w:t>
            </w:r>
          </w:p>
        </w:tc>
        <w:tc>
          <w:tcPr>
            <w:tcW w:w="6274" w:type="dxa"/>
            <w:gridSpan w:val="2"/>
            <w:vAlign w:val="center"/>
          </w:tcPr>
          <w:p>
            <w:pPr>
              <w:autoSpaceDE w:val="0"/>
              <w:autoSpaceDN w:val="0"/>
              <w:adjustRightInd w:val="0"/>
              <w:spacing w:line="340" w:lineRule="exact"/>
              <w:rPr>
                <w:rFonts w:hint="eastAsia" w:hAnsi="宋体" w:eastAsia="宋体" w:cs="宋体"/>
                <w:color w:val="auto"/>
                <w:sz w:val="24"/>
              </w:rPr>
            </w:pPr>
            <w:r>
              <w:rPr>
                <w:rFonts w:hint="eastAsia" w:hAnsi="宋体" w:eastAsia="宋体" w:cs="宋体"/>
                <w:color w:val="auto"/>
                <w:sz w:val="24"/>
              </w:rPr>
              <w:t>1、自文件发布之日起，投标人需进行基本户备案（建设工程项目），已备案的基本户开户银行、账户发生变化的，须在投标保证金缴纳前办理变更手续。</w:t>
            </w:r>
          </w:p>
          <w:p>
            <w:pPr>
              <w:autoSpaceDE w:val="0"/>
              <w:autoSpaceDN w:val="0"/>
              <w:adjustRightInd w:val="0"/>
              <w:spacing w:line="340" w:lineRule="exact"/>
              <w:rPr>
                <w:rFonts w:hint="eastAsia" w:hAnsi="宋体" w:eastAsia="宋体" w:cs="宋体"/>
                <w:color w:val="auto"/>
                <w:sz w:val="24"/>
              </w:rPr>
            </w:pPr>
            <w:r>
              <w:rPr>
                <w:rFonts w:hint="eastAsia" w:hAnsi="宋体" w:eastAsia="宋体" w:cs="宋体"/>
                <w:color w:val="auto"/>
                <w:sz w:val="24"/>
              </w:rPr>
              <w:t xml:space="preserve">2、基本户备案流程： </w:t>
            </w:r>
          </w:p>
          <w:p>
            <w:pPr>
              <w:autoSpaceDE w:val="0"/>
              <w:autoSpaceDN w:val="0"/>
              <w:adjustRightInd w:val="0"/>
              <w:spacing w:line="340" w:lineRule="exact"/>
              <w:rPr>
                <w:rFonts w:hint="eastAsia" w:hAnsi="宋体" w:eastAsia="宋体" w:cs="宋体"/>
                <w:color w:val="auto"/>
                <w:sz w:val="24"/>
              </w:rPr>
            </w:pPr>
            <w:r>
              <w:rPr>
                <w:rFonts w:hint="eastAsia" w:hAnsi="宋体" w:eastAsia="宋体" w:cs="宋体"/>
                <w:color w:val="auto"/>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340" w:lineRule="exact"/>
              <w:rPr>
                <w:rFonts w:hint="eastAsia" w:hAnsi="宋体" w:eastAsia="宋体" w:cs="宋体"/>
                <w:color w:val="auto"/>
                <w:sz w:val="24"/>
              </w:rPr>
            </w:pPr>
            <w:r>
              <w:rPr>
                <w:rFonts w:hint="eastAsia" w:hAnsi="宋体" w:eastAsia="宋体" w:cs="宋体"/>
                <w:color w:val="auto"/>
                <w:sz w:val="24"/>
              </w:rPr>
              <w:t>3、特殊情况处理：</w:t>
            </w:r>
          </w:p>
          <w:p>
            <w:pPr>
              <w:autoSpaceDE w:val="0"/>
              <w:autoSpaceDN w:val="0"/>
              <w:adjustRightInd w:val="0"/>
              <w:spacing w:line="340" w:lineRule="exact"/>
              <w:rPr>
                <w:rFonts w:hint="eastAsia" w:hAnsi="宋体" w:eastAsia="宋体" w:cs="宋体"/>
                <w:color w:val="auto"/>
                <w:sz w:val="24"/>
              </w:rPr>
            </w:pPr>
            <w:r>
              <w:rPr>
                <w:rFonts w:hint="eastAsia" w:hAnsi="宋体" w:eastAsia="宋体" w:cs="宋体"/>
                <w:color w:val="auto"/>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pPr>
              <w:autoSpaceDE w:val="0"/>
              <w:autoSpaceDN w:val="0"/>
              <w:adjustRightInd w:val="0"/>
              <w:spacing w:line="340" w:lineRule="exact"/>
              <w:rPr>
                <w:rFonts w:hAnsi="宋体" w:eastAsia="宋体" w:cs="宋体"/>
                <w:color w:val="auto"/>
                <w:sz w:val="24"/>
              </w:rPr>
            </w:pPr>
            <w:r>
              <w:rPr>
                <w:rFonts w:hint="eastAsia" w:hAnsi="宋体" w:eastAsia="宋体" w:cs="宋体"/>
                <w:color w:val="auto"/>
                <w:sz w:val="24"/>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bookmarkStart w:id="2" w:name="OLE_LINK4" w:colFirst="0" w:colLast="2"/>
            <w:bookmarkStart w:id="3" w:name="_Hlk424659721"/>
            <w:bookmarkStart w:id="4" w:name="OLE_LINK3" w:colFirst="0" w:colLast="2"/>
            <w:r>
              <w:rPr>
                <w:rFonts w:hint="eastAsia" w:hAnsi="宋体" w:eastAsia="宋体" w:cs="宋体"/>
                <w:color w:val="auto"/>
                <w:sz w:val="24"/>
              </w:rPr>
              <w:t>3.4.2</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投标保证金</w:t>
            </w:r>
          </w:p>
        </w:tc>
        <w:tc>
          <w:tcPr>
            <w:tcW w:w="6274" w:type="dxa"/>
            <w:gridSpan w:val="2"/>
            <w:vAlign w:val="center"/>
          </w:tcPr>
          <w:p>
            <w:pPr>
              <w:autoSpaceDE w:val="0"/>
              <w:autoSpaceDN w:val="0"/>
              <w:adjustRightInd w:val="0"/>
              <w:spacing w:line="276" w:lineRule="auto"/>
              <w:jc w:val="left"/>
              <w:rPr>
                <w:rFonts w:hAnsi="宋体" w:eastAsia="宋体" w:cs="宋体"/>
                <w:color w:val="auto"/>
                <w:sz w:val="24"/>
              </w:rPr>
            </w:pPr>
            <w:r>
              <w:rPr>
                <w:rFonts w:hint="eastAsia" w:hAnsi="宋体" w:eastAsia="宋体" w:cs="宋体"/>
                <w:color w:val="auto"/>
                <w:sz w:val="24"/>
              </w:rPr>
              <w:t>投标保证金递交截止时间：</w:t>
            </w:r>
            <w:r>
              <w:rPr>
                <w:rFonts w:hint="eastAsia" w:hAnsi="宋体" w:eastAsia="宋体" w:cs="宋体"/>
                <w:b/>
                <w:color w:val="auto"/>
                <w:sz w:val="24"/>
              </w:rPr>
              <w:t>同投标截止时间</w:t>
            </w:r>
            <w:r>
              <w:rPr>
                <w:rFonts w:hint="eastAsia" w:hAnsi="宋体" w:eastAsia="宋体" w:cs="宋体"/>
                <w:color w:val="auto"/>
                <w:sz w:val="24"/>
              </w:rPr>
              <w:t>。</w:t>
            </w:r>
          </w:p>
          <w:p>
            <w:pPr>
              <w:autoSpaceDE w:val="0"/>
              <w:autoSpaceDN w:val="0"/>
              <w:adjustRightInd w:val="0"/>
              <w:spacing w:line="340" w:lineRule="exact"/>
              <w:rPr>
                <w:rFonts w:hint="eastAsia" w:hAnsi="宋体" w:cs="宋体"/>
                <w:b/>
                <w:bCs/>
                <w:color w:val="auto"/>
                <w:sz w:val="24"/>
                <w:lang w:val="zh-CN"/>
              </w:rPr>
            </w:pPr>
            <w:r>
              <w:rPr>
                <w:rFonts w:hint="eastAsia" w:hAnsi="宋体" w:cs="宋体"/>
                <w:b/>
                <w:bCs/>
                <w:color w:val="auto"/>
                <w:sz w:val="24"/>
                <w:lang w:val="zh-CN"/>
              </w:rPr>
              <w:t>金额：叁拾万元整（￥300000.00元）</w:t>
            </w:r>
          </w:p>
          <w:p>
            <w:pPr>
              <w:autoSpaceDE w:val="0"/>
              <w:autoSpaceDN w:val="0"/>
              <w:adjustRightInd w:val="0"/>
              <w:spacing w:line="276" w:lineRule="auto"/>
              <w:jc w:val="left"/>
              <w:rPr>
                <w:rFonts w:hint="eastAsia" w:hAnsi="宋体" w:cs="宋体"/>
                <w:color w:val="auto"/>
                <w:sz w:val="24"/>
                <w:lang w:val="zh-CN"/>
              </w:rPr>
            </w:pPr>
            <w:r>
              <w:rPr>
                <w:rFonts w:hint="eastAsia" w:hAnsi="宋体" w:cs="宋体"/>
                <w:color w:val="auto"/>
                <w:sz w:val="24"/>
                <w:lang w:val="zh-CN"/>
              </w:rPr>
              <w:t>1、投标保证金的递交方式：银行转账、银行电汇、银行保函，不接受以现金方式缴纳的投标保证金。凡以现金方式缴纳投标保证金而影响其投标结果的，由投标人自行负责。</w:t>
            </w:r>
          </w:p>
          <w:p>
            <w:pPr>
              <w:autoSpaceDE w:val="0"/>
              <w:autoSpaceDN w:val="0"/>
              <w:adjustRightInd w:val="0"/>
              <w:spacing w:line="276" w:lineRule="auto"/>
              <w:jc w:val="left"/>
              <w:rPr>
                <w:rFonts w:hint="eastAsia" w:hAnsi="宋体" w:cs="宋体"/>
                <w:color w:val="auto"/>
                <w:sz w:val="24"/>
                <w:lang w:val="zh-CN"/>
              </w:rPr>
            </w:pPr>
            <w:r>
              <w:rPr>
                <w:rFonts w:hint="eastAsia" w:hAnsi="宋体" w:cs="宋体"/>
                <w:color w:val="auto"/>
                <w:sz w:val="24"/>
                <w:lang w:val="zh-CN"/>
              </w:rPr>
              <w:t>使用银行转帐、银行电汇方式的，于截止时间前通过投标人基本账户将款项一次足额递交、成功绑定，以收款人到账时间为准，在途资金无效。同时投标人应承担节假日银行系统不能支付的风险。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276" w:lineRule="auto"/>
              <w:jc w:val="left"/>
              <w:rPr>
                <w:rFonts w:hint="eastAsia" w:hAnsi="宋体" w:cs="宋体"/>
                <w:color w:val="auto"/>
                <w:sz w:val="24"/>
                <w:lang w:val="zh-CN"/>
              </w:rPr>
            </w:pPr>
            <w:r>
              <w:rPr>
                <w:rFonts w:hint="eastAsia" w:hAnsi="宋体" w:cs="宋体"/>
                <w:color w:val="auto"/>
                <w:sz w:val="24"/>
                <w:lang w:val="zh-CN"/>
              </w:rPr>
              <w:t>使用银行保函方式的，银行保函应明确项目名称、项目编号及标段、受益人（招标人）、有效期（不低于本项目投标有效期）、银行保函担保金额（不低于本项目本标段投标保证金数额）。投标人应将真实合法的银行保函原件扫描件附于投标文件中，否则视为未按规定提交。</w:t>
            </w:r>
          </w:p>
          <w:p>
            <w:pPr>
              <w:autoSpaceDE w:val="0"/>
              <w:autoSpaceDN w:val="0"/>
              <w:adjustRightInd w:val="0"/>
              <w:spacing w:line="276" w:lineRule="auto"/>
              <w:jc w:val="left"/>
              <w:rPr>
                <w:rFonts w:hint="eastAsia" w:hAnsi="宋体" w:cs="宋体"/>
                <w:color w:val="auto"/>
                <w:sz w:val="24"/>
                <w:lang w:val="zh-CN"/>
              </w:rPr>
            </w:pPr>
            <w:r>
              <w:rPr>
                <w:rFonts w:hint="eastAsia" w:hAnsi="宋体" w:cs="宋体"/>
                <w:color w:val="auto"/>
                <w:sz w:val="24"/>
                <w:lang w:val="zh-CN"/>
              </w:rPr>
              <w:t>2、投标保证金缴纳方式：</w:t>
            </w:r>
          </w:p>
          <w:p>
            <w:pPr>
              <w:autoSpaceDE w:val="0"/>
              <w:autoSpaceDN w:val="0"/>
              <w:adjustRightInd w:val="0"/>
              <w:spacing w:line="276" w:lineRule="auto"/>
              <w:jc w:val="left"/>
              <w:rPr>
                <w:rFonts w:hint="eastAsia" w:hAnsi="宋体" w:cs="宋体"/>
                <w:color w:val="auto"/>
                <w:sz w:val="24"/>
                <w:lang w:val="zh-CN"/>
              </w:rPr>
            </w:pPr>
            <w:r>
              <w:rPr>
                <w:rFonts w:hint="eastAsia" w:hAnsi="宋体" w:cs="宋体"/>
                <w:color w:val="auto"/>
                <w:sz w:val="24"/>
                <w:lang w:val="zh-CN"/>
              </w:rPr>
              <w:t>2.1投标人网上下载招标文件后，登录http://221.14.6.70:8088/ggzy系统，依次点击“会员向导”→“参与投标”→“费用缴纳说明”→“保证金缴纳说明单”，获取缴费说明单，根据每个标段的缴纳说明单在缴纳截止时间前缴纳；</w:t>
            </w:r>
          </w:p>
          <w:p>
            <w:pPr>
              <w:autoSpaceDE w:val="0"/>
              <w:autoSpaceDN w:val="0"/>
              <w:adjustRightInd w:val="0"/>
              <w:spacing w:line="276" w:lineRule="auto"/>
              <w:jc w:val="left"/>
              <w:rPr>
                <w:rFonts w:hint="eastAsia" w:hAnsi="宋体" w:cs="宋体"/>
                <w:color w:val="auto"/>
                <w:sz w:val="24"/>
                <w:lang w:val="zh-CN"/>
              </w:rPr>
            </w:pPr>
            <w:r>
              <w:rPr>
                <w:rFonts w:hint="eastAsia" w:hAnsi="宋体" w:cs="宋体"/>
                <w:color w:val="auto"/>
                <w:sz w:val="24"/>
                <w:lang w:val="zh-CN"/>
              </w:rPr>
              <w:t>2.2成功缴纳后再次登录前述系统，依次点击“会员向导”→“参与投标”→“保证金绑定”→“绑定”进行投标保证金绑定。未绑定标段的投标保证金，视为未按规定提交。</w:t>
            </w:r>
          </w:p>
          <w:p>
            <w:pPr>
              <w:autoSpaceDE w:val="0"/>
              <w:autoSpaceDN w:val="0"/>
              <w:adjustRightInd w:val="0"/>
              <w:spacing w:line="276" w:lineRule="auto"/>
              <w:jc w:val="left"/>
              <w:rPr>
                <w:rFonts w:hint="eastAsia" w:hAnsi="宋体" w:cs="宋体"/>
                <w:color w:val="auto"/>
                <w:sz w:val="24"/>
                <w:lang w:val="zh-CN"/>
              </w:rPr>
            </w:pPr>
            <w:r>
              <w:rPr>
                <w:rFonts w:hint="eastAsia" w:hAnsi="宋体" w:cs="宋体"/>
                <w:color w:val="auto"/>
                <w:sz w:val="24"/>
                <w:lang w:val="zh-CN"/>
              </w:rPr>
              <w:t>2.3投标人成功绑定投标保证金，将缴纳凭证即本项目投保保证金“许昌公共资源交易中心保证金缴纳回执”附于投标文件中，否则视为未按规定提交。</w:t>
            </w:r>
          </w:p>
          <w:p>
            <w:pPr>
              <w:autoSpaceDE w:val="0"/>
              <w:autoSpaceDN w:val="0"/>
              <w:adjustRightInd w:val="0"/>
              <w:spacing w:line="276" w:lineRule="auto"/>
              <w:jc w:val="left"/>
              <w:rPr>
                <w:rFonts w:hint="eastAsia" w:hAnsi="宋体" w:cs="宋体"/>
                <w:color w:val="auto"/>
                <w:sz w:val="24"/>
                <w:lang w:val="zh-CN"/>
              </w:rPr>
            </w:pPr>
            <w:r>
              <w:rPr>
                <w:rFonts w:hint="eastAsia" w:hAnsi="宋体" w:cs="宋体"/>
                <w:color w:val="auto"/>
                <w:sz w:val="24"/>
                <w:lang w:val="zh-CN"/>
              </w:rPr>
              <w:t>2.4每个投标人每个项目每个标段只有唯一缴纳账号，切勿重复缴纳或错误缴纳。</w:t>
            </w:r>
          </w:p>
          <w:p>
            <w:pPr>
              <w:autoSpaceDE w:val="0"/>
              <w:autoSpaceDN w:val="0"/>
              <w:adjustRightInd w:val="0"/>
              <w:spacing w:line="276" w:lineRule="auto"/>
              <w:jc w:val="left"/>
              <w:rPr>
                <w:rFonts w:hint="eastAsia" w:hAnsi="宋体" w:cs="宋体"/>
                <w:color w:val="auto"/>
                <w:sz w:val="24"/>
                <w:lang w:val="zh-CN"/>
              </w:rPr>
            </w:pPr>
            <w:r>
              <w:rPr>
                <w:rFonts w:hint="eastAsia" w:hAnsi="宋体" w:cs="宋体"/>
                <w:color w:val="auto"/>
                <w:sz w:val="24"/>
                <w:lang w:val="zh-CN"/>
              </w:rPr>
              <w:t>3、未按上述规定操作引起的无效投标，由投标人自行负责。</w:t>
            </w:r>
          </w:p>
          <w:p>
            <w:pPr>
              <w:autoSpaceDE w:val="0"/>
              <w:autoSpaceDN w:val="0"/>
              <w:adjustRightInd w:val="0"/>
              <w:spacing w:line="276" w:lineRule="auto"/>
              <w:jc w:val="left"/>
              <w:rPr>
                <w:rFonts w:hint="eastAsia" w:hAnsi="宋体" w:cs="宋体"/>
                <w:color w:val="auto"/>
                <w:sz w:val="24"/>
                <w:lang w:val="zh-CN"/>
              </w:rPr>
            </w:pPr>
            <w:r>
              <w:rPr>
                <w:rFonts w:hint="eastAsia" w:hAnsi="宋体" w:cs="宋体"/>
                <w:color w:val="auto"/>
                <w:sz w:val="24"/>
                <w:lang w:val="zh-CN"/>
              </w:rPr>
              <w:t>4、汇款凭证无须备注项目编号和项目名称。</w:t>
            </w:r>
          </w:p>
          <w:p>
            <w:pPr>
              <w:autoSpaceDE w:val="0"/>
              <w:autoSpaceDN w:val="0"/>
              <w:adjustRightInd w:val="0"/>
              <w:spacing w:line="276" w:lineRule="auto"/>
              <w:jc w:val="left"/>
              <w:rPr>
                <w:rFonts w:hint="eastAsia" w:hAnsi="宋体" w:cs="宋体"/>
                <w:color w:val="auto"/>
                <w:sz w:val="24"/>
                <w:lang w:val="zh-CN"/>
              </w:rPr>
            </w:pPr>
            <w:r>
              <w:rPr>
                <w:rFonts w:hint="eastAsia" w:hAnsi="宋体" w:cs="宋体"/>
                <w:color w:val="auto"/>
                <w:sz w:val="24"/>
                <w:lang w:val="zh-CN"/>
              </w:rPr>
              <w:t>5、出现以下情形造成的投标保证金无效，由投标人自行负责。</w:t>
            </w:r>
          </w:p>
          <w:p>
            <w:pPr>
              <w:autoSpaceDE w:val="0"/>
              <w:autoSpaceDN w:val="0"/>
              <w:adjustRightInd w:val="0"/>
              <w:spacing w:line="276" w:lineRule="auto"/>
              <w:jc w:val="left"/>
              <w:rPr>
                <w:rFonts w:hint="eastAsia" w:hAnsi="宋体" w:cs="宋体"/>
                <w:color w:val="auto"/>
                <w:sz w:val="24"/>
                <w:lang w:val="zh-CN"/>
              </w:rPr>
            </w:pPr>
            <w:r>
              <w:rPr>
                <w:rFonts w:hint="eastAsia" w:hAnsi="宋体" w:cs="宋体"/>
                <w:color w:val="auto"/>
                <w:sz w:val="24"/>
                <w:lang w:val="zh-CN"/>
              </w:rPr>
              <w:t>(1)投标保证金未从投标人的基本账户转出；</w:t>
            </w:r>
          </w:p>
          <w:p>
            <w:pPr>
              <w:autoSpaceDE w:val="0"/>
              <w:autoSpaceDN w:val="0"/>
              <w:adjustRightInd w:val="0"/>
              <w:spacing w:line="276" w:lineRule="auto"/>
              <w:jc w:val="left"/>
              <w:rPr>
                <w:rFonts w:hint="eastAsia" w:hAnsi="宋体" w:cs="宋体"/>
                <w:color w:val="auto"/>
                <w:sz w:val="24"/>
                <w:lang w:val="zh-CN"/>
              </w:rPr>
            </w:pPr>
            <w:r>
              <w:rPr>
                <w:rFonts w:hint="eastAsia" w:hAnsi="宋体" w:cs="宋体"/>
                <w:color w:val="auto"/>
                <w:sz w:val="24"/>
                <w:lang w:val="zh-CN"/>
              </w:rPr>
              <w:t>(2)投标保证金未按照招标文件划分的标段转账。</w:t>
            </w:r>
          </w:p>
          <w:p>
            <w:pPr>
              <w:autoSpaceDE w:val="0"/>
              <w:autoSpaceDN w:val="0"/>
              <w:adjustRightInd w:val="0"/>
              <w:spacing w:line="276" w:lineRule="auto"/>
              <w:jc w:val="left"/>
              <w:rPr>
                <w:rFonts w:hint="eastAsia" w:hAnsi="宋体" w:cs="宋体"/>
                <w:color w:val="auto"/>
                <w:sz w:val="24"/>
                <w:lang w:val="zh-CN"/>
              </w:rPr>
            </w:pPr>
            <w:r>
              <w:rPr>
                <w:rFonts w:hint="eastAsia" w:hAnsi="宋体" w:cs="宋体"/>
                <w:color w:val="auto"/>
                <w:sz w:val="24"/>
                <w:lang w:val="zh-CN"/>
              </w:rPr>
              <w:t>6、《保证金缴纳绑定操作指南》获取方法：</w:t>
            </w:r>
          </w:p>
          <w:p>
            <w:pPr>
              <w:autoSpaceDE w:val="0"/>
              <w:autoSpaceDN w:val="0"/>
              <w:adjustRightInd w:val="0"/>
              <w:spacing w:line="276" w:lineRule="auto"/>
              <w:jc w:val="left"/>
              <w:rPr>
                <w:rFonts w:hint="eastAsia" w:hAnsi="宋体" w:cs="宋体"/>
                <w:color w:val="auto"/>
                <w:sz w:val="24"/>
                <w:lang w:val="zh-CN"/>
              </w:rPr>
            </w:pPr>
            <w:r>
              <w:rPr>
                <w:rFonts w:hint="eastAsia" w:hAnsi="宋体" w:cs="宋体"/>
                <w:color w:val="auto"/>
                <w:sz w:val="24"/>
                <w:lang w:val="zh-CN"/>
              </w:rPr>
              <w:t>登录许昌公共资源交易系统-组件下载-《保证金缴纳绑定操作指南》。</w:t>
            </w:r>
          </w:p>
          <w:p>
            <w:pPr>
              <w:autoSpaceDE w:val="0"/>
              <w:autoSpaceDN w:val="0"/>
              <w:adjustRightInd w:val="0"/>
              <w:spacing w:line="276" w:lineRule="auto"/>
              <w:jc w:val="left"/>
              <w:rPr>
                <w:rFonts w:hAnsi="宋体" w:cs="宋体"/>
                <w:color w:val="auto"/>
                <w:sz w:val="24"/>
                <w:lang w:val="zh-CN"/>
              </w:rPr>
            </w:pPr>
            <w:r>
              <w:rPr>
                <w:rFonts w:hint="eastAsia" w:hAnsi="宋体" w:cs="宋体"/>
                <w:color w:val="auto"/>
                <w:sz w:val="24"/>
                <w:lang w:val="zh-CN"/>
              </w:rPr>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3.5.2</w:t>
            </w:r>
          </w:p>
        </w:tc>
        <w:tc>
          <w:tcPr>
            <w:tcW w:w="2590" w:type="dxa"/>
            <w:gridSpan w:val="4"/>
            <w:vAlign w:val="center"/>
          </w:tcPr>
          <w:p>
            <w:pPr>
              <w:jc w:val="center"/>
              <w:rPr>
                <w:rFonts w:hAnsi="宋体" w:eastAsia="宋体" w:cs="宋体"/>
                <w:color w:val="auto"/>
                <w:sz w:val="24"/>
              </w:rPr>
            </w:pPr>
            <w:r>
              <w:rPr>
                <w:rFonts w:hint="eastAsia" w:hAnsi="宋体" w:eastAsia="宋体" w:cs="宋体"/>
                <w:color w:val="auto"/>
                <w:sz w:val="24"/>
              </w:rPr>
              <w:t>近年财务状况要求</w:t>
            </w:r>
          </w:p>
        </w:tc>
        <w:tc>
          <w:tcPr>
            <w:tcW w:w="6274" w:type="dxa"/>
            <w:gridSpan w:val="2"/>
            <w:vAlign w:val="center"/>
          </w:tcPr>
          <w:p>
            <w:pPr>
              <w:autoSpaceDE w:val="0"/>
              <w:autoSpaceDN w:val="0"/>
              <w:adjustRightInd w:val="0"/>
              <w:spacing w:line="276" w:lineRule="auto"/>
              <w:jc w:val="left"/>
              <w:rPr>
                <w:rFonts w:hAnsi="宋体" w:eastAsia="宋体" w:cs="宋体"/>
                <w:b/>
                <w:color w:val="auto"/>
                <w:szCs w:val="21"/>
              </w:rPr>
            </w:pPr>
            <w:r>
              <w:rPr>
                <w:rFonts w:hint="eastAsia" w:hAnsi="宋体" w:cs="仿宋_GB2312"/>
                <w:color w:val="auto"/>
                <w:sz w:val="24"/>
                <w:highlight w:val="none"/>
              </w:rPr>
              <w:t>近年，指2016、2017、2018年度。（若公司成立未满三年，需提供自成立起至2018年度财务状况）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3.5.3</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近年完成的类似项目</w:t>
            </w:r>
          </w:p>
        </w:tc>
        <w:tc>
          <w:tcPr>
            <w:tcW w:w="6274" w:type="dxa"/>
            <w:gridSpan w:val="2"/>
            <w:vAlign w:val="center"/>
          </w:tcPr>
          <w:p>
            <w:pPr>
              <w:autoSpaceDE w:val="0"/>
              <w:autoSpaceDN w:val="0"/>
              <w:adjustRightInd w:val="0"/>
              <w:spacing w:line="276" w:lineRule="auto"/>
              <w:rPr>
                <w:rFonts w:hAnsi="宋体" w:eastAsia="宋体" w:cs="宋体"/>
                <w:color w:val="auto"/>
                <w:sz w:val="24"/>
              </w:rPr>
            </w:pPr>
            <w:r>
              <w:rPr>
                <w:rFonts w:hint="eastAsia" w:hAnsi="宋体" w:eastAsia="宋体" w:cs="宋体"/>
                <w:color w:val="auto"/>
                <w:sz w:val="24"/>
              </w:rPr>
              <w:t>近年，指201</w:t>
            </w:r>
            <w:r>
              <w:rPr>
                <w:rFonts w:hint="eastAsia" w:hAnsi="宋体" w:eastAsia="宋体" w:cs="宋体"/>
                <w:color w:val="auto"/>
                <w:sz w:val="24"/>
                <w:lang w:val="en-US" w:eastAsia="zh-CN"/>
              </w:rPr>
              <w:t>7</w:t>
            </w:r>
            <w:r>
              <w:rPr>
                <w:rFonts w:hint="eastAsia" w:hAnsi="宋体" w:eastAsia="宋体" w:cs="宋体"/>
                <w:color w:val="auto"/>
                <w:sz w:val="24"/>
              </w:rPr>
              <w:t>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3.5.5</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近年发生的诉讼</w:t>
            </w:r>
          </w:p>
          <w:p>
            <w:pPr>
              <w:autoSpaceDE w:val="0"/>
              <w:autoSpaceDN w:val="0"/>
              <w:adjustRightInd w:val="0"/>
              <w:jc w:val="center"/>
              <w:rPr>
                <w:rFonts w:hAnsi="宋体" w:eastAsia="宋体" w:cs="宋体"/>
                <w:color w:val="auto"/>
                <w:sz w:val="24"/>
              </w:rPr>
            </w:pPr>
            <w:r>
              <w:rPr>
                <w:rFonts w:hint="eastAsia" w:hAnsi="宋体" w:eastAsia="宋体" w:cs="宋体"/>
                <w:color w:val="auto"/>
                <w:sz w:val="24"/>
              </w:rPr>
              <w:t>及仲裁</w:t>
            </w:r>
          </w:p>
        </w:tc>
        <w:tc>
          <w:tcPr>
            <w:tcW w:w="6274" w:type="dxa"/>
            <w:gridSpan w:val="2"/>
            <w:vAlign w:val="center"/>
          </w:tcPr>
          <w:p>
            <w:pPr>
              <w:autoSpaceDE w:val="0"/>
              <w:autoSpaceDN w:val="0"/>
              <w:adjustRightInd w:val="0"/>
              <w:spacing w:line="276" w:lineRule="auto"/>
              <w:rPr>
                <w:rFonts w:hAnsi="宋体" w:eastAsia="宋体" w:cs="宋体"/>
                <w:color w:val="auto"/>
                <w:sz w:val="24"/>
              </w:rPr>
            </w:pPr>
            <w:r>
              <w:rPr>
                <w:rFonts w:hint="eastAsia" w:hAnsi="宋体" w:eastAsia="宋体" w:cs="宋体"/>
                <w:color w:val="auto"/>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3.6</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是否允许递交备选投标方案</w:t>
            </w:r>
          </w:p>
        </w:tc>
        <w:tc>
          <w:tcPr>
            <w:tcW w:w="6274" w:type="dxa"/>
            <w:gridSpan w:val="2"/>
            <w:vAlign w:val="center"/>
          </w:tcPr>
          <w:p>
            <w:pPr>
              <w:autoSpaceDE w:val="0"/>
              <w:autoSpaceDN w:val="0"/>
              <w:adjustRightInd w:val="0"/>
              <w:spacing w:line="276" w:lineRule="auto"/>
              <w:rPr>
                <w:rFonts w:hAnsi="宋体" w:eastAsia="宋体" w:cs="宋体"/>
                <w:color w:val="auto"/>
                <w:sz w:val="24"/>
              </w:rPr>
            </w:pPr>
            <w:r>
              <w:rPr>
                <w:rFonts w:hint="eastAsia" w:hAnsi="宋体" w:eastAsia="宋体" w:cs="宋体"/>
                <w:color w:val="auto"/>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3.7.3</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签字或盖章要求</w:t>
            </w:r>
          </w:p>
        </w:tc>
        <w:tc>
          <w:tcPr>
            <w:tcW w:w="6274" w:type="dxa"/>
            <w:gridSpan w:val="2"/>
            <w:vAlign w:val="center"/>
          </w:tcPr>
          <w:p>
            <w:pPr>
              <w:spacing w:line="360" w:lineRule="auto"/>
              <w:rPr>
                <w:rFonts w:hAnsi="宋体" w:eastAsia="宋体" w:cs="宋体"/>
                <w:color w:val="auto"/>
                <w:sz w:val="24"/>
              </w:rPr>
            </w:pPr>
            <w:r>
              <w:rPr>
                <w:rFonts w:hint="eastAsia" w:ascii="新宋体" w:hAnsi="新宋体" w:eastAsia="新宋体"/>
                <w:color w:val="auto"/>
                <w:sz w:val="24"/>
              </w:rPr>
              <w:t>电子投标文件：按招标文件要求加盖</w:t>
            </w:r>
            <w:r>
              <w:rPr>
                <w:rFonts w:hint="eastAsia" w:hAnsi="宋体" w:cs="宋体"/>
                <w:color w:val="auto"/>
                <w:sz w:val="24"/>
                <w:lang w:val="zh-CN"/>
              </w:rPr>
              <w:t>电子印章和法人电子印章</w:t>
            </w: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3.7.4</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投标文件份数</w:t>
            </w:r>
          </w:p>
        </w:tc>
        <w:tc>
          <w:tcPr>
            <w:tcW w:w="6274" w:type="dxa"/>
            <w:gridSpan w:val="2"/>
            <w:vAlign w:val="center"/>
          </w:tcPr>
          <w:p>
            <w:pPr>
              <w:autoSpaceDE w:val="0"/>
              <w:autoSpaceDN w:val="0"/>
              <w:adjustRightInd w:val="0"/>
              <w:spacing w:line="360" w:lineRule="auto"/>
              <w:rPr>
                <w:rFonts w:hAnsi="宋体" w:eastAsia="宋体" w:cs="宋体"/>
                <w:color w:val="auto"/>
                <w:sz w:val="24"/>
              </w:rPr>
            </w:pPr>
            <w:r>
              <w:rPr>
                <w:rFonts w:hint="eastAsia" w:hAnsi="宋体" w:eastAsia="宋体" w:cs="宋体"/>
                <w:color w:val="auto"/>
                <w:sz w:val="24"/>
              </w:rPr>
              <w:t>电子投标文件</w:t>
            </w:r>
          </w:p>
          <w:p>
            <w:pPr>
              <w:autoSpaceDE w:val="0"/>
              <w:autoSpaceDN w:val="0"/>
              <w:adjustRightInd w:val="0"/>
              <w:spacing w:line="360" w:lineRule="auto"/>
              <w:rPr>
                <w:rFonts w:hAnsi="宋体" w:eastAsia="宋体" w:cs="宋体"/>
                <w:color w:val="auto"/>
                <w:sz w:val="24"/>
              </w:rPr>
            </w:pPr>
            <w:r>
              <w:rPr>
                <w:rFonts w:hint="eastAsia" w:hAnsi="宋体" w:eastAsia="宋体" w:cs="宋体"/>
                <w:color w:val="auto"/>
                <w:sz w:val="24"/>
              </w:rPr>
              <w:t>成功上传至【全国公共资源交易平台（河南省·许昌市）】公共资源交易系统电子投标文件1份</w:t>
            </w:r>
            <w:r>
              <w:rPr>
                <w:rFonts w:hint="eastAsia" w:hAnsi="宋体" w:eastAsia="宋体" w:cs="宋体"/>
                <w:color w:val="auto"/>
                <w:sz w:val="24"/>
                <w:szCs w:val="20"/>
              </w:rPr>
              <w:t>（文件格式为：XX公司XXX项目编号.file）</w:t>
            </w:r>
            <w:r>
              <w:rPr>
                <w:rFonts w:hint="eastAsia" w:hAnsi="宋体" w:eastAsia="宋体" w:cs="宋体"/>
                <w:color w:val="auto"/>
                <w:sz w:val="24"/>
              </w:rPr>
              <w:t>。</w:t>
            </w:r>
          </w:p>
          <w:p>
            <w:pPr>
              <w:spacing w:line="360" w:lineRule="auto"/>
              <w:rPr>
                <w:rFonts w:hAnsi="宋体" w:eastAsia="宋体" w:cs="宋体"/>
                <w:color w:val="auto"/>
                <w:sz w:val="24"/>
              </w:rPr>
            </w:pPr>
            <w:r>
              <w:rPr>
                <w:rFonts w:hint="eastAsia" w:hAnsi="宋体" w:eastAsia="宋体" w:cs="宋体"/>
                <w:b/>
                <w:color w:val="auto"/>
                <w:sz w:val="24"/>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3.7.5</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本项目是否采用不见面开标</w:t>
            </w:r>
          </w:p>
        </w:tc>
        <w:tc>
          <w:tcPr>
            <w:tcW w:w="6274" w:type="dxa"/>
            <w:gridSpan w:val="2"/>
            <w:vAlign w:val="center"/>
          </w:tcPr>
          <w:p>
            <w:pPr>
              <w:autoSpaceDE w:val="0"/>
              <w:autoSpaceDN w:val="0"/>
              <w:adjustRightInd w:val="0"/>
              <w:spacing w:line="360" w:lineRule="auto"/>
              <w:rPr>
                <w:rFonts w:hAnsi="宋体" w:eastAsia="宋体"/>
                <w:color w:val="auto"/>
                <w:sz w:val="24"/>
                <w:szCs w:val="24"/>
              </w:rPr>
            </w:pPr>
            <w:r>
              <w:rPr>
                <w:rFonts w:hint="eastAsia" w:hAnsi="宋体" w:eastAsia="宋体" w:cs="宋体"/>
                <w:color w:val="auto"/>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360" w:lineRule="exact"/>
              <w:jc w:val="left"/>
              <w:rPr>
                <w:rFonts w:hAnsi="宋体" w:eastAsia="宋体" w:cs="宋体"/>
                <w:color w:val="auto"/>
                <w:sz w:val="24"/>
              </w:rPr>
            </w:pPr>
            <w:r>
              <w:rPr>
                <w:rFonts w:hint="eastAsia" w:hAnsi="宋体" w:eastAsia="宋体" w:cs="宋体"/>
                <w:color w:val="auto"/>
                <w:sz w:val="24"/>
              </w:rPr>
              <w:t>4.2.2</w:t>
            </w:r>
          </w:p>
        </w:tc>
        <w:tc>
          <w:tcPr>
            <w:tcW w:w="2590" w:type="dxa"/>
            <w:gridSpan w:val="4"/>
            <w:vAlign w:val="center"/>
          </w:tcPr>
          <w:p>
            <w:pPr>
              <w:autoSpaceDE w:val="0"/>
              <w:autoSpaceDN w:val="0"/>
              <w:adjustRightInd w:val="0"/>
              <w:spacing w:line="360" w:lineRule="exact"/>
              <w:jc w:val="left"/>
              <w:rPr>
                <w:rFonts w:hAnsi="宋体" w:eastAsia="宋体" w:cs="宋体"/>
                <w:color w:val="auto"/>
                <w:sz w:val="24"/>
              </w:rPr>
            </w:pPr>
            <w:r>
              <w:rPr>
                <w:rFonts w:hint="eastAsia" w:hAnsi="宋体" w:eastAsia="宋体" w:cs="宋体"/>
                <w:color w:val="auto"/>
                <w:sz w:val="24"/>
              </w:rPr>
              <w:t>递交投标文件地点</w:t>
            </w:r>
          </w:p>
        </w:tc>
        <w:tc>
          <w:tcPr>
            <w:tcW w:w="6274" w:type="dxa"/>
            <w:gridSpan w:val="2"/>
            <w:vAlign w:val="center"/>
          </w:tcPr>
          <w:p>
            <w:pPr>
              <w:autoSpaceDE w:val="0"/>
              <w:autoSpaceDN w:val="0"/>
              <w:adjustRightInd w:val="0"/>
              <w:spacing w:line="420" w:lineRule="exact"/>
              <w:rPr>
                <w:rFonts w:hAnsi="宋体" w:eastAsia="宋体" w:cs="宋体"/>
                <w:color w:val="auto"/>
                <w:sz w:val="24"/>
              </w:rPr>
            </w:pPr>
            <w:r>
              <w:rPr>
                <w:rFonts w:hint="eastAsia" w:hAnsi="宋体" w:eastAsia="宋体" w:cs="宋体"/>
                <w:color w:val="auto"/>
                <w:sz w:val="24"/>
              </w:rPr>
              <w:t>电子投标文件应按规定在投标截止时间（开标时间）之前成功提交至【全国公共资源交易平台(河南省▪许昌市)】公共资源交易系统（http://221.14.6.70:8088/ggzy/）。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4.2.3</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是否退还投标文件</w:t>
            </w:r>
          </w:p>
        </w:tc>
        <w:tc>
          <w:tcPr>
            <w:tcW w:w="6274" w:type="dxa"/>
            <w:gridSpan w:val="2"/>
            <w:vAlign w:val="center"/>
          </w:tcPr>
          <w:p>
            <w:pPr>
              <w:autoSpaceDE w:val="0"/>
              <w:autoSpaceDN w:val="0"/>
              <w:adjustRightInd w:val="0"/>
              <w:spacing w:line="420" w:lineRule="exact"/>
              <w:rPr>
                <w:rFonts w:hAnsi="宋体" w:eastAsia="宋体" w:cs="宋体"/>
                <w:color w:val="auto"/>
                <w:sz w:val="24"/>
              </w:rPr>
            </w:pPr>
            <w:r>
              <w:rPr>
                <w:rFonts w:hint="eastAsia" w:hAnsi="宋体" w:eastAsia="宋体" w:cs="宋体"/>
                <w:color w:val="auto"/>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5.1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开标时间和地点</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开标时间：</w:t>
            </w:r>
            <w:r>
              <w:rPr>
                <w:rFonts w:hint="eastAsia" w:hAnsi="宋体" w:eastAsia="宋体" w:cs="宋体"/>
                <w:b/>
                <w:color w:val="auto"/>
                <w:sz w:val="24"/>
                <w:u w:val="single"/>
              </w:rPr>
              <w:t>同投标截止时间</w:t>
            </w:r>
          </w:p>
          <w:p>
            <w:pPr>
              <w:spacing w:line="440" w:lineRule="exact"/>
              <w:rPr>
                <w:rFonts w:hAnsi="宋体" w:cs="宋体"/>
                <w:color w:val="auto"/>
                <w:sz w:val="24"/>
                <w:szCs w:val="24"/>
              </w:rPr>
            </w:pPr>
            <w:r>
              <w:rPr>
                <w:rFonts w:hint="eastAsia" w:hAnsi="宋体" w:eastAsia="宋体" w:cs="宋体"/>
                <w:color w:val="auto"/>
                <w:sz w:val="24"/>
              </w:rPr>
              <w:t>开标地点：</w:t>
            </w:r>
            <w:r>
              <w:rPr>
                <w:rFonts w:hint="eastAsia" w:hAnsi="宋体" w:cs="宋体"/>
                <w:color w:val="auto"/>
                <w:sz w:val="24"/>
                <w:szCs w:val="24"/>
              </w:rPr>
              <w:t>许昌市公共资源交易中心（龙兴路与竹林路交汇处创业服务中心C 座）三楼</w:t>
            </w:r>
            <w:r>
              <w:rPr>
                <w:rFonts w:hint="eastAsia" w:hAnsi="宋体" w:cs="宋体"/>
                <w:color w:val="auto"/>
                <w:sz w:val="24"/>
                <w:szCs w:val="24"/>
                <w:highlight w:val="none"/>
              </w:rPr>
              <w:t>开标</w:t>
            </w:r>
            <w:r>
              <w:rPr>
                <w:rFonts w:hint="eastAsia" w:hAnsi="宋体" w:cs="宋体"/>
                <w:color w:val="auto"/>
                <w:sz w:val="24"/>
                <w:szCs w:val="24"/>
                <w:highlight w:val="none"/>
                <w:lang w:val="en-US" w:eastAsia="zh-CN"/>
              </w:rPr>
              <w:t>一</w:t>
            </w:r>
            <w:r>
              <w:rPr>
                <w:rFonts w:hint="eastAsia" w:hAnsi="宋体" w:cs="宋体"/>
                <w:color w:val="auto"/>
                <w:sz w:val="24"/>
                <w:szCs w:val="24"/>
                <w:highlight w:val="non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 xml:space="preserve">5.2 </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开标程序</w:t>
            </w:r>
          </w:p>
        </w:tc>
        <w:tc>
          <w:tcPr>
            <w:tcW w:w="6274" w:type="dxa"/>
            <w:gridSpan w:val="2"/>
          </w:tcPr>
          <w:p>
            <w:pPr>
              <w:spacing w:line="520" w:lineRule="exact"/>
              <w:rPr>
                <w:rFonts w:hAnsi="宋体" w:eastAsia="宋体" w:cs="宋体"/>
                <w:sz w:val="24"/>
              </w:rPr>
            </w:pPr>
            <w:r>
              <w:rPr>
                <w:rFonts w:hint="eastAsia" w:hAnsi="宋体" w:eastAsia="宋体" w:cs="宋体"/>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520" w:lineRule="exact"/>
              <w:rPr>
                <w:rFonts w:hAnsi="宋体" w:eastAsia="宋体" w:cs="宋体"/>
                <w:sz w:val="24"/>
              </w:rPr>
            </w:pPr>
            <w:r>
              <w:rPr>
                <w:rFonts w:hint="eastAsia" w:hAnsi="宋体" w:eastAsia="宋体" w:cs="宋体"/>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spacing w:line="520" w:lineRule="exact"/>
              <w:rPr>
                <w:rFonts w:hAnsi="宋体" w:eastAsia="宋体" w:cs="宋体"/>
                <w:sz w:val="24"/>
              </w:rPr>
            </w:pPr>
            <w:r>
              <w:rPr>
                <w:rFonts w:hint="eastAsia" w:hAnsi="宋体" w:eastAsia="宋体" w:cs="宋体"/>
                <w:sz w:val="24"/>
              </w:rPr>
              <w:t>(3)解密完成后，招标人（代理机构）点击“系数抽取”按钮进行系数抽取，系数抽取情况在“公告通知”处显示。</w:t>
            </w:r>
            <w:r>
              <w:rPr>
                <w:rFonts w:hAnsi="宋体" w:eastAsia="宋体" w:cs="宋体"/>
                <w:sz w:val="24"/>
              </w:rPr>
              <w:t xml:space="preserve"> </w:t>
            </w:r>
          </w:p>
          <w:p>
            <w:pPr>
              <w:spacing w:line="520" w:lineRule="exact"/>
              <w:rPr>
                <w:rFonts w:hAnsi="宋体" w:eastAsia="宋体" w:cs="宋体"/>
                <w:sz w:val="24"/>
              </w:rPr>
            </w:pPr>
            <w:r>
              <w:rPr>
                <w:rFonts w:hint="eastAsia" w:hAnsi="宋体" w:eastAsia="宋体" w:cs="宋体"/>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spacing w:line="520" w:lineRule="exact"/>
              <w:ind w:firstLine="120" w:firstLineChars="50"/>
              <w:rPr>
                <w:rFonts w:hAnsi="宋体" w:eastAsia="宋体" w:cs="宋体"/>
                <w:sz w:val="24"/>
              </w:rPr>
            </w:pPr>
            <w:r>
              <w:rPr>
                <w:rFonts w:hint="eastAsia" w:hAnsi="宋体" w:eastAsia="宋体" w:cs="宋体"/>
                <w:sz w:val="24"/>
              </w:rPr>
              <w:t xml:space="preserve"> (5)如无投标人提出异议，招标代理机构通过“文字互动”对话框通知各投标人进行电子签章。投标人应在《开标记录表》上进行电子签章，未进行电子签章的视为对开标结果无异议。</w:t>
            </w:r>
          </w:p>
          <w:p>
            <w:pPr>
              <w:autoSpaceDE w:val="0"/>
              <w:autoSpaceDN w:val="0"/>
              <w:adjustRightInd w:val="0"/>
              <w:spacing w:line="420" w:lineRule="exact"/>
              <w:jc w:val="left"/>
              <w:rPr>
                <w:color w:val="auto"/>
              </w:rPr>
            </w:pPr>
            <w:r>
              <w:rPr>
                <w:rFonts w:hint="eastAsia" w:hAnsi="宋体" w:eastAsia="宋体" w:cs="宋体"/>
                <w:sz w:val="24"/>
              </w:rPr>
              <w:t>（6）招标人（代理机构）签章并上传《开标记录表》，不见面开标活动结束。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 xml:space="preserve">6.1.1 </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评标委员会的组建</w:t>
            </w:r>
          </w:p>
        </w:tc>
        <w:tc>
          <w:tcPr>
            <w:tcW w:w="6274" w:type="dxa"/>
            <w:gridSpan w:val="2"/>
            <w:vAlign w:val="center"/>
          </w:tcPr>
          <w:p>
            <w:pPr>
              <w:rPr>
                <w:rFonts w:ascii="新宋体" w:hAnsi="新宋体" w:eastAsia="新宋体"/>
                <w:color w:val="auto"/>
                <w:sz w:val="24"/>
              </w:rPr>
            </w:pPr>
            <w:r>
              <w:rPr>
                <w:rFonts w:hint="eastAsia" w:ascii="新宋体" w:hAnsi="新宋体" w:eastAsia="新宋体"/>
                <w:color w:val="auto"/>
                <w:sz w:val="24"/>
              </w:rPr>
              <w:t>评标委员会构成：从河南省综合评标专家库中随机抽取5人和招标人代表2人组成。其中注册造价工程师不少于3人。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7.1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是否授权评标委员会确定中标人</w:t>
            </w:r>
          </w:p>
        </w:tc>
        <w:tc>
          <w:tcPr>
            <w:tcW w:w="6274" w:type="dxa"/>
            <w:gridSpan w:val="2"/>
            <w:vAlign w:val="center"/>
          </w:tcPr>
          <w:p>
            <w:pPr>
              <w:autoSpaceDE w:val="0"/>
              <w:autoSpaceDN w:val="0"/>
              <w:adjustRightInd w:val="0"/>
              <w:spacing w:line="420" w:lineRule="exact"/>
              <w:rPr>
                <w:rFonts w:hAnsi="宋体" w:eastAsia="宋体" w:cs="宋体"/>
                <w:color w:val="auto"/>
                <w:sz w:val="24"/>
              </w:rPr>
            </w:pPr>
            <w:r>
              <w:rPr>
                <w:rFonts w:hint="eastAsia" w:hAnsi="宋体" w:eastAsia="宋体" w:cs="宋体"/>
                <w:color w:val="auto"/>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67" w:type="dxa"/>
            <w:gridSpan w:val="7"/>
            <w:vAlign w:val="center"/>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867" w:type="dxa"/>
            <w:gridSpan w:val="7"/>
            <w:tcBorders>
              <w:bottom w:val="single" w:color="auto" w:sz="4" w:space="0"/>
            </w:tcBorders>
            <w:vAlign w:val="center"/>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3" w:type="dxa"/>
            <w:gridSpan w:val="2"/>
            <w:shd w:val="clear" w:color="auto" w:fill="FFFFFF" w:themeFill="background1"/>
            <w:vAlign w:val="center"/>
          </w:tcPr>
          <w:p>
            <w:pPr>
              <w:spacing w:line="440" w:lineRule="exact"/>
              <w:rPr>
                <w:rFonts w:hint="eastAsia" w:hAnsi="宋体" w:cs="宋体"/>
                <w:color w:val="0000FF"/>
                <w:sz w:val="24"/>
                <w:szCs w:val="24"/>
                <w:highlight w:val="none"/>
              </w:rPr>
            </w:pPr>
            <w:r>
              <w:rPr>
                <w:rFonts w:hint="eastAsia" w:hAnsi="宋体" w:cs="宋体"/>
                <w:color w:val="0000FF"/>
                <w:sz w:val="24"/>
                <w:szCs w:val="24"/>
                <w:highlight w:val="none"/>
              </w:rPr>
              <w:t>10.1.1</w:t>
            </w:r>
          </w:p>
        </w:tc>
        <w:tc>
          <w:tcPr>
            <w:tcW w:w="1565" w:type="dxa"/>
            <w:gridSpan w:val="2"/>
            <w:shd w:val="clear" w:color="auto" w:fill="FFFFFF" w:themeFill="background1"/>
            <w:vAlign w:val="center"/>
          </w:tcPr>
          <w:p>
            <w:pPr>
              <w:spacing w:line="440" w:lineRule="exact"/>
              <w:rPr>
                <w:rFonts w:hint="eastAsia" w:hAnsi="宋体" w:cs="宋体"/>
                <w:color w:val="auto"/>
                <w:sz w:val="24"/>
                <w:szCs w:val="24"/>
                <w:highlight w:val="none"/>
              </w:rPr>
            </w:pPr>
            <w:r>
              <w:rPr>
                <w:rFonts w:hint="eastAsia" w:hAnsi="宋体" w:cs="宋体"/>
                <w:color w:val="auto"/>
                <w:sz w:val="24"/>
                <w:szCs w:val="24"/>
                <w:highlight w:val="none"/>
              </w:rPr>
              <w:t>类似项目</w:t>
            </w:r>
          </w:p>
        </w:tc>
        <w:tc>
          <w:tcPr>
            <w:tcW w:w="7219" w:type="dxa"/>
            <w:gridSpan w:val="3"/>
            <w:shd w:val="clear" w:color="auto" w:fill="FFFFFF" w:themeFill="background1"/>
            <w:vAlign w:val="center"/>
          </w:tcPr>
          <w:p>
            <w:pPr>
              <w:spacing w:line="440" w:lineRule="exact"/>
              <w:rPr>
                <w:rFonts w:hint="eastAsia" w:hAnsi="宋体" w:cs="宋体"/>
                <w:color w:val="auto"/>
                <w:sz w:val="24"/>
                <w:szCs w:val="24"/>
                <w:highlight w:val="none"/>
              </w:rPr>
            </w:pPr>
            <w:r>
              <w:rPr>
                <w:rFonts w:hint="eastAsia" w:hAnsi="宋体" w:cs="宋体"/>
                <w:color w:val="auto"/>
                <w:sz w:val="24"/>
                <w:szCs w:val="24"/>
                <w:highlight w:val="none"/>
                <w:lang w:val="en-US" w:eastAsia="zh-CN"/>
              </w:rPr>
              <w:t>指2017年1月1日以来承建过的机电安装类项目。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67" w:type="dxa"/>
            <w:gridSpan w:val="7"/>
            <w:vAlign w:val="center"/>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83" w:type="dxa"/>
            <w:gridSpan w:val="2"/>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10.2.1</w:t>
            </w:r>
          </w:p>
        </w:tc>
        <w:tc>
          <w:tcPr>
            <w:tcW w:w="1565" w:type="dxa"/>
            <w:gridSpan w:val="2"/>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b/>
                <w:color w:val="auto"/>
                <w:sz w:val="24"/>
              </w:rPr>
              <w:t>招标控制价</w:t>
            </w:r>
          </w:p>
        </w:tc>
        <w:tc>
          <w:tcPr>
            <w:tcW w:w="7219" w:type="dxa"/>
            <w:gridSpan w:val="3"/>
            <w:vAlign w:val="center"/>
          </w:tcPr>
          <w:p>
            <w:pPr>
              <w:autoSpaceDE w:val="0"/>
              <w:autoSpaceDN w:val="0"/>
              <w:adjustRightInd w:val="0"/>
              <w:spacing w:line="420" w:lineRule="exact"/>
              <w:rPr>
                <w:rFonts w:hAnsi="宋体" w:eastAsia="宋体" w:cs="宋体"/>
                <w:color w:val="auto"/>
                <w:sz w:val="24"/>
              </w:rPr>
            </w:pPr>
            <w:r>
              <w:rPr>
                <w:rFonts w:hint="eastAsia" w:hAnsi="宋体" w:eastAsia="宋体" w:cs="宋体"/>
                <w:color w:val="auto"/>
                <w:sz w:val="24"/>
              </w:rPr>
              <w:t>本工程招标控制价：</w:t>
            </w:r>
          </w:p>
          <w:p>
            <w:pPr>
              <w:autoSpaceDE w:val="0"/>
              <w:autoSpaceDN w:val="0"/>
              <w:adjustRightInd w:val="0"/>
              <w:spacing w:line="420" w:lineRule="exact"/>
              <w:rPr>
                <w:rFonts w:hint="eastAsia" w:hAnsi="宋体" w:eastAsia="宋体" w:cs="宋体"/>
                <w:b/>
                <w:bCs/>
                <w:color w:val="auto"/>
                <w:sz w:val="24"/>
                <w:lang w:eastAsia="zh-CN"/>
              </w:rPr>
            </w:pPr>
            <w:r>
              <w:rPr>
                <w:rFonts w:hint="eastAsia" w:hAnsi="宋体" w:eastAsia="宋体" w:cs="宋体"/>
                <w:b/>
                <w:bCs/>
                <w:color w:val="auto"/>
                <w:sz w:val="24"/>
              </w:rPr>
              <w:t>大写：</w:t>
            </w:r>
            <w:r>
              <w:rPr>
                <w:rFonts w:hint="eastAsia" w:hAnsi="宋体" w:eastAsia="宋体" w:cs="宋体"/>
                <w:b/>
                <w:bCs/>
                <w:color w:val="auto"/>
                <w:sz w:val="24"/>
                <w:lang w:eastAsia="zh-CN"/>
              </w:rPr>
              <w:t>壹仟伍佰贰拾柒万柒仟柒佰叁拾玖元捌角肆分</w:t>
            </w:r>
          </w:p>
          <w:p>
            <w:pPr>
              <w:autoSpaceDE w:val="0"/>
              <w:autoSpaceDN w:val="0"/>
              <w:adjustRightInd w:val="0"/>
              <w:spacing w:line="420" w:lineRule="exact"/>
              <w:rPr>
                <w:rFonts w:hint="eastAsia" w:hAnsi="宋体" w:eastAsia="宋体" w:cs="宋体"/>
                <w:b/>
                <w:bCs/>
                <w:color w:val="auto"/>
                <w:sz w:val="24"/>
                <w:lang w:eastAsia="zh-CN"/>
              </w:rPr>
            </w:pPr>
            <w:r>
              <w:rPr>
                <w:rFonts w:hint="eastAsia" w:hAnsi="宋体" w:eastAsia="宋体" w:cs="宋体"/>
                <w:b/>
                <w:bCs/>
                <w:color w:val="auto"/>
                <w:sz w:val="24"/>
              </w:rPr>
              <w:t>小写：15277739.84</w:t>
            </w:r>
            <w:r>
              <w:rPr>
                <w:rFonts w:hint="eastAsia" w:hAnsi="宋体" w:eastAsia="宋体" w:cs="宋体"/>
                <w:b/>
                <w:bCs/>
                <w:color w:val="auto"/>
                <w:sz w:val="24"/>
                <w:lang w:eastAsia="zh-CN"/>
              </w:rPr>
              <w:t>元</w:t>
            </w:r>
          </w:p>
          <w:p>
            <w:pPr>
              <w:autoSpaceDE w:val="0"/>
              <w:autoSpaceDN w:val="0"/>
              <w:adjustRightInd w:val="0"/>
              <w:spacing w:line="420" w:lineRule="exact"/>
              <w:ind w:firstLine="235" w:firstLineChars="98"/>
              <w:rPr>
                <w:rFonts w:hAnsi="宋体" w:eastAsia="宋体" w:cs="宋体"/>
                <w:color w:val="auto"/>
                <w:sz w:val="24"/>
              </w:rPr>
            </w:pPr>
            <w:r>
              <w:rPr>
                <w:rFonts w:hint="eastAsia" w:hAnsi="宋体" w:eastAsia="宋体" w:cs="宋体"/>
                <w:color w:val="auto"/>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eastAsia="宋体" w:cs="宋体"/>
                <w:color w:val="auto"/>
                <w:sz w:val="24"/>
              </w:rPr>
            </w:pPr>
            <w:r>
              <w:rPr>
                <w:rFonts w:hint="eastAsia" w:hAnsi="宋体" w:eastAsia="宋体" w:cs="宋体"/>
                <w:color w:val="auto"/>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gridSpan w:val="2"/>
            <w:vAlign w:val="center"/>
          </w:tcPr>
          <w:p>
            <w:pPr>
              <w:spacing w:line="312" w:lineRule="auto"/>
              <w:rPr>
                <w:rFonts w:hAnsi="宋体" w:eastAsia="宋体" w:cs="宋体"/>
                <w:color w:val="auto"/>
                <w:sz w:val="24"/>
              </w:rPr>
            </w:pPr>
          </w:p>
        </w:tc>
        <w:tc>
          <w:tcPr>
            <w:tcW w:w="3031" w:type="dxa"/>
            <w:gridSpan w:val="4"/>
            <w:vAlign w:val="center"/>
          </w:tcPr>
          <w:p>
            <w:pPr>
              <w:spacing w:line="260" w:lineRule="exact"/>
              <w:jc w:val="center"/>
              <w:rPr>
                <w:rFonts w:hAnsi="宋体" w:eastAsia="宋体" w:cs="宋体"/>
                <w:color w:val="auto"/>
                <w:sz w:val="24"/>
              </w:rPr>
            </w:pPr>
            <w:r>
              <w:rPr>
                <w:rFonts w:hint="eastAsia" w:hAnsi="宋体" w:eastAsia="宋体" w:cs="宋体"/>
                <w:color w:val="auto"/>
                <w:sz w:val="24"/>
              </w:rPr>
              <w:t>技术标是否采用“暗标”</w:t>
            </w:r>
          </w:p>
          <w:p>
            <w:pPr>
              <w:spacing w:line="260" w:lineRule="exact"/>
              <w:jc w:val="center"/>
              <w:rPr>
                <w:rFonts w:hAnsi="宋体" w:eastAsia="宋体" w:cs="宋体"/>
                <w:color w:val="auto"/>
                <w:sz w:val="24"/>
              </w:rPr>
            </w:pPr>
            <w:r>
              <w:rPr>
                <w:rFonts w:hint="eastAsia" w:hAnsi="宋体" w:eastAsia="宋体" w:cs="宋体"/>
                <w:color w:val="auto"/>
                <w:sz w:val="24"/>
              </w:rPr>
              <w:t>评审方式</w:t>
            </w:r>
          </w:p>
        </w:tc>
        <w:tc>
          <w:tcPr>
            <w:tcW w:w="5753" w:type="dxa"/>
            <w:vAlign w:val="center"/>
          </w:tcPr>
          <w:p>
            <w:pPr>
              <w:spacing w:line="312" w:lineRule="auto"/>
              <w:rPr>
                <w:rFonts w:hAnsi="宋体" w:eastAsia="宋体" w:cs="宋体"/>
                <w:color w:val="auto"/>
                <w:sz w:val="24"/>
              </w:rPr>
            </w:pPr>
            <w:r>
              <w:rPr>
                <w:rFonts w:hint="eastAsia" w:hAnsi="宋体" w:eastAsia="宋体" w:cs="宋体"/>
                <w:color w:val="auto"/>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867" w:type="dxa"/>
            <w:gridSpan w:val="7"/>
            <w:vAlign w:val="center"/>
          </w:tcPr>
          <w:p>
            <w:pPr>
              <w:spacing w:line="312" w:lineRule="auto"/>
              <w:rPr>
                <w:rFonts w:hAnsi="宋体" w:eastAsia="宋体" w:cs="宋体"/>
                <w:color w:val="auto"/>
                <w:sz w:val="24"/>
              </w:rPr>
            </w:pPr>
            <w:r>
              <w:rPr>
                <w:rFonts w:hint="eastAsia" w:hAnsi="宋体" w:eastAsia="宋体" w:cs="宋体"/>
                <w:color w:val="auto"/>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83" w:type="dxa"/>
            <w:gridSpan w:val="2"/>
            <w:vAlign w:val="center"/>
          </w:tcPr>
          <w:p>
            <w:pPr>
              <w:spacing w:line="260" w:lineRule="exact"/>
              <w:jc w:val="center"/>
              <w:rPr>
                <w:rFonts w:hAnsi="宋体" w:eastAsia="宋体" w:cs="宋体"/>
                <w:color w:val="auto"/>
                <w:sz w:val="24"/>
              </w:rPr>
            </w:pPr>
          </w:p>
        </w:tc>
        <w:tc>
          <w:tcPr>
            <w:tcW w:w="8784" w:type="dxa"/>
            <w:gridSpan w:val="5"/>
            <w:vAlign w:val="center"/>
          </w:tcPr>
          <w:p>
            <w:pPr>
              <w:autoSpaceDE w:val="0"/>
              <w:autoSpaceDN w:val="0"/>
              <w:spacing w:line="360" w:lineRule="auto"/>
              <w:jc w:val="left"/>
              <w:outlineLvl w:val="0"/>
              <w:rPr>
                <w:rFonts w:hAnsi="宋体" w:eastAsia="宋体" w:cs="宋体"/>
                <w:color w:val="auto"/>
                <w:sz w:val="24"/>
              </w:rPr>
            </w:pPr>
            <w:r>
              <w:rPr>
                <w:rFonts w:hint="eastAsia" w:hAnsi="宋体" w:cs="宋体"/>
                <w:color w:val="auto"/>
                <w:sz w:val="24"/>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83" w:type="dxa"/>
            <w:gridSpan w:val="2"/>
            <w:vAlign w:val="center"/>
          </w:tcPr>
          <w:p>
            <w:pPr>
              <w:spacing w:line="312" w:lineRule="auto"/>
              <w:rPr>
                <w:rFonts w:hAnsi="宋体" w:eastAsia="宋体" w:cs="宋体"/>
                <w:color w:val="auto"/>
                <w:sz w:val="24"/>
              </w:rPr>
            </w:pPr>
          </w:p>
        </w:tc>
        <w:tc>
          <w:tcPr>
            <w:tcW w:w="8784" w:type="dxa"/>
            <w:gridSpan w:val="5"/>
            <w:vAlign w:val="center"/>
          </w:tcPr>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83" w:type="dxa"/>
            <w:gridSpan w:val="2"/>
            <w:vAlign w:val="center"/>
          </w:tcPr>
          <w:p>
            <w:pPr>
              <w:spacing w:line="312" w:lineRule="auto"/>
              <w:rPr>
                <w:rFonts w:hAnsi="宋体" w:eastAsia="宋体" w:cs="宋体"/>
                <w:color w:val="auto"/>
                <w:sz w:val="24"/>
              </w:rPr>
            </w:pPr>
          </w:p>
        </w:tc>
        <w:tc>
          <w:tcPr>
            <w:tcW w:w="8784" w:type="dxa"/>
            <w:gridSpan w:val="5"/>
            <w:vAlign w:val="center"/>
          </w:tcPr>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83" w:type="dxa"/>
            <w:gridSpan w:val="2"/>
            <w:vAlign w:val="center"/>
          </w:tcPr>
          <w:p>
            <w:pPr>
              <w:spacing w:line="312" w:lineRule="auto"/>
              <w:rPr>
                <w:rFonts w:hAnsi="宋体" w:eastAsia="宋体" w:cs="宋体"/>
                <w:color w:val="auto"/>
                <w:sz w:val="24"/>
              </w:rPr>
            </w:pPr>
          </w:p>
        </w:tc>
        <w:tc>
          <w:tcPr>
            <w:tcW w:w="8784" w:type="dxa"/>
            <w:gridSpan w:val="5"/>
            <w:vAlign w:val="center"/>
          </w:tcPr>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1083" w:type="dxa"/>
            <w:gridSpan w:val="2"/>
            <w:vAlign w:val="center"/>
          </w:tcPr>
          <w:p>
            <w:pPr>
              <w:spacing w:line="312" w:lineRule="auto"/>
              <w:rPr>
                <w:rFonts w:hAnsi="宋体" w:eastAsia="宋体" w:cs="宋体"/>
                <w:color w:val="auto"/>
                <w:sz w:val="24"/>
              </w:rPr>
            </w:pPr>
          </w:p>
        </w:tc>
        <w:tc>
          <w:tcPr>
            <w:tcW w:w="8784" w:type="dxa"/>
            <w:gridSpan w:val="5"/>
            <w:vAlign w:val="center"/>
          </w:tcPr>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60" w:lineRule="auto"/>
              <w:rPr>
                <w:rFonts w:hAnsi="宋体" w:eastAsia="宋体" w:cs="宋体"/>
                <w:color w:val="auto"/>
                <w:sz w:val="24"/>
              </w:rPr>
            </w:pPr>
            <w:r>
              <w:rPr>
                <w:rFonts w:hint="eastAsia" w:hAnsi="宋体" w:eastAsia="宋体" w:cs="宋体"/>
                <w:color w:val="auto"/>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83" w:type="dxa"/>
            <w:gridSpan w:val="2"/>
            <w:vAlign w:val="center"/>
          </w:tcPr>
          <w:p>
            <w:pPr>
              <w:spacing w:line="312" w:lineRule="auto"/>
              <w:rPr>
                <w:rFonts w:hAnsi="宋体" w:eastAsia="宋体" w:cs="宋体"/>
                <w:color w:val="auto"/>
                <w:sz w:val="24"/>
              </w:rPr>
            </w:pPr>
          </w:p>
        </w:tc>
        <w:tc>
          <w:tcPr>
            <w:tcW w:w="8784" w:type="dxa"/>
            <w:gridSpan w:val="5"/>
            <w:vAlign w:val="center"/>
          </w:tcPr>
          <w:p>
            <w:pPr>
              <w:spacing w:line="360" w:lineRule="auto"/>
              <w:rPr>
                <w:rFonts w:hAnsi="宋体" w:eastAsia="宋体" w:cs="宋体"/>
                <w:color w:val="auto"/>
                <w:sz w:val="24"/>
              </w:rPr>
            </w:pPr>
            <w:r>
              <w:rPr>
                <w:rFonts w:hint="eastAsia" w:hAnsi="宋体" w:eastAsia="宋体" w:cs="宋体"/>
                <w:color w:val="auto"/>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eastAsia="宋体" w:cs="宋体"/>
                <w:color w:val="auto"/>
                <w:sz w:val="24"/>
              </w:rPr>
            </w:pPr>
            <w:r>
              <w:rPr>
                <w:rFonts w:hint="eastAsia" w:hAnsi="宋体" w:eastAsia="宋体" w:cs="宋体"/>
                <w:color w:val="auto"/>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83" w:type="dxa"/>
            <w:gridSpan w:val="2"/>
            <w:vAlign w:val="center"/>
          </w:tcPr>
          <w:p>
            <w:pPr>
              <w:spacing w:line="312" w:lineRule="auto"/>
              <w:rPr>
                <w:rFonts w:hAnsi="宋体" w:eastAsia="宋体" w:cs="宋体"/>
                <w:color w:val="auto"/>
                <w:sz w:val="24"/>
              </w:rPr>
            </w:pPr>
          </w:p>
        </w:tc>
        <w:tc>
          <w:tcPr>
            <w:tcW w:w="8784" w:type="dxa"/>
            <w:gridSpan w:val="5"/>
            <w:vAlign w:val="center"/>
          </w:tcPr>
          <w:p>
            <w:pPr>
              <w:spacing w:line="360" w:lineRule="auto"/>
              <w:rPr>
                <w:rFonts w:hAnsi="宋体" w:eastAsia="宋体" w:cs="宋体"/>
                <w:color w:val="auto"/>
                <w:sz w:val="24"/>
              </w:rPr>
            </w:pPr>
            <w:r>
              <w:rPr>
                <w:rFonts w:hint="eastAsia" w:hAnsi="宋体" w:eastAsia="宋体" w:cs="宋体"/>
                <w:color w:val="auto"/>
                <w:sz w:val="24"/>
              </w:rPr>
              <w:t>构成本招标文件的各个组成文件应互为解释，互为说明；</w:t>
            </w:r>
          </w:p>
          <w:p>
            <w:pPr>
              <w:spacing w:line="360" w:lineRule="auto"/>
              <w:rPr>
                <w:rFonts w:hAnsi="宋体" w:eastAsia="宋体" w:cs="宋体"/>
                <w:color w:val="auto"/>
                <w:sz w:val="24"/>
              </w:rPr>
            </w:pPr>
            <w:r>
              <w:rPr>
                <w:rFonts w:hint="eastAsia" w:hAnsi="宋体" w:eastAsia="宋体" w:cs="宋体"/>
                <w:color w:val="auto"/>
                <w:sz w:val="24"/>
              </w:rPr>
              <w:t>1、如有不明确或不一致，构成合同文件组成内容，以合同文件约定内容为准，且以专用合同条款约定的合同文件优先顺序解释；</w:t>
            </w:r>
          </w:p>
          <w:p>
            <w:pPr>
              <w:spacing w:line="360" w:lineRule="auto"/>
              <w:rPr>
                <w:rFonts w:hAnsi="宋体" w:eastAsia="宋体" w:cs="宋体"/>
                <w:color w:val="auto"/>
                <w:sz w:val="24"/>
              </w:rPr>
            </w:pPr>
            <w:r>
              <w:rPr>
                <w:rFonts w:hint="eastAsia" w:hAnsi="宋体" w:eastAsia="宋体" w:cs="宋体"/>
                <w:color w:val="auto"/>
                <w:sz w:val="24"/>
              </w:rPr>
              <w:t>2、除招标文件中有特别规定外，仅适用于招标投标阶段的规定，按招标公告（投标邀请书）、投标人须知、评标办法、投标文件格式的先后顺序解释；</w:t>
            </w:r>
          </w:p>
          <w:p>
            <w:pPr>
              <w:spacing w:line="360" w:lineRule="auto"/>
              <w:rPr>
                <w:rFonts w:hAnsi="宋体" w:eastAsia="宋体" w:cs="宋体"/>
                <w:color w:val="auto"/>
                <w:sz w:val="24"/>
              </w:rPr>
            </w:pPr>
            <w:r>
              <w:rPr>
                <w:rFonts w:hint="eastAsia" w:hAnsi="宋体" w:eastAsia="宋体" w:cs="宋体"/>
                <w:color w:val="auto"/>
                <w:sz w:val="24"/>
              </w:rPr>
              <w:t>3、同一组成文件中就同一事项的规定或约定不一致的，以编排顺序在后者为准；</w:t>
            </w:r>
          </w:p>
          <w:p>
            <w:pPr>
              <w:spacing w:line="360" w:lineRule="auto"/>
              <w:rPr>
                <w:rFonts w:hAnsi="宋体" w:eastAsia="宋体" w:cs="宋体"/>
                <w:color w:val="auto"/>
                <w:sz w:val="24"/>
              </w:rPr>
            </w:pPr>
            <w:r>
              <w:rPr>
                <w:rFonts w:hint="eastAsia" w:hAnsi="宋体" w:eastAsia="宋体" w:cs="宋体"/>
                <w:color w:val="auto"/>
                <w:sz w:val="24"/>
              </w:rPr>
              <w:t>4、同一组成文件不同版本之间有不一致的，以形成时间在后者为准。</w:t>
            </w:r>
          </w:p>
          <w:p>
            <w:pPr>
              <w:spacing w:line="360" w:lineRule="auto"/>
              <w:rPr>
                <w:rFonts w:hAnsi="宋体" w:eastAsia="宋体" w:cs="宋体"/>
                <w:color w:val="auto"/>
                <w:sz w:val="24"/>
              </w:rPr>
            </w:pPr>
            <w:r>
              <w:rPr>
                <w:rFonts w:hint="eastAsia" w:hAnsi="宋体" w:eastAsia="宋体" w:cs="宋体"/>
                <w:color w:val="auto"/>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83" w:type="dxa"/>
            <w:gridSpan w:val="2"/>
            <w:vAlign w:val="center"/>
          </w:tcPr>
          <w:p>
            <w:pPr>
              <w:spacing w:line="312" w:lineRule="auto"/>
              <w:rPr>
                <w:rFonts w:hAnsi="宋体" w:eastAsia="宋体" w:cs="宋体"/>
                <w:color w:val="auto"/>
                <w:sz w:val="24"/>
              </w:rPr>
            </w:pPr>
            <w:r>
              <w:rPr>
                <w:rFonts w:hint="eastAsia" w:hAnsi="宋体" w:eastAsia="宋体" w:cs="宋体"/>
                <w:color w:val="auto"/>
                <w:sz w:val="24"/>
              </w:rPr>
              <w:t>10.11</w:t>
            </w:r>
          </w:p>
        </w:tc>
        <w:tc>
          <w:tcPr>
            <w:tcW w:w="8784" w:type="dxa"/>
            <w:gridSpan w:val="5"/>
            <w:vAlign w:val="center"/>
          </w:tcPr>
          <w:p>
            <w:pPr>
              <w:spacing w:line="360" w:lineRule="auto"/>
              <w:rPr>
                <w:rFonts w:hAnsi="宋体" w:eastAsia="宋体" w:cs="宋体"/>
                <w:color w:val="auto"/>
                <w:sz w:val="24"/>
              </w:rPr>
            </w:pPr>
            <w:r>
              <w:rPr>
                <w:rFonts w:hint="eastAsia" w:hAnsi="宋体" w:eastAsia="宋体" w:cs="宋体"/>
                <w:color w:val="auto"/>
                <w:sz w:val="24"/>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60" w:lineRule="auto"/>
              <w:rPr>
                <w:rFonts w:hAnsi="宋体" w:eastAsia="宋体" w:cs="宋体"/>
                <w:color w:val="auto"/>
                <w:sz w:val="24"/>
              </w:rPr>
            </w:pPr>
            <w:r>
              <w:rPr>
                <w:rFonts w:hint="eastAsia" w:hAnsi="宋体" w:eastAsia="宋体" w:cs="宋体"/>
                <w:color w:val="auto"/>
                <w:sz w:val="24"/>
              </w:rPr>
              <w:t>10.11.1投标文件的拒收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108" w:type="dxa"/>
            <w:gridSpan w:val="3"/>
            <w:vMerge w:val="restart"/>
            <w:vAlign w:val="center"/>
          </w:tcPr>
          <w:p>
            <w:pPr>
              <w:spacing w:line="360" w:lineRule="auto"/>
              <w:rPr>
                <w:rFonts w:hAnsi="宋体" w:eastAsia="宋体" w:cs="宋体"/>
                <w:color w:val="auto"/>
                <w:sz w:val="24"/>
              </w:rPr>
            </w:pPr>
          </w:p>
        </w:tc>
        <w:tc>
          <w:tcPr>
            <w:tcW w:w="8759" w:type="dxa"/>
            <w:gridSpan w:val="4"/>
            <w:vAlign w:val="center"/>
          </w:tcPr>
          <w:p>
            <w:pPr>
              <w:spacing w:line="360" w:lineRule="auto"/>
              <w:rPr>
                <w:rFonts w:hAnsi="宋体" w:eastAsia="宋体" w:cs="宋体"/>
                <w:color w:val="auto"/>
                <w:sz w:val="24"/>
              </w:rPr>
            </w:pPr>
            <w:r>
              <w:rPr>
                <w:rFonts w:hint="eastAsia" w:hAnsi="宋体" w:eastAsia="宋体" w:cs="宋体"/>
                <w:color w:val="auto"/>
                <w:sz w:val="24"/>
              </w:rPr>
              <w:t>1、未成功上传的投标文件；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108" w:type="dxa"/>
            <w:gridSpan w:val="3"/>
            <w:vMerge w:val="continue"/>
            <w:vAlign w:val="center"/>
          </w:tcPr>
          <w:p>
            <w:pPr>
              <w:spacing w:line="360" w:lineRule="auto"/>
              <w:rPr>
                <w:rFonts w:hAnsi="宋体" w:eastAsia="宋体" w:cs="宋体"/>
                <w:color w:val="auto"/>
                <w:sz w:val="24"/>
              </w:rPr>
            </w:pPr>
          </w:p>
        </w:tc>
        <w:tc>
          <w:tcPr>
            <w:tcW w:w="8759" w:type="dxa"/>
            <w:gridSpan w:val="4"/>
            <w:vAlign w:val="center"/>
          </w:tcPr>
          <w:p>
            <w:pPr>
              <w:spacing w:line="360" w:lineRule="auto"/>
              <w:rPr>
                <w:rFonts w:hAnsi="宋体" w:eastAsia="宋体" w:cs="宋体"/>
                <w:color w:val="auto"/>
                <w:sz w:val="24"/>
              </w:rPr>
            </w:pPr>
            <w:r>
              <w:rPr>
                <w:rFonts w:hint="eastAsia" w:hAnsi="宋体" w:eastAsia="宋体" w:cs="宋体"/>
                <w:color w:val="auto"/>
                <w:sz w:val="24"/>
              </w:rPr>
              <w:t>2、未</w:t>
            </w:r>
            <w:r>
              <w:rPr>
                <w:rFonts w:hint="eastAsia" w:hAnsi="宋体" w:eastAsia="宋体" w:cs="宋体"/>
                <w:color w:val="auto"/>
                <w:sz w:val="24"/>
                <w:lang w:val="en-US" w:eastAsia="zh-CN"/>
              </w:rPr>
              <w:t>进行</w:t>
            </w:r>
            <w:r>
              <w:rPr>
                <w:rFonts w:hint="eastAsia" w:hAnsi="宋体" w:eastAsia="宋体" w:cs="宋体"/>
                <w:color w:val="auto"/>
                <w:sz w:val="24"/>
              </w:rPr>
              <w:t>解密或未按要求成功解密的</w:t>
            </w:r>
            <w:r>
              <w:rPr>
                <w:rFonts w:hint="eastAsia" w:hAnsi="宋体" w:eastAsia="宋体" w:cs="宋体"/>
                <w:color w:val="auto"/>
                <w:sz w:val="24"/>
                <w:lang w:val="en-US" w:eastAsia="zh-CN"/>
              </w:rPr>
              <w:t>投标文件</w:t>
            </w: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440" w:lineRule="exact"/>
              <w:jc w:val="left"/>
              <w:outlineLvl w:val="0"/>
              <w:rPr>
                <w:rFonts w:hint="eastAsia" w:hAnsi="宋体" w:eastAsia="宋体" w:cs="宋体"/>
                <w:b/>
                <w:color w:val="auto"/>
                <w:sz w:val="24"/>
              </w:rPr>
            </w:pPr>
            <w:r>
              <w:rPr>
                <w:rFonts w:hint="eastAsia" w:hAnsi="宋体" w:eastAsia="宋体" w:cs="宋体"/>
                <w:b/>
                <w:color w:val="auto"/>
                <w:sz w:val="24"/>
              </w:rPr>
              <w:t>10.11.2 质保期的承诺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83" w:type="dxa"/>
            <w:gridSpan w:val="2"/>
            <w:vAlign w:val="center"/>
          </w:tcPr>
          <w:p>
            <w:pPr>
              <w:autoSpaceDE w:val="0"/>
              <w:autoSpaceDN w:val="0"/>
              <w:spacing w:line="440" w:lineRule="exact"/>
              <w:jc w:val="left"/>
              <w:outlineLvl w:val="0"/>
              <w:rPr>
                <w:rFonts w:hint="eastAsia" w:hAnsi="宋体" w:eastAsia="宋体" w:cs="宋体"/>
                <w:b/>
                <w:color w:val="auto"/>
                <w:sz w:val="24"/>
                <w:highlight w:val="none"/>
              </w:rPr>
            </w:pPr>
          </w:p>
        </w:tc>
        <w:tc>
          <w:tcPr>
            <w:tcW w:w="8784" w:type="dxa"/>
            <w:gridSpan w:val="5"/>
            <w:vAlign w:val="center"/>
          </w:tcPr>
          <w:p>
            <w:pPr>
              <w:autoSpaceDE w:val="0"/>
              <w:autoSpaceDN w:val="0"/>
              <w:spacing w:line="360" w:lineRule="auto"/>
              <w:jc w:val="left"/>
              <w:outlineLvl w:val="0"/>
              <w:rPr>
                <w:rFonts w:hint="eastAsia" w:hAnsi="宋体" w:eastAsia="宋体" w:cs="宋体"/>
                <w:color w:val="auto"/>
                <w:sz w:val="24"/>
                <w:highlight w:val="none"/>
              </w:rPr>
            </w:pPr>
            <w:r>
              <w:rPr>
                <w:rFonts w:hint="eastAsia" w:hAnsi="宋体" w:eastAsia="宋体" w:cs="宋体"/>
                <w:color w:val="auto"/>
                <w:sz w:val="24"/>
                <w:highlight w:val="none"/>
              </w:rPr>
              <w:t>1、工程质量保修</w:t>
            </w:r>
          </w:p>
          <w:p>
            <w:pPr>
              <w:autoSpaceDE w:val="0"/>
              <w:autoSpaceDN w:val="0"/>
              <w:spacing w:line="360" w:lineRule="auto"/>
              <w:jc w:val="left"/>
              <w:outlineLvl w:val="0"/>
              <w:rPr>
                <w:rFonts w:hint="eastAsia" w:hAnsi="宋体" w:eastAsia="宋体" w:cs="宋体"/>
                <w:color w:val="auto"/>
                <w:sz w:val="24"/>
                <w:highlight w:val="none"/>
              </w:rPr>
            </w:pPr>
            <w:r>
              <w:rPr>
                <w:rFonts w:hint="eastAsia" w:hAnsi="宋体" w:eastAsia="宋体" w:cs="宋体"/>
                <w:color w:val="auto"/>
                <w:sz w:val="24"/>
                <w:highlight w:val="none"/>
              </w:rPr>
              <w:t>2、保修内容、范围：承包人供应并安装的全部工程设备和材料。</w:t>
            </w:r>
          </w:p>
          <w:p>
            <w:pPr>
              <w:autoSpaceDE w:val="0"/>
              <w:autoSpaceDN w:val="0"/>
              <w:spacing w:line="360" w:lineRule="auto"/>
              <w:jc w:val="left"/>
              <w:outlineLvl w:val="0"/>
              <w:rPr>
                <w:rFonts w:hint="eastAsia" w:hAnsi="宋体" w:eastAsia="宋体" w:cs="宋体"/>
                <w:color w:val="auto"/>
                <w:sz w:val="24"/>
                <w:highlight w:val="none"/>
              </w:rPr>
            </w:pPr>
            <w:r>
              <w:rPr>
                <w:rFonts w:hint="eastAsia" w:hAnsi="宋体" w:eastAsia="宋体" w:cs="宋体"/>
                <w:color w:val="auto"/>
                <w:sz w:val="24"/>
                <w:highlight w:val="none"/>
              </w:rPr>
              <w:t>3、免费保修期限：不低于24个月（从工程检测合格之日算起）。</w:t>
            </w:r>
          </w:p>
          <w:p>
            <w:pPr>
              <w:autoSpaceDE w:val="0"/>
              <w:autoSpaceDN w:val="0"/>
              <w:spacing w:line="360" w:lineRule="auto"/>
              <w:jc w:val="left"/>
              <w:outlineLvl w:val="0"/>
              <w:rPr>
                <w:rFonts w:hint="eastAsia" w:hAnsi="宋体" w:eastAsia="宋体" w:cs="宋体"/>
                <w:color w:val="auto"/>
                <w:sz w:val="24"/>
                <w:highlight w:val="none"/>
              </w:rPr>
            </w:pPr>
            <w:r>
              <w:rPr>
                <w:rFonts w:hint="eastAsia" w:hAnsi="宋体" w:eastAsia="宋体" w:cs="宋体"/>
                <w:color w:val="auto"/>
                <w:sz w:val="24"/>
                <w:highlight w:val="none"/>
              </w:rPr>
              <w:t>4、免费保修期内，承包人技术人员定期到场保养设备。</w:t>
            </w:r>
          </w:p>
          <w:p>
            <w:pPr>
              <w:autoSpaceDE w:val="0"/>
              <w:autoSpaceDN w:val="0"/>
              <w:spacing w:line="360" w:lineRule="auto"/>
              <w:jc w:val="left"/>
              <w:outlineLvl w:val="0"/>
              <w:rPr>
                <w:rFonts w:hint="eastAsia" w:hAnsi="宋体" w:eastAsia="宋体" w:cs="宋体"/>
                <w:color w:val="auto"/>
                <w:sz w:val="24"/>
                <w:highlight w:val="none"/>
              </w:rPr>
            </w:pPr>
            <w:r>
              <w:rPr>
                <w:rFonts w:hint="eastAsia" w:hAnsi="宋体" w:eastAsia="宋体" w:cs="宋体"/>
                <w:color w:val="auto"/>
                <w:sz w:val="24"/>
                <w:highlight w:val="none"/>
              </w:rPr>
              <w:t>5、免费保修期内因产品质量问题所致故障，承包人免费更换零配件并维修；如属消耗性产品更换，由承包人支付材料费，承包人免费更换、调试。</w:t>
            </w:r>
          </w:p>
          <w:p>
            <w:pPr>
              <w:autoSpaceDE w:val="0"/>
              <w:autoSpaceDN w:val="0"/>
              <w:spacing w:line="360" w:lineRule="auto"/>
              <w:jc w:val="left"/>
              <w:outlineLvl w:val="0"/>
              <w:rPr>
                <w:rFonts w:hint="eastAsia" w:hAnsi="宋体" w:eastAsia="宋体" w:cs="宋体"/>
                <w:color w:val="auto"/>
                <w:sz w:val="24"/>
                <w:highlight w:val="none"/>
              </w:rPr>
            </w:pPr>
            <w:r>
              <w:rPr>
                <w:rFonts w:hint="eastAsia" w:hAnsi="宋体" w:eastAsia="宋体" w:cs="宋体"/>
                <w:color w:val="auto"/>
                <w:sz w:val="24"/>
                <w:highlight w:val="none"/>
              </w:rPr>
              <w:t>6、免费保修期满承包人提供终身有偿保修服务。</w:t>
            </w:r>
          </w:p>
          <w:p>
            <w:pPr>
              <w:autoSpaceDE w:val="0"/>
              <w:autoSpaceDN w:val="0"/>
              <w:spacing w:line="360" w:lineRule="auto"/>
              <w:jc w:val="left"/>
              <w:outlineLvl w:val="0"/>
              <w:rPr>
                <w:rFonts w:hint="eastAsia" w:hAnsi="宋体" w:eastAsia="宋体" w:cs="宋体"/>
                <w:b/>
                <w:color w:val="auto"/>
                <w:sz w:val="24"/>
                <w:highlight w:val="none"/>
              </w:rPr>
            </w:pPr>
            <w:r>
              <w:rPr>
                <w:rFonts w:hint="eastAsia" w:hAnsi="宋体" w:eastAsia="宋体" w:cs="宋体"/>
                <w:color w:val="auto"/>
                <w:sz w:val="24"/>
                <w:highlight w:val="none"/>
              </w:rPr>
              <w:t>7、投标人需免费为招标人培训设备管理、维修、操作人员。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440" w:lineRule="exact"/>
              <w:jc w:val="left"/>
              <w:outlineLvl w:val="0"/>
              <w:rPr>
                <w:rFonts w:hAnsi="宋体" w:eastAsia="宋体" w:cs="宋体"/>
                <w:b/>
                <w:color w:val="auto"/>
                <w:sz w:val="24"/>
              </w:rPr>
            </w:pPr>
            <w:r>
              <w:rPr>
                <w:rFonts w:hint="eastAsia" w:hAnsi="宋体" w:eastAsia="宋体" w:cs="宋体"/>
                <w:b/>
                <w:color w:val="auto"/>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83" w:type="dxa"/>
            <w:gridSpan w:val="2"/>
            <w:vAlign w:val="center"/>
          </w:tcPr>
          <w:p>
            <w:pPr>
              <w:autoSpaceDE w:val="0"/>
              <w:autoSpaceDN w:val="0"/>
              <w:spacing w:line="440" w:lineRule="exact"/>
              <w:jc w:val="left"/>
              <w:outlineLvl w:val="0"/>
              <w:rPr>
                <w:rFonts w:hAnsi="宋体" w:eastAsia="宋体" w:cs="宋体"/>
                <w:color w:val="auto"/>
                <w:sz w:val="24"/>
              </w:rPr>
            </w:pPr>
          </w:p>
        </w:tc>
        <w:tc>
          <w:tcPr>
            <w:tcW w:w="8784" w:type="dxa"/>
            <w:gridSpan w:val="5"/>
            <w:vAlign w:val="center"/>
          </w:tcPr>
          <w:p>
            <w:pPr>
              <w:numPr>
                <w:ilvl w:val="0"/>
                <w:numId w:val="4"/>
              </w:numPr>
              <w:autoSpaceDE w:val="0"/>
              <w:autoSpaceDN w:val="0"/>
              <w:spacing w:line="360" w:lineRule="auto"/>
              <w:ind w:firstLine="240" w:firstLineChars="100"/>
              <w:jc w:val="left"/>
              <w:outlineLvl w:val="0"/>
              <w:rPr>
                <w:rFonts w:hint="eastAsia" w:hAnsi="宋体" w:eastAsia="宋体" w:cs="宋体"/>
                <w:color w:val="auto"/>
                <w:sz w:val="24"/>
              </w:rPr>
            </w:pPr>
            <w:r>
              <w:rPr>
                <w:rFonts w:hint="eastAsia" w:hAnsi="宋体" w:eastAsia="宋体" w:cs="宋体"/>
                <w:color w:val="000000" w:themeColor="text1"/>
                <w:sz w:val="24"/>
                <w14:textFill>
                  <w14:solidFill>
                    <w14:schemeClr w14:val="tx1"/>
                  </w14:solidFill>
                </w14:textFill>
              </w:rPr>
              <w:t>潜在投标人应仔细阅读招标文件、工程量清单，若发现工程量清单中项目特征描述错误等或工程量清单与图纸存在差异，请在规定时间内在</w:t>
            </w:r>
            <w:r>
              <w:rPr>
                <w:rFonts w:hint="eastAsia" w:hAnsi="宋体" w:cs="宋体"/>
                <w:color w:val="000000" w:themeColor="text1"/>
                <w:sz w:val="24"/>
                <w14:textFill>
                  <w14:solidFill>
                    <w14:schemeClr w14:val="tx1"/>
                  </w14:solidFill>
                </w14:textFill>
              </w:rPr>
              <w:t>《全国公共资源交易平台（河南省·许昌市）》</w:t>
            </w:r>
            <w:r>
              <w:rPr>
                <w:rFonts w:hint="eastAsia" w:hAnsi="宋体" w:eastAsia="宋体" w:cs="宋体"/>
                <w:color w:val="000000" w:themeColor="text1"/>
                <w:sz w:val="24"/>
                <w14:textFill>
                  <w14:solidFill>
                    <w14:schemeClr w14:val="tx1"/>
                  </w14:solidFill>
                </w14:textFill>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w:t>
            </w:r>
            <w:r>
              <w:rPr>
                <w:rFonts w:hint="eastAsia" w:hAnsi="宋体" w:eastAsia="宋体" w:cs="宋体"/>
                <w:color w:val="auto"/>
                <w:sz w:val="24"/>
              </w:rPr>
              <w:t>险。控制价里已经综合考虑了总承包服务费，中标单位进场后需向总承包单位缴纳3%的总承包服务费，请各投标单位在投标报价时予以考虑；支付方式：中标人与总包方协商比率支付。</w:t>
            </w:r>
          </w:p>
          <w:p>
            <w:pPr>
              <w:numPr>
                <w:ilvl w:val="0"/>
                <w:numId w:val="4"/>
              </w:numPr>
              <w:autoSpaceDE w:val="0"/>
              <w:autoSpaceDN w:val="0"/>
              <w:spacing w:line="360" w:lineRule="auto"/>
              <w:ind w:firstLine="240" w:firstLineChars="100"/>
              <w:jc w:val="left"/>
              <w:outlineLvl w:val="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潜在投标人如对招标文件有异议，请在规定时间内在</w:t>
            </w:r>
            <w:r>
              <w:rPr>
                <w:rFonts w:hint="eastAsia" w:hAnsi="宋体" w:cs="宋体"/>
                <w:color w:val="000000" w:themeColor="text1"/>
                <w:sz w:val="24"/>
                <w14:textFill>
                  <w14:solidFill>
                    <w14:schemeClr w14:val="tx1"/>
                  </w14:solidFill>
                </w14:textFill>
              </w:rPr>
              <w:t>《全国公共资源交易平台（河南省·许昌市）》</w:t>
            </w:r>
            <w:r>
              <w:rPr>
                <w:rFonts w:hint="eastAsia" w:hAnsi="宋体" w:eastAsia="宋体" w:cs="宋体"/>
                <w:color w:val="000000" w:themeColor="text1"/>
                <w:sz w:val="24"/>
                <w14:textFill>
                  <w14:solidFill>
                    <w14:schemeClr w14:val="tx1"/>
                  </w14:solidFill>
                </w14:textFill>
              </w:rPr>
              <w:t>公共资源交易系统中提出，以其他方式递交的异议不予接受。</w:t>
            </w:r>
          </w:p>
          <w:p>
            <w:pPr>
              <w:autoSpaceDE w:val="0"/>
              <w:autoSpaceDN w:val="0"/>
              <w:spacing w:line="360" w:lineRule="auto"/>
              <w:ind w:firstLine="240" w:firstLineChars="100"/>
              <w:jc w:val="left"/>
              <w:outlineLvl w:val="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3、投标人在投标截止时间前应随时关注</w:t>
            </w:r>
            <w:r>
              <w:rPr>
                <w:rFonts w:hint="eastAsia" w:hAnsi="宋体" w:cs="宋体"/>
                <w:color w:val="000000" w:themeColor="text1"/>
                <w:sz w:val="24"/>
                <w14:textFill>
                  <w14:solidFill>
                    <w14:schemeClr w14:val="tx1"/>
                  </w14:solidFill>
                </w14:textFill>
              </w:rPr>
              <w:t>《全国公共资源交易平台（河南省·许昌市）》</w:t>
            </w:r>
            <w:r>
              <w:rPr>
                <w:rFonts w:hint="eastAsia" w:hAnsi="宋体" w:eastAsia="宋体" w:cs="宋体"/>
                <w:color w:val="000000" w:themeColor="text1"/>
                <w:sz w:val="24"/>
                <w14:textFill>
                  <w14:solidFill>
                    <w14:schemeClr w14:val="tx1"/>
                  </w14:solidFill>
                </w14:textFill>
              </w:rPr>
              <w:t>公共资源交易系统发出的有关本项目的答疑、修改等相关内容。</w:t>
            </w:r>
          </w:p>
          <w:p>
            <w:pPr>
              <w:autoSpaceDE w:val="0"/>
              <w:autoSpaceDN w:val="0"/>
              <w:spacing w:line="360" w:lineRule="auto"/>
              <w:ind w:firstLine="240" w:firstLineChars="100"/>
              <w:jc w:val="left"/>
              <w:outlineLvl w:val="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4、投标文件依据最终的招标文件进行编制。如果招标文件发生变更，投标人应以招标人最终发出的电子招标文件为准，编制投标文件，务请投标人随时关注项目变更信息。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ind w:firstLine="240" w:firstLineChars="10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5、招标人及其代理机构需留存项目电子档案时，可在质疑期满后使用</w:t>
            </w:r>
            <w:r>
              <w:rPr>
                <w:rFonts w:hAnsi="宋体" w:eastAsia="宋体" w:cs="宋体"/>
                <w:color w:val="000000" w:themeColor="text1"/>
                <w:sz w:val="24"/>
                <w14:textFill>
                  <w14:solidFill>
                    <w14:schemeClr w14:val="tx1"/>
                  </w14:solidFill>
                </w14:textFill>
              </w:rPr>
              <w:t>CA锁从交易平台自行下载。</w:t>
            </w:r>
          </w:p>
          <w:p>
            <w:pPr>
              <w:autoSpaceDE w:val="0"/>
              <w:autoSpaceDN w:val="0"/>
              <w:spacing w:line="360" w:lineRule="auto"/>
              <w:ind w:firstLine="240" w:firstLineChars="100"/>
              <w:jc w:val="left"/>
              <w:outlineLvl w:val="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6、商务标投标文件制作注意事项：</w:t>
            </w:r>
          </w:p>
          <w:p>
            <w:pPr>
              <w:autoSpaceDE w:val="0"/>
              <w:autoSpaceDN w:val="0"/>
              <w:spacing w:line="360" w:lineRule="auto"/>
              <w:ind w:firstLine="240" w:firstLineChars="100"/>
              <w:jc w:val="left"/>
              <w:outlineLvl w:val="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6.1 投标人登录</w:t>
            </w:r>
            <w:r>
              <w:rPr>
                <w:rFonts w:hint="eastAsia" w:hAnsi="宋体" w:cs="宋体"/>
                <w:color w:val="000000" w:themeColor="text1"/>
                <w:sz w:val="24"/>
                <w14:textFill>
                  <w14:solidFill>
                    <w14:schemeClr w14:val="tx1"/>
                  </w14:solidFill>
                </w14:textFill>
              </w:rPr>
              <w:t>《全国公共资源交易平台（河南省·许昌市）》</w:t>
            </w:r>
            <w:r>
              <w:rPr>
                <w:rFonts w:hint="eastAsia" w:hAnsi="宋体" w:eastAsia="宋体" w:cs="宋体"/>
                <w:color w:val="000000" w:themeColor="text1"/>
                <w:sz w:val="24"/>
                <w14:textFill>
                  <w14:solidFill>
                    <w14:schemeClr w14:val="tx1"/>
                  </w14:solidFill>
                </w14:textFill>
              </w:rPr>
              <w:t>公共资源交易系统下载“许昌投标文件制作系统SEARUN V1.1” 和操作手册（工程项目），按招标文件要求制作商务标投标文件。</w:t>
            </w:r>
          </w:p>
          <w:p>
            <w:pPr>
              <w:autoSpaceDE w:val="0"/>
              <w:autoSpaceDN w:val="0"/>
              <w:spacing w:line="360" w:lineRule="auto"/>
              <w:ind w:firstLine="240" w:firstLineChars="100"/>
              <w:jc w:val="left"/>
              <w:outlineLvl w:val="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6.2 商务标投标文件制作技术咨询：0374-2961598。</w:t>
            </w:r>
          </w:p>
          <w:p>
            <w:pPr>
              <w:autoSpaceDE w:val="0"/>
              <w:autoSpaceDN w:val="0"/>
              <w:spacing w:line="360" w:lineRule="auto"/>
              <w:ind w:firstLine="240" w:firstLineChars="100"/>
              <w:jc w:val="left"/>
              <w:outlineLvl w:val="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6.3投标人应在投标文件递交的截止时间之前通过【全国公共资源交易平台（河南省·许昌市）】公共资源交易系统（http://www.xcggzy.gov.cn/）递交电子投标文件；</w:t>
            </w:r>
          </w:p>
          <w:p>
            <w:pPr>
              <w:autoSpaceDE w:val="0"/>
              <w:autoSpaceDN w:val="0"/>
              <w:spacing w:line="360" w:lineRule="auto"/>
              <w:ind w:firstLine="240" w:firstLineChars="100"/>
              <w:jc w:val="left"/>
              <w:outlineLvl w:val="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6.4请投标人在上传电子投标文件时认真检查上传投标文件是否完整、正确。</w:t>
            </w:r>
          </w:p>
          <w:p>
            <w:pPr>
              <w:autoSpaceDE w:val="0"/>
              <w:autoSpaceDN w:val="0"/>
              <w:spacing w:line="360" w:lineRule="auto"/>
              <w:ind w:firstLine="240" w:firstLineChars="100"/>
              <w:jc w:val="left"/>
              <w:outlineLvl w:val="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6.5加密电子投标文件逾期上传的，招标人不予受理。</w:t>
            </w:r>
          </w:p>
          <w:p>
            <w:pPr>
              <w:autoSpaceDE w:val="0"/>
              <w:autoSpaceDN w:val="0"/>
              <w:spacing w:line="360" w:lineRule="auto"/>
              <w:ind w:firstLine="240" w:firstLineChars="100"/>
              <w:jc w:val="left"/>
              <w:outlineLvl w:val="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6.6投标人</w:t>
            </w:r>
            <w:r>
              <w:rPr>
                <w:rFonts w:hint="eastAsia" w:hAnsi="宋体" w:eastAsia="宋体" w:cs="宋体"/>
                <w:sz w:val="24"/>
              </w:rPr>
              <w:t>采用银行转账方式提交投标保证金的，</w:t>
            </w:r>
            <w:r>
              <w:rPr>
                <w:rFonts w:hint="eastAsia" w:hAnsi="宋体" w:eastAsia="宋体" w:cs="宋体"/>
                <w:color w:val="000000" w:themeColor="text1"/>
                <w:sz w:val="24"/>
                <w14:textFill>
                  <w14:solidFill>
                    <w14:schemeClr w14:val="tx1"/>
                  </w14:solidFill>
                </w14:textFill>
              </w:rPr>
              <w:t>应在投标文件递交的截止时间之前按程序完成投标保证金绑定。</w:t>
            </w:r>
          </w:p>
          <w:p>
            <w:pPr>
              <w:autoSpaceDE w:val="0"/>
              <w:autoSpaceDN w:val="0"/>
              <w:spacing w:line="360" w:lineRule="auto"/>
              <w:ind w:firstLine="240" w:firstLineChars="100"/>
              <w:jc w:val="left"/>
              <w:outlineLvl w:val="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7、投标人需提前熟悉招标文件相关事项及《</w:t>
            </w:r>
            <w:r>
              <w:rPr>
                <w:rFonts w:hint="eastAsia" w:hAnsi="宋体"/>
                <w:color w:val="000000" w:themeColor="text1"/>
                <w:sz w:val="24"/>
                <w14:textFill>
                  <w14:solidFill>
                    <w14:schemeClr w14:val="tx1"/>
                  </w14:solidFill>
                </w14:textFill>
              </w:rPr>
              <w:t>许昌市不见面开标操作手册</w:t>
            </w:r>
            <w:r>
              <w:rPr>
                <w:rFonts w:hint="eastAsia" w:hAnsi="宋体" w:eastAsia="宋体" w:cs="宋体"/>
                <w:color w:val="000000" w:themeColor="text1"/>
                <w:sz w:val="24"/>
                <w14:textFill>
                  <w14:solidFill>
                    <w14:schemeClr w14:val="tx1"/>
                  </w14:solidFill>
                </w14:textFill>
              </w:rPr>
              <w:t>》，并设置不见面开标浏览器（设置流程详见《</w:t>
            </w:r>
            <w:r>
              <w:rPr>
                <w:rFonts w:hint="eastAsia" w:hAnsi="宋体"/>
                <w:color w:val="000000" w:themeColor="text1"/>
                <w:sz w:val="24"/>
                <w14:textFill>
                  <w14:solidFill>
                    <w14:schemeClr w14:val="tx1"/>
                  </w14:solidFill>
                </w14:textFill>
              </w:rPr>
              <w:t>许昌市不见面开标操作手册</w:t>
            </w:r>
            <w:r>
              <w:rPr>
                <w:rFonts w:hint="eastAsia" w:hAnsi="宋体" w:eastAsia="宋体" w:cs="宋体"/>
                <w:color w:val="000000" w:themeColor="text1"/>
                <w:sz w:val="24"/>
                <w14:textFill>
                  <w14:solidFill>
                    <w14:schemeClr w14:val="tx1"/>
                  </w14:solidFill>
                </w14:textFill>
              </w:rPr>
              <w:t>》）。</w:t>
            </w:r>
          </w:p>
          <w:p>
            <w:pPr>
              <w:autoSpaceDE w:val="0"/>
              <w:autoSpaceDN w:val="0"/>
              <w:spacing w:line="360" w:lineRule="auto"/>
              <w:ind w:firstLine="240" w:firstLineChars="100"/>
              <w:jc w:val="left"/>
              <w:outlineLvl w:val="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8、投标人上传、解密投标文件需使用同一个CA数字证书，需确保用于解密的CA数字证书在有效期内、可正常使用，并在规定时间内完成电子投标文件解密。评标时仅以成功上传、解密的投标文件为准。</w:t>
            </w:r>
          </w:p>
          <w:p>
            <w:pPr>
              <w:tabs>
                <w:tab w:val="left" w:pos="7095"/>
              </w:tabs>
              <w:spacing w:line="360" w:lineRule="auto"/>
              <w:ind w:firstLine="240" w:firstLineChars="10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9、对开标过程有关内容有异议（质疑）的，投标人可在本项目的不见面开标大厅通过“文字互动”功能或“新增质疑”处提出异议（质疑），招标人（代理机构）及时进行线上答复。</w:t>
            </w:r>
          </w:p>
          <w:p>
            <w:pPr>
              <w:tabs>
                <w:tab w:val="left" w:pos="7095"/>
              </w:tabs>
              <w:spacing w:line="360" w:lineRule="auto"/>
              <w:ind w:firstLine="240" w:firstLineChars="10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不见面开标活动结束时，投标人应在《开标记录表》上进行电子签章，未进行电子签章的视为对开标结果无异议。</w:t>
            </w:r>
          </w:p>
          <w:p>
            <w:pPr>
              <w:autoSpaceDE w:val="0"/>
              <w:autoSpaceDN w:val="0"/>
              <w:spacing w:line="360" w:lineRule="auto"/>
              <w:ind w:firstLine="240" w:firstLineChars="100"/>
              <w:jc w:val="left"/>
              <w:outlineLvl w:val="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10、从参与项目交易开始至项目交易活动结束止，投标（响应）人应时刻关注电子交易系统中的项目进度和</w:t>
            </w:r>
            <w:r>
              <w:rPr>
                <w:rFonts w:hint="eastAsia" w:hAnsi="宋体" w:eastAsia="宋体" w:cs="宋体"/>
                <w:sz w:val="24"/>
              </w:rPr>
              <w:t>状态，特别在项目评审期间，保持投标文件提供的联系方式畅通，评标委员会随时可能对投标文件内容质询，投标人应及时进行答复（包括但不限于电子文档、电子邮件等）。</w:t>
            </w:r>
            <w:r>
              <w:rPr>
                <w:rFonts w:hint="eastAsia" w:hAnsi="宋体" w:eastAsia="宋体" w:cs="宋体"/>
                <w:color w:val="000000" w:themeColor="text1"/>
                <w:sz w:val="24"/>
                <w14:textFill>
                  <w14:solidFill>
                    <w14:schemeClr w14:val="tx1"/>
                  </w14:solidFill>
                </w14:textFill>
              </w:rPr>
              <w:t>由于自身原因错过变更通知、文件澄清、报价响应（自系统发起30分钟内做出）等重要信息的，后果由投标（响应）人自行承担。</w:t>
            </w:r>
          </w:p>
          <w:p>
            <w:pPr>
              <w:autoSpaceDE w:val="0"/>
              <w:autoSpaceDN w:val="0"/>
              <w:spacing w:line="440" w:lineRule="exact"/>
              <w:jc w:val="left"/>
              <w:outlineLvl w:val="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11、不同投标人电子投标文件制作硬件特征码（网卡MAC地址、CPU序号、硬盘序列号等）均一致时，依据《房屋建筑和市政基础设施工程施工招标串（围）标行为认定和处理的暂行规定》豫建【2011】179号文件第六条、第七条的要求进行认定。</w:t>
            </w:r>
          </w:p>
          <w:p>
            <w:pPr>
              <w:autoSpaceDE w:val="0"/>
              <w:autoSpaceDN w:val="0"/>
              <w:spacing w:line="360" w:lineRule="auto"/>
              <w:jc w:val="left"/>
              <w:outlineLvl w:val="0"/>
              <w:rPr>
                <w:color w:val="auto"/>
              </w:rPr>
            </w:pPr>
            <w:r>
              <w:rPr>
                <w:rFonts w:hint="eastAsia" w:ascii="宋体" w:hAnsi="宋体" w:eastAsia="宋体" w:cs="宋体"/>
                <w:b/>
                <w:color w:val="auto"/>
                <w:sz w:val="24"/>
                <w:szCs w:val="24"/>
                <w:highlight w:val="none"/>
                <w:lang w:val="en-US" w:eastAsia="zh-CN"/>
              </w:rPr>
              <w:t>12、</w:t>
            </w:r>
            <w:r>
              <w:rPr>
                <w:rFonts w:hint="eastAsia" w:ascii="宋体" w:hAnsi="宋体" w:eastAsia="宋体" w:cs="宋体"/>
                <w:b/>
                <w:color w:val="auto"/>
                <w:sz w:val="24"/>
                <w:szCs w:val="24"/>
                <w:highlight w:val="none"/>
              </w:rPr>
              <w:t>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pPr>
        <w:autoSpaceDE w:val="0"/>
        <w:autoSpaceDN w:val="0"/>
        <w:spacing w:line="440" w:lineRule="exact"/>
        <w:jc w:val="left"/>
        <w:outlineLvl w:val="0"/>
        <w:rPr>
          <w:rFonts w:hAnsi="宋体" w:cs="宋体"/>
          <w:color w:val="auto"/>
          <w:sz w:val="24"/>
        </w:rPr>
      </w:pPr>
      <w:bookmarkStart w:id="5" w:name="_Toc283559947"/>
      <w:r>
        <w:rPr>
          <w:rFonts w:hint="eastAsia" w:hAnsi="宋体" w:cs="宋体"/>
          <w:color w:val="auto"/>
          <w:sz w:val="24"/>
        </w:rPr>
        <w:t>1. 总则</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1.1 项目概况</w:t>
      </w:r>
      <w:r>
        <w:rPr>
          <w:rFonts w:hint="eastAsia" w:hAnsi="宋体" w:cs="宋体"/>
          <w:b/>
          <w:color w:val="auto"/>
          <w:sz w:val="24"/>
        </w:rPr>
        <w:tab/>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1.1.2 本招标项目招标人：见投标人须知前附表。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1.1.4 本招标项目名称：见投标人须知前附表。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1.1.5 本标段建设地点：见投标人须知前附表。</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1.2 资金来源和落实情况</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1.2.1 本招标项目的资金来源：见投标人须知前附表。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1.2.2 本招标项目的出资比例：见投标人须知前附表。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1.2.2本招标项目的资金落实情况：见投标人须知前附表。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1.3 招标范围、工期和质量要求</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1.3.1 本招标项目的招标范围：见投标人须知前附表。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1.3.2 本招标项目的工期要求：见投标人须知前附表。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1.3.3 本招标项目的质量要求：见投标人须知前附表。</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1.4 投标人及项目负责人资格要求</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1.4.1投标人、项目负责人资格要求：见投标人须知前附表。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投标人不得存在下列情形之一：</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（3）为本标段的监理人；</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（4）为本标段的代建人；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（5）为本标段提供招标代理服务的；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（9）被责令停业的；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（10）被暂停或取消投标资格的；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（11）财产被接管或冻结的；</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（12）在最近三年内有骗取中标或严重违约或重大工程质量问题的。</w:t>
      </w:r>
    </w:p>
    <w:p>
      <w:pPr>
        <w:autoSpaceDE w:val="0"/>
        <w:autoSpaceDN w:val="0"/>
        <w:spacing w:line="440" w:lineRule="exact"/>
        <w:jc w:val="left"/>
        <w:outlineLvl w:val="0"/>
        <w:rPr>
          <w:rFonts w:hAnsi="宋体" w:cs="宋体"/>
          <w:b/>
          <w:color w:val="auto"/>
          <w:sz w:val="24"/>
        </w:rPr>
      </w:pPr>
      <w:bookmarkStart w:id="6" w:name="_Toc152042311"/>
      <w:bookmarkStart w:id="7" w:name="_Toc152045535"/>
      <w:bookmarkStart w:id="8" w:name="_Toc179632552"/>
      <w:bookmarkStart w:id="9" w:name="_Toc144974503"/>
      <w:r>
        <w:rPr>
          <w:rFonts w:hint="eastAsia" w:hAnsi="宋体" w:cs="宋体"/>
          <w:b/>
          <w:color w:val="auto"/>
          <w:sz w:val="24"/>
        </w:rPr>
        <w:t>1.5 费用承担</w:t>
      </w:r>
      <w:bookmarkEnd w:id="6"/>
      <w:bookmarkEnd w:id="7"/>
      <w:bookmarkEnd w:id="8"/>
      <w:bookmarkEnd w:id="9"/>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投标人准备和参加投标活动发生的费用自理。</w:t>
      </w:r>
    </w:p>
    <w:p>
      <w:pPr>
        <w:autoSpaceDE w:val="0"/>
        <w:autoSpaceDN w:val="0"/>
        <w:spacing w:line="440" w:lineRule="exact"/>
        <w:jc w:val="left"/>
        <w:outlineLvl w:val="0"/>
        <w:rPr>
          <w:rFonts w:hAnsi="宋体" w:cs="宋体"/>
          <w:b/>
          <w:color w:val="auto"/>
          <w:sz w:val="24"/>
        </w:rPr>
      </w:pPr>
      <w:bookmarkStart w:id="10" w:name="_Toc144974504"/>
      <w:bookmarkStart w:id="11" w:name="_Toc152045536"/>
      <w:bookmarkStart w:id="12" w:name="_Toc152042312"/>
      <w:bookmarkStart w:id="13" w:name="_Toc179632553"/>
      <w:r>
        <w:rPr>
          <w:rFonts w:hint="eastAsia" w:hAnsi="宋体" w:cs="宋体"/>
          <w:b/>
          <w:color w:val="auto"/>
          <w:sz w:val="24"/>
        </w:rPr>
        <w:t>1.6 保密</w:t>
      </w:r>
      <w:bookmarkEnd w:id="10"/>
      <w:bookmarkEnd w:id="11"/>
      <w:bookmarkEnd w:id="12"/>
      <w:bookmarkEnd w:id="13"/>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color w:val="auto"/>
          <w:sz w:val="24"/>
        </w:rPr>
      </w:pPr>
      <w:bookmarkStart w:id="14" w:name="_Toc144974505"/>
      <w:bookmarkStart w:id="15" w:name="_Toc152045537"/>
      <w:bookmarkStart w:id="16" w:name="_Toc152042313"/>
      <w:bookmarkStart w:id="17" w:name="_Toc179632554"/>
      <w:r>
        <w:rPr>
          <w:rFonts w:hint="eastAsia" w:hAnsi="宋体" w:cs="宋体"/>
          <w:b/>
          <w:color w:val="auto"/>
          <w:sz w:val="24"/>
        </w:rPr>
        <w:t>1.7 语言</w:t>
      </w:r>
      <w:bookmarkEnd w:id="14"/>
      <w:r>
        <w:rPr>
          <w:rFonts w:hint="eastAsia" w:hAnsi="宋体" w:cs="宋体"/>
          <w:b/>
          <w:color w:val="auto"/>
          <w:sz w:val="24"/>
        </w:rPr>
        <w:t>文字</w:t>
      </w:r>
      <w:bookmarkEnd w:id="15"/>
      <w:bookmarkEnd w:id="16"/>
      <w:bookmarkEnd w:id="17"/>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color w:val="auto"/>
          <w:sz w:val="24"/>
        </w:rPr>
      </w:pPr>
      <w:bookmarkStart w:id="18" w:name="_Toc179632555"/>
      <w:bookmarkStart w:id="19" w:name="_Toc144974506"/>
      <w:bookmarkStart w:id="20" w:name="_Toc152042314"/>
      <w:bookmarkStart w:id="21" w:name="_Toc152045538"/>
      <w:r>
        <w:rPr>
          <w:rFonts w:hint="eastAsia" w:hAnsi="宋体" w:cs="宋体"/>
          <w:b/>
          <w:color w:val="auto"/>
          <w:sz w:val="24"/>
        </w:rPr>
        <w:t>1.8 计量单位</w:t>
      </w:r>
      <w:bookmarkEnd w:id="18"/>
      <w:bookmarkEnd w:id="19"/>
      <w:bookmarkEnd w:id="20"/>
      <w:bookmarkEnd w:id="21"/>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所有计量均采用中华人民共和国法定计量单位。</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1.9 踏勘现场</w:t>
      </w:r>
      <w:bookmarkEnd w:id="5"/>
    </w:p>
    <w:p>
      <w:pPr>
        <w:autoSpaceDE w:val="0"/>
        <w:autoSpaceDN w:val="0"/>
        <w:spacing w:line="440" w:lineRule="exact"/>
        <w:jc w:val="left"/>
        <w:outlineLvl w:val="0"/>
        <w:rPr>
          <w:rFonts w:hAnsi="宋体" w:cs="宋体"/>
          <w:color w:val="auto"/>
          <w:sz w:val="24"/>
        </w:rPr>
      </w:pPr>
      <w:r>
        <w:rPr>
          <w:rFonts w:hint="eastAsia" w:hAnsi="宋体" w:cs="宋体"/>
          <w:color w:val="auto"/>
          <w:sz w:val="24"/>
        </w:rPr>
        <w:t xml:space="preserve">    1.9.1 不组织。          </w:t>
      </w:r>
    </w:p>
    <w:p>
      <w:pPr>
        <w:autoSpaceDE w:val="0"/>
        <w:autoSpaceDN w:val="0"/>
        <w:spacing w:line="440" w:lineRule="exact"/>
        <w:jc w:val="left"/>
        <w:outlineLvl w:val="0"/>
        <w:rPr>
          <w:rFonts w:hAnsi="宋体" w:cs="宋体"/>
          <w:color w:val="auto"/>
          <w:sz w:val="24"/>
        </w:rPr>
      </w:pPr>
      <w:r>
        <w:rPr>
          <w:rFonts w:hint="eastAsia" w:hAnsi="宋体" w:cs="宋体"/>
          <w:color w:val="auto"/>
          <w:sz w:val="24"/>
        </w:rPr>
        <w:t xml:space="preserve">    1.9.2 投标人踏勘现场发生的费用自理。</w:t>
      </w:r>
    </w:p>
    <w:p>
      <w:pPr>
        <w:autoSpaceDE w:val="0"/>
        <w:autoSpaceDN w:val="0"/>
        <w:spacing w:line="440" w:lineRule="exact"/>
        <w:jc w:val="left"/>
        <w:outlineLvl w:val="0"/>
        <w:rPr>
          <w:rFonts w:hAnsi="宋体" w:cs="宋体"/>
          <w:color w:val="auto"/>
          <w:sz w:val="24"/>
        </w:rPr>
      </w:pPr>
      <w:r>
        <w:rPr>
          <w:rFonts w:hint="eastAsia" w:hAnsi="宋体" w:cs="宋体"/>
          <w:color w:val="auto"/>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color w:val="auto"/>
          <w:sz w:val="24"/>
        </w:rPr>
      </w:pPr>
      <w:bookmarkStart w:id="22" w:name="_Toc283559948"/>
      <w:r>
        <w:rPr>
          <w:rFonts w:hint="eastAsia" w:hAnsi="宋体" w:cs="宋体"/>
          <w:b/>
          <w:color w:val="auto"/>
          <w:sz w:val="24"/>
        </w:rPr>
        <w:t>1.10 投标预备会</w:t>
      </w:r>
      <w:bookmarkEnd w:id="22"/>
    </w:p>
    <w:p>
      <w:pPr>
        <w:autoSpaceDE w:val="0"/>
        <w:autoSpaceDN w:val="0"/>
        <w:spacing w:line="450" w:lineRule="exact"/>
        <w:ind w:firstLine="470" w:firstLineChars="196"/>
        <w:jc w:val="left"/>
        <w:outlineLvl w:val="0"/>
        <w:rPr>
          <w:rFonts w:hAnsi="宋体" w:cs="宋体"/>
          <w:b/>
          <w:color w:val="auto"/>
          <w:sz w:val="24"/>
        </w:rPr>
      </w:pPr>
      <w:r>
        <w:rPr>
          <w:rFonts w:hint="eastAsia" w:hAnsi="宋体" w:cs="宋体"/>
          <w:color w:val="auto"/>
          <w:sz w:val="24"/>
        </w:rPr>
        <w:t>1.10.1 招标人不召开投标预备会。</w:t>
      </w:r>
    </w:p>
    <w:p>
      <w:pPr>
        <w:autoSpaceDE w:val="0"/>
        <w:autoSpaceDN w:val="0"/>
        <w:spacing w:line="450" w:lineRule="exact"/>
        <w:ind w:firstLine="480" w:firstLineChars="200"/>
        <w:jc w:val="left"/>
        <w:outlineLvl w:val="0"/>
        <w:rPr>
          <w:rFonts w:hAnsi="宋体" w:cs="宋体"/>
          <w:color w:val="auto"/>
          <w:sz w:val="24"/>
        </w:rPr>
      </w:pPr>
      <w:r>
        <w:rPr>
          <w:rFonts w:hint="eastAsia" w:hAnsi="宋体" w:cs="宋体"/>
          <w:color w:val="auto"/>
          <w:sz w:val="24"/>
        </w:rPr>
        <w:t>1.10.2 投标人应在投标人须知前附表规定的时间前，将问题在公共资源交易系统电子平台上提出。</w:t>
      </w:r>
    </w:p>
    <w:p>
      <w:pPr>
        <w:autoSpaceDE w:val="0"/>
        <w:autoSpaceDN w:val="0"/>
        <w:spacing w:line="450" w:lineRule="exact"/>
        <w:ind w:firstLine="480" w:firstLineChars="200"/>
        <w:jc w:val="left"/>
        <w:outlineLvl w:val="0"/>
        <w:rPr>
          <w:rFonts w:hAnsi="宋体" w:cs="宋体"/>
          <w:color w:val="auto"/>
          <w:sz w:val="24"/>
        </w:rPr>
      </w:pPr>
      <w:r>
        <w:rPr>
          <w:rFonts w:hint="eastAsia" w:hAnsi="宋体" w:cs="宋体"/>
          <w:color w:val="auto"/>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outlineLvl w:val="0"/>
        <w:rPr>
          <w:rFonts w:hAnsi="宋体" w:cs="宋体"/>
          <w:b/>
          <w:color w:val="auto"/>
          <w:sz w:val="24"/>
        </w:rPr>
      </w:pPr>
      <w:bookmarkStart w:id="23" w:name="_Toc283559949"/>
      <w:r>
        <w:rPr>
          <w:rFonts w:hint="eastAsia" w:hAnsi="宋体" w:cs="宋体"/>
          <w:b/>
          <w:color w:val="auto"/>
          <w:sz w:val="24"/>
        </w:rPr>
        <w:t>1.11 分包</w:t>
      </w:r>
      <w:bookmarkEnd w:id="23"/>
    </w:p>
    <w:p>
      <w:pPr>
        <w:autoSpaceDE w:val="0"/>
        <w:autoSpaceDN w:val="0"/>
        <w:spacing w:line="450" w:lineRule="exact"/>
        <w:ind w:firstLine="480" w:firstLineChars="200"/>
        <w:jc w:val="left"/>
        <w:outlineLvl w:val="0"/>
        <w:rPr>
          <w:rFonts w:hAnsi="宋体" w:cs="宋体"/>
          <w:b/>
          <w:color w:val="auto"/>
          <w:sz w:val="24"/>
        </w:rPr>
      </w:pPr>
      <w:r>
        <w:rPr>
          <w:rFonts w:hint="eastAsia" w:hAnsi="宋体" w:cs="宋体"/>
          <w:color w:val="auto"/>
          <w:sz w:val="24"/>
        </w:rPr>
        <w:t>不允许。</w:t>
      </w:r>
    </w:p>
    <w:p>
      <w:pPr>
        <w:autoSpaceDE w:val="0"/>
        <w:autoSpaceDN w:val="0"/>
        <w:adjustRightInd w:val="0"/>
        <w:spacing w:line="450" w:lineRule="exact"/>
        <w:jc w:val="left"/>
        <w:outlineLvl w:val="0"/>
        <w:rPr>
          <w:rFonts w:hAnsi="宋体" w:cs="宋体"/>
          <w:b/>
          <w:color w:val="auto"/>
          <w:sz w:val="24"/>
        </w:rPr>
      </w:pPr>
      <w:bookmarkStart w:id="24" w:name="_Toc283559950"/>
      <w:r>
        <w:rPr>
          <w:rFonts w:hint="eastAsia" w:hAnsi="宋体" w:cs="宋体"/>
          <w:b/>
          <w:color w:val="auto"/>
          <w:sz w:val="24"/>
        </w:rPr>
        <w:t>1.12 偏离</w:t>
      </w:r>
      <w:bookmarkEnd w:id="24"/>
    </w:p>
    <w:p>
      <w:pPr>
        <w:autoSpaceDE w:val="0"/>
        <w:autoSpaceDN w:val="0"/>
        <w:adjustRightInd w:val="0"/>
        <w:spacing w:line="450" w:lineRule="exact"/>
        <w:ind w:firstLine="480" w:firstLineChars="200"/>
        <w:jc w:val="left"/>
        <w:outlineLvl w:val="0"/>
        <w:rPr>
          <w:rFonts w:hAnsi="宋体" w:cs="宋体"/>
          <w:b/>
          <w:color w:val="auto"/>
          <w:sz w:val="24"/>
        </w:rPr>
      </w:pPr>
      <w:r>
        <w:rPr>
          <w:rFonts w:hint="eastAsia" w:hAnsi="宋体" w:cs="宋体"/>
          <w:color w:val="auto"/>
          <w:sz w:val="24"/>
        </w:rPr>
        <w:t>投标人须知前附表允许投标文件偏离招标文件某些要求的，偏离应当符合招标文件规定的偏离范围和幅度。</w:t>
      </w:r>
    </w:p>
    <w:p>
      <w:pPr>
        <w:pStyle w:val="20"/>
        <w:spacing w:line="450" w:lineRule="exact"/>
        <w:jc w:val="both"/>
        <w:outlineLvl w:val="0"/>
        <w:rPr>
          <w:rFonts w:hAnsi="宋体"/>
          <w:b/>
          <w:color w:val="auto"/>
        </w:rPr>
      </w:pPr>
      <w:bookmarkStart w:id="25" w:name="_Toc283559951"/>
      <w:r>
        <w:rPr>
          <w:rFonts w:hint="eastAsia" w:hAnsi="宋体"/>
          <w:b/>
          <w:color w:val="auto"/>
        </w:rPr>
        <w:t>2. 招标文件</w:t>
      </w:r>
      <w:bookmarkEnd w:id="25"/>
    </w:p>
    <w:p>
      <w:pPr>
        <w:autoSpaceDE w:val="0"/>
        <w:autoSpaceDN w:val="0"/>
        <w:spacing w:line="450" w:lineRule="exact"/>
        <w:jc w:val="left"/>
        <w:outlineLvl w:val="0"/>
        <w:rPr>
          <w:rFonts w:hAnsi="宋体" w:cs="宋体"/>
          <w:b/>
          <w:color w:val="auto"/>
          <w:sz w:val="24"/>
        </w:rPr>
      </w:pPr>
      <w:bookmarkStart w:id="26" w:name="_Toc283559952"/>
      <w:r>
        <w:rPr>
          <w:rFonts w:hint="eastAsia" w:hAnsi="宋体" w:cs="宋体"/>
          <w:b/>
          <w:color w:val="auto"/>
          <w:sz w:val="24"/>
        </w:rPr>
        <w:t>2.1 招标文件的组成</w:t>
      </w:r>
      <w:bookmarkEnd w:id="26"/>
    </w:p>
    <w:p>
      <w:pPr>
        <w:autoSpaceDE w:val="0"/>
        <w:autoSpaceDN w:val="0"/>
        <w:spacing w:line="450" w:lineRule="exact"/>
        <w:ind w:firstLine="480" w:firstLineChars="200"/>
        <w:jc w:val="left"/>
        <w:outlineLvl w:val="0"/>
        <w:rPr>
          <w:rFonts w:hAnsi="宋体" w:cs="宋体"/>
          <w:color w:val="auto"/>
          <w:sz w:val="24"/>
        </w:rPr>
      </w:pPr>
      <w:r>
        <w:rPr>
          <w:rFonts w:hint="eastAsia" w:hAnsi="宋体" w:cs="宋体"/>
          <w:color w:val="auto"/>
          <w:sz w:val="24"/>
        </w:rPr>
        <w:t>本招标文件包括：</w:t>
      </w:r>
    </w:p>
    <w:p>
      <w:pPr>
        <w:spacing w:line="450" w:lineRule="exact"/>
        <w:ind w:firstLine="410" w:firstLineChars="171"/>
        <w:rPr>
          <w:rFonts w:hAnsi="宋体" w:cs="宋体"/>
          <w:color w:val="auto"/>
          <w:sz w:val="24"/>
        </w:rPr>
      </w:pPr>
      <w:r>
        <w:rPr>
          <w:rFonts w:hint="eastAsia" w:hAnsi="宋体" w:cs="宋体"/>
          <w:color w:val="auto"/>
          <w:sz w:val="24"/>
        </w:rPr>
        <w:t>（1）招标公告；</w:t>
      </w:r>
    </w:p>
    <w:p>
      <w:pPr>
        <w:spacing w:line="450" w:lineRule="exact"/>
        <w:ind w:firstLine="410" w:firstLineChars="171"/>
        <w:rPr>
          <w:rFonts w:hAnsi="宋体" w:cs="宋体"/>
          <w:color w:val="auto"/>
          <w:sz w:val="24"/>
        </w:rPr>
      </w:pPr>
      <w:r>
        <w:rPr>
          <w:rFonts w:hint="eastAsia" w:hAnsi="宋体" w:cs="宋体"/>
          <w:color w:val="auto"/>
          <w:sz w:val="24"/>
        </w:rPr>
        <w:t>（2）投标人须知；</w:t>
      </w:r>
    </w:p>
    <w:p>
      <w:pPr>
        <w:spacing w:line="450" w:lineRule="exact"/>
        <w:ind w:firstLine="410" w:firstLineChars="171"/>
        <w:rPr>
          <w:rFonts w:hAnsi="宋体" w:cs="宋体"/>
          <w:color w:val="auto"/>
          <w:sz w:val="24"/>
        </w:rPr>
      </w:pPr>
      <w:r>
        <w:rPr>
          <w:rFonts w:hint="eastAsia" w:hAnsi="宋体" w:cs="宋体"/>
          <w:color w:val="auto"/>
          <w:sz w:val="24"/>
        </w:rPr>
        <w:t>（3）评标办法；</w:t>
      </w:r>
    </w:p>
    <w:p>
      <w:pPr>
        <w:spacing w:line="450" w:lineRule="exact"/>
        <w:ind w:firstLine="410" w:firstLineChars="171"/>
        <w:rPr>
          <w:rFonts w:hAnsi="宋体" w:cs="宋体"/>
          <w:color w:val="auto"/>
          <w:sz w:val="24"/>
        </w:rPr>
      </w:pPr>
      <w:r>
        <w:rPr>
          <w:rFonts w:hint="eastAsia" w:hAnsi="宋体" w:cs="宋体"/>
          <w:color w:val="auto"/>
          <w:sz w:val="24"/>
        </w:rPr>
        <w:t>（4）合同条款；</w:t>
      </w:r>
    </w:p>
    <w:p>
      <w:pPr>
        <w:spacing w:line="450" w:lineRule="exact"/>
        <w:ind w:firstLine="410" w:firstLineChars="171"/>
        <w:rPr>
          <w:rFonts w:hAnsi="宋体" w:cs="宋体"/>
          <w:color w:val="auto"/>
          <w:sz w:val="24"/>
        </w:rPr>
      </w:pPr>
      <w:r>
        <w:rPr>
          <w:rFonts w:hint="eastAsia" w:hAnsi="宋体" w:cs="宋体"/>
          <w:color w:val="auto"/>
          <w:sz w:val="24"/>
        </w:rPr>
        <w:t xml:space="preserve">（5）工程量清单； </w:t>
      </w:r>
    </w:p>
    <w:p>
      <w:pPr>
        <w:spacing w:line="450" w:lineRule="exact"/>
        <w:ind w:firstLine="410" w:firstLineChars="171"/>
        <w:rPr>
          <w:rFonts w:hAnsi="宋体" w:cs="宋体"/>
          <w:color w:val="auto"/>
          <w:sz w:val="24"/>
        </w:rPr>
      </w:pPr>
      <w:r>
        <w:rPr>
          <w:rFonts w:hint="eastAsia" w:hAnsi="宋体" w:cs="宋体"/>
          <w:color w:val="auto"/>
          <w:sz w:val="24"/>
        </w:rPr>
        <w:t xml:space="preserve">（6）图纸； </w:t>
      </w:r>
    </w:p>
    <w:p>
      <w:pPr>
        <w:spacing w:line="450" w:lineRule="exact"/>
        <w:ind w:firstLine="410" w:firstLineChars="171"/>
        <w:rPr>
          <w:rFonts w:hAnsi="宋体" w:cs="宋体"/>
          <w:color w:val="auto"/>
          <w:sz w:val="24"/>
        </w:rPr>
      </w:pPr>
      <w:r>
        <w:rPr>
          <w:rFonts w:hint="eastAsia" w:hAnsi="宋体" w:cs="宋体"/>
          <w:color w:val="auto"/>
          <w:sz w:val="24"/>
        </w:rPr>
        <w:t>（7）技术标准和要求；</w:t>
      </w:r>
    </w:p>
    <w:p>
      <w:pPr>
        <w:spacing w:line="450" w:lineRule="exact"/>
        <w:ind w:firstLine="410" w:firstLineChars="171"/>
        <w:rPr>
          <w:rFonts w:hAnsi="宋体" w:cs="宋体"/>
          <w:color w:val="auto"/>
          <w:sz w:val="24"/>
        </w:rPr>
      </w:pPr>
      <w:r>
        <w:rPr>
          <w:rFonts w:hint="eastAsia" w:hAnsi="宋体" w:cs="宋体"/>
          <w:color w:val="auto"/>
          <w:sz w:val="24"/>
        </w:rPr>
        <w:t>（8）投标文件格式；</w:t>
      </w:r>
    </w:p>
    <w:p>
      <w:pPr>
        <w:autoSpaceDE w:val="0"/>
        <w:autoSpaceDN w:val="0"/>
        <w:spacing w:line="450" w:lineRule="exact"/>
        <w:ind w:firstLine="480" w:firstLineChars="200"/>
        <w:jc w:val="left"/>
        <w:outlineLvl w:val="0"/>
        <w:rPr>
          <w:rFonts w:hAnsi="宋体" w:cs="宋体"/>
          <w:color w:val="auto"/>
          <w:sz w:val="24"/>
        </w:rPr>
      </w:pPr>
      <w:r>
        <w:rPr>
          <w:rFonts w:hint="eastAsia" w:hAnsi="宋体" w:cs="宋体"/>
          <w:color w:val="auto"/>
          <w:sz w:val="24"/>
        </w:rPr>
        <w:t>根据本章第2.2 款和第2.3 款对招标文件所作的澄清、修改，构成招标文件的组成部分。</w:t>
      </w:r>
    </w:p>
    <w:p>
      <w:pPr>
        <w:autoSpaceDE w:val="0"/>
        <w:autoSpaceDN w:val="0"/>
        <w:spacing w:line="450" w:lineRule="exact"/>
        <w:jc w:val="left"/>
        <w:outlineLvl w:val="0"/>
        <w:rPr>
          <w:rFonts w:hAnsi="宋体" w:cs="宋体"/>
          <w:b/>
          <w:color w:val="auto"/>
          <w:sz w:val="24"/>
        </w:rPr>
      </w:pPr>
      <w:bookmarkStart w:id="27" w:name="_Toc283559953"/>
      <w:r>
        <w:rPr>
          <w:rFonts w:hint="eastAsia" w:hAnsi="宋体" w:cs="宋体"/>
          <w:b/>
          <w:color w:val="auto"/>
          <w:sz w:val="24"/>
        </w:rPr>
        <w:t>2.2 招标文件的澄清</w:t>
      </w:r>
      <w:bookmarkEnd w:id="27"/>
    </w:p>
    <w:p>
      <w:pPr>
        <w:autoSpaceDE w:val="0"/>
        <w:autoSpaceDN w:val="0"/>
        <w:adjustRightInd w:val="0"/>
        <w:spacing w:line="450" w:lineRule="exact"/>
        <w:ind w:firstLine="616" w:firstLineChars="257"/>
        <w:jc w:val="left"/>
        <w:rPr>
          <w:rFonts w:hAnsi="宋体" w:cs="宋体"/>
          <w:color w:val="auto"/>
          <w:sz w:val="24"/>
        </w:rPr>
      </w:pPr>
      <w:bookmarkStart w:id="28" w:name="_Toc283559954"/>
      <w:r>
        <w:rPr>
          <w:rFonts w:hint="eastAsia" w:hAnsi="宋体" w:cs="宋体"/>
          <w:color w:val="auto"/>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color w:val="auto"/>
          <w:sz w:val="24"/>
        </w:rPr>
        <w:t>如未提出异议，视为全面接受。</w:t>
      </w:r>
    </w:p>
    <w:p>
      <w:pPr>
        <w:autoSpaceDE w:val="0"/>
        <w:autoSpaceDN w:val="0"/>
        <w:adjustRightInd w:val="0"/>
        <w:spacing w:line="450" w:lineRule="exact"/>
        <w:ind w:firstLine="616" w:firstLineChars="257"/>
        <w:jc w:val="left"/>
        <w:rPr>
          <w:rFonts w:hAnsi="宋体" w:cs="宋体"/>
          <w:color w:val="auto"/>
          <w:sz w:val="24"/>
        </w:rPr>
      </w:pPr>
      <w:r>
        <w:rPr>
          <w:rFonts w:hint="eastAsia" w:hAnsi="宋体" w:cs="宋体"/>
          <w:color w:val="auto"/>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color w:val="auto"/>
          <w:sz w:val="24"/>
        </w:rPr>
      </w:pPr>
      <w:r>
        <w:rPr>
          <w:rFonts w:hint="eastAsia" w:hAnsi="宋体" w:cs="宋体"/>
          <w:color w:val="auto"/>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color w:val="auto"/>
          <w:sz w:val="24"/>
        </w:rPr>
      </w:pPr>
      <w:r>
        <w:rPr>
          <w:rFonts w:hint="eastAsia" w:hAnsi="宋体" w:cs="宋体"/>
          <w:b/>
          <w:color w:val="auto"/>
          <w:sz w:val="24"/>
        </w:rPr>
        <w:t>2.3 招标文件的修改</w:t>
      </w:r>
      <w:bookmarkEnd w:id="28"/>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2.3.2 当招标文件、补充通知、答疑纪要，内容相互矛盾时，以最后发出的通知或纪要为准。</w:t>
      </w:r>
    </w:p>
    <w:p>
      <w:pPr>
        <w:autoSpaceDE w:val="0"/>
        <w:autoSpaceDN w:val="0"/>
        <w:spacing w:line="420" w:lineRule="exact"/>
        <w:jc w:val="left"/>
        <w:outlineLvl w:val="0"/>
        <w:rPr>
          <w:rFonts w:hAnsi="宋体" w:cs="宋体"/>
          <w:b/>
          <w:color w:val="auto"/>
          <w:sz w:val="24"/>
        </w:rPr>
      </w:pPr>
      <w:bookmarkStart w:id="29" w:name="_Toc144974514"/>
      <w:bookmarkStart w:id="30" w:name="_Toc152042322"/>
      <w:bookmarkStart w:id="31" w:name="_Toc152045546"/>
      <w:bookmarkStart w:id="32" w:name="_Toc179632564"/>
      <w:r>
        <w:rPr>
          <w:rFonts w:hint="eastAsia" w:hAnsi="宋体" w:cs="宋体"/>
          <w:b/>
          <w:color w:val="auto"/>
          <w:sz w:val="24"/>
        </w:rPr>
        <w:t>3. 投标文件</w:t>
      </w:r>
      <w:bookmarkEnd w:id="29"/>
      <w:bookmarkEnd w:id="30"/>
      <w:bookmarkEnd w:id="31"/>
      <w:bookmarkEnd w:id="32"/>
    </w:p>
    <w:p>
      <w:pPr>
        <w:autoSpaceDE w:val="0"/>
        <w:autoSpaceDN w:val="0"/>
        <w:spacing w:line="420" w:lineRule="exact"/>
        <w:jc w:val="left"/>
        <w:outlineLvl w:val="0"/>
        <w:rPr>
          <w:rFonts w:hAnsi="宋体" w:cs="宋体"/>
          <w:b/>
          <w:color w:val="auto"/>
          <w:sz w:val="24"/>
        </w:rPr>
      </w:pPr>
      <w:bookmarkStart w:id="33" w:name="_Toc278443453"/>
      <w:r>
        <w:rPr>
          <w:rFonts w:hint="eastAsia" w:hAnsi="宋体" w:cs="宋体"/>
          <w:b/>
          <w:color w:val="auto"/>
          <w:sz w:val="24"/>
        </w:rPr>
        <w:t>3.1投标文件由商务标、综合标和技术标三部分组成。</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3.1.1  商务标组成：</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已标价工程量清单</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3.1.2综合标组成：</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（1）投标函及投标函附录；</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（2）法定代表人身份证明、授权委托书；</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（3）投标保证金；</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 xml:space="preserve">（4）项目管理机构配备情况； </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（5）投标单位基本信息表；</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（6）资格证明文件；</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（7）近年完成的类似项目情况；</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（8）正在施工的和新承接的项目情况；</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（9）近年发生的诉讼及仲裁</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（10）其它材料；</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3.1.3  技术标组成：</w:t>
      </w:r>
    </w:p>
    <w:p>
      <w:pPr>
        <w:autoSpaceDE w:val="0"/>
        <w:autoSpaceDN w:val="0"/>
        <w:spacing w:line="440" w:lineRule="exact"/>
        <w:ind w:firstLine="520" w:firstLineChars="200"/>
        <w:jc w:val="left"/>
        <w:outlineLvl w:val="0"/>
        <w:rPr>
          <w:rFonts w:hAnsi="宋体" w:cs="宋体"/>
          <w:color w:val="auto"/>
          <w:sz w:val="24"/>
        </w:rPr>
      </w:pPr>
      <w:r>
        <w:rPr>
          <w:rFonts w:hint="eastAsia" w:hAnsi="宋体" w:cs="宋体"/>
          <w:bCs/>
          <w:color w:val="auto"/>
          <w:sz w:val="26"/>
          <w:szCs w:val="26"/>
        </w:rPr>
        <w:t>（</w:t>
      </w:r>
      <w:r>
        <w:rPr>
          <w:rFonts w:hint="eastAsia" w:hAnsi="宋体" w:cs="宋体"/>
          <w:color w:val="auto"/>
          <w:sz w:val="24"/>
        </w:rPr>
        <w:t>1）内容完整性</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（2）主要施工方案与技术措施</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（3）质量管理体系与措施</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（4）安全管理体系与措施</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（5）文明施工、环境保护管理体系及施工现场扬尘治理措施</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（6）工期保证措施</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（7）拟投入资源配备计划</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（8）施工进度表和网络计划图</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（9）施工总平面图布置</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（10）技术创新的应用实施措施</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（11）采用新工艺、新技术、新设备、新材料、BIM等的程度</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（12）施工现场实施信息化监控和数据处理</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（13）风险管理措施</w:t>
      </w:r>
    </w:p>
    <w:p>
      <w:pPr>
        <w:autoSpaceDE w:val="0"/>
        <w:autoSpaceDN w:val="0"/>
        <w:spacing w:line="420" w:lineRule="exact"/>
        <w:jc w:val="left"/>
        <w:outlineLvl w:val="0"/>
        <w:rPr>
          <w:rFonts w:hAnsi="宋体" w:cs="宋体"/>
          <w:b/>
          <w:bCs/>
          <w:color w:val="auto"/>
          <w:sz w:val="24"/>
        </w:rPr>
      </w:pPr>
      <w:r>
        <w:rPr>
          <w:rFonts w:hint="eastAsia" w:hAnsi="宋体" w:cs="宋体"/>
          <w:b/>
          <w:bCs/>
          <w:color w:val="auto"/>
          <w:sz w:val="24"/>
        </w:rPr>
        <w:t>3.2 投标报价</w:t>
      </w:r>
    </w:p>
    <w:p>
      <w:pPr>
        <w:tabs>
          <w:tab w:val="left" w:pos="1260"/>
        </w:tabs>
        <w:autoSpaceDE w:val="0"/>
        <w:autoSpaceDN w:val="0"/>
        <w:adjustRightInd w:val="0"/>
        <w:spacing w:line="460" w:lineRule="exact"/>
        <w:ind w:firstLine="480" w:firstLineChars="200"/>
        <w:jc w:val="left"/>
        <w:rPr>
          <w:rFonts w:hAnsi="宋体" w:cs="宋体"/>
          <w:color w:val="auto"/>
          <w:sz w:val="24"/>
        </w:rPr>
      </w:pPr>
      <w:bookmarkStart w:id="34" w:name="OLE_LINK21"/>
      <w:r>
        <w:rPr>
          <w:rFonts w:hint="eastAsia" w:hAnsi="宋体" w:cs="宋体"/>
          <w:color w:val="auto"/>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color w:val="auto"/>
          <w:sz w:val="24"/>
          <w:szCs w:val="24"/>
        </w:rPr>
      </w:pPr>
      <w:r>
        <w:rPr>
          <w:rFonts w:hint="eastAsia" w:hAnsi="宋体" w:cs="宋体"/>
          <w:b/>
          <w:color w:val="auto"/>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color w:val="auto"/>
          <w:sz w:val="24"/>
          <w:szCs w:val="24"/>
        </w:rPr>
      </w:pPr>
      <w:r>
        <w:rPr>
          <w:rFonts w:hint="eastAsia" w:hAnsi="宋体" w:cs="宋体"/>
          <w:b/>
          <w:color w:val="auto"/>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0" w:firstLineChars="200"/>
        <w:jc w:val="left"/>
        <w:rPr>
          <w:rFonts w:hAnsi="宋体" w:cs="宋体"/>
          <w:b/>
          <w:color w:val="auto"/>
          <w:sz w:val="24"/>
          <w:szCs w:val="24"/>
        </w:rPr>
      </w:pPr>
      <w:r>
        <w:rPr>
          <w:rFonts w:hint="eastAsia" w:hAnsi="宋体" w:cs="宋体"/>
          <w:b/>
          <w:color w:val="auto"/>
          <w:sz w:val="24"/>
          <w:szCs w:val="24"/>
        </w:rPr>
        <w:t>3.2.4根据《关于调整河南省建设工程安全文明施工措施费计取办法的通知》（豫建设标【2014】57号）规定，“安全文明施工措施费”是不可竞争费。</w:t>
      </w:r>
    </w:p>
    <w:p>
      <w:pPr>
        <w:tabs>
          <w:tab w:val="left" w:pos="1260"/>
        </w:tabs>
        <w:autoSpaceDE w:val="0"/>
        <w:autoSpaceDN w:val="0"/>
        <w:adjustRightInd w:val="0"/>
        <w:spacing w:line="440" w:lineRule="exact"/>
        <w:ind w:firstLine="480" w:firstLineChars="200"/>
        <w:jc w:val="left"/>
        <w:rPr>
          <w:rFonts w:hAnsi="宋体" w:cs="宋体"/>
          <w:b/>
          <w:color w:val="auto"/>
          <w:sz w:val="24"/>
          <w:szCs w:val="24"/>
        </w:rPr>
      </w:pPr>
      <w:r>
        <w:rPr>
          <w:rFonts w:hint="eastAsia" w:hAnsi="宋体" w:cs="宋体"/>
          <w:b/>
          <w:color w:val="auto"/>
          <w:sz w:val="24"/>
          <w:szCs w:val="24"/>
        </w:rPr>
        <w:t>投标人编制投标报价时，同一投标文件综合工日应前后保持一致。</w:t>
      </w:r>
    </w:p>
    <w:bookmarkEnd w:id="34"/>
    <w:p>
      <w:pPr>
        <w:tabs>
          <w:tab w:val="left" w:pos="3060"/>
        </w:tabs>
        <w:autoSpaceDE w:val="0"/>
        <w:autoSpaceDN w:val="0"/>
        <w:spacing w:line="440" w:lineRule="exact"/>
        <w:jc w:val="left"/>
        <w:outlineLvl w:val="0"/>
        <w:rPr>
          <w:rFonts w:hAnsi="宋体" w:cs="宋体"/>
          <w:b/>
          <w:bCs/>
          <w:color w:val="auto"/>
          <w:sz w:val="24"/>
        </w:rPr>
      </w:pPr>
      <w:r>
        <w:rPr>
          <w:rFonts w:hint="eastAsia" w:hAnsi="宋体" w:cs="宋体"/>
          <w:b/>
          <w:bCs/>
          <w:color w:val="auto"/>
          <w:sz w:val="24"/>
        </w:rPr>
        <w:t>3.3 投标有效期</w:t>
      </w:r>
      <w:bookmarkEnd w:id="33"/>
      <w:r>
        <w:rPr>
          <w:rFonts w:hint="eastAsia" w:hAnsi="宋体" w:cs="宋体"/>
          <w:b/>
          <w:bCs/>
          <w:color w:val="auto"/>
          <w:sz w:val="24"/>
        </w:rPr>
        <w:tab/>
      </w:r>
    </w:p>
    <w:p>
      <w:pPr>
        <w:tabs>
          <w:tab w:val="left" w:pos="1260"/>
        </w:tabs>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color w:val="auto"/>
          <w:sz w:val="24"/>
        </w:rPr>
      </w:pPr>
      <w:bookmarkStart w:id="35" w:name="_Toc282436964"/>
      <w:bookmarkStart w:id="36" w:name="_Toc283559960"/>
      <w:r>
        <w:rPr>
          <w:rFonts w:hint="eastAsia" w:hAnsi="宋体" w:cs="宋体"/>
          <w:b/>
          <w:bCs/>
          <w:color w:val="auto"/>
          <w:sz w:val="24"/>
        </w:rPr>
        <w:t xml:space="preserve">3.4 </w:t>
      </w:r>
      <w:bookmarkEnd w:id="35"/>
      <w:r>
        <w:rPr>
          <w:rFonts w:hint="eastAsia" w:hAnsi="宋体" w:cs="宋体"/>
          <w:b/>
          <w:bCs/>
          <w:color w:val="auto"/>
          <w:sz w:val="24"/>
        </w:rPr>
        <w:t>投标保证金</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3.4.1.1 自招标文件发布之日起，投标人需进行基本户备案（建设工程项目），已备案的基本户开户银行、账户发生变化的，须重新办理备案手续。备案后方可提交投标（竞买）保证金（使用银行保函方式的除外）。</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 xml:space="preserve">3.4.1.2 基本户备案流程： </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3.4.2 投标保证金提交：按《投标人须知前附表》3.4.2条规定。</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lang w:val="zh-CN"/>
        </w:rPr>
        <w:t>3.4.2.1 投标保证金的</w:t>
      </w:r>
      <w:r>
        <w:rPr>
          <w:rFonts w:hint="eastAsia" w:hAnsi="宋体" w:cs="宋体"/>
          <w:color w:val="auto"/>
          <w:sz w:val="24"/>
        </w:rPr>
        <w:t>提交</w:t>
      </w:r>
      <w:r>
        <w:rPr>
          <w:rFonts w:hint="eastAsia" w:hAnsi="宋体" w:cs="宋体"/>
          <w:color w:val="auto"/>
          <w:sz w:val="24"/>
          <w:lang w:val="zh-CN"/>
        </w:rPr>
        <w:t>方式：</w:t>
      </w:r>
      <w:r>
        <w:rPr>
          <w:rFonts w:hAnsi="宋体" w:cs="宋体"/>
          <w:color w:val="auto"/>
          <w:sz w:val="24"/>
        </w:rPr>
        <w:t xml:space="preserve"> </w:t>
      </w:r>
    </w:p>
    <w:p>
      <w:pPr>
        <w:tabs>
          <w:tab w:val="left" w:pos="1260"/>
        </w:tabs>
        <w:autoSpaceDE w:val="0"/>
        <w:autoSpaceDN w:val="0"/>
        <w:adjustRightInd w:val="0"/>
        <w:spacing w:line="460" w:lineRule="exact"/>
        <w:ind w:firstLine="480" w:firstLineChars="200"/>
        <w:jc w:val="left"/>
        <w:rPr>
          <w:rFonts w:hAnsi="宋体" w:cs="宋体"/>
          <w:color w:val="auto"/>
          <w:sz w:val="24"/>
          <w:lang w:val="zh-CN"/>
        </w:rPr>
      </w:pPr>
      <w:r>
        <w:rPr>
          <w:rFonts w:hint="eastAsia" w:hAnsi="宋体" w:cs="宋体"/>
          <w:color w:val="auto"/>
          <w:sz w:val="24"/>
          <w:lang w:val="zh-CN"/>
        </w:rPr>
        <w:t>投标保证金的</w:t>
      </w:r>
      <w:r>
        <w:rPr>
          <w:rFonts w:hint="eastAsia" w:hAnsi="宋体" w:cs="宋体"/>
          <w:color w:val="auto"/>
          <w:sz w:val="24"/>
        </w:rPr>
        <w:t>提交</w:t>
      </w:r>
      <w:r>
        <w:rPr>
          <w:rFonts w:hint="eastAsia" w:hAnsi="宋体" w:cs="宋体"/>
          <w:color w:val="auto"/>
          <w:sz w:val="24"/>
          <w:lang w:val="zh-CN"/>
        </w:rPr>
        <w:t>方式：银行转账、银行电汇、银行保函，不接受以现金方式缴纳的投标保证金。凡以现金方式缴纳投标保证金而影响其投标结果的，由投标人自行负责。</w:t>
      </w:r>
    </w:p>
    <w:p>
      <w:pPr>
        <w:tabs>
          <w:tab w:val="left" w:pos="1260"/>
        </w:tabs>
        <w:autoSpaceDE w:val="0"/>
        <w:autoSpaceDN w:val="0"/>
        <w:adjustRightInd w:val="0"/>
        <w:spacing w:line="460" w:lineRule="exact"/>
        <w:ind w:firstLine="480" w:firstLineChars="200"/>
        <w:jc w:val="left"/>
        <w:rPr>
          <w:rFonts w:hAnsi="宋体" w:cs="宋体"/>
          <w:color w:val="auto"/>
          <w:sz w:val="24"/>
          <w:lang w:val="zh-CN"/>
        </w:rPr>
      </w:pPr>
      <w:r>
        <w:rPr>
          <w:rFonts w:hint="eastAsia" w:hAnsi="宋体" w:cs="宋体"/>
          <w:color w:val="auto"/>
          <w:sz w:val="24"/>
          <w:lang w:val="zh-CN"/>
        </w:rPr>
        <w:t>使用银行转帐、银行电汇方式的，于截止时间前通过投标人基本账户将款项一次足额递交、成功绑定，以收款人到账时间为准，在途资金无效。同时投标人应承担节假日银行系统不能支付的风险。</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lang w:val="zh-CN"/>
        </w:rPr>
        <w:t>使用银行保函方式的，银行保函应明确项目名称、项目编号及标段、受益人（招标人）、有效期（不低于本项目投标有效期）、银行保函担保金额（不低于本项目本标段投标保证金数额）。投标人应将</w:t>
      </w:r>
      <w:r>
        <w:rPr>
          <w:rFonts w:hint="eastAsia" w:hAnsi="宋体" w:cs="宋体"/>
          <w:color w:val="auto"/>
          <w:sz w:val="24"/>
        </w:rPr>
        <w:t>真实</w:t>
      </w:r>
      <w:r>
        <w:rPr>
          <w:rFonts w:hint="eastAsia" w:hAnsi="宋体" w:cs="宋体"/>
          <w:color w:val="auto"/>
          <w:sz w:val="24"/>
          <w:lang w:val="zh-CN"/>
        </w:rPr>
        <w:t>合法的银行保函原件扫描件附于投标文件中，否则视为未按</w:t>
      </w:r>
      <w:r>
        <w:rPr>
          <w:rFonts w:hint="eastAsia" w:hAnsi="宋体" w:cs="宋体"/>
          <w:color w:val="auto"/>
          <w:sz w:val="24"/>
        </w:rPr>
        <w:t>规定提交</w:t>
      </w:r>
      <w:r>
        <w:rPr>
          <w:rFonts w:hint="eastAsia" w:hAnsi="宋体" w:cs="宋体"/>
          <w:color w:val="auto"/>
          <w:sz w:val="24"/>
          <w:lang w:val="zh-CN"/>
        </w:rPr>
        <w:t>。</w:t>
      </w:r>
      <w:r>
        <w:rPr>
          <w:rFonts w:hint="eastAsia" w:hAnsi="宋体" w:cs="宋体"/>
          <w:color w:val="auto"/>
          <w:sz w:val="24"/>
        </w:rPr>
        <w:t>针对银行保函，投标时扫描件不再退还；其追偿按照有关规定执行。</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lang w:val="zh-CN"/>
        </w:rPr>
        <w:t xml:space="preserve">银行转账、银行电汇、银行保函，不接受以现金方式缴纳的投标保证金。凡以现金方式缴纳投标保证金而影响其投标结果的，由投标人自行负责。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 xml:space="preserve">3.4.2.2 </w:t>
      </w:r>
      <w:r>
        <w:rPr>
          <w:rFonts w:hint="eastAsia" w:hAnsi="宋体" w:cs="宋体"/>
          <w:color w:val="auto"/>
          <w:sz w:val="24"/>
          <w:lang w:val="zh-CN"/>
        </w:rPr>
        <w:t>投标保证金</w:t>
      </w:r>
      <w:r>
        <w:rPr>
          <w:rFonts w:hint="eastAsia" w:hAnsi="宋体" w:cs="宋体"/>
          <w:color w:val="auto"/>
          <w:sz w:val="24"/>
        </w:rPr>
        <w:t>提交方式：</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lang w:val="zh-CN"/>
        </w:rPr>
        <w:t>投标人网上下载招标文件后</w:t>
      </w:r>
      <w:r>
        <w:rPr>
          <w:rFonts w:hint="eastAsia" w:hAnsi="宋体" w:cs="宋体"/>
          <w:color w:val="auto"/>
          <w:sz w:val="24"/>
        </w:rPr>
        <w:t>，</w:t>
      </w:r>
      <w:r>
        <w:rPr>
          <w:rFonts w:hint="eastAsia" w:hAnsi="宋体" w:cs="宋体"/>
          <w:color w:val="auto"/>
          <w:sz w:val="24"/>
          <w:lang w:val="zh-CN"/>
        </w:rPr>
        <w:t>登录</w:t>
      </w:r>
      <w:r>
        <w:rPr>
          <w:rFonts w:hAnsi="宋体" w:cs="宋体"/>
          <w:color w:val="auto"/>
          <w:sz w:val="24"/>
        </w:rPr>
        <w:fldChar w:fldCharType="begin"/>
      </w:r>
      <w:r>
        <w:rPr>
          <w:rFonts w:hAnsi="宋体" w:cs="宋体"/>
          <w:color w:val="auto"/>
          <w:sz w:val="24"/>
        </w:rPr>
        <w:instrText xml:space="preserve"> HYPERLINK "http://221.14.6.70:8088/ggzy" </w:instrText>
      </w:r>
      <w:r>
        <w:rPr>
          <w:rFonts w:hAnsi="宋体" w:cs="宋体"/>
          <w:color w:val="auto"/>
          <w:sz w:val="24"/>
        </w:rPr>
        <w:fldChar w:fldCharType="separate"/>
      </w:r>
      <w:r>
        <w:rPr>
          <w:rFonts w:hint="eastAsia" w:hAnsi="宋体" w:cs="宋体"/>
          <w:color w:val="auto"/>
          <w:sz w:val="24"/>
        </w:rPr>
        <w:t>http://221.14.6.70:8088/ggzy</w:t>
      </w:r>
      <w:r>
        <w:rPr>
          <w:rFonts w:hint="eastAsia" w:hAnsi="宋体" w:cs="宋体"/>
          <w:color w:val="auto"/>
          <w:sz w:val="24"/>
        </w:rPr>
        <w:fldChar w:fldCharType="end"/>
      </w:r>
      <w:r>
        <w:rPr>
          <w:rFonts w:hint="eastAsia" w:hAnsi="宋体" w:cs="宋体"/>
          <w:color w:val="auto"/>
          <w:sz w:val="24"/>
          <w:lang w:val="zh-CN"/>
        </w:rPr>
        <w:t>系统</w:t>
      </w:r>
      <w:r>
        <w:rPr>
          <w:rFonts w:hint="eastAsia" w:hAnsi="宋体" w:cs="宋体"/>
          <w:color w:val="auto"/>
          <w:sz w:val="24"/>
        </w:rPr>
        <w:t>，</w:t>
      </w:r>
      <w:r>
        <w:rPr>
          <w:rFonts w:hint="eastAsia" w:hAnsi="宋体" w:cs="宋体"/>
          <w:color w:val="auto"/>
          <w:sz w:val="24"/>
          <w:lang w:val="zh-CN"/>
        </w:rPr>
        <w:t>依次点击</w:t>
      </w:r>
      <w:r>
        <w:rPr>
          <w:rFonts w:hint="eastAsia" w:hAnsi="宋体" w:cs="宋体"/>
          <w:color w:val="auto"/>
          <w:sz w:val="24"/>
        </w:rPr>
        <w:t>“</w:t>
      </w:r>
      <w:r>
        <w:rPr>
          <w:rFonts w:hint="eastAsia" w:hAnsi="宋体" w:cs="宋体"/>
          <w:color w:val="auto"/>
          <w:sz w:val="24"/>
          <w:lang w:val="zh-CN"/>
        </w:rPr>
        <w:t>会员向导</w:t>
      </w:r>
      <w:r>
        <w:rPr>
          <w:rFonts w:hint="eastAsia" w:hAnsi="宋体" w:cs="宋体"/>
          <w:color w:val="auto"/>
          <w:sz w:val="24"/>
        </w:rPr>
        <w:t>”→“</w:t>
      </w:r>
      <w:r>
        <w:rPr>
          <w:rFonts w:hint="eastAsia" w:hAnsi="宋体" w:cs="宋体"/>
          <w:color w:val="auto"/>
          <w:sz w:val="24"/>
          <w:lang w:val="zh-CN"/>
        </w:rPr>
        <w:t>参与投标</w:t>
      </w:r>
      <w:r>
        <w:rPr>
          <w:rFonts w:hint="eastAsia" w:hAnsi="宋体" w:cs="宋体"/>
          <w:color w:val="auto"/>
          <w:sz w:val="24"/>
        </w:rPr>
        <w:t>”→“</w:t>
      </w:r>
      <w:r>
        <w:rPr>
          <w:rFonts w:hint="eastAsia" w:hAnsi="宋体" w:cs="宋体"/>
          <w:color w:val="auto"/>
          <w:sz w:val="24"/>
          <w:lang w:val="zh-CN"/>
        </w:rPr>
        <w:t>费用缴纳说明</w:t>
      </w:r>
      <w:r>
        <w:rPr>
          <w:rFonts w:hint="eastAsia" w:hAnsi="宋体" w:cs="宋体"/>
          <w:color w:val="auto"/>
          <w:sz w:val="24"/>
        </w:rPr>
        <w:t>”→“</w:t>
      </w:r>
      <w:r>
        <w:rPr>
          <w:rFonts w:hint="eastAsia" w:hAnsi="宋体" w:cs="宋体"/>
          <w:color w:val="auto"/>
          <w:sz w:val="24"/>
          <w:lang w:val="zh-CN"/>
        </w:rPr>
        <w:t>保证金缴纳说明单</w:t>
      </w:r>
      <w:r>
        <w:rPr>
          <w:rFonts w:hint="eastAsia" w:hAnsi="宋体" w:cs="宋体"/>
          <w:color w:val="auto"/>
          <w:sz w:val="24"/>
        </w:rPr>
        <w:t>”，</w:t>
      </w:r>
      <w:r>
        <w:rPr>
          <w:rFonts w:hint="eastAsia" w:hAnsi="宋体" w:cs="宋体"/>
          <w:color w:val="auto"/>
          <w:sz w:val="24"/>
          <w:lang w:val="zh-CN"/>
        </w:rPr>
        <w:t>获取缴费说明单</w:t>
      </w:r>
      <w:r>
        <w:rPr>
          <w:rFonts w:hint="eastAsia" w:hAnsi="宋体" w:cs="宋体"/>
          <w:color w:val="auto"/>
          <w:sz w:val="24"/>
        </w:rPr>
        <w:t>，</w:t>
      </w:r>
      <w:r>
        <w:rPr>
          <w:rFonts w:hint="eastAsia" w:hAnsi="宋体" w:cs="宋体"/>
          <w:color w:val="auto"/>
          <w:sz w:val="24"/>
          <w:lang w:val="zh-CN"/>
        </w:rPr>
        <w:t>根据每个标段的缴纳说明单在缴纳截止时间前缴纳</w:t>
      </w:r>
      <w:r>
        <w:rPr>
          <w:rFonts w:hint="eastAsia" w:hAnsi="宋体" w:cs="宋体"/>
          <w:color w:val="auto"/>
          <w:sz w:val="24"/>
        </w:rPr>
        <w:t>；</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lang w:val="zh-CN"/>
        </w:rPr>
        <w:t>成功缴纳后</w:t>
      </w:r>
      <w:r>
        <w:rPr>
          <w:rFonts w:hint="eastAsia" w:hAnsi="宋体" w:cs="宋体"/>
          <w:color w:val="auto"/>
          <w:sz w:val="24"/>
        </w:rPr>
        <w:t>再次</w:t>
      </w:r>
      <w:r>
        <w:rPr>
          <w:rFonts w:hint="eastAsia" w:hAnsi="宋体" w:cs="宋体"/>
          <w:color w:val="auto"/>
          <w:sz w:val="24"/>
          <w:lang w:val="zh-CN"/>
        </w:rPr>
        <w:t>登录前述系统</w:t>
      </w:r>
      <w:r>
        <w:rPr>
          <w:rFonts w:hint="eastAsia" w:hAnsi="宋体" w:cs="宋体"/>
          <w:color w:val="auto"/>
          <w:sz w:val="24"/>
        </w:rPr>
        <w:t>，</w:t>
      </w:r>
      <w:r>
        <w:rPr>
          <w:rFonts w:hint="eastAsia" w:hAnsi="宋体" w:cs="宋体"/>
          <w:color w:val="auto"/>
          <w:sz w:val="24"/>
          <w:lang w:val="zh-CN"/>
        </w:rPr>
        <w:t>依次点击</w:t>
      </w:r>
      <w:r>
        <w:rPr>
          <w:rFonts w:hint="eastAsia" w:hAnsi="宋体" w:cs="宋体"/>
          <w:color w:val="auto"/>
          <w:sz w:val="24"/>
        </w:rPr>
        <w:t>“</w:t>
      </w:r>
      <w:r>
        <w:rPr>
          <w:rFonts w:hint="eastAsia" w:hAnsi="宋体" w:cs="宋体"/>
          <w:color w:val="auto"/>
          <w:sz w:val="24"/>
          <w:lang w:val="zh-CN"/>
        </w:rPr>
        <w:t>会员向导</w:t>
      </w:r>
      <w:r>
        <w:rPr>
          <w:rFonts w:hint="eastAsia" w:hAnsi="宋体" w:cs="宋体"/>
          <w:color w:val="auto"/>
          <w:sz w:val="24"/>
        </w:rPr>
        <w:t>”→“</w:t>
      </w:r>
      <w:r>
        <w:rPr>
          <w:rFonts w:hint="eastAsia" w:hAnsi="宋体" w:cs="宋体"/>
          <w:color w:val="auto"/>
          <w:sz w:val="24"/>
          <w:lang w:val="zh-CN"/>
        </w:rPr>
        <w:t>参与投标</w:t>
      </w:r>
      <w:r>
        <w:rPr>
          <w:rFonts w:hint="eastAsia" w:hAnsi="宋体" w:cs="宋体"/>
          <w:color w:val="auto"/>
          <w:sz w:val="24"/>
        </w:rPr>
        <w:t>”→“</w:t>
      </w:r>
      <w:r>
        <w:rPr>
          <w:rFonts w:hint="eastAsia" w:hAnsi="宋体" w:cs="宋体"/>
          <w:color w:val="auto"/>
          <w:sz w:val="24"/>
          <w:lang w:val="zh-CN"/>
        </w:rPr>
        <w:t>保证金绑定</w:t>
      </w:r>
      <w:r>
        <w:rPr>
          <w:rFonts w:hint="eastAsia" w:hAnsi="宋体" w:cs="宋体"/>
          <w:color w:val="auto"/>
          <w:sz w:val="24"/>
        </w:rPr>
        <w:t>”→“</w:t>
      </w:r>
      <w:r>
        <w:rPr>
          <w:rFonts w:hint="eastAsia" w:hAnsi="宋体" w:cs="宋体"/>
          <w:color w:val="auto"/>
          <w:sz w:val="24"/>
          <w:lang w:val="zh-CN"/>
        </w:rPr>
        <w:t>绑定</w:t>
      </w:r>
      <w:r>
        <w:rPr>
          <w:rFonts w:hint="eastAsia" w:hAnsi="宋体" w:cs="宋体"/>
          <w:color w:val="auto"/>
          <w:sz w:val="24"/>
        </w:rPr>
        <w:t>”</w:t>
      </w:r>
      <w:r>
        <w:rPr>
          <w:rFonts w:hint="eastAsia" w:hAnsi="宋体" w:cs="宋体"/>
          <w:color w:val="auto"/>
          <w:sz w:val="24"/>
          <w:lang w:val="zh-CN"/>
        </w:rPr>
        <w:t>进行投标保证金绑定。</w:t>
      </w:r>
    </w:p>
    <w:p>
      <w:pPr>
        <w:tabs>
          <w:tab w:val="left" w:pos="1260"/>
        </w:tabs>
        <w:autoSpaceDE w:val="0"/>
        <w:autoSpaceDN w:val="0"/>
        <w:adjustRightInd w:val="0"/>
        <w:spacing w:line="460" w:lineRule="exact"/>
        <w:ind w:firstLine="480" w:firstLineChars="200"/>
        <w:jc w:val="left"/>
        <w:rPr>
          <w:rFonts w:hAnsi="宋体" w:cs="宋体"/>
          <w:color w:val="auto"/>
          <w:sz w:val="24"/>
          <w:lang w:val="zh-CN"/>
        </w:rPr>
      </w:pPr>
      <w:r>
        <w:rPr>
          <w:rFonts w:hint="eastAsia" w:hAnsi="宋体" w:cs="宋体"/>
          <w:color w:val="auto"/>
          <w:sz w:val="24"/>
          <w:lang w:val="zh-CN"/>
        </w:rPr>
        <w:t>投标人成功绑定投标保证金，将缴纳凭证“许昌公共资源交易中心保证金缴纳回执”附于投标文件中；未绑定标段的投标保证金，视为未按</w:t>
      </w:r>
      <w:r>
        <w:rPr>
          <w:rFonts w:hint="eastAsia" w:hAnsi="宋体" w:cs="宋体"/>
          <w:color w:val="auto"/>
          <w:sz w:val="24"/>
        </w:rPr>
        <w:t>规定</w:t>
      </w:r>
      <w:r>
        <w:rPr>
          <w:rFonts w:hint="eastAsia" w:hAnsi="宋体" w:cs="宋体"/>
          <w:color w:val="auto"/>
          <w:sz w:val="24"/>
          <w:lang w:val="zh-CN"/>
        </w:rPr>
        <w:t>交纳。</w:t>
      </w:r>
      <w:r>
        <w:rPr>
          <w:rFonts w:hint="eastAsia" w:hAnsi="宋体" w:cs="宋体"/>
          <w:color w:val="auto"/>
          <w:sz w:val="24"/>
        </w:rPr>
        <w:t xml:space="preserve"> </w:t>
      </w:r>
    </w:p>
    <w:p>
      <w:pPr>
        <w:tabs>
          <w:tab w:val="left" w:pos="1260"/>
        </w:tabs>
        <w:autoSpaceDE w:val="0"/>
        <w:autoSpaceDN w:val="0"/>
        <w:adjustRightInd w:val="0"/>
        <w:spacing w:line="460" w:lineRule="exact"/>
        <w:ind w:firstLine="480" w:firstLineChars="200"/>
        <w:jc w:val="left"/>
        <w:rPr>
          <w:rFonts w:hAnsi="宋体" w:cs="宋体"/>
          <w:color w:val="auto"/>
          <w:sz w:val="24"/>
          <w:lang w:val="zh-CN"/>
        </w:rPr>
      </w:pPr>
      <w:r>
        <w:rPr>
          <w:rFonts w:hint="eastAsia" w:hAnsi="宋体" w:cs="宋体"/>
          <w:color w:val="auto"/>
          <w:sz w:val="24"/>
          <w:lang w:val="zh-CN"/>
        </w:rPr>
        <w:t>3.4.2.3 每个投标人每个项目每个标段只有唯一缴纳账号，</w:t>
      </w:r>
      <w:r>
        <w:rPr>
          <w:rFonts w:hint="eastAsia" w:hAnsi="宋体" w:cs="宋体"/>
          <w:color w:val="auto"/>
          <w:sz w:val="24"/>
        </w:rPr>
        <w:t>切勿重复缴纳或错误缴纳。</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lang w:val="zh-CN"/>
        </w:rPr>
        <w:t>3.4.2.4</w:t>
      </w:r>
      <w:r>
        <w:rPr>
          <w:rFonts w:hint="eastAsia" w:hAnsi="宋体" w:cs="宋体"/>
          <w:color w:val="auto"/>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hAnsi="宋体" w:cs="宋体"/>
          <w:color w:val="auto"/>
          <w:sz w:val="24"/>
          <w:lang w:val="zh-CN"/>
        </w:rPr>
      </w:pPr>
      <w:r>
        <w:rPr>
          <w:rFonts w:hint="eastAsia" w:hAnsi="宋体" w:cs="宋体"/>
          <w:color w:val="auto"/>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lang w:val="zh-CN"/>
        </w:rPr>
        <w:t xml:space="preserve">3.4.2.6 </w:t>
      </w:r>
      <w:r>
        <w:rPr>
          <w:rFonts w:hint="eastAsia" w:hAnsi="宋体" w:cs="宋体"/>
          <w:color w:val="auto"/>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hAnsi="宋体" w:cs="宋体"/>
          <w:color w:val="auto"/>
          <w:sz w:val="24"/>
          <w:lang w:val="zh-CN"/>
        </w:rPr>
      </w:pPr>
      <w:r>
        <w:rPr>
          <w:rFonts w:hint="eastAsia" w:hAnsi="宋体" w:cs="宋体"/>
          <w:color w:val="auto"/>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hAnsi="宋体" w:cs="宋体"/>
          <w:color w:val="auto"/>
          <w:sz w:val="24"/>
          <w:lang w:val="zh-CN"/>
        </w:rPr>
      </w:pPr>
      <w:r>
        <w:rPr>
          <w:rFonts w:hint="eastAsia" w:hAnsi="宋体" w:cs="宋体"/>
          <w:color w:val="auto"/>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3.4.3 投标人未按规定提交投标保证金的，由评标委员会否决其投标。</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3.4.4 投标保证金的退还：</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（3）项目废标或招标人终止招标的，在此后5个工作日内退还投标保证金及银行同期活期存利息。</w:t>
      </w:r>
      <w:r>
        <w:rPr>
          <w:rFonts w:hint="eastAsia" w:hAnsi="宋体" w:cs="宋体"/>
          <w:color w:val="auto"/>
          <w:sz w:val="24"/>
        </w:rPr>
        <w:br w:type="textWrapping"/>
      </w:r>
      <w:r>
        <w:rPr>
          <w:rFonts w:hint="eastAsia" w:hAnsi="宋体" w:cs="宋体"/>
          <w:color w:val="auto"/>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（7）退还投标保证金，除另有规定外，一般以转账方式一次性退还至投标保证金的原提交账户。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（8）特殊情况处理</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 xml:space="preserve"> （5）拒绝履行合同义务的；</w:t>
      </w:r>
    </w:p>
    <w:p>
      <w:pPr>
        <w:tabs>
          <w:tab w:val="left" w:pos="1260"/>
        </w:tabs>
        <w:autoSpaceDE w:val="0"/>
        <w:autoSpaceDN w:val="0"/>
        <w:adjustRightInd w:val="0"/>
        <w:spacing w:line="460" w:lineRule="exact"/>
        <w:ind w:firstLine="480" w:firstLineChars="200"/>
        <w:jc w:val="left"/>
        <w:rPr>
          <w:rFonts w:hint="eastAsia" w:hAnsi="宋体" w:cs="宋体"/>
          <w:color w:val="auto"/>
          <w:sz w:val="24"/>
          <w:lang w:val="zh-CN"/>
        </w:rPr>
      </w:pPr>
      <w:r>
        <w:rPr>
          <w:rFonts w:hint="eastAsia" w:hAnsi="宋体" w:cs="宋体"/>
          <w:color w:val="auto"/>
          <w:sz w:val="24"/>
        </w:rPr>
        <w:t>（6）</w:t>
      </w:r>
      <w:r>
        <w:rPr>
          <w:rFonts w:hint="eastAsia" w:hAnsi="宋体" w:cs="宋体"/>
          <w:color w:val="auto"/>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int="eastAsia" w:hAnsi="宋体" w:cs="宋体"/>
          <w:color w:val="auto"/>
          <w:sz w:val="24"/>
        </w:rPr>
      </w:pPr>
      <w:r>
        <w:rPr>
          <w:rFonts w:hint="eastAsia" w:hAnsi="宋体" w:cs="宋体"/>
          <w:color w:val="auto"/>
          <w:sz w:val="24"/>
        </w:rPr>
        <w:t xml:space="preserve">（7）相关法律、法规规定不予退还的其它情形。 </w:t>
      </w:r>
    </w:p>
    <w:p>
      <w:pPr>
        <w:autoSpaceDE w:val="0"/>
        <w:autoSpaceDN w:val="0"/>
        <w:spacing w:line="420" w:lineRule="exact"/>
        <w:jc w:val="left"/>
        <w:outlineLvl w:val="0"/>
        <w:rPr>
          <w:rFonts w:hint="eastAsia" w:hAnsi="宋体" w:cs="宋体" w:eastAsiaTheme="minorEastAsia"/>
          <w:b/>
          <w:color w:val="auto"/>
          <w:sz w:val="24"/>
          <w:lang w:eastAsia="zh-CN"/>
        </w:rPr>
      </w:pPr>
      <w:r>
        <w:rPr>
          <w:rFonts w:hint="eastAsia" w:hAnsi="宋体" w:cs="宋体"/>
          <w:b/>
          <w:color w:val="auto"/>
          <w:sz w:val="24"/>
        </w:rPr>
        <w:t>3.5 资格审查资料</w:t>
      </w:r>
      <w:r>
        <w:rPr>
          <w:rFonts w:hint="eastAsia" w:hAnsi="宋体" w:cs="宋体"/>
          <w:b/>
          <w:color w:val="auto"/>
          <w:sz w:val="24"/>
          <w:lang w:eastAsia="zh-CN"/>
        </w:rPr>
        <w:t>（详见第三章评标办法）</w:t>
      </w:r>
    </w:p>
    <w:p>
      <w:pPr>
        <w:tabs>
          <w:tab w:val="left" w:pos="1260"/>
        </w:tabs>
        <w:autoSpaceDE w:val="0"/>
        <w:autoSpaceDN w:val="0"/>
        <w:adjustRightInd w:val="0"/>
        <w:spacing w:line="460" w:lineRule="exact"/>
        <w:ind w:firstLine="480" w:firstLineChars="200"/>
        <w:jc w:val="left"/>
        <w:rPr>
          <w:rFonts w:hAnsi="宋体" w:cs="宋体"/>
          <w:color w:val="auto"/>
          <w:sz w:val="24"/>
          <w:lang w:val="zh-CN"/>
        </w:rPr>
      </w:pPr>
      <w:r>
        <w:rPr>
          <w:rFonts w:hint="eastAsia" w:hAnsi="宋体" w:cs="宋体"/>
          <w:color w:val="auto"/>
          <w:sz w:val="24"/>
          <w:lang w:val="zh-CN"/>
        </w:rPr>
        <w:t>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lang w:val="zh-CN"/>
        </w:rPr>
        <w:t>3.5.2 “近年财务状况表”应附经会计师事务所或审计机构审计的财务会计报表，包括资产负债表、现金流量表、利润表和财务情况说明书（或会计报表附注）的原件扫描件，具体年份要求见投标人须知前附表。（新成立不足三年的企业提供自成立之日以来现有年限的财务会计报表）</w:t>
      </w:r>
      <w:r>
        <w:rPr>
          <w:rFonts w:hint="eastAsia" w:hAnsi="宋体" w:cs="宋体"/>
          <w:b/>
          <w:color w:val="auto"/>
          <w:sz w:val="24"/>
        </w:rPr>
        <w:t xml:space="preserve"> </w:t>
      </w:r>
    </w:p>
    <w:p>
      <w:pPr>
        <w:tabs>
          <w:tab w:val="left" w:pos="1260"/>
        </w:tabs>
        <w:autoSpaceDE w:val="0"/>
        <w:autoSpaceDN w:val="0"/>
        <w:adjustRightInd w:val="0"/>
        <w:spacing w:line="460" w:lineRule="exact"/>
        <w:ind w:firstLine="480" w:firstLineChars="200"/>
        <w:jc w:val="left"/>
        <w:rPr>
          <w:rFonts w:hAnsi="宋体" w:cs="宋体"/>
          <w:color w:val="auto"/>
          <w:sz w:val="24"/>
          <w:lang w:val="zh-CN"/>
        </w:rPr>
      </w:pPr>
      <w:r>
        <w:rPr>
          <w:rFonts w:hint="eastAsia" w:hAnsi="宋体" w:cs="宋体"/>
          <w:color w:val="auto"/>
          <w:sz w:val="24"/>
          <w:lang w:val="zh-CN"/>
        </w:rPr>
        <w:t>3.5.3 “近年完成的类似项目情况表”应附合中标通知书和合同或合同和工程竣工验收备案表的原件扫描件（或图片）具体年份要求见投标人须知前附表。每张表格只填写一个项目，并标明序号。</w:t>
      </w:r>
    </w:p>
    <w:p>
      <w:pPr>
        <w:tabs>
          <w:tab w:val="left" w:pos="1260"/>
        </w:tabs>
        <w:autoSpaceDE w:val="0"/>
        <w:autoSpaceDN w:val="0"/>
        <w:adjustRightInd w:val="0"/>
        <w:spacing w:line="460" w:lineRule="exact"/>
        <w:jc w:val="left"/>
        <w:rPr>
          <w:rFonts w:hAnsi="宋体" w:cs="宋体"/>
          <w:color w:val="auto"/>
          <w:sz w:val="24"/>
          <w:lang w:val="zh-CN"/>
        </w:rPr>
      </w:pPr>
      <w:r>
        <w:rPr>
          <w:rFonts w:hint="eastAsia" w:hAnsi="宋体" w:cs="宋体"/>
          <w:color w:val="auto"/>
          <w:sz w:val="24"/>
          <w:lang w:val="zh-CN"/>
        </w:rPr>
        <w:t xml:space="preserve">    3.5.4 “正在施工和新承接的项目情况表”应附中标通知书和合同协议书的原件扫描件。每张表格只填写一个项目，并标明序号。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hAnsi="宋体" w:cs="宋体"/>
          <w:color w:val="auto"/>
          <w:sz w:val="24"/>
          <w:lang w:val="zh-CN"/>
        </w:rPr>
        <w:t>3.5.5 “近年发生的诉讼及仲裁情况”应说明相关情况，并附法院或仲裁机构作出的判决、裁决等有关法律文书原件扫描件，具体年份要求见投标人须知前附表。</w:t>
      </w:r>
    </w:p>
    <w:p>
      <w:pPr>
        <w:autoSpaceDE w:val="0"/>
        <w:autoSpaceDN w:val="0"/>
        <w:spacing w:line="440" w:lineRule="exact"/>
        <w:ind w:firstLine="480"/>
        <w:jc w:val="left"/>
        <w:rPr>
          <w:rFonts w:hAnsi="宋体" w:cs="宋体"/>
          <w:color w:val="auto"/>
          <w:sz w:val="24"/>
        </w:rPr>
      </w:pPr>
      <w:r>
        <w:rPr>
          <w:rFonts w:hint="eastAsia" w:hAnsi="宋体" w:cs="宋体"/>
          <w:color w:val="auto"/>
          <w:sz w:val="24"/>
        </w:rPr>
        <w:t xml:space="preserve">3.5.6  </w:t>
      </w:r>
      <w:r>
        <w:rPr>
          <w:rFonts w:hint="eastAsia" w:ascii="新宋体" w:hAnsi="新宋体" w:eastAsia="新宋体" w:cs="仿宋_GB2312"/>
          <w:color w:val="auto"/>
          <w:sz w:val="24"/>
        </w:rPr>
        <w:t>未按规定提交投标保证金的，由评标委员会否决其投标。</w:t>
      </w:r>
    </w:p>
    <w:p>
      <w:pPr>
        <w:autoSpaceDE w:val="0"/>
        <w:autoSpaceDN w:val="0"/>
        <w:spacing w:line="440" w:lineRule="exact"/>
        <w:jc w:val="left"/>
        <w:rPr>
          <w:rFonts w:hAnsi="宋体" w:cs="宋体"/>
          <w:b/>
          <w:color w:val="auto"/>
          <w:sz w:val="24"/>
        </w:rPr>
      </w:pPr>
      <w:r>
        <w:rPr>
          <w:rFonts w:hint="eastAsia" w:hAnsi="宋体" w:cs="宋体"/>
          <w:b/>
          <w:color w:val="auto"/>
          <w:sz w:val="24"/>
        </w:rPr>
        <w:t xml:space="preserve">3.6 </w:t>
      </w:r>
      <w:bookmarkStart w:id="37" w:name="_Toc179632571"/>
      <w:bookmarkStart w:id="38" w:name="_Toc152042329"/>
      <w:bookmarkStart w:id="39" w:name="_Toc152045553"/>
      <w:bookmarkStart w:id="40" w:name="_Toc144974521"/>
      <w:r>
        <w:rPr>
          <w:rFonts w:hint="eastAsia" w:hAnsi="宋体" w:cs="宋体"/>
          <w:b/>
          <w:color w:val="auto"/>
          <w:sz w:val="24"/>
        </w:rPr>
        <w:t>备选投标方案</w:t>
      </w:r>
    </w:p>
    <w:bookmarkEnd w:id="37"/>
    <w:bookmarkEnd w:id="38"/>
    <w:bookmarkEnd w:id="39"/>
    <w:bookmarkEnd w:id="40"/>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3.7 投标文件的编制</w:t>
      </w:r>
      <w:bookmarkEnd w:id="36"/>
    </w:p>
    <w:p>
      <w:pPr>
        <w:spacing w:line="400" w:lineRule="exact"/>
        <w:ind w:firstLine="480" w:firstLineChars="200"/>
        <w:rPr>
          <w:rFonts w:hAnsi="宋体" w:cs="宋体"/>
          <w:color w:val="auto"/>
          <w:sz w:val="24"/>
        </w:rPr>
      </w:pPr>
      <w:r>
        <w:rPr>
          <w:rFonts w:hint="eastAsia" w:hAnsi="宋体" w:cs="宋体"/>
          <w:color w:val="auto"/>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3.7.2 投标文件应当对招标文件有关工期、投标有效期、质量要求、招标范围作出响应。</w:t>
      </w:r>
    </w:p>
    <w:p>
      <w:pPr>
        <w:tabs>
          <w:tab w:val="left" w:pos="7095"/>
        </w:tabs>
        <w:spacing w:line="360" w:lineRule="auto"/>
        <w:ind w:firstLine="480" w:firstLineChars="200"/>
        <w:rPr>
          <w:rFonts w:hAnsi="宋体" w:cs="宋体"/>
          <w:color w:val="auto"/>
          <w:sz w:val="24"/>
        </w:rPr>
      </w:pPr>
      <w:r>
        <w:rPr>
          <w:rFonts w:hint="eastAsia" w:hAnsi="宋体" w:cs="宋体"/>
          <w:color w:val="auto"/>
          <w:sz w:val="24"/>
        </w:rPr>
        <w:t>3.7.3 投标人编制的投标文件应分为商务标、综合标和技术标。</w:t>
      </w:r>
    </w:p>
    <w:p>
      <w:pPr>
        <w:tabs>
          <w:tab w:val="left" w:pos="7095"/>
        </w:tabs>
        <w:spacing w:line="360" w:lineRule="auto"/>
        <w:ind w:firstLine="480" w:firstLineChars="200"/>
        <w:rPr>
          <w:rFonts w:hAnsi="宋体"/>
          <w:color w:val="auto"/>
          <w:sz w:val="24"/>
          <w:szCs w:val="24"/>
        </w:rPr>
      </w:pPr>
      <w:r>
        <w:rPr>
          <w:rFonts w:hint="eastAsia" w:hAnsi="宋体" w:cs="宋体"/>
          <w:color w:val="auto"/>
          <w:sz w:val="24"/>
        </w:rPr>
        <w:t xml:space="preserve">3.7.4 </w:t>
      </w:r>
      <w:r>
        <w:rPr>
          <w:rFonts w:hint="eastAsia" w:hAnsi="宋体"/>
          <w:color w:val="auto"/>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olor w:val="auto"/>
          <w:sz w:val="24"/>
          <w:szCs w:val="24"/>
        </w:rPr>
      </w:pPr>
      <w:r>
        <w:rPr>
          <w:rFonts w:hint="eastAsia" w:hAnsi="宋体"/>
          <w:color w:val="auto"/>
          <w:sz w:val="24"/>
          <w:szCs w:val="24"/>
        </w:rPr>
        <w:t>3.7.5</w:t>
      </w:r>
      <w:bookmarkStart w:id="41" w:name="_Toc283559961"/>
      <w:r>
        <w:rPr>
          <w:rFonts w:hint="eastAsia" w:hAnsi="宋体"/>
          <w:color w:val="auto"/>
          <w:sz w:val="24"/>
          <w:szCs w:val="24"/>
        </w:rPr>
        <w:t>当生成的电子投标文件投标报价大小写不一致时，以大写为准。</w:t>
      </w:r>
    </w:p>
    <w:p>
      <w:pPr>
        <w:autoSpaceDE w:val="0"/>
        <w:autoSpaceDN w:val="0"/>
        <w:adjustRightInd w:val="0"/>
        <w:spacing w:line="460" w:lineRule="exact"/>
        <w:jc w:val="left"/>
        <w:rPr>
          <w:rFonts w:hAnsi="宋体" w:cs="宋体"/>
          <w:color w:val="auto"/>
          <w:sz w:val="24"/>
        </w:rPr>
      </w:pPr>
      <w:r>
        <w:rPr>
          <w:rFonts w:hint="eastAsia" w:hAnsi="宋体" w:cs="宋体"/>
          <w:b/>
          <w:bCs/>
          <w:color w:val="auto"/>
          <w:sz w:val="24"/>
        </w:rPr>
        <w:t>3.7.8 商务标投标文件制作注意事项：</w:t>
      </w:r>
    </w:p>
    <w:p>
      <w:pPr>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3.7.8.1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3.7.8.2 商务标投标文件制作技术咨询：0374-2961598。</w:t>
      </w:r>
    </w:p>
    <w:p>
      <w:pPr>
        <w:pStyle w:val="20"/>
        <w:spacing w:line="440" w:lineRule="exact"/>
        <w:jc w:val="both"/>
        <w:outlineLvl w:val="0"/>
        <w:rPr>
          <w:rFonts w:hAnsi="宋体"/>
          <w:b/>
          <w:color w:val="auto"/>
        </w:rPr>
      </w:pPr>
      <w:r>
        <w:rPr>
          <w:rFonts w:hint="eastAsia" w:hAnsi="宋体"/>
          <w:b/>
          <w:color w:val="auto"/>
        </w:rPr>
        <w:t>4. 投标</w:t>
      </w:r>
      <w:bookmarkEnd w:id="41"/>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4.1投标文件的提交</w:t>
      </w:r>
    </w:p>
    <w:p>
      <w:pPr>
        <w:autoSpaceDE w:val="0"/>
        <w:autoSpaceDN w:val="0"/>
        <w:spacing w:line="440" w:lineRule="exact"/>
        <w:ind w:firstLine="480" w:firstLineChars="200"/>
        <w:jc w:val="left"/>
        <w:outlineLvl w:val="0"/>
        <w:rPr>
          <w:rFonts w:hAnsi="宋体" w:cs="宋体"/>
          <w:strike/>
          <w:color w:val="auto"/>
          <w:sz w:val="24"/>
        </w:rPr>
      </w:pPr>
      <w:r>
        <w:rPr>
          <w:rFonts w:hint="eastAsia" w:hAnsi="宋体" w:cs="宋体"/>
          <w:color w:val="auto"/>
          <w:sz w:val="24"/>
        </w:rPr>
        <w:t>4.1.1 投标人应在投标人须知前附表中规定的投标截止时间前成功上传电子投标文件。</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4.1.2 除投标人须知前附表另有规定外，投标人所提交的电子投标文件不予退还。</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4.1.3 逾期未成功上传的电子投标文件，招标人不予受理。</w:t>
      </w:r>
    </w:p>
    <w:p>
      <w:pPr>
        <w:autoSpaceDE w:val="0"/>
        <w:autoSpaceDN w:val="0"/>
        <w:spacing w:line="440" w:lineRule="exact"/>
        <w:jc w:val="left"/>
        <w:outlineLvl w:val="0"/>
        <w:rPr>
          <w:rFonts w:hAnsi="宋体" w:cs="宋体"/>
          <w:b/>
          <w:color w:val="auto"/>
          <w:sz w:val="24"/>
        </w:rPr>
      </w:pPr>
      <w:bookmarkStart w:id="42" w:name="_Toc283559964"/>
      <w:r>
        <w:rPr>
          <w:rFonts w:hint="eastAsia" w:hAnsi="宋体" w:cs="宋体"/>
          <w:b/>
          <w:color w:val="auto"/>
          <w:sz w:val="24"/>
        </w:rPr>
        <w:t>4.2 投标文件的修改与撤回</w:t>
      </w:r>
      <w:bookmarkEnd w:id="42"/>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4.2.1 在本章第2.2.2 项规定的投标截止时间前，投标人可以修改或撤回已提交的电子投标文件修改或撤回应以书面形式通知招标人。</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4.2.2 投标人修改或撤回已提交电子投标文件的书面通知应按照投标人须知前附表第3.7.3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4.2.3 修改的内容为投标文件的组成部分。修改的电子投标文件应按照本章第3条、第4条规定进行编制、密封、标记和提交，并标明“修改”字样。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4.2.4 投标人应当在投标截止时间前完成电子投标文件的提交，可以补充、修改或撤回。投标截止时间前未完成电子投标文件提交、取得“投标文件提交回执单”的，视为撤回投标文件。</w:t>
      </w:r>
    </w:p>
    <w:p>
      <w:pPr>
        <w:pStyle w:val="20"/>
        <w:spacing w:line="440" w:lineRule="exact"/>
        <w:jc w:val="both"/>
        <w:outlineLvl w:val="0"/>
        <w:rPr>
          <w:rFonts w:hAnsi="宋体"/>
          <w:b/>
          <w:color w:val="auto"/>
        </w:rPr>
      </w:pPr>
      <w:bookmarkStart w:id="43" w:name="_Toc283559967"/>
      <w:r>
        <w:rPr>
          <w:rFonts w:hint="eastAsia" w:hAnsi="宋体"/>
          <w:b/>
          <w:color w:val="auto"/>
        </w:rPr>
        <w:t>5. 开标</w:t>
      </w:r>
      <w:bookmarkEnd w:id="43"/>
    </w:p>
    <w:p>
      <w:pPr>
        <w:autoSpaceDE w:val="0"/>
        <w:autoSpaceDN w:val="0"/>
        <w:adjustRightInd w:val="0"/>
        <w:spacing w:line="440" w:lineRule="exact"/>
        <w:jc w:val="left"/>
        <w:outlineLvl w:val="0"/>
        <w:rPr>
          <w:rFonts w:hAnsi="宋体" w:cs="宋体"/>
          <w:b/>
          <w:color w:val="auto"/>
          <w:sz w:val="24"/>
        </w:rPr>
      </w:pPr>
      <w:bookmarkStart w:id="44" w:name="_Toc283559968"/>
      <w:r>
        <w:rPr>
          <w:rFonts w:hint="eastAsia" w:hAnsi="宋体" w:cs="宋体"/>
          <w:b/>
          <w:color w:val="auto"/>
          <w:sz w:val="24"/>
        </w:rPr>
        <w:t>5.1 开标时间和地点</w:t>
      </w:r>
      <w:bookmarkEnd w:id="44"/>
    </w:p>
    <w:p>
      <w:pPr>
        <w:spacing w:line="400" w:lineRule="exact"/>
        <w:ind w:firstLine="480" w:firstLineChars="200"/>
        <w:rPr>
          <w:rFonts w:hAnsi="宋体" w:cs="宋体"/>
          <w:color w:val="auto"/>
          <w:sz w:val="24"/>
        </w:rPr>
      </w:pPr>
      <w:r>
        <w:rPr>
          <w:rFonts w:hint="eastAsia" w:hAnsi="宋体" w:cs="宋体"/>
          <w:color w:val="auto"/>
          <w:sz w:val="24"/>
        </w:rPr>
        <w:t>招标人或代理机构、监督人员应在开标前提前到达交易中心，在约定开标地点开通远程不见面开标大厅及开启“文字互动”等功能，组织投标人（供应商）准时在网上参加投标、开标活动。</w:t>
      </w:r>
    </w:p>
    <w:p>
      <w:pPr>
        <w:autoSpaceDE w:val="0"/>
        <w:autoSpaceDN w:val="0"/>
        <w:adjustRightInd w:val="0"/>
        <w:spacing w:line="440" w:lineRule="exact"/>
        <w:jc w:val="left"/>
        <w:rPr>
          <w:rFonts w:hAnsi="宋体" w:cs="宋体"/>
          <w:b/>
          <w:sz w:val="24"/>
        </w:rPr>
      </w:pPr>
      <w:bookmarkStart w:id="45" w:name="_Toc283559970"/>
      <w:r>
        <w:rPr>
          <w:rFonts w:hint="eastAsia" w:hAnsi="宋体" w:cs="宋体"/>
          <w:b/>
          <w:sz w:val="24"/>
        </w:rPr>
        <w:t>5.2 开标程序</w:t>
      </w:r>
    </w:p>
    <w:p>
      <w:pPr>
        <w:autoSpaceDE w:val="0"/>
        <w:autoSpaceDN w:val="0"/>
        <w:spacing w:line="440" w:lineRule="exact"/>
        <w:ind w:firstLine="480" w:firstLineChars="200"/>
        <w:jc w:val="left"/>
        <w:outlineLvl w:val="0"/>
        <w:rPr>
          <w:rFonts w:hint="eastAsia" w:hAnsi="宋体" w:cs="宋体"/>
          <w:color w:val="auto"/>
          <w:sz w:val="24"/>
        </w:rPr>
      </w:pPr>
      <w:r>
        <w:rPr>
          <w:rFonts w:hint="eastAsia" w:hAnsi="宋体" w:cs="宋体"/>
          <w:color w:val="auto"/>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autoSpaceDE w:val="0"/>
        <w:autoSpaceDN w:val="0"/>
        <w:spacing w:line="440" w:lineRule="exact"/>
        <w:ind w:firstLine="480" w:firstLineChars="200"/>
        <w:jc w:val="left"/>
        <w:outlineLvl w:val="0"/>
        <w:rPr>
          <w:rFonts w:hint="eastAsia" w:hAnsi="宋体" w:cs="宋体"/>
          <w:color w:val="auto"/>
          <w:sz w:val="24"/>
        </w:rPr>
      </w:pPr>
      <w:r>
        <w:rPr>
          <w:rFonts w:hint="eastAsia" w:hAnsi="宋体" w:cs="宋体"/>
          <w:color w:val="auto"/>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autoSpaceDE w:val="0"/>
        <w:autoSpaceDN w:val="0"/>
        <w:spacing w:line="440" w:lineRule="exact"/>
        <w:ind w:firstLine="480" w:firstLineChars="200"/>
        <w:jc w:val="left"/>
        <w:outlineLvl w:val="0"/>
        <w:rPr>
          <w:rFonts w:hint="eastAsia" w:hAnsi="宋体" w:cs="宋体"/>
          <w:color w:val="auto"/>
          <w:sz w:val="24"/>
        </w:rPr>
      </w:pPr>
      <w:r>
        <w:rPr>
          <w:rFonts w:hint="eastAsia" w:hAnsi="宋体" w:cs="宋体"/>
          <w:color w:val="auto"/>
          <w:sz w:val="24"/>
        </w:rPr>
        <w:t xml:space="preserve">(3)解密完成后，招标人（代理机构）点击“系数抽取”按钮进行系数抽取，系数抽取情况在“公告通知”处显示。 </w:t>
      </w:r>
    </w:p>
    <w:p>
      <w:pPr>
        <w:autoSpaceDE w:val="0"/>
        <w:autoSpaceDN w:val="0"/>
        <w:spacing w:line="440" w:lineRule="exact"/>
        <w:ind w:firstLine="480" w:firstLineChars="200"/>
        <w:jc w:val="left"/>
        <w:outlineLvl w:val="0"/>
        <w:rPr>
          <w:rFonts w:hint="eastAsia" w:hAnsi="宋体" w:cs="宋体"/>
          <w:color w:val="auto"/>
          <w:sz w:val="24"/>
        </w:rPr>
      </w:pPr>
      <w:r>
        <w:rPr>
          <w:rFonts w:hint="eastAsia" w:hAnsi="宋体" w:cs="宋体"/>
          <w:color w:val="auto"/>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autoSpaceDE w:val="0"/>
        <w:autoSpaceDN w:val="0"/>
        <w:spacing w:line="440" w:lineRule="exact"/>
        <w:ind w:firstLine="480" w:firstLineChars="200"/>
        <w:jc w:val="left"/>
        <w:outlineLvl w:val="0"/>
        <w:rPr>
          <w:rFonts w:hint="eastAsia" w:hAnsi="宋体" w:cs="宋体"/>
          <w:color w:val="auto"/>
          <w:sz w:val="24"/>
        </w:rPr>
      </w:pPr>
      <w:r>
        <w:rPr>
          <w:rFonts w:hint="eastAsia" w:hAnsi="宋体" w:cs="宋体"/>
          <w:color w:val="auto"/>
          <w:sz w:val="24"/>
        </w:rPr>
        <w:t xml:space="preserve"> (5)如无投标人提出异议，招标代理机构通过“文字互动”对话框通知各投标人进行电子签章。投标人应在《开标记录表》上进行电子签章，未进行电子签章的视为对开标结果无异议。</w:t>
      </w:r>
    </w:p>
    <w:p>
      <w:pPr>
        <w:autoSpaceDE w:val="0"/>
        <w:autoSpaceDN w:val="0"/>
        <w:spacing w:line="440" w:lineRule="exact"/>
        <w:ind w:firstLine="480" w:firstLineChars="200"/>
        <w:jc w:val="left"/>
        <w:outlineLvl w:val="0"/>
        <w:rPr>
          <w:rFonts w:hint="eastAsia" w:hAnsi="宋体" w:cs="宋体"/>
          <w:color w:val="auto"/>
          <w:sz w:val="24"/>
        </w:rPr>
      </w:pPr>
      <w:r>
        <w:rPr>
          <w:rFonts w:hint="eastAsia" w:hAnsi="宋体" w:cs="宋体"/>
          <w:color w:val="auto"/>
          <w:sz w:val="24"/>
        </w:rPr>
        <w:t>（6）招标人（代理机构）签章并上传《开标记录表》，不见面开标活动结束。</w:t>
      </w:r>
    </w:p>
    <w:p>
      <w:pPr>
        <w:pStyle w:val="20"/>
        <w:spacing w:line="440" w:lineRule="exact"/>
        <w:ind w:firstLine="480" w:firstLineChars="200"/>
        <w:jc w:val="both"/>
        <w:outlineLvl w:val="0"/>
        <w:rPr>
          <w:rFonts w:hAnsi="宋体"/>
          <w:b/>
          <w:color w:val="auto"/>
        </w:rPr>
      </w:pPr>
      <w:r>
        <w:rPr>
          <w:rFonts w:hint="eastAsia" w:hAnsi="宋体"/>
          <w:b/>
          <w:color w:val="auto"/>
        </w:rPr>
        <w:t>6. 评标</w:t>
      </w:r>
      <w:bookmarkEnd w:id="45"/>
    </w:p>
    <w:p>
      <w:pPr>
        <w:autoSpaceDE w:val="0"/>
        <w:autoSpaceDN w:val="0"/>
        <w:adjustRightInd w:val="0"/>
        <w:spacing w:line="440" w:lineRule="exact"/>
        <w:jc w:val="left"/>
        <w:outlineLvl w:val="0"/>
        <w:rPr>
          <w:rFonts w:hAnsi="宋体" w:cs="宋体"/>
          <w:b/>
          <w:color w:val="auto"/>
          <w:sz w:val="24"/>
        </w:rPr>
      </w:pPr>
      <w:bookmarkStart w:id="46" w:name="_Toc283559971"/>
      <w:r>
        <w:rPr>
          <w:rFonts w:hint="eastAsia" w:hAnsi="宋体" w:cs="宋体"/>
          <w:b/>
          <w:color w:val="auto"/>
          <w:sz w:val="24"/>
        </w:rPr>
        <w:t>6.1 评标委员会</w:t>
      </w:r>
      <w:bookmarkEnd w:id="46"/>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6.1.2 评标委员会成员有下列情形之一的，应当回避：</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（1）招标人或投标人的主要负责人的近亲属；</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（2）项目主管部门或者行政监督部门的人员；</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（3）与投标人有经济利益关系，可能影响对投标公正评审的；</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（4）曾因在招标、评标以及其他与招标投标有关活动中从事违法行为而受过行政处罚或刑事处罚的。</w:t>
      </w:r>
    </w:p>
    <w:p>
      <w:pPr>
        <w:autoSpaceDE w:val="0"/>
        <w:autoSpaceDN w:val="0"/>
        <w:spacing w:line="440" w:lineRule="exact"/>
        <w:jc w:val="left"/>
        <w:outlineLvl w:val="0"/>
        <w:rPr>
          <w:rFonts w:hAnsi="宋体" w:cs="宋体"/>
          <w:b/>
          <w:color w:val="auto"/>
          <w:sz w:val="24"/>
        </w:rPr>
      </w:pPr>
      <w:bookmarkStart w:id="47" w:name="_Toc283559972"/>
      <w:r>
        <w:rPr>
          <w:rFonts w:hint="eastAsia" w:hAnsi="宋体" w:cs="宋体"/>
          <w:b/>
          <w:color w:val="auto"/>
          <w:sz w:val="24"/>
        </w:rPr>
        <w:t>6.2 评标原则</w:t>
      </w:r>
      <w:bookmarkEnd w:id="47"/>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评标活动遵循公平、公正、科学和择优的原则。</w:t>
      </w:r>
    </w:p>
    <w:p>
      <w:pPr>
        <w:autoSpaceDE w:val="0"/>
        <w:autoSpaceDN w:val="0"/>
        <w:spacing w:line="440" w:lineRule="exact"/>
        <w:jc w:val="left"/>
        <w:outlineLvl w:val="0"/>
        <w:rPr>
          <w:rFonts w:hAnsi="宋体" w:cs="宋体"/>
          <w:b/>
          <w:color w:val="auto"/>
          <w:sz w:val="24"/>
        </w:rPr>
      </w:pPr>
      <w:bookmarkStart w:id="48" w:name="_Toc283559973"/>
      <w:r>
        <w:rPr>
          <w:rFonts w:hint="eastAsia" w:hAnsi="宋体" w:cs="宋体"/>
          <w:b/>
          <w:color w:val="auto"/>
          <w:sz w:val="24"/>
        </w:rPr>
        <w:t>6.3 评标</w:t>
      </w:r>
      <w:bookmarkEnd w:id="48"/>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评标委员会按照第三章“评标办法”规定的方法、评审因素、标准和程序对投标文件进行评审。第三章“评标办法”没有规定的方法、评审因素和标准，不作为评标依据。</w:t>
      </w:r>
    </w:p>
    <w:p>
      <w:pPr>
        <w:pStyle w:val="20"/>
        <w:spacing w:line="440" w:lineRule="exact"/>
        <w:jc w:val="both"/>
        <w:outlineLvl w:val="0"/>
        <w:rPr>
          <w:rFonts w:hAnsi="宋体"/>
          <w:b/>
          <w:color w:val="auto"/>
        </w:rPr>
      </w:pPr>
      <w:bookmarkStart w:id="49" w:name="_Toc283559974"/>
      <w:r>
        <w:rPr>
          <w:rFonts w:hint="eastAsia" w:hAnsi="宋体"/>
          <w:b/>
          <w:color w:val="auto"/>
        </w:rPr>
        <w:t>7. 合同授予</w:t>
      </w:r>
      <w:bookmarkEnd w:id="49"/>
    </w:p>
    <w:p>
      <w:pPr>
        <w:autoSpaceDE w:val="0"/>
        <w:autoSpaceDN w:val="0"/>
        <w:spacing w:line="440" w:lineRule="exact"/>
        <w:jc w:val="left"/>
        <w:outlineLvl w:val="0"/>
        <w:rPr>
          <w:rFonts w:hAnsi="宋体" w:cs="宋体"/>
          <w:b/>
          <w:color w:val="auto"/>
          <w:sz w:val="24"/>
        </w:rPr>
      </w:pPr>
      <w:bookmarkStart w:id="50" w:name="_Toc283559975"/>
      <w:r>
        <w:rPr>
          <w:rFonts w:hint="eastAsia" w:hAnsi="宋体" w:cs="宋体"/>
          <w:b/>
          <w:color w:val="auto"/>
          <w:sz w:val="24"/>
        </w:rPr>
        <w:t>7.1 定标方式</w:t>
      </w:r>
      <w:bookmarkEnd w:id="50"/>
    </w:p>
    <w:p>
      <w:pPr>
        <w:spacing w:line="400" w:lineRule="exact"/>
        <w:ind w:firstLine="480" w:firstLineChars="200"/>
        <w:rPr>
          <w:rFonts w:hAnsi="宋体" w:cs="宋体"/>
          <w:color w:val="auto"/>
          <w:sz w:val="24"/>
        </w:rPr>
      </w:pPr>
      <w:r>
        <w:rPr>
          <w:rFonts w:hint="eastAsia" w:hAnsi="宋体" w:cs="宋体"/>
          <w:color w:val="auto"/>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color w:val="auto"/>
          <w:sz w:val="24"/>
        </w:rPr>
      </w:pPr>
      <w:bookmarkStart w:id="51" w:name="_Toc283559976"/>
      <w:r>
        <w:rPr>
          <w:rFonts w:hint="eastAsia" w:hAnsi="宋体" w:cs="宋体"/>
          <w:b/>
          <w:color w:val="auto"/>
          <w:sz w:val="24"/>
        </w:rPr>
        <w:t>7.2 中标通知</w:t>
      </w:r>
      <w:bookmarkEnd w:id="51"/>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在本章第3.3 款规定的投标有效期内，招标人以书面形式向中标人发出中标通知书，同时将中标结果通知未中标的投标人。</w:t>
      </w:r>
      <w:bookmarkStart w:id="52" w:name="_Toc179632587"/>
      <w:bookmarkStart w:id="53" w:name="_Toc152042345"/>
      <w:bookmarkStart w:id="54" w:name="_Toc152045569"/>
      <w:bookmarkStart w:id="55" w:name="_Toc144974537"/>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7.</w:t>
      </w:r>
      <w:bookmarkEnd w:id="52"/>
      <w:bookmarkEnd w:id="53"/>
      <w:bookmarkEnd w:id="54"/>
      <w:bookmarkEnd w:id="55"/>
      <w:bookmarkStart w:id="56" w:name="_Toc283559977"/>
      <w:r>
        <w:rPr>
          <w:rFonts w:hint="eastAsia" w:hAnsi="宋体" w:cs="宋体"/>
          <w:b/>
          <w:color w:val="auto"/>
          <w:sz w:val="24"/>
        </w:rPr>
        <w:t>3签订合同</w:t>
      </w:r>
      <w:bookmarkEnd w:id="56"/>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color w:val="auto"/>
          <w:sz w:val="24"/>
        </w:rPr>
      </w:pPr>
      <w:bookmarkStart w:id="57" w:name="_Toc283559978"/>
      <w:r>
        <w:rPr>
          <w:rFonts w:hint="eastAsia" w:hAnsi="宋体" w:cs="宋体"/>
          <w:b/>
          <w:color w:val="auto"/>
          <w:sz w:val="24"/>
        </w:rPr>
        <w:t>8. 重新招标和不再招标</w:t>
      </w:r>
      <w:bookmarkEnd w:id="57"/>
    </w:p>
    <w:p>
      <w:pPr>
        <w:autoSpaceDE w:val="0"/>
        <w:autoSpaceDN w:val="0"/>
        <w:adjustRightInd w:val="0"/>
        <w:spacing w:line="440" w:lineRule="exact"/>
        <w:jc w:val="left"/>
        <w:outlineLvl w:val="0"/>
        <w:rPr>
          <w:rFonts w:hAnsi="宋体" w:cs="宋体"/>
          <w:b/>
          <w:color w:val="auto"/>
          <w:sz w:val="24"/>
        </w:rPr>
      </w:pPr>
      <w:bookmarkStart w:id="58" w:name="_Toc283559979"/>
      <w:r>
        <w:rPr>
          <w:rFonts w:hint="eastAsia" w:hAnsi="宋体" w:cs="宋体"/>
          <w:b/>
          <w:color w:val="auto"/>
          <w:sz w:val="24"/>
        </w:rPr>
        <w:t>8.1 重新招标</w:t>
      </w:r>
      <w:bookmarkEnd w:id="58"/>
    </w:p>
    <w:p>
      <w:pPr>
        <w:autoSpaceDE w:val="0"/>
        <w:autoSpaceDN w:val="0"/>
        <w:adjustRightInd w:val="0"/>
        <w:spacing w:line="440" w:lineRule="exact"/>
        <w:ind w:firstLine="420" w:firstLineChars="175"/>
        <w:jc w:val="left"/>
        <w:rPr>
          <w:rFonts w:hAnsi="宋体" w:cs="宋体"/>
          <w:color w:val="auto"/>
          <w:sz w:val="24"/>
        </w:rPr>
      </w:pPr>
      <w:r>
        <w:rPr>
          <w:rFonts w:hint="eastAsia" w:hAnsi="宋体" w:cs="宋体"/>
          <w:color w:val="auto"/>
          <w:sz w:val="24"/>
        </w:rPr>
        <w:t>有下列情形之一的，招标人将重新招标：</w:t>
      </w:r>
    </w:p>
    <w:p>
      <w:pPr>
        <w:autoSpaceDE w:val="0"/>
        <w:autoSpaceDN w:val="0"/>
        <w:adjustRightInd w:val="0"/>
        <w:spacing w:line="440" w:lineRule="exact"/>
        <w:ind w:firstLine="420" w:firstLineChars="175"/>
        <w:jc w:val="left"/>
        <w:rPr>
          <w:rFonts w:hAnsi="宋体" w:cs="宋体"/>
          <w:color w:val="auto"/>
          <w:sz w:val="24"/>
        </w:rPr>
      </w:pPr>
      <w:r>
        <w:rPr>
          <w:rFonts w:hint="eastAsia" w:hAnsi="宋体" w:cs="宋体"/>
          <w:color w:val="auto"/>
          <w:sz w:val="24"/>
        </w:rPr>
        <w:t>（1）投标截止时间止，投标人少于3 个的；</w:t>
      </w:r>
    </w:p>
    <w:p>
      <w:pPr>
        <w:autoSpaceDE w:val="0"/>
        <w:autoSpaceDN w:val="0"/>
        <w:adjustRightInd w:val="0"/>
        <w:spacing w:line="440" w:lineRule="exact"/>
        <w:ind w:firstLine="420" w:firstLineChars="175"/>
        <w:jc w:val="left"/>
        <w:rPr>
          <w:rFonts w:hAnsi="宋体" w:cs="宋体"/>
          <w:color w:val="auto"/>
          <w:sz w:val="24"/>
        </w:rPr>
      </w:pPr>
      <w:r>
        <w:rPr>
          <w:rFonts w:hint="eastAsia" w:hAnsi="宋体" w:cs="宋体"/>
          <w:color w:val="auto"/>
          <w:sz w:val="24"/>
        </w:rPr>
        <w:t>（2）经评标委员会评审后否决所有投标的。</w:t>
      </w:r>
    </w:p>
    <w:p>
      <w:pPr>
        <w:autoSpaceDE w:val="0"/>
        <w:autoSpaceDN w:val="0"/>
        <w:adjustRightInd w:val="0"/>
        <w:spacing w:line="440" w:lineRule="exact"/>
        <w:jc w:val="left"/>
        <w:outlineLvl w:val="0"/>
        <w:rPr>
          <w:rFonts w:hAnsi="宋体" w:cs="宋体"/>
          <w:b/>
          <w:color w:val="auto"/>
          <w:sz w:val="24"/>
        </w:rPr>
      </w:pPr>
      <w:bookmarkStart w:id="59" w:name="_Toc283559980"/>
      <w:r>
        <w:rPr>
          <w:rFonts w:hint="eastAsia" w:hAnsi="宋体" w:cs="宋体"/>
          <w:b/>
          <w:color w:val="auto"/>
          <w:sz w:val="24"/>
        </w:rPr>
        <w:t>8.2 不再招标</w:t>
      </w:r>
      <w:bookmarkEnd w:id="59"/>
    </w:p>
    <w:p>
      <w:pPr>
        <w:autoSpaceDE w:val="0"/>
        <w:autoSpaceDN w:val="0"/>
        <w:adjustRightInd w:val="0"/>
        <w:spacing w:line="440" w:lineRule="exact"/>
        <w:ind w:firstLine="540" w:firstLineChars="225"/>
        <w:jc w:val="left"/>
        <w:rPr>
          <w:rFonts w:hAnsi="宋体" w:cs="宋体"/>
          <w:color w:val="auto"/>
          <w:sz w:val="24"/>
        </w:rPr>
      </w:pPr>
      <w:r>
        <w:rPr>
          <w:rFonts w:hint="eastAsia" w:hAnsi="宋体" w:cs="宋体"/>
          <w:color w:val="auto"/>
          <w:sz w:val="24"/>
        </w:rPr>
        <w:t>重新招标后投标人仍少于3个，属于必须审批或核准的工程建设项目，经原审批或核准部门批准后不再进行招标。</w:t>
      </w:r>
    </w:p>
    <w:p>
      <w:pPr>
        <w:pStyle w:val="20"/>
        <w:spacing w:line="440" w:lineRule="exact"/>
        <w:jc w:val="both"/>
        <w:outlineLvl w:val="0"/>
        <w:rPr>
          <w:rFonts w:hAnsi="宋体"/>
          <w:b/>
          <w:color w:val="auto"/>
        </w:rPr>
      </w:pPr>
      <w:bookmarkStart w:id="60" w:name="_Toc283559981"/>
      <w:r>
        <w:rPr>
          <w:rFonts w:hint="eastAsia" w:hAnsi="宋体"/>
          <w:b/>
          <w:color w:val="auto"/>
        </w:rPr>
        <w:t>9. 纪律和监督</w:t>
      </w:r>
      <w:bookmarkEnd w:id="60"/>
    </w:p>
    <w:p>
      <w:pPr>
        <w:autoSpaceDE w:val="0"/>
        <w:autoSpaceDN w:val="0"/>
        <w:adjustRightInd w:val="0"/>
        <w:spacing w:line="440" w:lineRule="exact"/>
        <w:jc w:val="left"/>
        <w:outlineLvl w:val="0"/>
        <w:rPr>
          <w:rFonts w:hAnsi="宋体" w:cs="宋体"/>
          <w:b/>
          <w:color w:val="auto"/>
          <w:sz w:val="24"/>
        </w:rPr>
      </w:pPr>
      <w:bookmarkStart w:id="61" w:name="_Toc283559982"/>
      <w:r>
        <w:rPr>
          <w:rFonts w:hint="eastAsia" w:hAnsi="宋体" w:cs="宋体"/>
          <w:b/>
          <w:color w:val="auto"/>
          <w:sz w:val="24"/>
        </w:rPr>
        <w:t>9.1 对招标人的纪律要求</w:t>
      </w:r>
      <w:bookmarkEnd w:id="61"/>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outlineLvl w:val="0"/>
        <w:rPr>
          <w:rFonts w:hAnsi="宋体" w:cs="宋体"/>
          <w:b/>
          <w:color w:val="auto"/>
          <w:sz w:val="24"/>
        </w:rPr>
      </w:pPr>
      <w:bookmarkStart w:id="62" w:name="_Toc283559983"/>
      <w:r>
        <w:rPr>
          <w:rFonts w:hint="eastAsia" w:hAnsi="宋体" w:cs="宋体"/>
          <w:b/>
          <w:color w:val="auto"/>
          <w:sz w:val="24"/>
        </w:rPr>
        <w:t>9.2 对投标人的纪律要求</w:t>
      </w:r>
      <w:bookmarkEnd w:id="62"/>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color w:val="auto"/>
          <w:sz w:val="24"/>
        </w:rPr>
      </w:pPr>
      <w:bookmarkStart w:id="63" w:name="_Toc283559984"/>
      <w:r>
        <w:rPr>
          <w:rFonts w:hint="eastAsia" w:hAnsi="宋体" w:cs="宋体"/>
          <w:b/>
          <w:color w:val="auto"/>
          <w:sz w:val="24"/>
        </w:rPr>
        <w:t>9.3 对评标委员会成员的纪律要求</w:t>
      </w:r>
      <w:bookmarkEnd w:id="63"/>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color w:val="auto"/>
          <w:sz w:val="24"/>
        </w:rPr>
      </w:pPr>
      <w:bookmarkStart w:id="64" w:name="_Toc283559985"/>
      <w:r>
        <w:rPr>
          <w:rFonts w:hint="eastAsia" w:hAnsi="宋体" w:cs="宋体"/>
          <w:b/>
          <w:color w:val="auto"/>
          <w:sz w:val="24"/>
        </w:rPr>
        <w:t>9.4 对与评标活动有关的工作人员的纪律要求</w:t>
      </w:r>
      <w:bookmarkEnd w:id="64"/>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color w:val="auto"/>
          <w:sz w:val="24"/>
        </w:rPr>
      </w:pPr>
      <w:bookmarkStart w:id="65" w:name="_Toc283559986"/>
      <w:r>
        <w:rPr>
          <w:rFonts w:hint="eastAsia" w:hAnsi="宋体" w:cs="宋体"/>
          <w:b/>
          <w:color w:val="auto"/>
          <w:sz w:val="24"/>
        </w:rPr>
        <w:t>9.5 投诉</w:t>
      </w:r>
      <w:bookmarkEnd w:id="65"/>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投标人和其他利害关系人认为本次招标活动违反法律、法规和规章规定的，有权向有关行政监督部门投诉。</w:t>
      </w:r>
    </w:p>
    <w:p>
      <w:pPr>
        <w:pStyle w:val="20"/>
        <w:spacing w:line="440" w:lineRule="exact"/>
        <w:jc w:val="both"/>
        <w:outlineLvl w:val="0"/>
        <w:rPr>
          <w:rFonts w:hAnsi="宋体"/>
          <w:b/>
          <w:color w:val="auto"/>
        </w:rPr>
      </w:pPr>
      <w:bookmarkStart w:id="66" w:name="_Toc283559987"/>
      <w:r>
        <w:rPr>
          <w:rFonts w:hint="eastAsia" w:hAnsi="宋体"/>
          <w:b/>
          <w:color w:val="auto"/>
        </w:rPr>
        <w:t>10. 需要补充的其他内容</w:t>
      </w:r>
      <w:bookmarkEnd w:id="66"/>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需要补充的其他内容：见投标人须知前附表。</w:t>
      </w:r>
    </w:p>
    <w:p>
      <w:pPr>
        <w:spacing w:beforeLines="100" w:afterLines="100" w:line="400" w:lineRule="exact"/>
        <w:rPr>
          <w:rFonts w:hAnsi="宋体" w:cs="宋体"/>
          <w:color w:val="auto"/>
          <w:sz w:val="24"/>
        </w:rPr>
      </w:pPr>
      <w:r>
        <w:rPr>
          <w:rFonts w:hint="eastAsia" w:hAnsi="宋体" w:cs="宋体"/>
          <w:color w:val="auto"/>
          <w:sz w:val="24"/>
        </w:rPr>
        <w:br w:type="page"/>
      </w:r>
      <w:r>
        <w:rPr>
          <w:rFonts w:hint="eastAsia" w:hAnsi="宋体" w:cs="宋体"/>
          <w:color w:val="auto"/>
          <w:sz w:val="24"/>
        </w:rPr>
        <w:t>附表一：</w:t>
      </w:r>
    </w:p>
    <w:p>
      <w:pPr>
        <w:spacing w:beforeLines="100" w:afterLines="100" w:line="400" w:lineRule="exact"/>
        <w:jc w:val="center"/>
        <w:rPr>
          <w:rFonts w:hAnsi="宋体" w:cs="宋体"/>
          <w:color w:val="auto"/>
          <w:sz w:val="28"/>
          <w:szCs w:val="28"/>
        </w:rPr>
      </w:pPr>
      <w:r>
        <w:rPr>
          <w:rFonts w:hint="eastAsia" w:hAnsi="宋体" w:cs="宋体"/>
          <w:color w:val="auto"/>
          <w:sz w:val="28"/>
          <w:szCs w:val="28"/>
        </w:rPr>
        <w:t>问题澄清通知</w:t>
      </w:r>
    </w:p>
    <w:p>
      <w:pPr>
        <w:spacing w:line="400" w:lineRule="exact"/>
        <w:ind w:firstLine="6120" w:firstLineChars="2550"/>
        <w:rPr>
          <w:rFonts w:hAnsi="宋体" w:cs="宋体"/>
          <w:color w:val="auto"/>
          <w:sz w:val="24"/>
          <w:u w:val="single"/>
        </w:rPr>
      </w:pPr>
      <w:r>
        <w:rPr>
          <w:rFonts w:hint="eastAsia" w:hAnsi="宋体" w:cs="宋体"/>
          <w:color w:val="auto"/>
          <w:sz w:val="24"/>
        </w:rPr>
        <w:t>编号：</w:t>
      </w:r>
    </w:p>
    <w:p>
      <w:pPr>
        <w:spacing w:line="480" w:lineRule="exact"/>
        <w:ind w:firstLine="480" w:firstLineChars="200"/>
        <w:rPr>
          <w:rFonts w:hAnsi="宋体" w:cs="宋体"/>
          <w:color w:val="auto"/>
          <w:sz w:val="24"/>
        </w:rPr>
      </w:pPr>
      <w:r>
        <w:rPr>
          <w:rFonts w:hint="eastAsia" w:hAnsi="宋体" w:cs="宋体"/>
          <w:color w:val="auto"/>
          <w:sz w:val="24"/>
        </w:rPr>
        <w:t>（投标人名称）：</w:t>
      </w:r>
    </w:p>
    <w:p>
      <w:pPr>
        <w:spacing w:line="480" w:lineRule="exact"/>
        <w:ind w:firstLine="480" w:firstLineChars="200"/>
        <w:rPr>
          <w:rFonts w:hAnsi="宋体" w:cs="宋体"/>
          <w:color w:val="auto"/>
          <w:sz w:val="24"/>
        </w:rPr>
      </w:pPr>
      <w:r>
        <w:rPr>
          <w:rFonts w:hint="eastAsia" w:hAnsi="宋体" w:cs="宋体"/>
          <w:color w:val="auto"/>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1.</w:t>
      </w:r>
    </w:p>
    <w:p>
      <w:pPr>
        <w:spacing w:line="480" w:lineRule="exact"/>
        <w:ind w:firstLine="480" w:firstLineChars="200"/>
        <w:rPr>
          <w:rFonts w:hAnsi="宋体" w:cs="宋体"/>
          <w:color w:val="auto"/>
          <w:sz w:val="24"/>
        </w:rPr>
      </w:pPr>
      <w:r>
        <w:rPr>
          <w:rFonts w:hint="eastAsia" w:hAnsi="宋体" w:cs="宋体"/>
          <w:color w:val="auto"/>
          <w:sz w:val="24"/>
        </w:rPr>
        <w:t>2.</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请将上述问题的澄清、说明或者补正于年月日时前密封递交至 （详细地址）。</w:t>
      </w:r>
    </w:p>
    <w:p>
      <w:pPr>
        <w:spacing w:line="480" w:lineRule="exact"/>
        <w:rPr>
          <w:rFonts w:hAnsi="宋体" w:cs="宋体"/>
          <w:color w:val="auto"/>
          <w:sz w:val="24"/>
        </w:rPr>
      </w:pPr>
    </w:p>
    <w:p>
      <w:pPr>
        <w:spacing w:line="480" w:lineRule="exact"/>
        <w:rPr>
          <w:rFonts w:hAnsi="宋体" w:cs="宋体"/>
          <w:color w:val="auto"/>
          <w:sz w:val="24"/>
        </w:rPr>
      </w:pPr>
      <w:r>
        <w:rPr>
          <w:rFonts w:hint="eastAsia" w:hAnsi="宋体" w:cs="宋体"/>
          <w:color w:val="auto"/>
          <w:sz w:val="24"/>
        </w:rPr>
        <w:t>附件：质疑问卷</w:t>
      </w:r>
    </w:p>
    <w:p>
      <w:pPr>
        <w:spacing w:line="480" w:lineRule="exact"/>
        <w:ind w:firstLine="4080" w:firstLineChars="1700"/>
        <w:rPr>
          <w:rFonts w:hAnsi="宋体" w:cs="宋体"/>
          <w:color w:val="auto"/>
          <w:sz w:val="24"/>
          <w:u w:val="single"/>
        </w:rPr>
      </w:pPr>
    </w:p>
    <w:p>
      <w:pPr>
        <w:spacing w:line="480" w:lineRule="exact"/>
        <w:ind w:firstLine="4080" w:firstLineChars="1700"/>
        <w:rPr>
          <w:rFonts w:hAnsi="宋体" w:cs="宋体"/>
          <w:color w:val="auto"/>
          <w:sz w:val="24"/>
          <w:u w:val="single"/>
        </w:rPr>
      </w:pPr>
    </w:p>
    <w:p>
      <w:pPr>
        <w:spacing w:line="480" w:lineRule="exact"/>
        <w:ind w:firstLine="4080" w:firstLineChars="1700"/>
        <w:rPr>
          <w:rFonts w:hAnsi="宋体" w:cs="宋体"/>
          <w:color w:val="auto"/>
          <w:sz w:val="24"/>
          <w:u w:val="single"/>
        </w:rPr>
      </w:pPr>
    </w:p>
    <w:p>
      <w:pPr>
        <w:spacing w:line="480" w:lineRule="exact"/>
        <w:rPr>
          <w:rFonts w:hAnsi="宋体" w:cs="宋体"/>
          <w:color w:val="auto"/>
          <w:sz w:val="24"/>
          <w:u w:val="single"/>
        </w:rPr>
      </w:pPr>
    </w:p>
    <w:p>
      <w:pPr>
        <w:spacing w:line="480" w:lineRule="exact"/>
        <w:ind w:firstLine="4080" w:firstLineChars="1700"/>
        <w:rPr>
          <w:rFonts w:hAnsi="宋体" w:cs="宋体"/>
          <w:color w:val="auto"/>
          <w:sz w:val="24"/>
          <w:u w:val="single"/>
        </w:rPr>
      </w:pPr>
    </w:p>
    <w:p>
      <w:pPr>
        <w:spacing w:line="480" w:lineRule="exact"/>
        <w:ind w:firstLine="4080" w:firstLineChars="1700"/>
        <w:rPr>
          <w:color w:val="auto"/>
          <w:sz w:val="24"/>
        </w:rPr>
      </w:pPr>
      <w:r>
        <w:rPr>
          <w:rFonts w:hint="eastAsia"/>
          <w:color w:val="auto"/>
          <w:sz w:val="24"/>
        </w:rPr>
        <w:t xml:space="preserve"> （项目名称）</w:t>
      </w:r>
      <w:r>
        <w:rPr>
          <w:rFonts w:hint="eastAsia" w:hAnsi="宋体" w:cs="宋体"/>
          <w:color w:val="auto"/>
          <w:sz w:val="24"/>
        </w:rPr>
        <w:t>招标评标委员会</w:t>
      </w:r>
    </w:p>
    <w:p>
      <w:pPr>
        <w:spacing w:line="480" w:lineRule="exact"/>
        <w:ind w:firstLine="2880" w:firstLineChars="1200"/>
        <w:rPr>
          <w:color w:val="auto"/>
          <w:sz w:val="24"/>
        </w:rPr>
      </w:pPr>
      <w:r>
        <w:rPr>
          <w:rFonts w:hint="eastAsia"/>
          <w:color w:val="auto"/>
          <w:sz w:val="24"/>
        </w:rPr>
        <w:t>（经评标委员会授权的招标人代表签字或招标人加盖单位章）</w:t>
      </w:r>
    </w:p>
    <w:p>
      <w:pPr>
        <w:spacing w:line="480" w:lineRule="exact"/>
        <w:ind w:firstLine="5280" w:firstLineChars="2200"/>
        <w:rPr>
          <w:rFonts w:hAnsi="宋体" w:cs="宋体"/>
          <w:color w:val="auto"/>
          <w:sz w:val="24"/>
        </w:rPr>
      </w:pPr>
      <w:r>
        <w:rPr>
          <w:rFonts w:hint="eastAsia"/>
          <w:color w:val="auto"/>
          <w:sz w:val="24"/>
        </w:rPr>
        <w:t>年月日</w:t>
      </w:r>
    </w:p>
    <w:p>
      <w:pPr>
        <w:spacing w:line="480" w:lineRule="exact"/>
        <w:rPr>
          <w:rFonts w:hAnsi="宋体" w:cs="宋体"/>
          <w:color w:val="auto"/>
          <w:sz w:val="24"/>
        </w:rPr>
      </w:pP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r>
        <w:rPr>
          <w:rFonts w:hint="eastAsia" w:hAnsi="宋体" w:cs="宋体"/>
          <w:color w:val="auto"/>
          <w:sz w:val="24"/>
        </w:rPr>
        <w:t>附表二：问题的澄清</w:t>
      </w:r>
    </w:p>
    <w:p>
      <w:pPr>
        <w:spacing w:beforeLines="100" w:afterLines="100" w:line="480" w:lineRule="exact"/>
        <w:jc w:val="center"/>
        <w:rPr>
          <w:rFonts w:hAnsi="宋体" w:cs="宋体"/>
          <w:color w:val="auto"/>
          <w:sz w:val="28"/>
          <w:szCs w:val="28"/>
        </w:rPr>
      </w:pPr>
      <w:r>
        <w:rPr>
          <w:rFonts w:hint="eastAsia" w:hAnsi="宋体" w:cs="宋体"/>
          <w:color w:val="auto"/>
          <w:sz w:val="28"/>
          <w:szCs w:val="28"/>
        </w:rPr>
        <w:t>问题的澄清、说明或补正</w:t>
      </w:r>
    </w:p>
    <w:p>
      <w:pPr>
        <w:spacing w:line="400" w:lineRule="exact"/>
        <w:ind w:firstLine="6120" w:firstLineChars="2550"/>
        <w:rPr>
          <w:rFonts w:hAnsi="宋体" w:cs="宋体"/>
          <w:color w:val="auto"/>
          <w:sz w:val="24"/>
          <w:u w:val="single"/>
        </w:rPr>
      </w:pPr>
      <w:r>
        <w:rPr>
          <w:rFonts w:hint="eastAsia" w:hAnsi="宋体" w:cs="宋体"/>
          <w:color w:val="auto"/>
          <w:sz w:val="24"/>
        </w:rPr>
        <w:t>编号：</w:t>
      </w:r>
    </w:p>
    <w:p>
      <w:pPr>
        <w:spacing w:line="480" w:lineRule="exact"/>
        <w:rPr>
          <w:rFonts w:hAnsi="宋体" w:cs="宋体"/>
          <w:color w:val="auto"/>
          <w:sz w:val="24"/>
        </w:rPr>
      </w:pPr>
      <w:r>
        <w:rPr>
          <w:rFonts w:hint="eastAsia" w:hAnsi="宋体" w:cs="宋体"/>
          <w:color w:val="auto"/>
          <w:sz w:val="24"/>
        </w:rPr>
        <w:t>（项目名称）招标评标委员会：</w:t>
      </w:r>
    </w:p>
    <w:p>
      <w:pPr>
        <w:spacing w:line="480" w:lineRule="exact"/>
        <w:ind w:firstLine="480" w:firstLineChars="200"/>
        <w:rPr>
          <w:rFonts w:hAnsi="宋体" w:cs="宋体"/>
          <w:color w:val="auto"/>
          <w:sz w:val="24"/>
        </w:rPr>
      </w:pPr>
      <w:r>
        <w:rPr>
          <w:rFonts w:hint="eastAsia" w:hAnsi="宋体" w:cs="宋体"/>
          <w:color w:val="auto"/>
          <w:sz w:val="24"/>
        </w:rPr>
        <w:t>问题澄清通知（编号：）已收悉，现澄清、说明或者补正如下：</w:t>
      </w:r>
    </w:p>
    <w:p>
      <w:pPr>
        <w:spacing w:line="480" w:lineRule="exact"/>
        <w:ind w:firstLine="480" w:firstLineChars="200"/>
        <w:rPr>
          <w:rFonts w:hAnsi="宋体" w:cs="宋体"/>
          <w:color w:val="auto"/>
          <w:sz w:val="24"/>
        </w:rPr>
      </w:pPr>
      <w:r>
        <w:rPr>
          <w:rFonts w:hint="eastAsia" w:hAnsi="宋体" w:cs="宋体"/>
          <w:color w:val="auto"/>
          <w:sz w:val="24"/>
        </w:rPr>
        <w:t>1.</w:t>
      </w:r>
    </w:p>
    <w:p>
      <w:pPr>
        <w:spacing w:line="480" w:lineRule="exact"/>
        <w:ind w:firstLine="480" w:firstLineChars="200"/>
        <w:rPr>
          <w:rFonts w:hAnsi="宋体" w:cs="宋体"/>
          <w:color w:val="auto"/>
          <w:sz w:val="24"/>
        </w:rPr>
      </w:pPr>
      <w:r>
        <w:rPr>
          <w:rFonts w:hint="eastAsia" w:hAnsi="宋体" w:cs="宋体"/>
          <w:color w:val="auto"/>
          <w:sz w:val="24"/>
        </w:rPr>
        <w:t>2.</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wordWrap w:val="0"/>
        <w:spacing w:line="480" w:lineRule="exact"/>
        <w:ind w:firstLine="480" w:firstLineChars="200"/>
        <w:jc w:val="right"/>
        <w:rPr>
          <w:rFonts w:hAnsi="宋体" w:cs="宋体"/>
          <w:color w:val="auto"/>
          <w:sz w:val="24"/>
        </w:rPr>
      </w:pPr>
      <w:r>
        <w:rPr>
          <w:rFonts w:hint="eastAsia" w:hAnsi="宋体" w:cs="宋体"/>
          <w:color w:val="auto"/>
          <w:sz w:val="24"/>
        </w:rPr>
        <w:t xml:space="preserve">投标人：（盖单位章） </w:t>
      </w:r>
    </w:p>
    <w:p>
      <w:pPr>
        <w:wordWrap w:val="0"/>
        <w:spacing w:beforeLines="50" w:afterLines="50" w:line="480" w:lineRule="exact"/>
        <w:ind w:right="210"/>
        <w:jc w:val="right"/>
        <w:rPr>
          <w:rFonts w:hAnsi="宋体" w:cs="宋体"/>
          <w:color w:val="auto"/>
          <w:sz w:val="24"/>
        </w:rPr>
      </w:pPr>
      <w:r>
        <w:rPr>
          <w:rFonts w:hint="eastAsia" w:hAnsi="宋体" w:cs="宋体"/>
          <w:color w:val="auto"/>
          <w:sz w:val="24"/>
        </w:rPr>
        <w:t xml:space="preserve">法定代表人或其委托代理人：（签字） </w:t>
      </w:r>
    </w:p>
    <w:p>
      <w:pPr>
        <w:spacing w:line="480" w:lineRule="exact"/>
        <w:jc w:val="right"/>
        <w:rPr>
          <w:rFonts w:hAnsi="宋体" w:cs="宋体"/>
          <w:color w:val="auto"/>
          <w:sz w:val="24"/>
        </w:rPr>
      </w:pPr>
      <w:r>
        <w:rPr>
          <w:rFonts w:hint="eastAsia" w:hAnsi="宋体" w:cs="宋体"/>
          <w:color w:val="auto"/>
          <w:sz w:val="24"/>
        </w:rPr>
        <w:t>年    月     日</w:t>
      </w:r>
    </w:p>
    <w:p>
      <w:pPr>
        <w:spacing w:line="480" w:lineRule="exact"/>
        <w:rPr>
          <w:rFonts w:hAnsi="宋体" w:cs="宋体"/>
          <w:color w:val="auto"/>
          <w:sz w:val="24"/>
        </w:rPr>
      </w:pPr>
    </w:p>
    <w:p>
      <w:pPr>
        <w:spacing w:line="480" w:lineRule="exact"/>
        <w:rPr>
          <w:rFonts w:hAnsi="宋体" w:cs="宋体"/>
          <w:color w:val="auto"/>
        </w:rPr>
      </w:pPr>
    </w:p>
    <w:p>
      <w:pPr>
        <w:spacing w:line="400" w:lineRule="exact"/>
        <w:ind w:firstLine="120" w:firstLineChars="50"/>
        <w:rPr>
          <w:rFonts w:hAnsi="宋体" w:cs="宋体"/>
          <w:color w:val="auto"/>
          <w:sz w:val="24"/>
        </w:rPr>
      </w:pPr>
    </w:p>
    <w:p>
      <w:pPr>
        <w:spacing w:line="400" w:lineRule="exact"/>
        <w:rPr>
          <w:rFonts w:hAnsi="宋体" w:cs="宋体"/>
          <w:color w:val="auto"/>
          <w:sz w:val="24"/>
          <w:u w:val="single"/>
        </w:rPr>
      </w:pPr>
    </w:p>
    <w:p>
      <w:pPr>
        <w:spacing w:line="400" w:lineRule="exact"/>
        <w:rPr>
          <w:rFonts w:hAnsi="宋体" w:cs="宋体"/>
          <w:color w:val="auto"/>
          <w:sz w:val="24"/>
          <w:u w:val="single"/>
        </w:rPr>
      </w:pPr>
    </w:p>
    <w:p>
      <w:pPr>
        <w:spacing w:line="400" w:lineRule="exact"/>
        <w:rPr>
          <w:rFonts w:hAnsi="宋体" w:cs="宋体"/>
          <w:color w:val="auto"/>
          <w:sz w:val="24"/>
          <w:u w:val="single"/>
        </w:rPr>
      </w:pPr>
    </w:p>
    <w:p>
      <w:pPr>
        <w:spacing w:line="400" w:lineRule="exact"/>
        <w:rPr>
          <w:rFonts w:hAnsi="宋体" w:cs="宋体"/>
          <w:color w:val="auto"/>
          <w:sz w:val="24"/>
          <w:u w:val="single"/>
        </w:rPr>
      </w:pPr>
    </w:p>
    <w:p>
      <w:pPr>
        <w:spacing w:line="400" w:lineRule="exact"/>
        <w:rPr>
          <w:rFonts w:hAnsi="宋体" w:cs="宋体"/>
          <w:color w:val="auto"/>
          <w:sz w:val="24"/>
          <w:u w:val="single"/>
        </w:rPr>
      </w:pPr>
    </w:p>
    <w:p>
      <w:pPr>
        <w:spacing w:line="400" w:lineRule="exact"/>
        <w:rPr>
          <w:rFonts w:hAnsi="宋体" w:cs="宋体"/>
          <w:color w:val="auto"/>
          <w:sz w:val="24"/>
          <w:u w:val="single"/>
        </w:rPr>
      </w:pPr>
    </w:p>
    <w:p>
      <w:pPr>
        <w:snapToGrid w:val="0"/>
        <w:spacing w:line="360" w:lineRule="auto"/>
        <w:jc w:val="center"/>
        <w:rPr>
          <w:rFonts w:hAnsi="宋体" w:cs="宋体"/>
          <w:b/>
          <w:bCs/>
          <w:color w:val="auto"/>
          <w:sz w:val="36"/>
          <w:szCs w:val="36"/>
        </w:rPr>
      </w:pPr>
    </w:p>
    <w:p>
      <w:pPr>
        <w:snapToGrid w:val="0"/>
        <w:spacing w:line="360" w:lineRule="auto"/>
        <w:jc w:val="center"/>
        <w:rPr>
          <w:rFonts w:hAnsi="宋体" w:cs="宋体"/>
          <w:color w:val="auto"/>
          <w:sz w:val="24"/>
        </w:rPr>
      </w:pPr>
      <w:bookmarkStart w:id="67" w:name="_Toc283559990"/>
      <w:r>
        <w:rPr>
          <w:rFonts w:hint="eastAsia" w:hAnsi="宋体" w:cs="宋体"/>
          <w:b/>
          <w:bCs/>
          <w:color w:val="auto"/>
          <w:sz w:val="36"/>
          <w:szCs w:val="36"/>
        </w:rPr>
        <w:t>第三章 评标办法（综合评标法）</w:t>
      </w:r>
    </w:p>
    <w:p>
      <w:pPr>
        <w:snapToGrid w:val="0"/>
        <w:spacing w:line="360" w:lineRule="auto"/>
        <w:ind w:firstLine="480" w:firstLineChars="200"/>
        <w:rPr>
          <w:rFonts w:hint="eastAsia" w:hAnsi="宋体" w:cs="宋体"/>
          <w:color w:val="auto"/>
          <w:sz w:val="24"/>
        </w:rPr>
      </w:pPr>
      <w:r>
        <w:rPr>
          <w:rFonts w:hint="eastAsia" w:hAnsi="宋体" w:cs="宋体"/>
          <w:color w:val="auto"/>
          <w:sz w:val="24"/>
        </w:rPr>
        <w:t>一、评标应遵循公正、公平、择优的原则严格按照招标文件进行。</w:t>
      </w:r>
    </w:p>
    <w:p>
      <w:pPr>
        <w:snapToGrid w:val="0"/>
        <w:spacing w:line="360" w:lineRule="auto"/>
        <w:rPr>
          <w:rFonts w:hAnsi="宋体" w:cs="宋体"/>
          <w:color w:val="auto"/>
          <w:sz w:val="24"/>
        </w:rPr>
      </w:pPr>
      <w:r>
        <w:rPr>
          <w:rFonts w:hint="eastAsia" w:hAnsi="宋体" w:cs="宋体"/>
          <w:color w:val="auto"/>
          <w:sz w:val="24"/>
        </w:rPr>
        <w:t xml:space="preserve">    二、评标由招标人依法组建的评标委员会负责，评标委员会成员从河南省综合评标专家库中随机抽取5人和招标人代表2人组成，其中注册造价工程师不少于3人。评标委员会主任从5名随机抽取的评标专家中产生，与投标人有利害关系的专家不得进入评标委员会。</w:t>
      </w:r>
    </w:p>
    <w:p>
      <w:pPr>
        <w:snapToGrid w:val="0"/>
        <w:spacing w:line="360" w:lineRule="auto"/>
        <w:rPr>
          <w:rFonts w:hAnsi="宋体" w:cs="宋体"/>
          <w:color w:val="auto"/>
          <w:sz w:val="24"/>
        </w:rPr>
      </w:pPr>
      <w:r>
        <w:rPr>
          <w:rFonts w:hint="eastAsia" w:hAnsi="宋体" w:cs="宋体"/>
          <w:color w:val="auto"/>
          <w:sz w:val="24"/>
        </w:rPr>
        <w:t xml:space="preserve">    三、评标采用综合评标法，是指评标委员会根据招标文件要求，应从技术标、商务标、综合（信用）标三部分进行综合评审。</w:t>
      </w:r>
    </w:p>
    <w:p>
      <w:pPr>
        <w:snapToGrid w:val="0"/>
        <w:spacing w:line="360" w:lineRule="auto"/>
        <w:ind w:firstLine="480" w:firstLineChars="200"/>
        <w:rPr>
          <w:rFonts w:hAnsi="宋体" w:cs="宋体"/>
          <w:color w:val="auto"/>
          <w:sz w:val="24"/>
        </w:rPr>
      </w:pPr>
      <w:r>
        <w:rPr>
          <w:rFonts w:hint="eastAsia" w:hAnsi="宋体" w:cs="宋体"/>
          <w:color w:val="auto"/>
          <w:sz w:val="24"/>
        </w:rPr>
        <w:t>四、评标程序为：</w:t>
      </w:r>
    </w:p>
    <w:p>
      <w:pPr>
        <w:snapToGrid w:val="0"/>
        <w:spacing w:line="360" w:lineRule="auto"/>
        <w:ind w:firstLine="480" w:firstLineChars="200"/>
        <w:rPr>
          <w:rFonts w:hAnsi="宋体" w:cs="宋体"/>
          <w:color w:val="auto"/>
          <w:sz w:val="24"/>
        </w:rPr>
      </w:pPr>
      <w:r>
        <w:rPr>
          <w:rFonts w:hint="eastAsia" w:hAnsi="宋体" w:cs="宋体"/>
          <w:color w:val="auto"/>
          <w:sz w:val="24"/>
        </w:rPr>
        <w:t>（一）清标；</w:t>
      </w:r>
    </w:p>
    <w:p>
      <w:pPr>
        <w:snapToGrid w:val="0"/>
        <w:spacing w:line="360" w:lineRule="auto"/>
        <w:ind w:firstLine="480" w:firstLineChars="200"/>
        <w:rPr>
          <w:rFonts w:hAnsi="宋体" w:cs="宋体"/>
          <w:color w:val="auto"/>
          <w:sz w:val="24"/>
        </w:rPr>
      </w:pPr>
      <w:r>
        <w:rPr>
          <w:rFonts w:hint="eastAsia" w:hAnsi="宋体" w:cs="宋体"/>
          <w:color w:val="auto"/>
          <w:sz w:val="24"/>
        </w:rPr>
        <w:t>（二）初步评审；</w:t>
      </w:r>
    </w:p>
    <w:p>
      <w:pPr>
        <w:snapToGrid w:val="0"/>
        <w:spacing w:line="360" w:lineRule="auto"/>
        <w:ind w:firstLine="480" w:firstLineChars="200"/>
        <w:rPr>
          <w:rFonts w:hAnsi="宋体" w:cs="宋体"/>
          <w:color w:val="auto"/>
          <w:sz w:val="24"/>
        </w:rPr>
      </w:pPr>
      <w:r>
        <w:rPr>
          <w:rFonts w:hint="eastAsia" w:hAnsi="宋体" w:cs="宋体"/>
          <w:color w:val="auto"/>
          <w:sz w:val="24"/>
        </w:rPr>
        <w:t>（三）详细评审；</w:t>
      </w:r>
    </w:p>
    <w:p>
      <w:pPr>
        <w:snapToGrid w:val="0"/>
        <w:spacing w:line="360" w:lineRule="auto"/>
        <w:ind w:firstLine="480" w:firstLineChars="200"/>
        <w:rPr>
          <w:rFonts w:hAnsi="宋体" w:cs="宋体"/>
          <w:color w:val="auto"/>
          <w:sz w:val="24"/>
        </w:rPr>
      </w:pPr>
      <w:r>
        <w:rPr>
          <w:rFonts w:hint="eastAsia" w:hAnsi="宋体" w:cs="宋体"/>
          <w:color w:val="auto"/>
          <w:sz w:val="24"/>
        </w:rPr>
        <w:t>（四）问题的澄清、说明或补正；</w:t>
      </w:r>
    </w:p>
    <w:p>
      <w:pPr>
        <w:snapToGrid w:val="0"/>
        <w:spacing w:line="360" w:lineRule="auto"/>
        <w:ind w:firstLine="480" w:firstLineChars="200"/>
        <w:rPr>
          <w:rFonts w:hAnsi="宋体" w:cs="宋体"/>
          <w:color w:val="auto"/>
          <w:sz w:val="24"/>
        </w:rPr>
      </w:pPr>
      <w:r>
        <w:rPr>
          <w:rFonts w:hint="eastAsia" w:hAnsi="宋体" w:cs="宋体"/>
          <w:color w:val="auto"/>
          <w:sz w:val="24"/>
        </w:rPr>
        <w:t>（五）推荐中标候选人；</w:t>
      </w:r>
    </w:p>
    <w:p>
      <w:pPr>
        <w:snapToGrid w:val="0"/>
        <w:spacing w:line="360" w:lineRule="auto"/>
        <w:ind w:firstLine="480" w:firstLineChars="200"/>
        <w:rPr>
          <w:rFonts w:hAnsi="宋体" w:cs="宋体"/>
          <w:color w:val="auto"/>
          <w:sz w:val="24"/>
        </w:rPr>
      </w:pPr>
      <w:r>
        <w:rPr>
          <w:rFonts w:hint="eastAsia" w:hAnsi="宋体" w:cs="宋体"/>
          <w:color w:val="auto"/>
          <w:sz w:val="24"/>
        </w:rPr>
        <w:t>（六）评标现场宣布中标候选人确定结果并在指定媒体上进行公示。</w:t>
      </w:r>
    </w:p>
    <w:p>
      <w:pPr>
        <w:snapToGrid w:val="0"/>
        <w:spacing w:line="360" w:lineRule="auto"/>
        <w:ind w:firstLine="480" w:firstLineChars="200"/>
        <w:rPr>
          <w:rFonts w:hAnsi="宋体" w:cs="宋体"/>
          <w:color w:val="auto"/>
          <w:sz w:val="24"/>
        </w:rPr>
      </w:pPr>
      <w:r>
        <w:rPr>
          <w:rFonts w:hint="eastAsia" w:hAnsi="宋体" w:cs="宋体"/>
          <w:color w:val="auto"/>
          <w:sz w:val="24"/>
        </w:rPr>
        <w:t>五、清标</w:t>
      </w:r>
    </w:p>
    <w:p>
      <w:pPr>
        <w:autoSpaceDE w:val="0"/>
        <w:autoSpaceDN w:val="0"/>
        <w:adjustRightInd w:val="0"/>
        <w:snapToGrid w:val="0"/>
        <w:spacing w:line="348" w:lineRule="auto"/>
        <w:ind w:firstLine="470" w:firstLineChars="196"/>
        <w:jc w:val="left"/>
        <w:rPr>
          <w:rFonts w:ascii="新宋体" w:hAnsi="新宋体" w:eastAsia="新宋体"/>
          <w:b/>
          <w:color w:val="auto"/>
          <w:sz w:val="24"/>
        </w:rPr>
      </w:pPr>
      <w:r>
        <w:rPr>
          <w:rFonts w:hint="eastAsia" w:ascii="新宋体" w:hAnsi="新宋体" w:eastAsia="新宋体"/>
          <w:b/>
          <w:color w:val="auto"/>
          <w:sz w:val="24"/>
        </w:rPr>
        <w:t>先由评标委员会在商务标清标系统的辅助下对投标文件进行基础性数据分析和整理（清标内容见下表），形成清标成果。</w:t>
      </w:r>
    </w:p>
    <w:p>
      <w:pPr>
        <w:autoSpaceDE w:val="0"/>
        <w:autoSpaceDN w:val="0"/>
        <w:adjustRightInd w:val="0"/>
        <w:snapToGrid w:val="0"/>
        <w:spacing w:line="348" w:lineRule="auto"/>
        <w:ind w:firstLine="470" w:firstLineChars="196"/>
        <w:jc w:val="left"/>
        <w:rPr>
          <w:rFonts w:ascii="新宋体" w:hAnsi="新宋体" w:eastAsia="新宋体"/>
          <w:bCs/>
          <w:color w:val="auto"/>
          <w:sz w:val="24"/>
        </w:rPr>
      </w:pPr>
      <w:r>
        <w:rPr>
          <w:rFonts w:hint="eastAsia" w:ascii="新宋体" w:hAnsi="新宋体" w:eastAsia="新宋体"/>
          <w:bCs/>
          <w:color w:val="auto"/>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投标文件存在下列情形之一的，按废标处理：</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 xml:space="preserve">（1）未按招标文件规定编制各项报价的； </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 xml:space="preserve">（3）规费和安全文明施工措施费违背工程造价计价有关规定的； </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（5）未按照招标文件所列明的暂列金额、暂估价编制投标报价的。</w:t>
      </w:r>
    </w:p>
    <w:p>
      <w:pPr>
        <w:spacing w:line="360" w:lineRule="auto"/>
        <w:ind w:firstLine="480" w:firstLineChars="200"/>
        <w:rPr>
          <w:rFonts w:ascii="新宋体" w:hAnsi="新宋体" w:eastAsia="新宋体"/>
          <w:bCs/>
          <w:color w:val="auto"/>
          <w:sz w:val="24"/>
          <w:szCs w:val="22"/>
        </w:rPr>
      </w:pPr>
      <w:r>
        <w:rPr>
          <w:rFonts w:hint="eastAsia" w:ascii="新宋体" w:hAnsi="新宋体" w:eastAsia="新宋体"/>
          <w:bCs/>
          <w:color w:val="auto"/>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440" w:lineRule="exact"/>
        <w:rPr>
          <w:rFonts w:hint="eastAsia" w:hAnsi="宋体" w:cs="宋体"/>
          <w:b/>
          <w:bCs/>
          <w:color w:val="auto"/>
          <w:sz w:val="24"/>
          <w:szCs w:val="24"/>
        </w:rPr>
      </w:pPr>
      <w:r>
        <w:rPr>
          <w:rFonts w:hint="eastAsia" w:hAnsi="宋体" w:cs="宋体"/>
          <w:b/>
          <w:bCs/>
          <w:color w:val="auto"/>
          <w:sz w:val="24"/>
          <w:szCs w:val="24"/>
        </w:rPr>
        <w:t>备注：不同投标人电子投标文件制作硬件特征码（网卡MAC地址、CPU序号、硬盘序列号等）均一致时，依据《房屋建筑和市政基础设施工程施工招标串（围）标行为认定和处理的暂行规定》豫建【2011】179号文件第六条、第七条的要求进行认定。</w:t>
      </w:r>
    </w:p>
    <w:p>
      <w:pPr>
        <w:numPr>
          <w:ilvl w:val="0"/>
          <w:numId w:val="0"/>
        </w:numPr>
        <w:spacing w:line="440" w:lineRule="exact"/>
        <w:ind w:firstLine="480" w:firstLineChars="200"/>
        <w:rPr>
          <w:rFonts w:hint="eastAsia" w:hAnsi="宋体" w:cs="宋体"/>
          <w:b/>
          <w:bCs/>
          <w:color w:val="auto"/>
          <w:sz w:val="24"/>
          <w:szCs w:val="24"/>
        </w:rPr>
      </w:pPr>
      <w:r>
        <w:rPr>
          <w:rFonts w:hint="eastAsia" w:hAnsi="宋体" w:cs="宋体"/>
          <w:b/>
          <w:bCs/>
          <w:color w:val="auto"/>
          <w:sz w:val="24"/>
          <w:szCs w:val="24"/>
        </w:rPr>
        <w:t>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pPr>
        <w:numPr>
          <w:ilvl w:val="0"/>
          <w:numId w:val="5"/>
        </w:numPr>
        <w:spacing w:line="440" w:lineRule="exact"/>
        <w:rPr>
          <w:rFonts w:ascii="新宋体" w:hAnsi="新宋体" w:eastAsia="新宋体"/>
          <w:b/>
          <w:color w:val="auto"/>
          <w:sz w:val="24"/>
        </w:rPr>
      </w:pPr>
      <w:r>
        <w:rPr>
          <w:rFonts w:hint="eastAsia" w:ascii="新宋体" w:hAnsi="新宋体" w:eastAsia="新宋体"/>
          <w:b/>
          <w:color w:val="auto"/>
          <w:sz w:val="24"/>
        </w:rPr>
        <w:t>清标内容：</w:t>
      </w:r>
    </w:p>
    <w:tbl>
      <w:tblPr>
        <w:tblStyle w:val="13"/>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color w:val="auto"/>
                <w:kern w:val="2"/>
                <w:sz w:val="20"/>
                <w:szCs w:val="22"/>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color w:val="auto"/>
                <w:kern w:val="2"/>
                <w:sz w:val="20"/>
                <w:szCs w:val="22"/>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color w:val="auto"/>
                <w:kern w:val="2"/>
                <w:sz w:val="20"/>
                <w:szCs w:val="22"/>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是否等于各分部分项清单（含单价措施项目）费之和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分部分项及单价措施项目工程量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分部分项工程费及单价措施费清单综合单价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综合单价=人工费+材料费+机械费+管理费+利润之和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材料表中的单价与组成清单单价中的综合单价必须一致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安全文明施工费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其他措施费（费率类）项目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专业工程暂估价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应与招标人数量一致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增值税</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r>
    </w:tbl>
    <w:p>
      <w:pPr>
        <w:spacing w:line="440" w:lineRule="exact"/>
        <w:ind w:firstLine="480" w:firstLineChars="200"/>
        <w:rPr>
          <w:rFonts w:ascii="新宋体" w:hAnsi="新宋体" w:eastAsia="新宋体"/>
          <w:b/>
          <w:color w:val="auto"/>
          <w:sz w:val="24"/>
        </w:rPr>
      </w:pPr>
      <w:r>
        <w:rPr>
          <w:rFonts w:hint="eastAsia" w:ascii="新宋体" w:hAnsi="新宋体" w:eastAsia="新宋体"/>
          <w:b/>
          <w:color w:val="auto"/>
          <w:sz w:val="24"/>
        </w:rPr>
        <w:t>六、初步评审</w:t>
      </w:r>
    </w:p>
    <w:p>
      <w:pPr>
        <w:spacing w:line="360" w:lineRule="auto"/>
        <w:ind w:firstLine="468" w:firstLineChars="195"/>
        <w:rPr>
          <w:rFonts w:ascii="新宋体" w:hAnsi="新宋体" w:eastAsia="新宋体" w:cs="宋体"/>
          <w:bCs/>
          <w:color w:val="auto"/>
          <w:sz w:val="24"/>
        </w:rPr>
      </w:pPr>
      <w:r>
        <w:rPr>
          <w:rFonts w:hint="eastAsia" w:ascii="新宋体" w:hAnsi="新宋体" w:eastAsia="新宋体" w:cs="宋体"/>
          <w:bCs/>
          <w:color w:val="auto"/>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pPr>
        <w:spacing w:line="360" w:lineRule="auto"/>
        <w:ind w:firstLine="468" w:firstLineChars="195"/>
        <w:rPr>
          <w:rFonts w:ascii="新宋体" w:hAnsi="新宋体" w:eastAsia="新宋体" w:cs="宋体"/>
          <w:bCs/>
          <w:color w:val="auto"/>
          <w:sz w:val="24"/>
        </w:rPr>
      </w:pPr>
      <w:r>
        <w:rPr>
          <w:rFonts w:hint="eastAsia" w:ascii="新宋体" w:hAnsi="新宋体" w:eastAsia="新宋体" w:cs="宋体"/>
          <w:bCs/>
          <w:color w:val="auto"/>
          <w:sz w:val="24"/>
        </w:rPr>
        <w:t xml:space="preserve">初步评审主要包括以下内容：  </w:t>
      </w:r>
    </w:p>
    <w:p>
      <w:pPr>
        <w:spacing w:line="360" w:lineRule="auto"/>
        <w:ind w:firstLine="480" w:firstLineChars="200"/>
        <w:rPr>
          <w:rFonts w:hAnsi="宋体" w:cs="仿宋_GB2312"/>
          <w:color w:val="auto"/>
          <w:sz w:val="24"/>
        </w:rPr>
      </w:pPr>
      <w:r>
        <w:rPr>
          <w:rFonts w:hint="eastAsia" w:ascii="新宋体" w:hAnsi="新宋体" w:eastAsia="新宋体" w:cs="宋体"/>
          <w:bCs/>
          <w:color w:val="auto"/>
          <w:sz w:val="24"/>
        </w:rPr>
        <w:t>（1）</w:t>
      </w:r>
      <w:r>
        <w:rPr>
          <w:rFonts w:hint="eastAsia" w:hAnsi="宋体" w:cs="仿宋_GB2312"/>
          <w:color w:val="auto"/>
          <w:sz w:val="24"/>
        </w:rPr>
        <w:t>投标文件是否按招标文件要求签字盖章；</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（2）投标联合体是否提交共同投标协议（允许联合体投标的）；</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（5）投标报价是否高于招标文件设定的最高投标限价；</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（6）投标文件没有对招标文件的实质性要求和条件作出响应（</w:t>
      </w:r>
      <w:r>
        <w:rPr>
          <w:rFonts w:hint="eastAsia" w:ascii="新宋体" w:hAnsi="新宋体" w:eastAsia="新宋体" w:cs="宋体"/>
          <w:bCs/>
          <w:color w:val="auto"/>
          <w:sz w:val="24"/>
          <w:lang w:val="en-US" w:eastAsia="zh-CN"/>
        </w:rPr>
        <w:t>包括</w:t>
      </w:r>
      <w:r>
        <w:rPr>
          <w:rFonts w:hint="eastAsia" w:ascii="新宋体" w:hAnsi="新宋体" w:eastAsia="新宋体" w:cs="宋体"/>
          <w:bCs/>
          <w:color w:val="auto"/>
          <w:sz w:val="24"/>
        </w:rPr>
        <w:t>是否按规定缴纳投标保证金</w:t>
      </w:r>
      <w:r>
        <w:rPr>
          <w:rFonts w:hint="eastAsia" w:ascii="新宋体" w:hAnsi="新宋体" w:eastAsia="新宋体" w:cs="宋体"/>
          <w:bCs/>
          <w:color w:val="auto"/>
          <w:sz w:val="24"/>
          <w:lang w:eastAsia="zh-CN"/>
        </w:rPr>
        <w:t>）；</w:t>
      </w:r>
    </w:p>
    <w:p>
      <w:pPr>
        <w:spacing w:line="360" w:lineRule="auto"/>
        <w:ind w:firstLine="480" w:firstLineChars="200"/>
        <w:rPr>
          <w:rFonts w:hint="eastAsia" w:ascii="新宋体" w:hAnsi="新宋体" w:eastAsia="新宋体" w:cs="宋体"/>
          <w:bCs/>
          <w:color w:val="auto"/>
          <w:sz w:val="24"/>
          <w:lang w:eastAsia="zh-CN"/>
        </w:rPr>
      </w:pPr>
      <w:r>
        <w:rPr>
          <w:rFonts w:hint="eastAsia" w:ascii="新宋体" w:hAnsi="新宋体" w:eastAsia="新宋体" w:cs="宋体"/>
          <w:bCs/>
          <w:color w:val="auto"/>
          <w:sz w:val="24"/>
        </w:rPr>
        <w:t>（7）投标人是否有串通投标、弄虚作假、行贿等违法行为</w:t>
      </w:r>
      <w:r>
        <w:rPr>
          <w:rFonts w:hint="eastAsia" w:ascii="新宋体" w:hAnsi="新宋体" w:eastAsia="新宋体" w:cs="宋体"/>
          <w:bCs/>
          <w:color w:val="auto"/>
          <w:sz w:val="24"/>
          <w:lang w:eastAsia="zh-CN"/>
        </w:rPr>
        <w:t>。</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新宋体"/>
          <w:color w:val="auto"/>
          <w:sz w:val="24"/>
        </w:rPr>
        <w:t>初步评审经审查后应写出评审意见</w:t>
      </w:r>
      <w:r>
        <w:rPr>
          <w:rFonts w:hint="eastAsia" w:ascii="新宋体" w:hAnsi="新宋体" w:eastAsia="新宋体" w:cs="宋体"/>
          <w:bCs/>
          <w:color w:val="auto"/>
          <w:sz w:val="24"/>
        </w:rPr>
        <w:t>。</w:t>
      </w:r>
    </w:p>
    <w:p>
      <w:pPr>
        <w:spacing w:line="400" w:lineRule="exact"/>
        <w:ind w:firstLine="480" w:firstLineChars="200"/>
        <w:rPr>
          <w:rFonts w:ascii="新宋体" w:hAnsi="新宋体" w:eastAsia="新宋体" w:cs="宋体"/>
          <w:b/>
          <w:color w:val="auto"/>
          <w:sz w:val="24"/>
        </w:rPr>
      </w:pPr>
      <w:r>
        <w:rPr>
          <w:rFonts w:hint="eastAsia" w:ascii="新宋体" w:hAnsi="新宋体" w:eastAsia="新宋体" w:cs="宋体"/>
          <w:b/>
          <w:color w:val="auto"/>
          <w:sz w:val="24"/>
        </w:rPr>
        <w:t>七、详细评审</w:t>
      </w:r>
    </w:p>
    <w:p>
      <w:pPr>
        <w:spacing w:line="400" w:lineRule="exact"/>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评标委员会根据招标文件要求应从技术标、商务标、综合（信用）标三部分进行综合评审。技术标的权重占25%，商务标的权重占50%，综合（信用）标的权重占25%。</w:t>
      </w:r>
    </w:p>
    <w:p>
      <w:pPr>
        <w:snapToGrid w:val="0"/>
        <w:spacing w:line="360" w:lineRule="auto"/>
        <w:rPr>
          <w:rFonts w:hAnsi="宋体" w:cs="宋体"/>
          <w:b/>
          <w:color w:val="auto"/>
          <w:sz w:val="24"/>
        </w:rPr>
      </w:pPr>
      <w:r>
        <w:rPr>
          <w:rFonts w:hint="eastAsia" w:hAnsi="宋体" w:cs="宋体"/>
          <w:b/>
          <w:color w:val="auto"/>
          <w:sz w:val="24"/>
        </w:rPr>
        <w:t>（一）技术标（25分）</w:t>
      </w:r>
    </w:p>
    <w:tbl>
      <w:tblPr>
        <w:tblStyle w:val="13"/>
        <w:tblW w:w="1020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410"/>
        <w:gridCol w:w="1265"/>
        <w:gridCol w:w="510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Align w:val="center"/>
          </w:tcPr>
          <w:p>
            <w:pPr>
              <w:spacing w:line="360" w:lineRule="auto"/>
              <w:jc w:val="center"/>
              <w:rPr>
                <w:rFonts w:ascii="新宋体" w:hAnsi="新宋体" w:eastAsia="新宋体" w:cs="宋体"/>
                <w:bCs/>
                <w:color w:val="auto"/>
                <w:sz w:val="21"/>
                <w:szCs w:val="21"/>
              </w:rPr>
            </w:pPr>
            <w:bookmarkStart w:id="68" w:name="_Toc295572535"/>
            <w:bookmarkStart w:id="69" w:name="_Toc273546398"/>
            <w:bookmarkStart w:id="70" w:name="_Toc272833453"/>
            <w:bookmarkStart w:id="71" w:name="_Toc270931534"/>
            <w:r>
              <w:rPr>
                <w:rFonts w:hint="eastAsia" w:ascii="新宋体" w:hAnsi="新宋体" w:eastAsia="新宋体" w:cs="宋体"/>
                <w:bCs/>
                <w:color w:val="auto"/>
                <w:sz w:val="21"/>
                <w:szCs w:val="21"/>
              </w:rPr>
              <w:t>序号</w:t>
            </w:r>
          </w:p>
        </w:tc>
        <w:tc>
          <w:tcPr>
            <w:tcW w:w="1410" w:type="dxa"/>
            <w:vAlign w:val="center"/>
          </w:tcPr>
          <w:p>
            <w:pPr>
              <w:spacing w:line="360" w:lineRule="auto"/>
              <w:jc w:val="center"/>
              <w:rPr>
                <w:rFonts w:ascii="新宋体" w:hAnsi="新宋体" w:eastAsia="新宋体" w:cs="宋体"/>
                <w:bCs/>
                <w:color w:val="auto"/>
                <w:sz w:val="21"/>
                <w:szCs w:val="21"/>
              </w:rPr>
            </w:pPr>
            <w:r>
              <w:rPr>
                <w:rFonts w:hint="eastAsia" w:ascii="新宋体" w:hAnsi="新宋体" w:eastAsia="新宋体" w:cs="宋体"/>
                <w:bCs/>
                <w:color w:val="auto"/>
                <w:sz w:val="21"/>
                <w:szCs w:val="21"/>
              </w:rPr>
              <w:t>内容</w:t>
            </w:r>
          </w:p>
        </w:tc>
        <w:tc>
          <w:tcPr>
            <w:tcW w:w="1265" w:type="dxa"/>
            <w:vAlign w:val="center"/>
          </w:tcPr>
          <w:p>
            <w:pPr>
              <w:spacing w:line="360" w:lineRule="auto"/>
              <w:jc w:val="center"/>
              <w:rPr>
                <w:rFonts w:ascii="新宋体" w:hAnsi="新宋体" w:eastAsia="新宋体" w:cs="宋体"/>
                <w:bCs/>
                <w:color w:val="auto"/>
                <w:sz w:val="21"/>
                <w:szCs w:val="21"/>
              </w:rPr>
            </w:pPr>
            <w:r>
              <w:rPr>
                <w:rFonts w:hint="eastAsia" w:ascii="新宋体" w:hAnsi="新宋体" w:eastAsia="新宋体" w:cs="宋体"/>
                <w:bCs/>
                <w:color w:val="auto"/>
                <w:sz w:val="21"/>
                <w:szCs w:val="21"/>
              </w:rPr>
              <w:t>分值</w:t>
            </w:r>
          </w:p>
        </w:tc>
        <w:tc>
          <w:tcPr>
            <w:tcW w:w="5103" w:type="dxa"/>
            <w:vAlign w:val="center"/>
          </w:tcPr>
          <w:p>
            <w:pPr>
              <w:spacing w:line="360" w:lineRule="auto"/>
              <w:jc w:val="center"/>
              <w:rPr>
                <w:rFonts w:ascii="新宋体" w:hAnsi="新宋体" w:eastAsia="新宋体" w:cs="宋体"/>
                <w:bCs/>
                <w:color w:val="auto"/>
                <w:sz w:val="21"/>
                <w:szCs w:val="21"/>
              </w:rPr>
            </w:pPr>
            <w:r>
              <w:rPr>
                <w:rFonts w:hint="eastAsia" w:ascii="新宋体" w:hAnsi="新宋体" w:eastAsia="新宋体" w:cs="宋体"/>
                <w:bCs/>
                <w:color w:val="auto"/>
                <w:sz w:val="21"/>
                <w:szCs w:val="21"/>
              </w:rPr>
              <w:t>评审标准</w:t>
            </w:r>
          </w:p>
        </w:tc>
        <w:tc>
          <w:tcPr>
            <w:tcW w:w="1559" w:type="dxa"/>
            <w:vAlign w:val="center"/>
          </w:tcPr>
          <w:p>
            <w:pPr>
              <w:spacing w:line="360" w:lineRule="auto"/>
              <w:jc w:val="center"/>
              <w:rPr>
                <w:rFonts w:ascii="新宋体" w:hAnsi="新宋体" w:eastAsia="新宋体" w:cs="宋体"/>
                <w:bCs/>
                <w:color w:val="auto"/>
                <w:sz w:val="21"/>
                <w:szCs w:val="21"/>
              </w:rPr>
            </w:pPr>
            <w:r>
              <w:rPr>
                <w:rFonts w:hint="eastAsia" w:ascii="新宋体" w:hAnsi="新宋体" w:eastAsia="新宋体" w:cs="宋体"/>
                <w:bCs/>
                <w:color w:val="auto"/>
                <w:sz w:val="21"/>
                <w:szCs w:val="21"/>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1</w:t>
            </w:r>
          </w:p>
        </w:tc>
        <w:tc>
          <w:tcPr>
            <w:tcW w:w="1410" w:type="dxa"/>
            <w:vMerge w:val="restart"/>
            <w:vAlign w:val="center"/>
          </w:tcPr>
          <w:p>
            <w:pPr>
              <w:spacing w:line="360" w:lineRule="auto"/>
              <w:jc w:val="center"/>
              <w:rPr>
                <w:rFonts w:ascii="新宋体" w:hAnsi="新宋体" w:eastAsia="新宋体" w:cs="宋体"/>
                <w:bCs/>
                <w:color w:val="auto"/>
                <w:sz w:val="21"/>
                <w:szCs w:val="21"/>
              </w:rPr>
            </w:pPr>
            <w:r>
              <w:rPr>
                <w:rFonts w:hint="eastAsia" w:ascii="新宋体" w:hAnsi="新宋体" w:eastAsia="新宋体" w:cs="宋体"/>
                <w:bCs/>
                <w:color w:val="auto"/>
                <w:sz w:val="21"/>
                <w:szCs w:val="21"/>
              </w:rPr>
              <w:t>内容完整性</w:t>
            </w:r>
          </w:p>
        </w:tc>
        <w:tc>
          <w:tcPr>
            <w:tcW w:w="1265" w:type="dxa"/>
            <w:vMerge w:val="restart"/>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0-0.5</w:t>
            </w:r>
          </w:p>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分</w:t>
            </w: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技术标的主要内容具有完整性，符合招标文件的要求。</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color w:val="auto"/>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color w:val="auto"/>
                <w:sz w:val="21"/>
                <w:szCs w:val="21"/>
              </w:rPr>
            </w:pPr>
          </w:p>
        </w:tc>
        <w:tc>
          <w:tcPr>
            <w:tcW w:w="1265" w:type="dxa"/>
            <w:vMerge w:val="continue"/>
            <w:vAlign w:val="center"/>
          </w:tcPr>
          <w:p>
            <w:pPr>
              <w:jc w:val="center"/>
              <w:rPr>
                <w:rFonts w:ascii="新宋体" w:hAnsi="新宋体" w:eastAsia="新宋体" w:cs="新宋体"/>
                <w:color w:val="auto"/>
                <w:kern w:val="2"/>
                <w:sz w:val="21"/>
                <w:szCs w:val="21"/>
              </w:rPr>
            </w:pP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技术标不符合招标文件要求。</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w:t>
            </w:r>
          </w:p>
        </w:tc>
        <w:tc>
          <w:tcPr>
            <w:tcW w:w="1410" w:type="dxa"/>
            <w:vMerge w:val="restart"/>
            <w:vAlign w:val="center"/>
          </w:tcPr>
          <w:p>
            <w:pPr>
              <w:spacing w:line="360" w:lineRule="auto"/>
              <w:jc w:val="center"/>
              <w:rPr>
                <w:rFonts w:ascii="新宋体" w:hAnsi="新宋体" w:eastAsia="新宋体" w:cs="宋体"/>
                <w:bCs/>
                <w:color w:val="auto"/>
                <w:sz w:val="21"/>
                <w:szCs w:val="21"/>
              </w:rPr>
            </w:pPr>
            <w:r>
              <w:rPr>
                <w:rFonts w:hint="eastAsia" w:ascii="新宋体" w:hAnsi="新宋体" w:eastAsia="新宋体" w:cs="宋体"/>
                <w:bCs/>
                <w:color w:val="auto"/>
                <w:sz w:val="21"/>
                <w:szCs w:val="21"/>
              </w:rPr>
              <w:t>主要施工方案与技术</w:t>
            </w:r>
          </w:p>
          <w:p>
            <w:pPr>
              <w:spacing w:line="360" w:lineRule="auto"/>
              <w:jc w:val="center"/>
              <w:rPr>
                <w:rFonts w:ascii="新宋体" w:hAnsi="新宋体" w:eastAsia="新宋体" w:cs="宋体"/>
                <w:bCs/>
                <w:color w:val="auto"/>
                <w:sz w:val="21"/>
                <w:szCs w:val="21"/>
              </w:rPr>
            </w:pPr>
            <w:r>
              <w:rPr>
                <w:rFonts w:hint="eastAsia" w:ascii="新宋体" w:hAnsi="新宋体" w:eastAsia="新宋体" w:cs="宋体"/>
                <w:bCs/>
                <w:color w:val="auto"/>
                <w:sz w:val="21"/>
                <w:szCs w:val="21"/>
              </w:rPr>
              <w:t>措施</w:t>
            </w:r>
          </w:p>
        </w:tc>
        <w:tc>
          <w:tcPr>
            <w:tcW w:w="1265" w:type="dxa"/>
            <w:vMerge w:val="restart"/>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1-3分</w:t>
            </w: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施工方案（含工程特点、施工重点与难点及绿色施工）总体安排合理，运用先进、合理的施工工艺、施工机械；对施工难点有先进和合理的建议。</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color w:val="auto"/>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color w:val="auto"/>
                <w:sz w:val="21"/>
                <w:szCs w:val="21"/>
              </w:rPr>
            </w:pPr>
          </w:p>
        </w:tc>
        <w:tc>
          <w:tcPr>
            <w:tcW w:w="1265" w:type="dxa"/>
            <w:vMerge w:val="continue"/>
            <w:vAlign w:val="center"/>
          </w:tcPr>
          <w:p>
            <w:pPr>
              <w:jc w:val="center"/>
              <w:rPr>
                <w:rFonts w:ascii="新宋体" w:hAnsi="新宋体" w:eastAsia="新宋体" w:cs="新宋体"/>
                <w:color w:val="auto"/>
                <w:kern w:val="2"/>
                <w:sz w:val="21"/>
                <w:szCs w:val="21"/>
              </w:rPr>
            </w:pP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施工方案（含工程特点、施工重点与难点及绿色施工）总体安排合理，施工工艺、施工机械合理、可行；对施工难点有合理的建议。</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3</w:t>
            </w:r>
          </w:p>
        </w:tc>
        <w:tc>
          <w:tcPr>
            <w:tcW w:w="1410" w:type="dxa"/>
            <w:vMerge w:val="restart"/>
            <w:vAlign w:val="center"/>
          </w:tcPr>
          <w:p>
            <w:pPr>
              <w:spacing w:line="360" w:lineRule="auto"/>
              <w:jc w:val="center"/>
              <w:rPr>
                <w:rFonts w:ascii="新宋体" w:hAnsi="新宋体" w:eastAsia="新宋体" w:cs="宋体"/>
                <w:bCs/>
                <w:color w:val="auto"/>
                <w:sz w:val="21"/>
                <w:szCs w:val="21"/>
              </w:rPr>
            </w:pPr>
            <w:r>
              <w:rPr>
                <w:rFonts w:hint="eastAsia" w:ascii="新宋体" w:hAnsi="新宋体" w:eastAsia="新宋体" w:cs="宋体"/>
                <w:bCs/>
                <w:color w:val="auto"/>
                <w:sz w:val="21"/>
                <w:szCs w:val="21"/>
              </w:rPr>
              <w:t>质量管理体系与措施</w:t>
            </w:r>
          </w:p>
        </w:tc>
        <w:tc>
          <w:tcPr>
            <w:tcW w:w="1265" w:type="dxa"/>
            <w:vMerge w:val="restart"/>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1-2分</w:t>
            </w: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color w:val="auto"/>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color w:val="auto"/>
                <w:sz w:val="21"/>
                <w:szCs w:val="21"/>
              </w:rPr>
            </w:pPr>
          </w:p>
        </w:tc>
        <w:tc>
          <w:tcPr>
            <w:tcW w:w="1265" w:type="dxa"/>
            <w:vMerge w:val="continue"/>
            <w:vAlign w:val="center"/>
          </w:tcPr>
          <w:p>
            <w:pPr>
              <w:jc w:val="center"/>
              <w:rPr>
                <w:rFonts w:ascii="新宋体" w:hAnsi="新宋体" w:eastAsia="新宋体" w:cs="新宋体"/>
                <w:color w:val="auto"/>
                <w:kern w:val="2"/>
                <w:sz w:val="21"/>
                <w:szCs w:val="21"/>
              </w:rPr>
            </w:pP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4</w:t>
            </w:r>
          </w:p>
        </w:tc>
        <w:tc>
          <w:tcPr>
            <w:tcW w:w="1410" w:type="dxa"/>
            <w:vMerge w:val="restart"/>
            <w:vAlign w:val="center"/>
          </w:tcPr>
          <w:p>
            <w:pPr>
              <w:spacing w:line="360" w:lineRule="auto"/>
              <w:jc w:val="center"/>
              <w:rPr>
                <w:rFonts w:ascii="新宋体" w:hAnsi="新宋体" w:eastAsia="新宋体" w:cs="宋体"/>
                <w:bCs/>
                <w:color w:val="auto"/>
                <w:sz w:val="21"/>
                <w:szCs w:val="21"/>
              </w:rPr>
            </w:pPr>
            <w:r>
              <w:rPr>
                <w:rFonts w:hint="eastAsia" w:ascii="新宋体" w:hAnsi="新宋体" w:eastAsia="新宋体" w:cs="宋体"/>
                <w:bCs/>
                <w:color w:val="auto"/>
                <w:sz w:val="21"/>
                <w:szCs w:val="21"/>
              </w:rPr>
              <w:t>安全管理体系与措施</w:t>
            </w:r>
          </w:p>
        </w:tc>
        <w:tc>
          <w:tcPr>
            <w:tcW w:w="1265" w:type="dxa"/>
            <w:vMerge w:val="restart"/>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1-2分</w:t>
            </w: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color w:val="auto"/>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color w:val="auto"/>
                <w:sz w:val="21"/>
                <w:szCs w:val="21"/>
              </w:rPr>
            </w:pPr>
          </w:p>
        </w:tc>
        <w:tc>
          <w:tcPr>
            <w:tcW w:w="1265" w:type="dxa"/>
            <w:vMerge w:val="continue"/>
            <w:vAlign w:val="center"/>
          </w:tcPr>
          <w:p>
            <w:pPr>
              <w:jc w:val="center"/>
              <w:rPr>
                <w:rFonts w:ascii="新宋体" w:hAnsi="新宋体" w:eastAsia="新宋体" w:cs="新宋体"/>
                <w:color w:val="auto"/>
                <w:kern w:val="2"/>
                <w:sz w:val="21"/>
                <w:szCs w:val="21"/>
              </w:rPr>
            </w:pP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5</w:t>
            </w:r>
          </w:p>
        </w:tc>
        <w:tc>
          <w:tcPr>
            <w:tcW w:w="1410" w:type="dxa"/>
            <w:vMerge w:val="restart"/>
            <w:vAlign w:val="center"/>
          </w:tcPr>
          <w:p>
            <w:pPr>
              <w:spacing w:line="360" w:lineRule="auto"/>
              <w:jc w:val="center"/>
              <w:rPr>
                <w:rFonts w:ascii="新宋体" w:hAnsi="新宋体" w:eastAsia="新宋体" w:cs="宋体"/>
                <w:bCs/>
                <w:color w:val="auto"/>
                <w:sz w:val="21"/>
                <w:szCs w:val="21"/>
              </w:rPr>
            </w:pPr>
            <w:r>
              <w:rPr>
                <w:rFonts w:hint="eastAsia" w:ascii="新宋体" w:hAnsi="新宋体" w:eastAsia="新宋体" w:cs="宋体"/>
                <w:bCs/>
                <w:color w:val="auto"/>
                <w:sz w:val="21"/>
                <w:szCs w:val="21"/>
              </w:rPr>
              <w:t>文明施工、环境保护管理体系及施工现场扬尘治理措施</w:t>
            </w:r>
          </w:p>
        </w:tc>
        <w:tc>
          <w:tcPr>
            <w:tcW w:w="1265" w:type="dxa"/>
            <w:vMerge w:val="restart"/>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1-3分</w:t>
            </w: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标准》（DBJ41/174）的规定，防治方案科学、先进。</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color w:val="auto"/>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color w:val="auto"/>
                <w:sz w:val="21"/>
                <w:szCs w:val="21"/>
              </w:rPr>
            </w:pPr>
          </w:p>
        </w:tc>
        <w:tc>
          <w:tcPr>
            <w:tcW w:w="1265" w:type="dxa"/>
            <w:vMerge w:val="continue"/>
            <w:vAlign w:val="center"/>
          </w:tcPr>
          <w:p>
            <w:pPr>
              <w:jc w:val="center"/>
              <w:rPr>
                <w:rFonts w:ascii="新宋体" w:hAnsi="新宋体" w:eastAsia="新宋体" w:cs="新宋体"/>
                <w:color w:val="auto"/>
                <w:kern w:val="2"/>
                <w:sz w:val="21"/>
                <w:szCs w:val="21"/>
              </w:rPr>
            </w:pP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标准》（DBJ41/174）的规定，有防治方案。</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6</w:t>
            </w:r>
          </w:p>
        </w:tc>
        <w:tc>
          <w:tcPr>
            <w:tcW w:w="1410" w:type="dxa"/>
            <w:vMerge w:val="restart"/>
            <w:vAlign w:val="center"/>
          </w:tcPr>
          <w:p>
            <w:pPr>
              <w:spacing w:line="360" w:lineRule="auto"/>
              <w:jc w:val="center"/>
              <w:rPr>
                <w:rFonts w:ascii="新宋体" w:hAnsi="新宋体" w:eastAsia="新宋体" w:cs="宋体"/>
                <w:bCs/>
                <w:color w:val="auto"/>
                <w:sz w:val="21"/>
                <w:szCs w:val="21"/>
              </w:rPr>
            </w:pPr>
            <w:r>
              <w:rPr>
                <w:rFonts w:hint="eastAsia" w:ascii="新宋体" w:hAnsi="新宋体" w:eastAsia="新宋体" w:cs="宋体"/>
                <w:bCs/>
                <w:color w:val="auto"/>
                <w:sz w:val="21"/>
                <w:szCs w:val="21"/>
              </w:rPr>
              <w:t>工期保证</w:t>
            </w:r>
          </w:p>
          <w:p>
            <w:pPr>
              <w:spacing w:line="360" w:lineRule="auto"/>
              <w:jc w:val="center"/>
              <w:rPr>
                <w:rFonts w:ascii="新宋体" w:hAnsi="新宋体" w:eastAsia="新宋体" w:cs="宋体"/>
                <w:bCs/>
                <w:color w:val="auto"/>
                <w:sz w:val="21"/>
                <w:szCs w:val="21"/>
              </w:rPr>
            </w:pPr>
            <w:r>
              <w:rPr>
                <w:rFonts w:hint="eastAsia" w:ascii="新宋体" w:hAnsi="新宋体" w:eastAsia="新宋体" w:cs="宋体"/>
                <w:bCs/>
                <w:color w:val="auto"/>
                <w:sz w:val="21"/>
                <w:szCs w:val="21"/>
              </w:rPr>
              <w:t>措施</w:t>
            </w:r>
          </w:p>
        </w:tc>
        <w:tc>
          <w:tcPr>
            <w:tcW w:w="1265" w:type="dxa"/>
            <w:vMerge w:val="restart"/>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1-2分</w:t>
            </w: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工期承诺满足招标文件要求，工期保证措施合理且有针对性，有具体的违约责任承诺。</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color w:val="auto"/>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color w:val="auto"/>
                <w:sz w:val="21"/>
                <w:szCs w:val="21"/>
              </w:rPr>
            </w:pPr>
          </w:p>
        </w:tc>
        <w:tc>
          <w:tcPr>
            <w:tcW w:w="1265" w:type="dxa"/>
            <w:vMerge w:val="continue"/>
            <w:vAlign w:val="center"/>
          </w:tcPr>
          <w:p>
            <w:pPr>
              <w:jc w:val="center"/>
              <w:rPr>
                <w:rFonts w:ascii="新宋体" w:hAnsi="新宋体" w:eastAsia="新宋体" w:cs="新宋体"/>
                <w:color w:val="auto"/>
                <w:kern w:val="2"/>
                <w:sz w:val="21"/>
                <w:szCs w:val="21"/>
              </w:rPr>
            </w:pP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工期承诺满足招标文件要求，工期保证措施基本合理，有具体的违约责任承诺。</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70" w:type="dxa"/>
            <w:vMerge w:val="restart"/>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7</w:t>
            </w:r>
          </w:p>
        </w:tc>
        <w:tc>
          <w:tcPr>
            <w:tcW w:w="1410" w:type="dxa"/>
            <w:vMerge w:val="restart"/>
            <w:vAlign w:val="center"/>
          </w:tcPr>
          <w:p>
            <w:pPr>
              <w:spacing w:line="360" w:lineRule="auto"/>
              <w:jc w:val="center"/>
              <w:rPr>
                <w:rFonts w:ascii="新宋体" w:hAnsi="新宋体" w:eastAsia="新宋体" w:cs="宋体"/>
                <w:bCs/>
                <w:color w:val="auto"/>
                <w:sz w:val="21"/>
                <w:szCs w:val="21"/>
              </w:rPr>
            </w:pPr>
            <w:r>
              <w:rPr>
                <w:rFonts w:hint="eastAsia" w:ascii="新宋体" w:hAnsi="新宋体" w:eastAsia="新宋体" w:cs="宋体"/>
                <w:bCs/>
                <w:color w:val="auto"/>
                <w:sz w:val="21"/>
                <w:szCs w:val="21"/>
              </w:rPr>
              <w:t>拟投入资源配备计划</w:t>
            </w:r>
          </w:p>
        </w:tc>
        <w:tc>
          <w:tcPr>
            <w:tcW w:w="1265" w:type="dxa"/>
            <w:vMerge w:val="restart"/>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0.5-2分</w:t>
            </w: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机械：投入计划与进度计划呼应，采用先进机械设备且配置合理、先进，满足安全技术规范和施工进度需要；PC构件运输、安装设备满足施工要求；</w:t>
            </w:r>
          </w:p>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劳动力：投入计划与进度计划呼应，较好满足施工需要，调配投入计划合理、准确；</w:t>
            </w:r>
          </w:p>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3、主要物资计划：主要物资（含PC构件的供应需求）投入计划与进度计划呼应，较好满足施工需要，调配投入计划合理、准确。</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70" w:type="dxa"/>
            <w:vMerge w:val="continue"/>
            <w:vAlign w:val="center"/>
          </w:tcPr>
          <w:p>
            <w:pPr>
              <w:jc w:val="center"/>
              <w:rPr>
                <w:rFonts w:ascii="新宋体" w:hAnsi="新宋体" w:eastAsia="新宋体" w:cs="新宋体"/>
                <w:b/>
                <w:color w:val="auto"/>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color w:val="auto"/>
                <w:sz w:val="21"/>
                <w:szCs w:val="21"/>
              </w:rPr>
            </w:pPr>
          </w:p>
        </w:tc>
        <w:tc>
          <w:tcPr>
            <w:tcW w:w="1265" w:type="dxa"/>
            <w:vMerge w:val="continue"/>
            <w:vAlign w:val="center"/>
          </w:tcPr>
          <w:p>
            <w:pPr>
              <w:jc w:val="center"/>
              <w:rPr>
                <w:rFonts w:ascii="新宋体" w:hAnsi="新宋体" w:eastAsia="新宋体" w:cs="新宋体"/>
                <w:color w:val="auto"/>
                <w:kern w:val="2"/>
                <w:sz w:val="21"/>
                <w:szCs w:val="21"/>
              </w:rPr>
            </w:pP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机械：投入计划与进度计划呼应，机械设备配置基本合理，满足安全技术规范和施工进度需要；</w:t>
            </w:r>
          </w:p>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劳动力：投入计划与进度计划呼应，基本满足施工需要，调配投入计划基本合理；</w:t>
            </w:r>
          </w:p>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3、主要物资计划：主要物资（含PC构件的供应需求）投入计划与进度计划呼应，基本满足施工需要，调配投入计划基本合理。</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8</w:t>
            </w:r>
          </w:p>
        </w:tc>
        <w:tc>
          <w:tcPr>
            <w:tcW w:w="1410" w:type="dxa"/>
            <w:vMerge w:val="restart"/>
            <w:vAlign w:val="center"/>
          </w:tcPr>
          <w:p>
            <w:pPr>
              <w:spacing w:line="360" w:lineRule="auto"/>
              <w:jc w:val="center"/>
              <w:rPr>
                <w:rFonts w:ascii="新宋体" w:hAnsi="新宋体" w:eastAsia="新宋体" w:cs="宋体"/>
                <w:bCs/>
                <w:color w:val="auto"/>
                <w:sz w:val="21"/>
                <w:szCs w:val="21"/>
              </w:rPr>
            </w:pPr>
            <w:r>
              <w:rPr>
                <w:rFonts w:hint="eastAsia" w:ascii="新宋体" w:hAnsi="新宋体" w:eastAsia="新宋体" w:cs="宋体"/>
                <w:bCs/>
                <w:color w:val="auto"/>
                <w:sz w:val="21"/>
                <w:szCs w:val="21"/>
              </w:rPr>
              <w:t>施工进度表与网络计划图</w:t>
            </w:r>
          </w:p>
        </w:tc>
        <w:tc>
          <w:tcPr>
            <w:tcW w:w="1265" w:type="dxa"/>
            <w:vMerge w:val="restart"/>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0.5-2分</w:t>
            </w: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关键线路清晰、准确、完整、计划编制合理、可行、满足招标文件对工期的要求。</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color w:val="auto"/>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color w:val="auto"/>
                <w:sz w:val="21"/>
                <w:szCs w:val="21"/>
              </w:rPr>
            </w:pPr>
          </w:p>
        </w:tc>
        <w:tc>
          <w:tcPr>
            <w:tcW w:w="1265" w:type="dxa"/>
            <w:vMerge w:val="continue"/>
            <w:vAlign w:val="center"/>
          </w:tcPr>
          <w:p>
            <w:pPr>
              <w:jc w:val="center"/>
              <w:rPr>
                <w:rFonts w:ascii="新宋体" w:hAnsi="新宋体" w:eastAsia="新宋体" w:cs="新宋体"/>
                <w:color w:val="auto"/>
                <w:kern w:val="2"/>
                <w:sz w:val="21"/>
                <w:szCs w:val="21"/>
              </w:rPr>
            </w:pP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关键线路基本准确，计划编制基本可行。</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70" w:type="dxa"/>
            <w:vMerge w:val="restart"/>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9</w:t>
            </w:r>
          </w:p>
        </w:tc>
        <w:tc>
          <w:tcPr>
            <w:tcW w:w="1410" w:type="dxa"/>
            <w:vMerge w:val="restart"/>
            <w:vAlign w:val="center"/>
          </w:tcPr>
          <w:p>
            <w:pPr>
              <w:spacing w:line="360" w:lineRule="auto"/>
              <w:jc w:val="center"/>
              <w:rPr>
                <w:rFonts w:ascii="新宋体" w:hAnsi="新宋体" w:eastAsia="新宋体" w:cs="宋体"/>
                <w:bCs/>
                <w:color w:val="auto"/>
                <w:sz w:val="21"/>
                <w:szCs w:val="21"/>
              </w:rPr>
            </w:pPr>
            <w:r>
              <w:rPr>
                <w:rFonts w:hint="eastAsia" w:ascii="新宋体" w:hAnsi="新宋体" w:eastAsia="新宋体" w:cs="宋体"/>
                <w:bCs/>
                <w:color w:val="auto"/>
                <w:sz w:val="21"/>
                <w:szCs w:val="21"/>
              </w:rPr>
              <w:t>施工总平面图布置</w:t>
            </w:r>
          </w:p>
        </w:tc>
        <w:tc>
          <w:tcPr>
            <w:tcW w:w="1265" w:type="dxa"/>
            <w:vMerge w:val="restart"/>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0.5-1分</w:t>
            </w: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总体布置有针对性、合理、能较好满足施工需要，符合安全、文明施工要求；材料堆放有序。</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70" w:type="dxa"/>
            <w:vMerge w:val="continue"/>
            <w:vAlign w:val="center"/>
          </w:tcPr>
          <w:p>
            <w:pPr>
              <w:jc w:val="center"/>
              <w:rPr>
                <w:rFonts w:ascii="新宋体" w:hAnsi="新宋体" w:eastAsia="新宋体" w:cs="新宋体"/>
                <w:b/>
                <w:color w:val="auto"/>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color w:val="auto"/>
                <w:sz w:val="21"/>
                <w:szCs w:val="21"/>
              </w:rPr>
            </w:pPr>
          </w:p>
        </w:tc>
        <w:tc>
          <w:tcPr>
            <w:tcW w:w="1265" w:type="dxa"/>
            <w:vMerge w:val="continue"/>
            <w:vAlign w:val="center"/>
          </w:tcPr>
          <w:p>
            <w:pPr>
              <w:jc w:val="center"/>
              <w:rPr>
                <w:rFonts w:ascii="新宋体" w:hAnsi="新宋体" w:eastAsia="新宋体" w:cs="新宋体"/>
                <w:color w:val="auto"/>
                <w:kern w:val="2"/>
                <w:sz w:val="21"/>
                <w:szCs w:val="21"/>
              </w:rPr>
            </w:pP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总体布置基本合理、基本满足施工需要。</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70" w:type="dxa"/>
            <w:vMerge w:val="restart"/>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10</w:t>
            </w:r>
          </w:p>
        </w:tc>
        <w:tc>
          <w:tcPr>
            <w:tcW w:w="1410" w:type="dxa"/>
            <w:vMerge w:val="restart"/>
            <w:vAlign w:val="center"/>
          </w:tcPr>
          <w:p>
            <w:pPr>
              <w:spacing w:line="360" w:lineRule="auto"/>
              <w:jc w:val="center"/>
              <w:rPr>
                <w:rFonts w:ascii="新宋体" w:hAnsi="新宋体" w:eastAsia="新宋体" w:cs="宋体"/>
                <w:bCs/>
                <w:color w:val="auto"/>
                <w:sz w:val="21"/>
                <w:szCs w:val="21"/>
              </w:rPr>
            </w:pPr>
            <w:r>
              <w:rPr>
                <w:rFonts w:hint="eastAsia" w:ascii="新宋体" w:hAnsi="新宋体" w:eastAsia="新宋体" w:cs="宋体"/>
                <w:bCs/>
                <w:color w:val="auto"/>
                <w:sz w:val="21"/>
                <w:szCs w:val="21"/>
              </w:rPr>
              <w:t>技术创新的应用实施</w:t>
            </w:r>
          </w:p>
          <w:p>
            <w:pPr>
              <w:spacing w:line="360" w:lineRule="auto"/>
              <w:jc w:val="center"/>
              <w:rPr>
                <w:rFonts w:ascii="新宋体" w:hAnsi="新宋体" w:eastAsia="新宋体" w:cs="宋体"/>
                <w:bCs/>
                <w:color w:val="auto"/>
                <w:sz w:val="21"/>
                <w:szCs w:val="21"/>
              </w:rPr>
            </w:pPr>
            <w:r>
              <w:rPr>
                <w:rFonts w:hint="eastAsia" w:ascii="新宋体" w:hAnsi="新宋体" w:eastAsia="新宋体" w:cs="宋体"/>
                <w:bCs/>
                <w:color w:val="auto"/>
                <w:sz w:val="21"/>
                <w:szCs w:val="21"/>
              </w:rPr>
              <w:t>措施</w:t>
            </w:r>
          </w:p>
        </w:tc>
        <w:tc>
          <w:tcPr>
            <w:tcW w:w="1265" w:type="dxa"/>
            <w:vMerge w:val="restart"/>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1-2分</w:t>
            </w: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节能减排、绿色施工、工艺创新、装配式建筑等技术创新的应用实施措施符合工程情况，具有针对性、可行性、经济适用性。</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70" w:type="dxa"/>
            <w:vMerge w:val="continue"/>
            <w:vAlign w:val="center"/>
          </w:tcPr>
          <w:p>
            <w:pPr>
              <w:jc w:val="center"/>
              <w:rPr>
                <w:rFonts w:ascii="新宋体" w:hAnsi="新宋体" w:eastAsia="新宋体" w:cs="新宋体"/>
                <w:b/>
                <w:color w:val="auto"/>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color w:val="auto"/>
                <w:sz w:val="21"/>
                <w:szCs w:val="21"/>
              </w:rPr>
            </w:pPr>
          </w:p>
        </w:tc>
        <w:tc>
          <w:tcPr>
            <w:tcW w:w="1265" w:type="dxa"/>
            <w:vMerge w:val="continue"/>
            <w:vAlign w:val="center"/>
          </w:tcPr>
          <w:p>
            <w:pPr>
              <w:jc w:val="center"/>
              <w:rPr>
                <w:rFonts w:ascii="新宋体" w:hAnsi="新宋体" w:eastAsia="新宋体" w:cs="新宋体"/>
                <w:color w:val="auto"/>
                <w:kern w:val="2"/>
                <w:sz w:val="21"/>
                <w:szCs w:val="21"/>
              </w:rPr>
            </w:pP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节能减排、绿色施工、工艺创新、装配式建筑等技术创新的应用实施措施基本符合工程情况，具有针对性。</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restart"/>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11</w:t>
            </w:r>
          </w:p>
        </w:tc>
        <w:tc>
          <w:tcPr>
            <w:tcW w:w="1410" w:type="dxa"/>
            <w:vMerge w:val="restart"/>
            <w:vAlign w:val="center"/>
          </w:tcPr>
          <w:p>
            <w:pPr>
              <w:spacing w:line="360" w:lineRule="auto"/>
              <w:jc w:val="center"/>
              <w:rPr>
                <w:rFonts w:ascii="新宋体" w:hAnsi="新宋体" w:eastAsia="新宋体" w:cs="宋体"/>
                <w:bCs/>
                <w:color w:val="auto"/>
                <w:sz w:val="21"/>
                <w:szCs w:val="21"/>
              </w:rPr>
            </w:pPr>
            <w:r>
              <w:rPr>
                <w:rFonts w:hint="eastAsia" w:ascii="新宋体" w:hAnsi="新宋体" w:eastAsia="新宋体" w:cs="宋体"/>
                <w:bCs/>
                <w:color w:val="auto"/>
                <w:sz w:val="21"/>
                <w:szCs w:val="21"/>
              </w:rPr>
              <w:t>采用新工艺、新技术、新设备、新材料、BIM等的程度</w:t>
            </w:r>
          </w:p>
        </w:tc>
        <w:tc>
          <w:tcPr>
            <w:tcW w:w="1265" w:type="dxa"/>
            <w:vMerge w:val="restart"/>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1-2分</w:t>
            </w: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采用新工艺、新技术、新设备、新材料、BIM等的程度满足设计要求，符合施工需要和相应技术标准等规定，经济适用。</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continue"/>
            <w:vAlign w:val="center"/>
          </w:tcPr>
          <w:p>
            <w:pPr>
              <w:jc w:val="center"/>
              <w:rPr>
                <w:rFonts w:ascii="新宋体" w:hAnsi="新宋体" w:eastAsia="新宋体" w:cs="新宋体"/>
                <w:b/>
                <w:color w:val="auto"/>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color w:val="auto"/>
                <w:sz w:val="21"/>
                <w:szCs w:val="21"/>
              </w:rPr>
            </w:pPr>
          </w:p>
        </w:tc>
        <w:tc>
          <w:tcPr>
            <w:tcW w:w="1265" w:type="dxa"/>
            <w:vMerge w:val="continue"/>
            <w:vAlign w:val="center"/>
          </w:tcPr>
          <w:p>
            <w:pPr>
              <w:jc w:val="center"/>
              <w:rPr>
                <w:rFonts w:ascii="新宋体" w:hAnsi="新宋体" w:eastAsia="新宋体" w:cs="新宋体"/>
                <w:color w:val="auto"/>
                <w:kern w:val="2"/>
                <w:sz w:val="21"/>
                <w:szCs w:val="21"/>
              </w:rPr>
            </w:pP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采用新工艺、新技术、新设备、新材料、BIM等的程度满足设计要求，基本符合施工要求和相应技术标准等规定。</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restart"/>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12</w:t>
            </w:r>
          </w:p>
        </w:tc>
        <w:tc>
          <w:tcPr>
            <w:tcW w:w="1410" w:type="dxa"/>
            <w:vMerge w:val="restart"/>
            <w:vAlign w:val="center"/>
          </w:tcPr>
          <w:p>
            <w:pPr>
              <w:spacing w:line="360" w:lineRule="auto"/>
              <w:jc w:val="center"/>
              <w:rPr>
                <w:rFonts w:ascii="新宋体" w:hAnsi="新宋体" w:eastAsia="新宋体" w:cs="宋体"/>
                <w:bCs/>
                <w:color w:val="auto"/>
                <w:sz w:val="21"/>
                <w:szCs w:val="21"/>
              </w:rPr>
            </w:pPr>
            <w:r>
              <w:rPr>
                <w:rFonts w:hint="eastAsia" w:ascii="新宋体" w:hAnsi="新宋体" w:eastAsia="新宋体" w:cs="宋体"/>
                <w:bCs/>
                <w:color w:val="auto"/>
                <w:sz w:val="21"/>
                <w:szCs w:val="21"/>
              </w:rPr>
              <w:t>施工现场实施信息化监控和数据</w:t>
            </w:r>
          </w:p>
          <w:p>
            <w:pPr>
              <w:spacing w:line="360" w:lineRule="auto"/>
              <w:jc w:val="center"/>
              <w:rPr>
                <w:rFonts w:ascii="新宋体" w:hAnsi="新宋体" w:eastAsia="新宋体" w:cs="宋体"/>
                <w:bCs/>
                <w:color w:val="auto"/>
                <w:sz w:val="21"/>
                <w:szCs w:val="21"/>
              </w:rPr>
            </w:pPr>
            <w:r>
              <w:rPr>
                <w:rFonts w:hint="eastAsia" w:ascii="新宋体" w:hAnsi="新宋体" w:eastAsia="新宋体" w:cs="宋体"/>
                <w:bCs/>
                <w:color w:val="auto"/>
                <w:sz w:val="21"/>
                <w:szCs w:val="21"/>
              </w:rPr>
              <w:t>处理</w:t>
            </w:r>
          </w:p>
        </w:tc>
        <w:tc>
          <w:tcPr>
            <w:tcW w:w="1265" w:type="dxa"/>
            <w:vMerge w:val="restart"/>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0.5-1.5分</w:t>
            </w: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施工现场实施信息化监控数据处理系统布置合理，满足需要。</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continue"/>
            <w:vAlign w:val="center"/>
          </w:tcPr>
          <w:p>
            <w:pPr>
              <w:jc w:val="center"/>
              <w:rPr>
                <w:rFonts w:ascii="新宋体" w:hAnsi="新宋体" w:eastAsia="新宋体" w:cs="新宋体"/>
                <w:b/>
                <w:color w:val="auto"/>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color w:val="auto"/>
                <w:sz w:val="21"/>
                <w:szCs w:val="21"/>
              </w:rPr>
            </w:pPr>
          </w:p>
        </w:tc>
        <w:tc>
          <w:tcPr>
            <w:tcW w:w="1265" w:type="dxa"/>
            <w:vMerge w:val="continue"/>
            <w:vAlign w:val="center"/>
          </w:tcPr>
          <w:p>
            <w:pPr>
              <w:jc w:val="center"/>
              <w:rPr>
                <w:rFonts w:ascii="新宋体" w:hAnsi="新宋体" w:eastAsia="新宋体" w:cs="新宋体"/>
                <w:color w:val="auto"/>
                <w:kern w:val="2"/>
                <w:sz w:val="21"/>
                <w:szCs w:val="21"/>
              </w:rPr>
            </w:pP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施工现场实施信息化监控数据处理系统布置基本符合需要。</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restart"/>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13</w:t>
            </w:r>
          </w:p>
        </w:tc>
        <w:tc>
          <w:tcPr>
            <w:tcW w:w="1410" w:type="dxa"/>
            <w:vMerge w:val="restart"/>
            <w:vAlign w:val="center"/>
          </w:tcPr>
          <w:p>
            <w:pPr>
              <w:spacing w:line="360" w:lineRule="auto"/>
              <w:jc w:val="center"/>
              <w:rPr>
                <w:rFonts w:ascii="新宋体" w:hAnsi="新宋体" w:eastAsia="新宋体" w:cs="宋体"/>
                <w:bCs/>
                <w:color w:val="auto"/>
                <w:sz w:val="21"/>
                <w:szCs w:val="21"/>
              </w:rPr>
            </w:pPr>
            <w:r>
              <w:rPr>
                <w:rFonts w:hint="eastAsia" w:ascii="新宋体" w:hAnsi="新宋体" w:eastAsia="新宋体" w:cs="宋体"/>
                <w:bCs/>
                <w:color w:val="auto"/>
                <w:sz w:val="21"/>
                <w:szCs w:val="21"/>
              </w:rPr>
              <w:t>风险管理</w:t>
            </w:r>
          </w:p>
          <w:p>
            <w:pPr>
              <w:spacing w:line="360" w:lineRule="auto"/>
              <w:jc w:val="center"/>
              <w:rPr>
                <w:rFonts w:ascii="新宋体" w:hAnsi="新宋体" w:eastAsia="新宋体" w:cs="宋体"/>
                <w:bCs/>
                <w:color w:val="auto"/>
                <w:sz w:val="21"/>
                <w:szCs w:val="21"/>
              </w:rPr>
            </w:pPr>
            <w:r>
              <w:rPr>
                <w:rFonts w:hint="eastAsia" w:ascii="新宋体" w:hAnsi="新宋体" w:eastAsia="新宋体" w:cs="宋体"/>
                <w:bCs/>
                <w:color w:val="auto"/>
                <w:sz w:val="21"/>
                <w:szCs w:val="21"/>
              </w:rPr>
              <w:t>措施</w:t>
            </w:r>
          </w:p>
        </w:tc>
        <w:tc>
          <w:tcPr>
            <w:tcW w:w="1265" w:type="dxa"/>
            <w:vMerge w:val="restart"/>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1-2分</w:t>
            </w: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风险防控管理措施齐全，风险预控符合规范要求，风险控制要点定位准确 ，各阶段风险控制及应急措施得力。</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continue"/>
            <w:vAlign w:val="center"/>
          </w:tcPr>
          <w:p>
            <w:pPr>
              <w:spacing w:line="360" w:lineRule="auto"/>
              <w:ind w:firstLine="420" w:firstLineChars="200"/>
              <w:rPr>
                <w:rFonts w:ascii="新宋体" w:hAnsi="新宋体" w:eastAsia="新宋体" w:cs="宋体"/>
                <w:bCs/>
                <w:color w:val="auto"/>
                <w:sz w:val="21"/>
                <w:szCs w:val="21"/>
              </w:rPr>
            </w:pPr>
          </w:p>
        </w:tc>
        <w:tc>
          <w:tcPr>
            <w:tcW w:w="1410" w:type="dxa"/>
            <w:vMerge w:val="continue"/>
            <w:vAlign w:val="center"/>
          </w:tcPr>
          <w:p>
            <w:pPr>
              <w:spacing w:line="360" w:lineRule="auto"/>
              <w:ind w:firstLine="420" w:firstLineChars="200"/>
              <w:rPr>
                <w:rFonts w:ascii="新宋体" w:hAnsi="新宋体" w:eastAsia="新宋体" w:cs="宋体"/>
                <w:bCs/>
                <w:color w:val="auto"/>
                <w:sz w:val="21"/>
                <w:szCs w:val="21"/>
              </w:rPr>
            </w:pPr>
          </w:p>
        </w:tc>
        <w:tc>
          <w:tcPr>
            <w:tcW w:w="1265" w:type="dxa"/>
            <w:vMerge w:val="continue"/>
            <w:vAlign w:val="center"/>
          </w:tcPr>
          <w:p>
            <w:pPr>
              <w:jc w:val="center"/>
              <w:rPr>
                <w:rFonts w:ascii="新宋体" w:hAnsi="新宋体" w:eastAsia="新宋体" w:cs="新宋体"/>
                <w:color w:val="auto"/>
                <w:kern w:val="2"/>
                <w:sz w:val="21"/>
                <w:szCs w:val="21"/>
              </w:rPr>
            </w:pP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风险防控管理措施基本齐全，风险预控符合规范要求，风险控制要点定位基本准确 ，有各阶段风险控制及应急措施。</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280" w:type="dxa"/>
            <w:gridSpan w:val="2"/>
            <w:vAlign w:val="center"/>
          </w:tcPr>
          <w:p>
            <w:pPr>
              <w:spacing w:line="360" w:lineRule="auto"/>
              <w:ind w:firstLine="420" w:firstLineChars="200"/>
              <w:rPr>
                <w:rFonts w:ascii="新宋体" w:hAnsi="新宋体" w:eastAsia="新宋体" w:cs="宋体"/>
                <w:bCs/>
                <w:color w:val="auto"/>
                <w:sz w:val="21"/>
                <w:szCs w:val="21"/>
              </w:rPr>
            </w:pPr>
            <w:r>
              <w:rPr>
                <w:rFonts w:hint="eastAsia" w:ascii="新宋体" w:hAnsi="新宋体" w:eastAsia="新宋体" w:cs="宋体"/>
                <w:bCs/>
                <w:color w:val="auto"/>
                <w:sz w:val="21"/>
                <w:szCs w:val="21"/>
              </w:rPr>
              <w:t>合计</w:t>
            </w:r>
          </w:p>
        </w:tc>
        <w:tc>
          <w:tcPr>
            <w:tcW w:w="1265"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10-25分</w:t>
            </w:r>
          </w:p>
        </w:tc>
        <w:tc>
          <w:tcPr>
            <w:tcW w:w="5103" w:type="dxa"/>
            <w:vAlign w:val="center"/>
          </w:tcPr>
          <w:p>
            <w:pPr>
              <w:jc w:val="center"/>
              <w:rPr>
                <w:rFonts w:ascii="新宋体" w:hAnsi="新宋体" w:eastAsia="新宋体" w:cs="新宋体"/>
                <w:b/>
                <w:color w:val="auto"/>
                <w:kern w:val="2"/>
                <w:sz w:val="21"/>
                <w:szCs w:val="21"/>
              </w:rPr>
            </w:pP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10≤得分≤25</w:t>
            </w:r>
          </w:p>
        </w:tc>
      </w:tr>
    </w:tbl>
    <w:p>
      <w:pPr>
        <w:snapToGrid w:val="0"/>
        <w:spacing w:line="360" w:lineRule="auto"/>
        <w:ind w:firstLine="481"/>
        <w:rPr>
          <w:rFonts w:hAnsi="宋体" w:cs="宋体"/>
          <w:color w:val="auto"/>
          <w:sz w:val="24"/>
          <w:szCs w:val="24"/>
        </w:rPr>
      </w:pPr>
      <w:r>
        <w:rPr>
          <w:rFonts w:hint="eastAsia" w:hAnsi="宋体" w:cs="宋体"/>
          <w:color w:val="auto"/>
          <w:sz w:val="24"/>
          <w:szCs w:val="24"/>
        </w:rPr>
        <w:t>以上项目若有缺项，该项为0分。</w:t>
      </w:r>
    </w:p>
    <w:p>
      <w:pPr>
        <w:snapToGrid w:val="0"/>
        <w:spacing w:line="360" w:lineRule="auto"/>
        <w:jc w:val="left"/>
        <w:rPr>
          <w:rFonts w:hAnsi="宋体" w:cs="宋体"/>
          <w:b/>
          <w:bCs/>
          <w:color w:val="auto"/>
          <w:sz w:val="24"/>
          <w:szCs w:val="24"/>
        </w:rPr>
      </w:pPr>
      <w:r>
        <w:rPr>
          <w:rFonts w:hint="eastAsia" w:hAnsi="宋体" w:cs="宋体"/>
          <w:b/>
          <w:bCs/>
          <w:color w:val="auto"/>
          <w:sz w:val="24"/>
          <w:szCs w:val="24"/>
        </w:rPr>
        <w:t>（二）商务标（50分）</w:t>
      </w:r>
    </w:p>
    <w:p>
      <w:pPr>
        <w:spacing w:line="440" w:lineRule="exact"/>
        <w:rPr>
          <w:rFonts w:hAnsi="宋体" w:cs="宋体"/>
          <w:b/>
          <w:bCs/>
          <w:color w:val="auto"/>
          <w:sz w:val="24"/>
          <w:szCs w:val="24"/>
        </w:rPr>
      </w:pPr>
      <w:r>
        <w:rPr>
          <w:rFonts w:hint="eastAsia" w:hAnsi="宋体" w:cs="宋体"/>
          <w:b/>
          <w:bCs/>
          <w:color w:val="auto"/>
          <w:sz w:val="24"/>
          <w:szCs w:val="24"/>
        </w:rPr>
        <w:t xml:space="preserve">   工程量清单报价评标基准价按下列公式确定：</w:t>
      </w:r>
    </w:p>
    <w:p>
      <w:pPr>
        <w:spacing w:line="440" w:lineRule="exact"/>
        <w:ind w:firstLine="480" w:firstLineChars="200"/>
        <w:rPr>
          <w:rFonts w:ascii="新宋体" w:hAnsi="新宋体" w:eastAsia="新宋体"/>
          <w:color w:val="auto"/>
          <w:sz w:val="24"/>
        </w:rPr>
      </w:pPr>
      <w:bookmarkStart w:id="72" w:name="_Toc5078"/>
      <w:r>
        <w:rPr>
          <w:rFonts w:hint="eastAsia" w:ascii="新宋体" w:hAnsi="新宋体" w:eastAsia="新宋体"/>
          <w:color w:val="auto"/>
          <w:sz w:val="24"/>
        </w:rPr>
        <w:t>评标基准价＝招标控制价×K+投标报价×（1－K）</w:t>
      </w:r>
    </w:p>
    <w:p>
      <w:pPr>
        <w:spacing w:line="440" w:lineRule="exact"/>
        <w:ind w:firstLine="480" w:firstLineChars="200"/>
        <w:rPr>
          <w:rFonts w:ascii="新宋体" w:hAnsi="新宋体" w:eastAsia="新宋体"/>
          <w:color w:val="auto"/>
          <w:sz w:val="24"/>
        </w:rPr>
      </w:pPr>
      <w:r>
        <w:rPr>
          <w:rFonts w:hint="eastAsia" w:ascii="新宋体" w:hAnsi="新宋体" w:eastAsia="新宋体"/>
          <w:color w:val="auto"/>
          <w:sz w:val="24"/>
        </w:rPr>
        <w:t>其中：投标报价为各投标人有效投标报价去掉一个最高和一个最低报价后的算术平均值。当有效投标少于5家时（不含5家），则以所有有效投标报价的算术平均值作为投标报价。</w:t>
      </w:r>
    </w:p>
    <w:p>
      <w:pPr>
        <w:spacing w:line="440" w:lineRule="exact"/>
        <w:ind w:firstLine="480" w:firstLineChars="200"/>
        <w:rPr>
          <w:rFonts w:ascii="新宋体" w:hAnsi="新宋体" w:eastAsia="新宋体"/>
          <w:color w:val="auto"/>
          <w:sz w:val="24"/>
        </w:rPr>
      </w:pPr>
      <w:r>
        <w:rPr>
          <w:rFonts w:hint="eastAsia" w:ascii="新宋体" w:hAnsi="新宋体" w:eastAsia="新宋体"/>
          <w:color w:val="auto"/>
          <w:sz w:val="24"/>
        </w:rPr>
        <w:t>注：①有效投标人指通过清标和初步评审的投标人；</w:t>
      </w:r>
    </w:p>
    <w:p>
      <w:pPr>
        <w:spacing w:line="440" w:lineRule="exact"/>
        <w:ind w:firstLine="480" w:firstLineChars="200"/>
        <w:rPr>
          <w:rFonts w:ascii="新宋体" w:hAnsi="新宋体" w:eastAsia="新宋体"/>
          <w:color w:val="auto"/>
          <w:sz w:val="24"/>
        </w:rPr>
      </w:pPr>
      <w:r>
        <w:rPr>
          <w:rFonts w:hint="eastAsia" w:ascii="新宋体" w:hAnsi="新宋体" w:eastAsia="新宋体"/>
          <w:color w:val="auto"/>
          <w:sz w:val="24"/>
        </w:rPr>
        <w:t xml:space="preserve">    ②K为招标控制价权重系数，0.3≤K≤0.5（K的取值：0.3、0.35、0.4、0.45、0.5），在开标现场随机抽取。</w:t>
      </w:r>
    </w:p>
    <w:p>
      <w:pPr>
        <w:spacing w:line="440" w:lineRule="exact"/>
        <w:ind w:firstLine="960" w:firstLineChars="400"/>
        <w:rPr>
          <w:rFonts w:hAnsi="宋体" w:cs="宋体"/>
          <w:b/>
          <w:bCs/>
          <w:color w:val="auto"/>
          <w:sz w:val="24"/>
          <w:szCs w:val="24"/>
        </w:rPr>
      </w:pPr>
      <w:r>
        <w:rPr>
          <w:rFonts w:hint="eastAsia" w:ascii="新宋体" w:hAnsi="新宋体" w:eastAsia="新宋体"/>
          <w:color w:val="auto"/>
          <w:sz w:val="24"/>
          <w:szCs w:val="22"/>
        </w:rPr>
        <w:fldChar w:fldCharType="begin"/>
      </w:r>
      <w:r>
        <w:rPr>
          <w:rFonts w:hint="eastAsia" w:ascii="新宋体" w:hAnsi="新宋体" w:eastAsia="新宋体"/>
          <w:color w:val="auto"/>
          <w:sz w:val="24"/>
          <w:szCs w:val="22"/>
        </w:rPr>
        <w:instrText xml:space="preserve"> = 3 \* GB3 \* MERGEFORMAT </w:instrText>
      </w:r>
      <w:r>
        <w:rPr>
          <w:rFonts w:hint="eastAsia" w:ascii="新宋体" w:hAnsi="新宋体" w:eastAsia="新宋体"/>
          <w:color w:val="auto"/>
          <w:sz w:val="24"/>
          <w:szCs w:val="22"/>
        </w:rPr>
        <w:fldChar w:fldCharType="separate"/>
      </w:r>
      <w:r>
        <w:rPr>
          <w:rFonts w:hint="eastAsia" w:ascii="新宋体" w:hAnsi="新宋体" w:eastAsia="新宋体"/>
          <w:color w:val="auto"/>
          <w:sz w:val="24"/>
          <w:szCs w:val="22"/>
        </w:rPr>
        <w:t>③</w:t>
      </w:r>
      <w:r>
        <w:rPr>
          <w:rFonts w:hint="eastAsia" w:ascii="新宋体" w:hAnsi="新宋体" w:eastAsia="新宋体"/>
          <w:color w:val="auto"/>
          <w:sz w:val="24"/>
          <w:szCs w:val="22"/>
        </w:rPr>
        <w:fldChar w:fldCharType="end"/>
      </w:r>
      <w:r>
        <w:rPr>
          <w:rFonts w:hint="eastAsia" w:ascii="新宋体" w:hAnsi="新宋体" w:eastAsia="新宋体"/>
          <w:color w:val="auto"/>
          <w:sz w:val="24"/>
          <w:szCs w:val="22"/>
        </w:rPr>
        <w:t>上述招标控制价、投标报价、有效投标报价在参与评标基准价计算时，均不含：规费、安全文明施工措施费、暂列金额与专业暂估价、增值税。</w:t>
      </w:r>
      <w:bookmarkEnd w:id="72"/>
      <w:r>
        <w:rPr>
          <w:rFonts w:hint="eastAsia" w:hAnsi="宋体" w:cs="宋体"/>
          <w:b/>
          <w:bCs/>
          <w:color w:val="auto"/>
          <w:sz w:val="24"/>
          <w:szCs w:val="24"/>
        </w:rPr>
        <w:t xml:space="preserve"> </w:t>
      </w:r>
    </w:p>
    <w:p>
      <w:pPr>
        <w:snapToGrid w:val="0"/>
        <w:spacing w:line="360" w:lineRule="auto"/>
        <w:ind w:firstLine="480" w:firstLineChars="200"/>
        <w:rPr>
          <w:rFonts w:hAnsi="宋体" w:cs="宋体"/>
          <w:b/>
          <w:bCs/>
          <w:color w:val="auto"/>
          <w:sz w:val="24"/>
          <w:szCs w:val="24"/>
        </w:rPr>
      </w:pPr>
      <w:r>
        <w:rPr>
          <w:rFonts w:hint="eastAsia" w:hAnsi="宋体" w:cs="宋体"/>
          <w:b/>
          <w:bCs/>
          <w:color w:val="auto"/>
          <w:sz w:val="24"/>
          <w:szCs w:val="24"/>
        </w:rPr>
        <w:t xml:space="preserve">1、投标报价（30分） </w:t>
      </w:r>
    </w:p>
    <w:p>
      <w:pPr>
        <w:snapToGrid w:val="0"/>
        <w:spacing w:line="360" w:lineRule="auto"/>
        <w:ind w:firstLine="481"/>
        <w:rPr>
          <w:rFonts w:hAnsi="宋体" w:cs="宋体"/>
          <w:color w:val="auto"/>
          <w:sz w:val="24"/>
          <w:szCs w:val="24"/>
        </w:rPr>
      </w:pPr>
      <w:r>
        <w:rPr>
          <w:rFonts w:hint="eastAsia" w:hAnsi="宋体" w:cs="宋体"/>
          <w:color w:val="auto"/>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pPr>
        <w:numPr>
          <w:ilvl w:val="0"/>
          <w:numId w:val="6"/>
        </w:numPr>
        <w:snapToGrid w:val="0"/>
        <w:spacing w:line="360" w:lineRule="auto"/>
        <w:ind w:firstLine="481"/>
        <w:rPr>
          <w:rFonts w:hAnsi="宋体" w:cs="宋体"/>
          <w:b/>
          <w:bCs/>
          <w:color w:val="auto"/>
          <w:sz w:val="24"/>
          <w:szCs w:val="24"/>
        </w:rPr>
      </w:pPr>
      <w:r>
        <w:rPr>
          <w:rFonts w:hint="eastAsia" w:hAnsi="宋体" w:cs="宋体"/>
          <w:b/>
          <w:bCs/>
          <w:color w:val="auto"/>
          <w:sz w:val="24"/>
          <w:szCs w:val="24"/>
        </w:rPr>
        <w:t>分部分项工程项目清单单价（10分）</w:t>
      </w:r>
    </w:p>
    <w:p>
      <w:pPr>
        <w:snapToGrid w:val="0"/>
        <w:spacing w:line="360" w:lineRule="auto"/>
        <w:ind w:firstLine="484"/>
        <w:rPr>
          <w:rFonts w:hAnsi="宋体" w:cs="宋体"/>
          <w:color w:val="auto"/>
          <w:sz w:val="24"/>
          <w:szCs w:val="24"/>
        </w:rPr>
      </w:pPr>
      <w:r>
        <w:rPr>
          <w:rFonts w:hint="eastAsia" w:hAnsi="宋体" w:cs="宋体"/>
          <w:color w:val="auto"/>
          <w:sz w:val="24"/>
          <w:szCs w:val="24"/>
        </w:rPr>
        <w:t>从招标控制价中分部分项工程项目权重最大的前10-30项清单项目中抽取15项，在剩余的分部分项工程项目清单项目中抽取5项。</w:t>
      </w:r>
    </w:p>
    <w:p>
      <w:pPr>
        <w:snapToGrid w:val="0"/>
        <w:spacing w:line="360" w:lineRule="auto"/>
        <w:ind w:firstLine="484"/>
        <w:rPr>
          <w:rFonts w:hAnsi="宋体" w:cs="宋体"/>
          <w:color w:val="auto"/>
          <w:sz w:val="24"/>
          <w:szCs w:val="24"/>
        </w:rPr>
      </w:pPr>
      <w:r>
        <w:rPr>
          <w:rFonts w:hint="eastAsia" w:hAnsi="宋体" w:cs="宋体"/>
          <w:color w:val="auto"/>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pPr>
        <w:snapToGrid w:val="0"/>
        <w:spacing w:line="360" w:lineRule="auto"/>
        <w:rPr>
          <w:rFonts w:hAnsi="宋体" w:cs="宋体"/>
          <w:color w:val="auto"/>
          <w:sz w:val="24"/>
          <w:szCs w:val="24"/>
        </w:rPr>
      </w:pPr>
      <w:r>
        <w:rPr>
          <w:rFonts w:hint="eastAsia" w:hAnsi="宋体" w:cs="宋体"/>
          <w:b/>
          <w:bCs/>
          <w:color w:val="auto"/>
          <w:sz w:val="24"/>
          <w:szCs w:val="24"/>
        </w:rPr>
        <w:t xml:space="preserve">    3、措施项目费（不含安全文明措施费）（5分）</w:t>
      </w:r>
    </w:p>
    <w:p>
      <w:pPr>
        <w:snapToGrid w:val="0"/>
        <w:spacing w:line="360" w:lineRule="auto"/>
        <w:ind w:firstLine="484"/>
        <w:rPr>
          <w:rFonts w:hAnsi="宋体" w:cs="宋体"/>
          <w:color w:val="auto"/>
          <w:sz w:val="24"/>
          <w:szCs w:val="24"/>
        </w:rPr>
      </w:pPr>
      <w:r>
        <w:rPr>
          <w:rFonts w:hint="eastAsia" w:hAnsi="宋体" w:cs="宋体"/>
          <w:color w:val="auto"/>
          <w:sz w:val="24"/>
          <w:szCs w:val="24"/>
        </w:rPr>
        <w:t xml:space="preserve">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pPr>
        <w:numPr>
          <w:ilvl w:val="0"/>
          <w:numId w:val="7"/>
        </w:numPr>
        <w:snapToGrid w:val="0"/>
        <w:spacing w:line="360" w:lineRule="auto"/>
        <w:ind w:firstLine="484"/>
        <w:rPr>
          <w:rFonts w:hAnsi="宋体" w:cs="宋体"/>
          <w:b/>
          <w:bCs/>
          <w:color w:val="auto"/>
          <w:sz w:val="24"/>
          <w:szCs w:val="24"/>
        </w:rPr>
      </w:pPr>
      <w:r>
        <w:rPr>
          <w:rFonts w:hint="eastAsia" w:hAnsi="宋体" w:cs="宋体"/>
          <w:b/>
          <w:bCs/>
          <w:color w:val="auto"/>
          <w:sz w:val="24"/>
          <w:szCs w:val="24"/>
        </w:rPr>
        <w:t>主要材料单价（5分）</w:t>
      </w:r>
    </w:p>
    <w:p>
      <w:pPr>
        <w:snapToGrid w:val="0"/>
        <w:spacing w:line="360" w:lineRule="auto"/>
        <w:ind w:firstLine="484"/>
        <w:rPr>
          <w:rFonts w:hAnsi="宋体" w:cs="宋体"/>
          <w:color w:val="auto"/>
          <w:sz w:val="24"/>
          <w:szCs w:val="24"/>
        </w:rPr>
      </w:pPr>
      <w:r>
        <w:rPr>
          <w:rFonts w:hint="eastAsia" w:hAnsi="宋体" w:cs="宋体"/>
          <w:color w:val="auto"/>
          <w:sz w:val="24"/>
          <w:szCs w:val="24"/>
        </w:rPr>
        <w:t>从招标控制价中材料总价权重最大的前10-20项材料中抽取6项，在剩余材料中抽取4项。</w:t>
      </w:r>
    </w:p>
    <w:p>
      <w:pPr>
        <w:snapToGrid w:val="0"/>
        <w:spacing w:line="360" w:lineRule="auto"/>
        <w:ind w:firstLine="484"/>
        <w:rPr>
          <w:rFonts w:hAnsi="宋体" w:cs="宋体"/>
          <w:color w:val="auto"/>
          <w:sz w:val="24"/>
          <w:szCs w:val="24"/>
        </w:rPr>
      </w:pPr>
      <w:r>
        <w:rPr>
          <w:rFonts w:hint="eastAsia" w:hAnsi="宋体" w:cs="宋体"/>
          <w:color w:val="auto"/>
          <w:sz w:val="24"/>
          <w:szCs w:val="24"/>
        </w:rPr>
        <w:t>主要材料单价基准值以各有效投标报价中（当有效投标人5名及以上时，去掉1个最高、1个最低值）对应抽取材料单价的算术平均值。</w:t>
      </w:r>
    </w:p>
    <w:p>
      <w:pPr>
        <w:snapToGrid w:val="0"/>
        <w:spacing w:line="360" w:lineRule="auto"/>
        <w:ind w:firstLine="484"/>
        <w:rPr>
          <w:rFonts w:hAnsi="宋体" w:cs="宋体"/>
          <w:color w:val="auto"/>
          <w:sz w:val="24"/>
          <w:szCs w:val="24"/>
        </w:rPr>
      </w:pPr>
      <w:r>
        <w:rPr>
          <w:rFonts w:hint="eastAsia" w:hAnsi="宋体" w:cs="宋体"/>
          <w:color w:val="auto"/>
          <w:sz w:val="24"/>
          <w:szCs w:val="24"/>
        </w:rPr>
        <w:t>当投标人报价在材料单价基准值95%—103%范围内（不含95%和103%）每项得0.5分，在材料基准值90%—95%范围内（含90%和95%）每项得0.25分。超出该范围的不得分。材料单价与综合单价组成中价格不一致时该项为0分。</w:t>
      </w:r>
    </w:p>
    <w:p>
      <w:pPr>
        <w:snapToGrid w:val="0"/>
        <w:spacing w:line="360" w:lineRule="auto"/>
        <w:ind w:firstLine="484"/>
        <w:rPr>
          <w:rFonts w:hAnsi="宋体" w:cs="宋体"/>
          <w:b/>
          <w:bCs/>
          <w:color w:val="auto"/>
          <w:sz w:val="24"/>
          <w:szCs w:val="24"/>
        </w:rPr>
      </w:pPr>
      <w:r>
        <w:rPr>
          <w:rFonts w:hint="eastAsia" w:hAnsi="宋体" w:cs="宋体"/>
          <w:b/>
          <w:bCs/>
          <w:color w:val="auto"/>
          <w:sz w:val="24"/>
          <w:szCs w:val="24"/>
        </w:rPr>
        <w:t>注：针对上述2、4款项中部分分部分项工程项目数量较少、施工工艺简单、主材种类较少而不能满足最低抽项要求的，应将所有分部分项工程项目或主要材料项目纳入评审范围。</w:t>
      </w:r>
    </w:p>
    <w:bookmarkEnd w:id="68"/>
    <w:bookmarkEnd w:id="69"/>
    <w:bookmarkEnd w:id="70"/>
    <w:bookmarkEnd w:id="71"/>
    <w:p>
      <w:pPr>
        <w:spacing w:line="360" w:lineRule="auto"/>
        <w:rPr>
          <w:b/>
          <w:bCs/>
          <w:color w:val="auto"/>
          <w:sz w:val="24"/>
          <w:szCs w:val="24"/>
        </w:rPr>
      </w:pPr>
      <w:r>
        <w:rPr>
          <w:rFonts w:hint="eastAsia" w:cs="宋体"/>
          <w:b/>
          <w:bCs/>
          <w:color w:val="auto"/>
          <w:sz w:val="24"/>
          <w:szCs w:val="24"/>
        </w:rPr>
        <w:t>（三）综合（信用）标的评标分值（25分）</w:t>
      </w:r>
    </w:p>
    <w:tbl>
      <w:tblPr>
        <w:tblStyle w:val="13"/>
        <w:tblW w:w="8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17"/>
        <w:gridCol w:w="467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30" w:type="dxa"/>
            <w:vAlign w:val="center"/>
          </w:tcPr>
          <w:p>
            <w:pPr>
              <w:jc w:val="center"/>
              <w:rPr>
                <w:rFonts w:ascii="Times New Roman"/>
                <w:color w:val="auto"/>
                <w:kern w:val="2"/>
                <w:sz w:val="21"/>
                <w:szCs w:val="21"/>
              </w:rPr>
            </w:pPr>
            <w:r>
              <w:rPr>
                <w:rFonts w:hint="eastAsia" w:ascii="Times New Roman"/>
                <w:color w:val="auto"/>
                <w:kern w:val="2"/>
                <w:sz w:val="21"/>
                <w:szCs w:val="21"/>
              </w:rPr>
              <w:t>序号</w:t>
            </w:r>
          </w:p>
        </w:tc>
        <w:tc>
          <w:tcPr>
            <w:tcW w:w="1417" w:type="dxa"/>
            <w:vAlign w:val="center"/>
          </w:tcPr>
          <w:p>
            <w:pPr>
              <w:jc w:val="center"/>
              <w:rPr>
                <w:rFonts w:ascii="Times New Roman"/>
                <w:color w:val="auto"/>
                <w:kern w:val="2"/>
                <w:sz w:val="21"/>
                <w:szCs w:val="21"/>
              </w:rPr>
            </w:pPr>
            <w:r>
              <w:rPr>
                <w:rFonts w:hint="eastAsia" w:ascii="Times New Roman"/>
                <w:color w:val="auto"/>
                <w:kern w:val="2"/>
                <w:sz w:val="21"/>
                <w:szCs w:val="21"/>
              </w:rPr>
              <w:t>项</w:t>
            </w:r>
            <w:r>
              <w:rPr>
                <w:rFonts w:ascii="Times New Roman"/>
                <w:color w:val="auto"/>
                <w:kern w:val="2"/>
                <w:sz w:val="21"/>
                <w:szCs w:val="21"/>
              </w:rPr>
              <w:t xml:space="preserve">     </w:t>
            </w:r>
            <w:r>
              <w:rPr>
                <w:rFonts w:hint="eastAsia" w:ascii="Times New Roman"/>
                <w:color w:val="auto"/>
                <w:kern w:val="2"/>
                <w:sz w:val="21"/>
                <w:szCs w:val="21"/>
              </w:rPr>
              <w:t>目</w:t>
            </w:r>
          </w:p>
        </w:tc>
        <w:tc>
          <w:tcPr>
            <w:tcW w:w="4678" w:type="dxa"/>
            <w:vAlign w:val="center"/>
          </w:tcPr>
          <w:p>
            <w:pPr>
              <w:jc w:val="center"/>
              <w:rPr>
                <w:rFonts w:ascii="Times New Roman"/>
                <w:color w:val="auto"/>
                <w:kern w:val="2"/>
                <w:sz w:val="21"/>
                <w:szCs w:val="21"/>
              </w:rPr>
            </w:pPr>
            <w:r>
              <w:rPr>
                <w:rFonts w:hint="eastAsia" w:ascii="Times New Roman"/>
                <w:color w:val="auto"/>
                <w:kern w:val="2"/>
                <w:sz w:val="21"/>
                <w:szCs w:val="21"/>
              </w:rPr>
              <w:t>评</w:t>
            </w:r>
            <w:r>
              <w:rPr>
                <w:rFonts w:ascii="Times New Roman"/>
                <w:color w:val="auto"/>
                <w:kern w:val="2"/>
                <w:sz w:val="21"/>
                <w:szCs w:val="21"/>
              </w:rPr>
              <w:t xml:space="preserve">  </w:t>
            </w:r>
            <w:r>
              <w:rPr>
                <w:rFonts w:hint="eastAsia" w:ascii="Times New Roman"/>
                <w:color w:val="auto"/>
                <w:kern w:val="2"/>
                <w:sz w:val="21"/>
                <w:szCs w:val="21"/>
              </w:rPr>
              <w:t>审</w:t>
            </w:r>
            <w:r>
              <w:rPr>
                <w:rFonts w:ascii="Times New Roman"/>
                <w:color w:val="auto"/>
                <w:kern w:val="2"/>
                <w:sz w:val="21"/>
                <w:szCs w:val="21"/>
              </w:rPr>
              <w:t xml:space="preserve">   </w:t>
            </w:r>
            <w:r>
              <w:rPr>
                <w:rFonts w:hint="eastAsia" w:ascii="Times New Roman"/>
                <w:color w:val="auto"/>
                <w:kern w:val="2"/>
                <w:sz w:val="21"/>
                <w:szCs w:val="21"/>
              </w:rPr>
              <w:t>标</w:t>
            </w:r>
            <w:r>
              <w:rPr>
                <w:rFonts w:ascii="Times New Roman"/>
                <w:color w:val="auto"/>
                <w:kern w:val="2"/>
                <w:sz w:val="21"/>
                <w:szCs w:val="21"/>
              </w:rPr>
              <w:t xml:space="preserve">   </w:t>
            </w:r>
            <w:r>
              <w:rPr>
                <w:rFonts w:hint="eastAsia" w:ascii="Times New Roman"/>
                <w:color w:val="auto"/>
                <w:kern w:val="2"/>
                <w:sz w:val="21"/>
                <w:szCs w:val="21"/>
              </w:rPr>
              <w:t>准</w:t>
            </w:r>
          </w:p>
        </w:tc>
        <w:tc>
          <w:tcPr>
            <w:tcW w:w="1843" w:type="dxa"/>
            <w:vAlign w:val="center"/>
          </w:tcPr>
          <w:p>
            <w:pPr>
              <w:jc w:val="center"/>
              <w:rPr>
                <w:rFonts w:ascii="Times New Roman"/>
                <w:color w:val="auto"/>
                <w:kern w:val="2"/>
                <w:sz w:val="21"/>
                <w:szCs w:val="21"/>
              </w:rPr>
            </w:pPr>
            <w:r>
              <w:rPr>
                <w:rFonts w:hint="eastAsia" w:ascii="Times New Roman"/>
                <w:color w:val="auto"/>
                <w:kern w:val="2"/>
                <w:sz w:val="21"/>
                <w:szCs w:val="21"/>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30" w:type="dxa"/>
            <w:vAlign w:val="center"/>
          </w:tcPr>
          <w:p>
            <w:pPr>
              <w:jc w:val="center"/>
              <w:rPr>
                <w:rFonts w:ascii="Times New Roman"/>
                <w:color w:val="auto"/>
                <w:kern w:val="2"/>
                <w:sz w:val="21"/>
                <w:szCs w:val="21"/>
                <w:highlight w:val="none"/>
              </w:rPr>
            </w:pPr>
            <w:r>
              <w:rPr>
                <w:rFonts w:ascii="Times New Roman"/>
                <w:color w:val="auto"/>
                <w:kern w:val="2"/>
                <w:sz w:val="21"/>
                <w:szCs w:val="21"/>
                <w:highlight w:val="none"/>
              </w:rPr>
              <w:t>1</w:t>
            </w:r>
          </w:p>
        </w:tc>
        <w:tc>
          <w:tcPr>
            <w:tcW w:w="1417" w:type="dxa"/>
            <w:vAlign w:val="center"/>
          </w:tcPr>
          <w:p>
            <w:pPr>
              <w:spacing w:line="240" w:lineRule="exact"/>
              <w:jc w:val="center"/>
              <w:rPr>
                <w:rFonts w:ascii="Times New Roman"/>
                <w:color w:val="auto"/>
                <w:kern w:val="2"/>
                <w:sz w:val="21"/>
                <w:szCs w:val="21"/>
                <w:highlight w:val="none"/>
              </w:rPr>
            </w:pPr>
            <w:r>
              <w:rPr>
                <w:rFonts w:hint="eastAsia" w:ascii="Times New Roman"/>
                <w:color w:val="auto"/>
                <w:kern w:val="2"/>
                <w:sz w:val="21"/>
                <w:szCs w:val="21"/>
                <w:highlight w:val="none"/>
              </w:rPr>
              <w:t>企业业绩</w:t>
            </w:r>
          </w:p>
        </w:tc>
        <w:tc>
          <w:tcPr>
            <w:tcW w:w="4678" w:type="dxa"/>
            <w:vAlign w:val="center"/>
          </w:tcPr>
          <w:p>
            <w:pPr>
              <w:rPr>
                <w:rFonts w:ascii="Times New Roman"/>
                <w:color w:val="auto"/>
                <w:kern w:val="2"/>
                <w:sz w:val="21"/>
                <w:szCs w:val="21"/>
                <w:highlight w:val="none"/>
              </w:rPr>
            </w:pPr>
            <w:r>
              <w:rPr>
                <w:rFonts w:hint="eastAsia" w:ascii="Times New Roman"/>
                <w:color w:val="auto"/>
                <w:kern w:val="2"/>
                <w:sz w:val="21"/>
                <w:szCs w:val="21"/>
                <w:highlight w:val="none"/>
              </w:rPr>
              <w:t>201</w:t>
            </w:r>
            <w:r>
              <w:rPr>
                <w:rFonts w:hint="eastAsia" w:ascii="Times New Roman"/>
                <w:color w:val="auto"/>
                <w:kern w:val="2"/>
                <w:sz w:val="21"/>
                <w:szCs w:val="21"/>
                <w:highlight w:val="none"/>
                <w:lang w:val="en-US" w:eastAsia="zh-CN"/>
              </w:rPr>
              <w:t>7</w:t>
            </w:r>
            <w:r>
              <w:rPr>
                <w:rFonts w:hint="eastAsia" w:ascii="Times New Roman"/>
                <w:color w:val="auto"/>
                <w:kern w:val="2"/>
                <w:sz w:val="21"/>
                <w:szCs w:val="21"/>
                <w:highlight w:val="none"/>
              </w:rPr>
              <w:t>年1月1日至今，企业具有类似项目业绩者，每项得2分，最高得4分。（以中标通知书和合同或合同和工程竣工验收备案表为准。）</w:t>
            </w:r>
          </w:p>
        </w:tc>
        <w:tc>
          <w:tcPr>
            <w:tcW w:w="1843" w:type="dxa"/>
            <w:vAlign w:val="center"/>
          </w:tcPr>
          <w:p>
            <w:pPr>
              <w:jc w:val="center"/>
              <w:rPr>
                <w:rFonts w:ascii="Times New Roman"/>
                <w:color w:val="auto"/>
                <w:kern w:val="2"/>
                <w:sz w:val="21"/>
                <w:szCs w:val="21"/>
                <w:highlight w:val="none"/>
              </w:rPr>
            </w:pPr>
            <w:r>
              <w:rPr>
                <w:rFonts w:ascii="Times New Roman"/>
                <w:color w:val="auto"/>
                <w:kern w:val="2"/>
                <w:sz w:val="21"/>
                <w:szCs w:val="21"/>
                <w:highlight w:val="none"/>
              </w:rPr>
              <w:t>0</w:t>
            </w:r>
            <w:r>
              <w:rPr>
                <w:rFonts w:hint="eastAsia" w:ascii="Times New Roman"/>
                <w:color w:val="auto"/>
                <w:kern w:val="2"/>
                <w:sz w:val="21"/>
                <w:szCs w:val="21"/>
                <w:highlight w:val="none"/>
              </w:rPr>
              <w:t>＜得分</w:t>
            </w:r>
            <w:r>
              <w:rPr>
                <w:rFonts w:ascii="Times New Roman"/>
                <w:color w:val="auto"/>
                <w:kern w:val="2"/>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730" w:type="dxa"/>
            <w:vAlign w:val="center"/>
          </w:tcPr>
          <w:p>
            <w:pPr>
              <w:jc w:val="center"/>
              <w:rPr>
                <w:rFonts w:ascii="Times New Roman"/>
                <w:color w:val="auto"/>
                <w:kern w:val="2"/>
                <w:sz w:val="21"/>
                <w:szCs w:val="21"/>
                <w:highlight w:val="none"/>
              </w:rPr>
            </w:pPr>
            <w:r>
              <w:rPr>
                <w:rFonts w:ascii="Times New Roman"/>
                <w:color w:val="auto"/>
                <w:kern w:val="2"/>
                <w:sz w:val="21"/>
                <w:szCs w:val="21"/>
                <w:highlight w:val="none"/>
              </w:rPr>
              <w:t>2</w:t>
            </w:r>
          </w:p>
        </w:tc>
        <w:tc>
          <w:tcPr>
            <w:tcW w:w="1417" w:type="dxa"/>
            <w:vAlign w:val="center"/>
          </w:tcPr>
          <w:p>
            <w:pPr>
              <w:spacing w:line="240" w:lineRule="exact"/>
              <w:jc w:val="center"/>
              <w:rPr>
                <w:rFonts w:ascii="Times New Roman"/>
                <w:color w:val="auto"/>
                <w:kern w:val="2"/>
                <w:sz w:val="21"/>
                <w:szCs w:val="21"/>
                <w:highlight w:val="none"/>
              </w:rPr>
            </w:pPr>
            <w:r>
              <w:rPr>
                <w:rFonts w:hint="eastAsia" w:ascii="Times New Roman"/>
                <w:color w:val="auto"/>
                <w:kern w:val="2"/>
                <w:sz w:val="21"/>
                <w:szCs w:val="21"/>
                <w:highlight w:val="none"/>
              </w:rPr>
              <w:t>项目负责人业绩</w:t>
            </w:r>
          </w:p>
        </w:tc>
        <w:tc>
          <w:tcPr>
            <w:tcW w:w="4678" w:type="dxa"/>
            <w:vAlign w:val="center"/>
          </w:tcPr>
          <w:p>
            <w:pPr>
              <w:rPr>
                <w:rFonts w:ascii="Times New Roman"/>
                <w:color w:val="auto"/>
                <w:kern w:val="2"/>
                <w:sz w:val="21"/>
                <w:szCs w:val="21"/>
                <w:highlight w:val="none"/>
              </w:rPr>
            </w:pPr>
            <w:r>
              <w:rPr>
                <w:rFonts w:hint="eastAsia" w:ascii="Times New Roman"/>
                <w:color w:val="auto"/>
                <w:kern w:val="2"/>
                <w:sz w:val="21"/>
                <w:szCs w:val="21"/>
                <w:highlight w:val="none"/>
              </w:rPr>
              <w:t>201</w:t>
            </w:r>
            <w:r>
              <w:rPr>
                <w:rFonts w:hint="eastAsia" w:ascii="Times New Roman"/>
                <w:color w:val="auto"/>
                <w:kern w:val="2"/>
                <w:sz w:val="21"/>
                <w:szCs w:val="21"/>
                <w:highlight w:val="none"/>
                <w:lang w:val="en-US" w:eastAsia="zh-CN"/>
              </w:rPr>
              <w:t>7</w:t>
            </w:r>
            <w:r>
              <w:rPr>
                <w:rFonts w:hint="eastAsia" w:ascii="Times New Roman"/>
                <w:color w:val="auto"/>
                <w:kern w:val="2"/>
                <w:sz w:val="21"/>
                <w:szCs w:val="21"/>
                <w:highlight w:val="none"/>
              </w:rPr>
              <w:t>年1月1日至今，拟派项目负责人具有类似项目业绩者一项得6分，最高得6分（以中标通知书和合同或合同和工程竣工验收备案表为准。）</w:t>
            </w:r>
          </w:p>
        </w:tc>
        <w:tc>
          <w:tcPr>
            <w:tcW w:w="1843" w:type="dxa"/>
            <w:vAlign w:val="center"/>
          </w:tcPr>
          <w:p>
            <w:pPr>
              <w:jc w:val="center"/>
              <w:rPr>
                <w:rFonts w:ascii="Times New Roman"/>
                <w:color w:val="auto"/>
                <w:kern w:val="2"/>
                <w:sz w:val="21"/>
                <w:szCs w:val="21"/>
                <w:highlight w:val="none"/>
              </w:rPr>
            </w:pPr>
            <w:r>
              <w:rPr>
                <w:rFonts w:ascii="Times New Roman"/>
                <w:color w:val="auto"/>
                <w:kern w:val="2"/>
                <w:sz w:val="21"/>
                <w:szCs w:val="21"/>
                <w:highlight w:val="none"/>
              </w:rPr>
              <w:t>0</w:t>
            </w:r>
            <w:r>
              <w:rPr>
                <w:rFonts w:hint="eastAsia" w:ascii="Times New Roman"/>
                <w:color w:val="auto"/>
                <w:kern w:val="2"/>
                <w:sz w:val="21"/>
                <w:szCs w:val="21"/>
                <w:highlight w:val="none"/>
              </w:rPr>
              <w:t>＜得分</w:t>
            </w:r>
            <w:r>
              <w:rPr>
                <w:rFonts w:ascii="Times New Roman"/>
                <w:color w:val="auto"/>
                <w:kern w:val="2"/>
                <w:sz w:val="21"/>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30" w:type="dxa"/>
            <w:vMerge w:val="restart"/>
            <w:vAlign w:val="center"/>
          </w:tcPr>
          <w:p>
            <w:pPr>
              <w:jc w:val="center"/>
              <w:rPr>
                <w:rFonts w:ascii="Times New Roman"/>
                <w:color w:val="auto"/>
                <w:kern w:val="2"/>
                <w:sz w:val="21"/>
                <w:szCs w:val="21"/>
              </w:rPr>
            </w:pPr>
            <w:r>
              <w:rPr>
                <w:rFonts w:ascii="Times New Roman"/>
                <w:color w:val="auto"/>
                <w:kern w:val="2"/>
                <w:sz w:val="21"/>
                <w:szCs w:val="21"/>
              </w:rPr>
              <w:t>3</w:t>
            </w:r>
          </w:p>
        </w:tc>
        <w:tc>
          <w:tcPr>
            <w:tcW w:w="1417" w:type="dxa"/>
            <w:vMerge w:val="restart"/>
            <w:vAlign w:val="center"/>
          </w:tcPr>
          <w:p>
            <w:pPr>
              <w:jc w:val="center"/>
              <w:rPr>
                <w:rFonts w:ascii="Times New Roman"/>
                <w:color w:val="auto"/>
                <w:kern w:val="2"/>
                <w:sz w:val="21"/>
                <w:szCs w:val="21"/>
              </w:rPr>
            </w:pPr>
            <w:r>
              <w:rPr>
                <w:rFonts w:hint="eastAsia" w:ascii="Times New Roman"/>
                <w:color w:val="auto"/>
                <w:kern w:val="2"/>
                <w:sz w:val="21"/>
                <w:szCs w:val="21"/>
              </w:rPr>
              <w:t>优惠承诺</w:t>
            </w:r>
          </w:p>
        </w:tc>
        <w:tc>
          <w:tcPr>
            <w:tcW w:w="4678" w:type="dxa"/>
            <w:vAlign w:val="center"/>
          </w:tcPr>
          <w:p>
            <w:pPr>
              <w:rPr>
                <w:rFonts w:ascii="Times New Roman"/>
                <w:color w:val="auto"/>
                <w:kern w:val="2"/>
                <w:sz w:val="21"/>
                <w:szCs w:val="21"/>
              </w:rPr>
            </w:pPr>
            <w:r>
              <w:rPr>
                <w:rFonts w:hint="eastAsia" w:ascii="Times New Roman"/>
                <w:color w:val="auto"/>
                <w:kern w:val="2"/>
                <w:sz w:val="21"/>
                <w:szCs w:val="21"/>
              </w:rPr>
              <w:t>优惠承诺应是书面的符合工程实际情况，确保依法依规，优惠合理，并承诺免费延长质保期，详实可行。</w:t>
            </w:r>
          </w:p>
        </w:tc>
        <w:tc>
          <w:tcPr>
            <w:tcW w:w="1843" w:type="dxa"/>
            <w:vAlign w:val="center"/>
          </w:tcPr>
          <w:p>
            <w:pPr>
              <w:jc w:val="center"/>
              <w:rPr>
                <w:rFonts w:ascii="Times New Roman"/>
                <w:color w:val="auto"/>
                <w:kern w:val="2"/>
                <w:sz w:val="21"/>
                <w:szCs w:val="21"/>
              </w:rPr>
            </w:pPr>
            <w:r>
              <w:rPr>
                <w:rFonts w:ascii="Times New Roman"/>
                <w:color w:val="auto"/>
                <w:kern w:val="2"/>
                <w:sz w:val="21"/>
                <w:szCs w:val="21"/>
              </w:rPr>
              <w:t>3</w:t>
            </w:r>
            <w:r>
              <w:rPr>
                <w:rFonts w:hint="eastAsia" w:ascii="Times New Roman"/>
                <w:color w:val="auto"/>
                <w:kern w:val="2"/>
                <w:sz w:val="21"/>
                <w:szCs w:val="21"/>
              </w:rPr>
              <w:t>＜得分</w:t>
            </w:r>
            <w:r>
              <w:rPr>
                <w:rFonts w:ascii="Times New Roman"/>
                <w:color w:val="auto"/>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30" w:type="dxa"/>
            <w:vMerge w:val="continue"/>
            <w:vAlign w:val="center"/>
          </w:tcPr>
          <w:p>
            <w:pPr>
              <w:jc w:val="left"/>
              <w:rPr>
                <w:rFonts w:ascii="Times New Roman"/>
                <w:color w:val="auto"/>
                <w:kern w:val="2"/>
                <w:sz w:val="21"/>
                <w:szCs w:val="21"/>
              </w:rPr>
            </w:pPr>
          </w:p>
        </w:tc>
        <w:tc>
          <w:tcPr>
            <w:tcW w:w="1417" w:type="dxa"/>
            <w:vMerge w:val="continue"/>
            <w:vAlign w:val="center"/>
          </w:tcPr>
          <w:p>
            <w:pPr>
              <w:jc w:val="left"/>
              <w:rPr>
                <w:rFonts w:ascii="Times New Roman"/>
                <w:color w:val="auto"/>
                <w:kern w:val="2"/>
                <w:sz w:val="21"/>
                <w:szCs w:val="21"/>
              </w:rPr>
            </w:pPr>
          </w:p>
        </w:tc>
        <w:tc>
          <w:tcPr>
            <w:tcW w:w="4678" w:type="dxa"/>
            <w:vAlign w:val="center"/>
          </w:tcPr>
          <w:p>
            <w:pPr>
              <w:rPr>
                <w:rFonts w:ascii="Times New Roman"/>
                <w:color w:val="auto"/>
                <w:kern w:val="2"/>
                <w:sz w:val="21"/>
                <w:szCs w:val="21"/>
              </w:rPr>
            </w:pPr>
            <w:r>
              <w:rPr>
                <w:rFonts w:hint="eastAsia" w:ascii="Times New Roman"/>
                <w:color w:val="auto"/>
                <w:kern w:val="2"/>
                <w:sz w:val="21"/>
                <w:szCs w:val="21"/>
              </w:rPr>
              <w:t>优惠承诺符合工程实际情况，确保依法依规，优惠基本合理，并承诺免费延长质保期，基本详实可行。</w:t>
            </w:r>
          </w:p>
        </w:tc>
        <w:tc>
          <w:tcPr>
            <w:tcW w:w="1843" w:type="dxa"/>
            <w:vAlign w:val="center"/>
          </w:tcPr>
          <w:p>
            <w:pPr>
              <w:jc w:val="center"/>
              <w:rPr>
                <w:rFonts w:ascii="Times New Roman"/>
                <w:color w:val="auto"/>
                <w:kern w:val="2"/>
                <w:sz w:val="21"/>
                <w:szCs w:val="21"/>
              </w:rPr>
            </w:pPr>
            <w:r>
              <w:rPr>
                <w:rFonts w:ascii="Times New Roman"/>
                <w:color w:val="auto"/>
                <w:kern w:val="2"/>
                <w:sz w:val="21"/>
                <w:szCs w:val="21"/>
              </w:rPr>
              <w:t>1≤</w:t>
            </w:r>
            <w:r>
              <w:rPr>
                <w:rFonts w:hint="eastAsia" w:ascii="Times New Roman"/>
                <w:color w:val="auto"/>
                <w:kern w:val="2"/>
                <w:sz w:val="21"/>
                <w:szCs w:val="21"/>
              </w:rPr>
              <w:t>得分</w:t>
            </w:r>
            <w:r>
              <w:rPr>
                <w:rFonts w:ascii="Times New Roman"/>
                <w:color w:val="auto"/>
                <w:kern w:val="2"/>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730" w:type="dxa"/>
            <w:vMerge w:val="restart"/>
            <w:vAlign w:val="center"/>
          </w:tcPr>
          <w:p>
            <w:pPr>
              <w:jc w:val="center"/>
              <w:rPr>
                <w:rFonts w:ascii="Times New Roman"/>
                <w:color w:val="auto"/>
                <w:kern w:val="2"/>
                <w:sz w:val="21"/>
                <w:szCs w:val="21"/>
              </w:rPr>
            </w:pPr>
            <w:r>
              <w:rPr>
                <w:rFonts w:ascii="Times New Roman"/>
                <w:color w:val="auto"/>
                <w:kern w:val="2"/>
                <w:sz w:val="21"/>
                <w:szCs w:val="21"/>
              </w:rPr>
              <w:t>4</w:t>
            </w:r>
          </w:p>
        </w:tc>
        <w:tc>
          <w:tcPr>
            <w:tcW w:w="1417" w:type="dxa"/>
            <w:vMerge w:val="restart"/>
            <w:vAlign w:val="center"/>
          </w:tcPr>
          <w:p>
            <w:pPr>
              <w:jc w:val="center"/>
              <w:rPr>
                <w:rFonts w:ascii="Times New Roman"/>
                <w:color w:val="auto"/>
                <w:kern w:val="2"/>
                <w:sz w:val="21"/>
                <w:szCs w:val="21"/>
              </w:rPr>
            </w:pPr>
            <w:r>
              <w:rPr>
                <w:rFonts w:hint="eastAsia" w:ascii="Times New Roman"/>
                <w:color w:val="auto"/>
                <w:kern w:val="2"/>
                <w:sz w:val="21"/>
                <w:szCs w:val="21"/>
              </w:rPr>
              <w:t>履职尽责承诺</w:t>
            </w:r>
          </w:p>
        </w:tc>
        <w:tc>
          <w:tcPr>
            <w:tcW w:w="4678" w:type="dxa"/>
            <w:vAlign w:val="center"/>
          </w:tcPr>
          <w:p>
            <w:pPr>
              <w:spacing w:line="240" w:lineRule="exact"/>
              <w:jc w:val="left"/>
              <w:rPr>
                <w:rFonts w:ascii="Times New Roman"/>
                <w:color w:val="auto"/>
                <w:kern w:val="2"/>
                <w:sz w:val="21"/>
                <w:szCs w:val="21"/>
              </w:rPr>
            </w:pPr>
            <w:r>
              <w:rPr>
                <w:rFonts w:hint="eastAsia" w:ascii="Times New Roman"/>
                <w:color w:val="auto"/>
                <w:kern w:val="2"/>
                <w:sz w:val="21"/>
                <w:szCs w:val="21"/>
              </w:rPr>
              <w:t>具有全面、详实、可行、合法有效的书面保证技术措施落实到位的承诺和落实不到位的处理承诺，其中包括各关键岗位人员（项目负责人、技术负责人及相关技术人员、质量员、安全员、材料员、检测员等）的在岗、更换等履职尽责承诺，提供承包商履约保证。</w:t>
            </w:r>
          </w:p>
        </w:tc>
        <w:tc>
          <w:tcPr>
            <w:tcW w:w="1843" w:type="dxa"/>
            <w:vAlign w:val="center"/>
          </w:tcPr>
          <w:p>
            <w:pPr>
              <w:jc w:val="center"/>
              <w:rPr>
                <w:rFonts w:ascii="Times New Roman"/>
                <w:color w:val="auto"/>
                <w:kern w:val="2"/>
                <w:sz w:val="21"/>
                <w:szCs w:val="21"/>
              </w:rPr>
            </w:pPr>
            <w:r>
              <w:rPr>
                <w:rFonts w:ascii="Times New Roman"/>
                <w:color w:val="auto"/>
                <w:kern w:val="2"/>
                <w:sz w:val="21"/>
                <w:szCs w:val="21"/>
              </w:rPr>
              <w:t>2</w:t>
            </w:r>
            <w:r>
              <w:rPr>
                <w:rFonts w:hint="eastAsia" w:ascii="Times New Roman"/>
                <w:color w:val="auto"/>
                <w:kern w:val="2"/>
                <w:sz w:val="21"/>
                <w:szCs w:val="21"/>
              </w:rPr>
              <w:t>＜得分</w:t>
            </w:r>
            <w:r>
              <w:rPr>
                <w:rFonts w:ascii="Times New Roman"/>
                <w:color w:val="auto"/>
                <w:kern w:val="2"/>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730" w:type="dxa"/>
            <w:vMerge w:val="continue"/>
            <w:vAlign w:val="center"/>
          </w:tcPr>
          <w:p>
            <w:pPr>
              <w:jc w:val="left"/>
              <w:rPr>
                <w:rFonts w:ascii="Times New Roman"/>
                <w:color w:val="auto"/>
                <w:kern w:val="2"/>
                <w:sz w:val="21"/>
                <w:szCs w:val="21"/>
              </w:rPr>
            </w:pPr>
          </w:p>
        </w:tc>
        <w:tc>
          <w:tcPr>
            <w:tcW w:w="1417" w:type="dxa"/>
            <w:vMerge w:val="continue"/>
            <w:vAlign w:val="center"/>
          </w:tcPr>
          <w:p>
            <w:pPr>
              <w:jc w:val="left"/>
              <w:rPr>
                <w:rFonts w:ascii="Times New Roman"/>
                <w:color w:val="auto"/>
                <w:kern w:val="2"/>
                <w:sz w:val="21"/>
                <w:szCs w:val="21"/>
              </w:rPr>
            </w:pPr>
          </w:p>
        </w:tc>
        <w:tc>
          <w:tcPr>
            <w:tcW w:w="4678" w:type="dxa"/>
            <w:vAlign w:val="center"/>
          </w:tcPr>
          <w:p>
            <w:pPr>
              <w:spacing w:line="240" w:lineRule="exact"/>
              <w:jc w:val="left"/>
              <w:rPr>
                <w:rFonts w:ascii="Times New Roman"/>
                <w:color w:val="auto"/>
                <w:kern w:val="2"/>
                <w:sz w:val="21"/>
                <w:szCs w:val="21"/>
              </w:rPr>
            </w:pPr>
            <w:r>
              <w:rPr>
                <w:rFonts w:hint="eastAsia" w:ascii="Times New Roman"/>
                <w:color w:val="auto"/>
                <w:kern w:val="2"/>
                <w:sz w:val="21"/>
                <w:szCs w:val="21"/>
              </w:rPr>
              <w:t>具有可行、合法有效的书面保证技术措施落实到位的承诺和落实不到位的处理承诺，其中包括各关键岗位人员（项目负责人、技术负责人及相关技术人员、质量员、安全员、材料员、检测员等）的在岗、更换等履职尽责承诺，提供承包商履约保证。</w:t>
            </w:r>
          </w:p>
        </w:tc>
        <w:tc>
          <w:tcPr>
            <w:tcW w:w="1843" w:type="dxa"/>
            <w:vAlign w:val="center"/>
          </w:tcPr>
          <w:p>
            <w:pPr>
              <w:jc w:val="center"/>
              <w:rPr>
                <w:rFonts w:ascii="Times New Roman"/>
                <w:color w:val="auto"/>
                <w:kern w:val="2"/>
                <w:sz w:val="21"/>
                <w:szCs w:val="21"/>
              </w:rPr>
            </w:pPr>
            <w:r>
              <w:rPr>
                <w:rFonts w:ascii="Times New Roman"/>
                <w:color w:val="auto"/>
                <w:kern w:val="2"/>
                <w:sz w:val="21"/>
                <w:szCs w:val="21"/>
              </w:rPr>
              <w:t>1≤</w:t>
            </w:r>
            <w:r>
              <w:rPr>
                <w:rFonts w:hint="eastAsia" w:ascii="Times New Roman"/>
                <w:color w:val="auto"/>
                <w:kern w:val="2"/>
                <w:sz w:val="21"/>
                <w:szCs w:val="21"/>
              </w:rPr>
              <w:t>得分</w:t>
            </w:r>
            <w:r>
              <w:rPr>
                <w:rFonts w:ascii="Times New Roman"/>
                <w:color w:val="auto"/>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730" w:type="dxa"/>
            <w:vAlign w:val="center"/>
          </w:tcPr>
          <w:p>
            <w:pPr>
              <w:jc w:val="center"/>
              <w:rPr>
                <w:rFonts w:ascii="Times New Roman"/>
                <w:color w:val="auto"/>
                <w:kern w:val="2"/>
                <w:sz w:val="21"/>
                <w:szCs w:val="21"/>
                <w:highlight w:val="none"/>
              </w:rPr>
            </w:pPr>
            <w:r>
              <w:rPr>
                <w:rFonts w:ascii="Times New Roman"/>
                <w:color w:val="auto"/>
                <w:kern w:val="2"/>
                <w:sz w:val="21"/>
                <w:szCs w:val="21"/>
                <w:highlight w:val="none"/>
              </w:rPr>
              <w:t>5</w:t>
            </w:r>
          </w:p>
        </w:tc>
        <w:tc>
          <w:tcPr>
            <w:tcW w:w="1417" w:type="dxa"/>
            <w:vAlign w:val="center"/>
          </w:tcPr>
          <w:p>
            <w:pPr>
              <w:spacing w:line="240" w:lineRule="exact"/>
              <w:jc w:val="left"/>
              <w:rPr>
                <w:rFonts w:ascii="Times New Roman"/>
                <w:color w:val="auto"/>
                <w:kern w:val="2"/>
                <w:sz w:val="21"/>
                <w:szCs w:val="21"/>
                <w:highlight w:val="none"/>
              </w:rPr>
            </w:pPr>
            <w:r>
              <w:rPr>
                <w:rFonts w:hint="eastAsia" w:ascii="Times New Roman"/>
                <w:color w:val="auto"/>
                <w:kern w:val="2"/>
                <w:sz w:val="21"/>
                <w:szCs w:val="21"/>
                <w:highlight w:val="none"/>
              </w:rPr>
              <w:t>企业信用（含纳税诚信）</w:t>
            </w:r>
          </w:p>
        </w:tc>
        <w:tc>
          <w:tcPr>
            <w:tcW w:w="4678" w:type="dxa"/>
            <w:vAlign w:val="center"/>
          </w:tcPr>
          <w:p>
            <w:pPr>
              <w:spacing w:line="240" w:lineRule="exact"/>
              <w:jc w:val="left"/>
              <w:rPr>
                <w:rFonts w:ascii="Times New Roman"/>
                <w:color w:val="auto"/>
                <w:kern w:val="2"/>
                <w:sz w:val="21"/>
                <w:szCs w:val="21"/>
                <w:highlight w:val="none"/>
              </w:rPr>
            </w:pPr>
            <w:r>
              <w:rPr>
                <w:rFonts w:hint="eastAsia" w:ascii="Times New Roman"/>
                <w:color w:val="auto"/>
                <w:kern w:val="2"/>
                <w:sz w:val="21"/>
                <w:szCs w:val="21"/>
                <w:highlight w:val="none"/>
              </w:rPr>
              <w:t>1、提供企业所在地税务主管部门出具的纳税情况证明，纳税情况良好得2分。</w:t>
            </w:r>
          </w:p>
          <w:p>
            <w:pPr>
              <w:spacing w:line="240" w:lineRule="exact"/>
              <w:jc w:val="left"/>
              <w:rPr>
                <w:rFonts w:ascii="Times New Roman"/>
                <w:color w:val="auto"/>
                <w:kern w:val="2"/>
                <w:sz w:val="21"/>
                <w:szCs w:val="21"/>
                <w:highlight w:val="none"/>
              </w:rPr>
            </w:pPr>
            <w:r>
              <w:rPr>
                <w:rFonts w:hint="eastAsia" w:ascii="Times New Roman"/>
                <w:color w:val="auto"/>
                <w:kern w:val="2"/>
                <w:sz w:val="21"/>
                <w:szCs w:val="21"/>
                <w:highlight w:val="none"/>
              </w:rPr>
              <w:t>2、投标人提供201</w:t>
            </w:r>
            <w:r>
              <w:rPr>
                <w:rFonts w:hint="eastAsia" w:ascii="Times New Roman"/>
                <w:color w:val="auto"/>
                <w:kern w:val="2"/>
                <w:sz w:val="21"/>
                <w:szCs w:val="21"/>
                <w:highlight w:val="none"/>
                <w:lang w:val="en-US" w:eastAsia="zh-CN"/>
              </w:rPr>
              <w:t>7</w:t>
            </w:r>
            <w:r>
              <w:rPr>
                <w:rFonts w:hint="eastAsia" w:ascii="Times New Roman"/>
                <w:color w:val="auto"/>
                <w:kern w:val="2"/>
                <w:sz w:val="21"/>
                <w:szCs w:val="21"/>
                <w:highlight w:val="none"/>
              </w:rPr>
              <w:t>年1月以来信用评级机构出具的有效的企业信用等级证书原件扫描件，等级为AAA级的得2分。</w:t>
            </w:r>
          </w:p>
        </w:tc>
        <w:tc>
          <w:tcPr>
            <w:tcW w:w="1843" w:type="dxa"/>
            <w:vAlign w:val="center"/>
          </w:tcPr>
          <w:p>
            <w:pPr>
              <w:jc w:val="center"/>
              <w:rPr>
                <w:rFonts w:ascii="Times New Roman"/>
                <w:color w:val="auto"/>
                <w:kern w:val="2"/>
                <w:sz w:val="21"/>
                <w:szCs w:val="21"/>
                <w:highlight w:val="none"/>
              </w:rPr>
            </w:pPr>
            <w:r>
              <w:rPr>
                <w:rFonts w:hint="eastAsia" w:ascii="Times New Roman"/>
                <w:color w:val="auto"/>
                <w:kern w:val="2"/>
                <w:sz w:val="21"/>
                <w:szCs w:val="21"/>
                <w:highlight w:val="none"/>
              </w:rPr>
              <w:t>0</w:t>
            </w:r>
            <w:r>
              <w:rPr>
                <w:rFonts w:ascii="Times New Roman"/>
                <w:color w:val="auto"/>
                <w:kern w:val="2"/>
                <w:sz w:val="21"/>
                <w:szCs w:val="21"/>
                <w:highlight w:val="none"/>
              </w:rPr>
              <w:t>≤</w:t>
            </w:r>
            <w:r>
              <w:rPr>
                <w:rFonts w:hint="eastAsia" w:ascii="Times New Roman"/>
                <w:color w:val="auto"/>
                <w:kern w:val="2"/>
                <w:sz w:val="21"/>
                <w:szCs w:val="21"/>
                <w:highlight w:val="none"/>
              </w:rPr>
              <w:t>得分</w:t>
            </w:r>
            <w:r>
              <w:rPr>
                <w:rFonts w:ascii="Times New Roman"/>
                <w:color w:val="auto"/>
                <w:kern w:val="2"/>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730" w:type="dxa"/>
            <w:vAlign w:val="center"/>
          </w:tcPr>
          <w:p>
            <w:pPr>
              <w:jc w:val="center"/>
              <w:rPr>
                <w:rFonts w:ascii="Times New Roman"/>
                <w:color w:val="auto"/>
                <w:kern w:val="2"/>
                <w:sz w:val="21"/>
                <w:szCs w:val="21"/>
                <w:highlight w:val="none"/>
              </w:rPr>
            </w:pPr>
            <w:r>
              <w:rPr>
                <w:rFonts w:ascii="Times New Roman"/>
                <w:color w:val="auto"/>
                <w:kern w:val="2"/>
                <w:sz w:val="21"/>
                <w:szCs w:val="21"/>
                <w:highlight w:val="none"/>
              </w:rPr>
              <w:t>6</w:t>
            </w:r>
          </w:p>
        </w:tc>
        <w:tc>
          <w:tcPr>
            <w:tcW w:w="1417" w:type="dxa"/>
            <w:vAlign w:val="center"/>
          </w:tcPr>
          <w:p>
            <w:pPr>
              <w:spacing w:line="240" w:lineRule="exact"/>
              <w:jc w:val="left"/>
              <w:rPr>
                <w:rFonts w:ascii="Times New Roman"/>
                <w:color w:val="auto"/>
                <w:kern w:val="2"/>
                <w:sz w:val="21"/>
                <w:szCs w:val="21"/>
                <w:highlight w:val="none"/>
              </w:rPr>
            </w:pPr>
            <w:r>
              <w:rPr>
                <w:rFonts w:hint="eastAsia" w:ascii="Times New Roman"/>
                <w:color w:val="auto"/>
                <w:kern w:val="2"/>
                <w:sz w:val="21"/>
                <w:szCs w:val="21"/>
                <w:highlight w:val="none"/>
              </w:rPr>
              <w:t>项目负责人信用</w:t>
            </w:r>
          </w:p>
        </w:tc>
        <w:tc>
          <w:tcPr>
            <w:tcW w:w="4678" w:type="dxa"/>
            <w:vAlign w:val="center"/>
          </w:tcPr>
          <w:p>
            <w:pPr>
              <w:spacing w:line="240" w:lineRule="exact"/>
              <w:jc w:val="left"/>
              <w:rPr>
                <w:rFonts w:ascii="Times New Roman"/>
                <w:color w:val="auto"/>
                <w:kern w:val="2"/>
                <w:sz w:val="21"/>
                <w:szCs w:val="21"/>
                <w:highlight w:val="none"/>
              </w:rPr>
            </w:pPr>
            <w:r>
              <w:rPr>
                <w:rFonts w:hint="eastAsia" w:ascii="Times New Roman"/>
                <w:color w:val="auto"/>
                <w:kern w:val="2"/>
                <w:sz w:val="21"/>
                <w:szCs w:val="21"/>
                <w:highlight w:val="none"/>
              </w:rPr>
              <w:t>201</w:t>
            </w:r>
            <w:r>
              <w:rPr>
                <w:rFonts w:hint="eastAsia" w:ascii="Times New Roman"/>
                <w:color w:val="auto"/>
                <w:kern w:val="2"/>
                <w:sz w:val="21"/>
                <w:szCs w:val="21"/>
                <w:highlight w:val="none"/>
                <w:lang w:val="en-US" w:eastAsia="zh-CN"/>
              </w:rPr>
              <w:t>7</w:t>
            </w:r>
            <w:r>
              <w:rPr>
                <w:rFonts w:hint="eastAsia" w:ascii="Times New Roman"/>
                <w:color w:val="auto"/>
                <w:kern w:val="2"/>
                <w:sz w:val="21"/>
                <w:szCs w:val="21"/>
                <w:highlight w:val="none"/>
              </w:rPr>
              <w:t>年1月1日至今，项目负责人获得过省级及以上奖项或荣誉的得2分；或者项目负责人负责过的项目获得过省级及以上奖项或荣誉的得2分。本项最高得2分。（以有效期内的证书原件扫描件为准）</w:t>
            </w:r>
          </w:p>
        </w:tc>
        <w:tc>
          <w:tcPr>
            <w:tcW w:w="1843" w:type="dxa"/>
            <w:vAlign w:val="center"/>
          </w:tcPr>
          <w:p>
            <w:pPr>
              <w:jc w:val="center"/>
              <w:rPr>
                <w:rFonts w:ascii="Times New Roman"/>
                <w:color w:val="auto"/>
                <w:kern w:val="2"/>
                <w:sz w:val="21"/>
                <w:szCs w:val="21"/>
                <w:highlight w:val="none"/>
              </w:rPr>
            </w:pPr>
            <w:r>
              <w:rPr>
                <w:rFonts w:hint="eastAsia" w:ascii="Times New Roman"/>
                <w:color w:val="auto"/>
                <w:kern w:val="2"/>
                <w:sz w:val="21"/>
                <w:szCs w:val="21"/>
                <w:highlight w:val="none"/>
              </w:rPr>
              <w:t>0</w:t>
            </w:r>
            <w:r>
              <w:rPr>
                <w:rFonts w:ascii="Times New Roman"/>
                <w:color w:val="auto"/>
                <w:kern w:val="2"/>
                <w:sz w:val="21"/>
                <w:szCs w:val="21"/>
                <w:highlight w:val="none"/>
              </w:rPr>
              <w:t>≤</w:t>
            </w:r>
            <w:r>
              <w:rPr>
                <w:rFonts w:hint="eastAsia" w:ascii="Times New Roman"/>
                <w:color w:val="auto"/>
                <w:kern w:val="2"/>
                <w:sz w:val="21"/>
                <w:szCs w:val="21"/>
                <w:highlight w:val="none"/>
              </w:rPr>
              <w:t>得分</w:t>
            </w:r>
            <w:r>
              <w:rPr>
                <w:rFonts w:ascii="Times New Roman"/>
                <w:color w:val="auto"/>
                <w:kern w:val="2"/>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tcPr>
          <w:p>
            <w:pPr>
              <w:jc w:val="center"/>
              <w:rPr>
                <w:rFonts w:ascii="Times New Roman"/>
                <w:color w:val="auto"/>
                <w:kern w:val="2"/>
                <w:sz w:val="21"/>
                <w:szCs w:val="21"/>
              </w:rPr>
            </w:pPr>
            <w:r>
              <w:rPr>
                <w:rFonts w:ascii="Times New Roman"/>
                <w:color w:val="auto"/>
                <w:kern w:val="2"/>
                <w:sz w:val="21"/>
                <w:szCs w:val="21"/>
              </w:rPr>
              <w:t>7</w:t>
            </w:r>
          </w:p>
        </w:tc>
        <w:tc>
          <w:tcPr>
            <w:tcW w:w="1417" w:type="dxa"/>
            <w:vAlign w:val="center"/>
          </w:tcPr>
          <w:p>
            <w:pPr>
              <w:jc w:val="center"/>
              <w:rPr>
                <w:rFonts w:ascii="Times New Roman"/>
                <w:color w:val="auto"/>
                <w:kern w:val="2"/>
                <w:sz w:val="21"/>
                <w:szCs w:val="21"/>
              </w:rPr>
            </w:pPr>
            <w:r>
              <w:rPr>
                <w:rFonts w:hint="eastAsia" w:ascii="Times New Roman"/>
                <w:color w:val="auto"/>
                <w:kern w:val="2"/>
                <w:sz w:val="21"/>
                <w:szCs w:val="21"/>
              </w:rPr>
              <w:t>招标人意见</w:t>
            </w:r>
          </w:p>
        </w:tc>
        <w:tc>
          <w:tcPr>
            <w:tcW w:w="4678" w:type="dxa"/>
            <w:vAlign w:val="center"/>
          </w:tcPr>
          <w:p>
            <w:pPr>
              <w:jc w:val="center"/>
              <w:rPr>
                <w:rFonts w:ascii="Times New Roman"/>
                <w:color w:val="auto"/>
                <w:kern w:val="2"/>
                <w:sz w:val="21"/>
                <w:szCs w:val="21"/>
              </w:rPr>
            </w:pPr>
            <w:r>
              <w:rPr>
                <w:rFonts w:hint="eastAsia" w:ascii="Times New Roman"/>
                <w:color w:val="auto"/>
                <w:kern w:val="2"/>
                <w:sz w:val="21"/>
                <w:szCs w:val="21"/>
              </w:rPr>
              <w:t>招标人意见均为2分</w:t>
            </w:r>
          </w:p>
        </w:tc>
        <w:tc>
          <w:tcPr>
            <w:tcW w:w="1843" w:type="dxa"/>
            <w:vAlign w:val="center"/>
          </w:tcPr>
          <w:p>
            <w:pPr>
              <w:jc w:val="center"/>
              <w:rPr>
                <w:rFonts w:ascii="Times New Roman"/>
                <w:color w:val="auto"/>
                <w:kern w:val="2"/>
                <w:sz w:val="21"/>
                <w:szCs w:val="21"/>
              </w:rPr>
            </w:pPr>
            <w:r>
              <w:rPr>
                <w:rFonts w:ascii="Times New Roman"/>
                <w:color w:val="auto"/>
                <w:kern w:val="2"/>
                <w:sz w:val="21"/>
                <w:szCs w:val="21"/>
              </w:rPr>
              <w:t>0≤</w:t>
            </w:r>
            <w:r>
              <w:rPr>
                <w:rFonts w:hint="eastAsia" w:ascii="Times New Roman"/>
                <w:color w:val="auto"/>
                <w:kern w:val="2"/>
                <w:sz w:val="21"/>
                <w:szCs w:val="21"/>
              </w:rPr>
              <w:t>得分</w:t>
            </w:r>
            <w:r>
              <w:rPr>
                <w:rFonts w:ascii="Times New Roman"/>
                <w:color w:val="auto"/>
                <w:kern w:val="2"/>
                <w:sz w:val="21"/>
                <w:szCs w:val="21"/>
              </w:rPr>
              <w:t>≤2</w:t>
            </w:r>
            <w:r>
              <w:rPr>
                <w:rFonts w:hint="eastAsia" w:ascii="Times New Roman"/>
                <w:color w:val="auto"/>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668" w:type="dxa"/>
            <w:gridSpan w:val="4"/>
            <w:vAlign w:val="center"/>
          </w:tcPr>
          <w:p>
            <w:pPr>
              <w:jc w:val="center"/>
              <w:rPr>
                <w:rFonts w:ascii="Times New Roman"/>
                <w:color w:val="auto"/>
                <w:kern w:val="2"/>
                <w:sz w:val="21"/>
                <w:szCs w:val="21"/>
              </w:rPr>
            </w:pPr>
            <w:r>
              <w:rPr>
                <w:rFonts w:hint="eastAsia" w:ascii="Times New Roman"/>
                <w:color w:val="auto"/>
                <w:kern w:val="2"/>
                <w:sz w:val="21"/>
                <w:szCs w:val="21"/>
              </w:rPr>
              <w:t>以上各项评审内容缺项不得分</w:t>
            </w:r>
          </w:p>
        </w:tc>
      </w:tr>
    </w:tbl>
    <w:p>
      <w:pPr>
        <w:snapToGrid w:val="0"/>
        <w:spacing w:line="420" w:lineRule="exact"/>
        <w:ind w:firstLine="480" w:firstLineChars="200"/>
        <w:rPr>
          <w:rFonts w:hAnsi="宋体" w:cs="宋体"/>
          <w:b/>
          <w:bCs/>
          <w:color w:val="auto"/>
          <w:sz w:val="24"/>
          <w:szCs w:val="22"/>
          <w:highlight w:val="none"/>
        </w:rPr>
      </w:pPr>
      <w:r>
        <w:rPr>
          <w:rFonts w:hint="eastAsia" w:hAnsi="宋体" w:cs="宋体"/>
          <w:b/>
          <w:bCs/>
          <w:color w:val="auto"/>
          <w:sz w:val="24"/>
          <w:highlight w:val="none"/>
        </w:rPr>
        <w:t>注：</w:t>
      </w:r>
      <w:r>
        <w:rPr>
          <w:rFonts w:hint="eastAsia" w:hAnsi="宋体" w:cs="宋体"/>
          <w:b/>
          <w:bCs/>
          <w:color w:val="auto"/>
          <w:sz w:val="24"/>
          <w:szCs w:val="22"/>
          <w:highlight w:val="none"/>
        </w:rPr>
        <w:t>1）近年年份要求：201</w:t>
      </w:r>
      <w:r>
        <w:rPr>
          <w:rFonts w:hint="eastAsia" w:hAnsi="宋体" w:cs="宋体"/>
          <w:b/>
          <w:bCs/>
          <w:color w:val="auto"/>
          <w:sz w:val="24"/>
          <w:szCs w:val="22"/>
          <w:highlight w:val="none"/>
          <w:lang w:val="en-US" w:eastAsia="zh-CN"/>
        </w:rPr>
        <w:t>7</w:t>
      </w:r>
      <w:r>
        <w:rPr>
          <w:rFonts w:hint="eastAsia" w:hAnsi="宋体" w:cs="宋体"/>
          <w:b/>
          <w:bCs/>
          <w:color w:val="auto"/>
          <w:sz w:val="24"/>
          <w:szCs w:val="22"/>
          <w:highlight w:val="none"/>
        </w:rPr>
        <w:t>年1月1日以来；</w:t>
      </w:r>
    </w:p>
    <w:p>
      <w:pPr>
        <w:snapToGrid w:val="0"/>
        <w:spacing w:line="420" w:lineRule="exact"/>
        <w:ind w:firstLine="960" w:firstLineChars="400"/>
        <w:rPr>
          <w:rFonts w:hAnsi="宋体" w:cs="宋体"/>
          <w:b/>
          <w:bCs/>
          <w:color w:val="0000FF"/>
          <w:sz w:val="24"/>
          <w:szCs w:val="22"/>
          <w:highlight w:val="none"/>
        </w:rPr>
      </w:pPr>
      <w:r>
        <w:rPr>
          <w:rFonts w:hint="eastAsia" w:hAnsi="宋体" w:cs="宋体"/>
          <w:b/>
          <w:bCs/>
          <w:color w:val="auto"/>
          <w:sz w:val="24"/>
          <w:szCs w:val="22"/>
          <w:highlight w:val="none"/>
        </w:rPr>
        <w:t>2）类似工程：</w:t>
      </w:r>
      <w:r>
        <w:rPr>
          <w:rFonts w:hint="eastAsia" w:hAnsi="宋体" w:cs="宋体"/>
          <w:b/>
          <w:bCs/>
          <w:color w:val="auto"/>
          <w:sz w:val="24"/>
          <w:szCs w:val="22"/>
          <w:highlight w:val="none"/>
          <w:lang w:val="en-US" w:eastAsia="zh-CN"/>
        </w:rPr>
        <w:t>指2017年1月1日以来承建过的机电安装类项目。</w:t>
      </w:r>
    </w:p>
    <w:p>
      <w:pPr>
        <w:snapToGrid w:val="0"/>
        <w:spacing w:line="420" w:lineRule="exact"/>
        <w:ind w:firstLine="960" w:firstLineChars="400"/>
        <w:rPr>
          <w:rFonts w:hAnsi="宋体" w:cs="宋体"/>
          <w:b/>
          <w:bCs/>
          <w:color w:val="auto"/>
          <w:sz w:val="24"/>
          <w:szCs w:val="22"/>
          <w:highlight w:val="none"/>
        </w:rPr>
      </w:pPr>
      <w:r>
        <w:rPr>
          <w:rFonts w:hint="eastAsia" w:hAnsi="宋体" w:cs="宋体"/>
          <w:b/>
          <w:bCs/>
          <w:color w:val="auto"/>
          <w:sz w:val="24"/>
          <w:szCs w:val="22"/>
          <w:highlight w:val="none"/>
        </w:rPr>
        <w:t>3）业绩合同以合同签订日期为准；</w:t>
      </w:r>
    </w:p>
    <w:p>
      <w:pPr>
        <w:snapToGrid w:val="0"/>
        <w:spacing w:line="420" w:lineRule="exact"/>
        <w:ind w:firstLine="960" w:firstLineChars="400"/>
        <w:rPr>
          <w:rFonts w:hint="eastAsia" w:hAnsi="宋体" w:cs="宋体" w:eastAsiaTheme="minorEastAsia"/>
          <w:b/>
          <w:bCs/>
          <w:color w:val="auto"/>
          <w:sz w:val="24"/>
          <w:szCs w:val="22"/>
          <w:highlight w:val="none"/>
          <w:lang w:eastAsia="zh-CN"/>
        </w:rPr>
      </w:pPr>
      <w:r>
        <w:rPr>
          <w:rFonts w:hint="eastAsia" w:hAnsi="宋体" w:cs="宋体"/>
          <w:b/>
          <w:bCs/>
          <w:color w:val="auto"/>
          <w:sz w:val="24"/>
          <w:szCs w:val="22"/>
          <w:highlight w:val="none"/>
        </w:rPr>
        <w:t>4）企业业绩和建造师业绩不可累计使用</w:t>
      </w:r>
      <w:r>
        <w:rPr>
          <w:rFonts w:hint="eastAsia" w:hAnsi="宋体" w:cs="宋体"/>
          <w:b/>
          <w:bCs/>
          <w:color w:val="auto"/>
          <w:sz w:val="24"/>
          <w:szCs w:val="22"/>
          <w:highlight w:val="none"/>
          <w:lang w:eastAsia="zh-CN"/>
        </w:rPr>
        <w:t>。</w:t>
      </w:r>
    </w:p>
    <w:p>
      <w:pPr>
        <w:snapToGrid w:val="0"/>
        <w:spacing w:line="420" w:lineRule="exact"/>
        <w:ind w:firstLine="240" w:firstLineChars="100"/>
        <w:rPr>
          <w:rFonts w:hAnsi="宋体" w:cs="宋体"/>
          <w:b/>
          <w:bCs/>
          <w:color w:val="auto"/>
          <w:sz w:val="24"/>
          <w:szCs w:val="22"/>
        </w:rPr>
      </w:pPr>
      <w:r>
        <w:rPr>
          <w:rFonts w:hint="eastAsia" w:hAnsi="宋体" w:cs="宋体"/>
          <w:b/>
          <w:bCs/>
          <w:color w:val="auto"/>
          <w:sz w:val="24"/>
          <w:szCs w:val="22"/>
        </w:rPr>
        <w:t>（四）投标人综合得分按下列公式计算：</w:t>
      </w:r>
    </w:p>
    <w:p>
      <w:pPr>
        <w:snapToGrid w:val="0"/>
        <w:spacing w:line="420" w:lineRule="exact"/>
        <w:ind w:firstLine="960" w:firstLineChars="400"/>
        <w:rPr>
          <w:rFonts w:hAnsi="宋体" w:cs="宋体"/>
          <w:b/>
          <w:bCs/>
          <w:color w:val="auto"/>
          <w:sz w:val="24"/>
          <w:szCs w:val="22"/>
        </w:rPr>
      </w:pPr>
      <w:r>
        <w:rPr>
          <w:rFonts w:hint="eastAsia" w:hAnsi="宋体" w:cs="宋体"/>
          <w:color w:val="auto"/>
          <w:sz w:val="24"/>
          <w:szCs w:val="24"/>
        </w:rPr>
        <w:t>投标人综合得分＝技术标得分＋商务标得分＋综合（信用）标得分。</w:t>
      </w:r>
    </w:p>
    <w:p>
      <w:pPr>
        <w:snapToGrid w:val="0"/>
        <w:spacing w:line="420" w:lineRule="exact"/>
        <w:ind w:firstLine="240" w:firstLineChars="100"/>
        <w:rPr>
          <w:rFonts w:hAnsi="宋体" w:cs="宋体"/>
          <w:b/>
          <w:bCs/>
          <w:color w:val="auto"/>
          <w:sz w:val="24"/>
          <w:szCs w:val="22"/>
        </w:rPr>
      </w:pPr>
      <w:r>
        <w:rPr>
          <w:rFonts w:hint="eastAsia" w:hAnsi="宋体" w:cs="宋体"/>
          <w:b/>
          <w:bCs/>
          <w:color w:val="auto"/>
          <w:sz w:val="24"/>
          <w:szCs w:val="22"/>
        </w:rPr>
        <w:t>（五）投标人的最终得分及中标候选人排序</w:t>
      </w:r>
    </w:p>
    <w:p>
      <w:pPr>
        <w:adjustRightInd w:val="0"/>
        <w:snapToGrid w:val="0"/>
        <w:spacing w:line="440" w:lineRule="exact"/>
        <w:ind w:firstLine="480"/>
        <w:rPr>
          <w:rFonts w:hAnsi="宋体" w:cs="宋体"/>
          <w:color w:val="auto"/>
          <w:sz w:val="24"/>
          <w:szCs w:val="24"/>
        </w:rPr>
      </w:pPr>
      <w:r>
        <w:rPr>
          <w:rFonts w:hint="eastAsia" w:hAnsi="宋体" w:cs="宋体"/>
          <w:color w:val="auto"/>
          <w:sz w:val="24"/>
          <w:szCs w:val="24"/>
        </w:rPr>
        <w:t>1.评标委员会完成对技术标、商务标和综合（信用）标的汇总后，从中去掉一个最高分和一个最低分，取平均值作为该投标人的最终得分。计算分值均保留两位小数。</w:t>
      </w:r>
    </w:p>
    <w:p>
      <w:pPr>
        <w:adjustRightInd w:val="0"/>
        <w:snapToGrid w:val="0"/>
        <w:spacing w:line="440" w:lineRule="exact"/>
        <w:ind w:firstLine="480"/>
        <w:rPr>
          <w:rFonts w:hAnsi="宋体" w:cs="宋体"/>
          <w:color w:val="auto"/>
          <w:sz w:val="24"/>
          <w:szCs w:val="24"/>
        </w:rPr>
      </w:pPr>
      <w:r>
        <w:rPr>
          <w:rFonts w:hint="eastAsia" w:hAnsi="宋体" w:cs="宋体"/>
          <w:color w:val="auto"/>
          <w:sz w:val="24"/>
          <w:szCs w:val="24"/>
        </w:rPr>
        <w:t>评标委员会人数在5人以上时，去掉一个最高分和一个最低分取平均值；评标委员会人数在5人时，取所有评委评分的平均值。</w:t>
      </w:r>
    </w:p>
    <w:p>
      <w:pPr>
        <w:adjustRightInd w:val="0"/>
        <w:snapToGrid w:val="0"/>
        <w:spacing w:line="440" w:lineRule="exact"/>
        <w:ind w:firstLine="480"/>
        <w:rPr>
          <w:rFonts w:hAnsi="宋体" w:cs="宋体"/>
          <w:color w:val="auto"/>
          <w:sz w:val="24"/>
          <w:szCs w:val="24"/>
        </w:rPr>
      </w:pPr>
      <w:r>
        <w:rPr>
          <w:rFonts w:hint="eastAsia" w:hAnsi="宋体" w:cs="宋体"/>
          <w:color w:val="auto"/>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adjustRightInd w:val="0"/>
        <w:snapToGrid w:val="0"/>
        <w:spacing w:line="440" w:lineRule="exact"/>
        <w:ind w:firstLine="480"/>
        <w:rPr>
          <w:rFonts w:hint="eastAsia" w:hAnsi="宋体" w:cs="宋体"/>
          <w:b/>
          <w:bCs/>
          <w:color w:val="auto"/>
          <w:sz w:val="24"/>
          <w:szCs w:val="24"/>
        </w:rPr>
      </w:pPr>
      <w:r>
        <w:rPr>
          <w:rFonts w:hint="eastAsia" w:hAnsi="宋体" w:cs="宋体"/>
          <w:b/>
          <w:bCs/>
          <w:color w:val="auto"/>
          <w:sz w:val="24"/>
          <w:szCs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36" w:lineRule="auto"/>
        <w:ind w:firstLine="480" w:firstLineChars="200"/>
        <w:rPr>
          <w:rFonts w:ascii="新宋体" w:eastAsia="新宋体" w:cs="宋体"/>
          <w:b/>
          <w:color w:val="auto"/>
          <w:sz w:val="24"/>
        </w:rPr>
      </w:pPr>
      <w:r>
        <w:rPr>
          <w:rFonts w:hint="eastAsia" w:ascii="新宋体" w:eastAsia="新宋体" w:cs="宋体"/>
          <w:b/>
          <w:color w:val="auto"/>
          <w:sz w:val="24"/>
        </w:rPr>
        <w:t>八、定标</w:t>
      </w:r>
    </w:p>
    <w:p>
      <w:pPr>
        <w:snapToGrid w:val="0"/>
        <w:spacing w:line="336" w:lineRule="auto"/>
        <w:ind w:firstLine="480" w:firstLineChars="200"/>
        <w:rPr>
          <w:rFonts w:ascii="新宋体" w:eastAsia="新宋体"/>
          <w:b/>
          <w:color w:val="auto"/>
          <w:sz w:val="24"/>
        </w:rPr>
      </w:pPr>
      <w:r>
        <w:rPr>
          <w:rFonts w:hint="eastAsia" w:ascii="新宋体" w:eastAsia="新宋体"/>
          <w:color w:val="auto"/>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snapToGrid w:val="0"/>
        <w:spacing w:line="336" w:lineRule="auto"/>
        <w:ind w:firstLine="480" w:firstLineChars="200"/>
        <w:rPr>
          <w:rFonts w:ascii="新宋体" w:eastAsia="新宋体" w:cs="宋体"/>
          <w:b/>
          <w:color w:val="auto"/>
          <w:sz w:val="24"/>
        </w:rPr>
      </w:pPr>
      <w:bookmarkStart w:id="73" w:name="_Toc23277"/>
      <w:r>
        <w:rPr>
          <w:rFonts w:hint="eastAsia" w:ascii="新宋体" w:eastAsia="新宋体" w:cs="宋体"/>
          <w:b/>
          <w:color w:val="auto"/>
          <w:sz w:val="24"/>
        </w:rPr>
        <w:t>九、评标报告</w:t>
      </w:r>
      <w:bookmarkEnd w:id="73"/>
    </w:p>
    <w:p>
      <w:pPr>
        <w:snapToGrid w:val="0"/>
        <w:spacing w:line="336" w:lineRule="auto"/>
        <w:ind w:firstLine="480" w:firstLineChars="200"/>
        <w:rPr>
          <w:rFonts w:ascii="新宋体" w:eastAsia="新宋体"/>
          <w:color w:val="auto"/>
          <w:sz w:val="24"/>
        </w:rPr>
      </w:pPr>
      <w:r>
        <w:rPr>
          <w:rFonts w:hint="eastAsia" w:ascii="新宋体" w:eastAsia="新宋体"/>
          <w:color w:val="auto"/>
          <w:sz w:val="24"/>
        </w:rPr>
        <w:t>评标委员会根据投标人须知前附表7.1条的规定向招标人提交评标报告。评标报告应当由全体评标委员会成员签字，并于评标结束时抄送有关行政监督部门。</w:t>
      </w:r>
    </w:p>
    <w:p>
      <w:pPr>
        <w:pStyle w:val="21"/>
        <w:keepNext w:val="0"/>
        <w:keepLines w:val="0"/>
        <w:snapToGrid w:val="0"/>
        <w:spacing w:line="336" w:lineRule="auto"/>
        <w:ind w:firstLine="480" w:firstLineChars="200"/>
        <w:outlineLvl w:val="9"/>
        <w:rPr>
          <w:rFonts w:ascii="新宋体" w:eastAsia="新宋体"/>
          <w:b/>
          <w:color w:val="auto"/>
          <w:szCs w:val="24"/>
        </w:rPr>
      </w:pPr>
      <w:bookmarkStart w:id="74" w:name="_Toc8686"/>
      <w:r>
        <w:rPr>
          <w:rFonts w:hint="eastAsia" w:ascii="新宋体" w:eastAsia="新宋体"/>
          <w:b/>
          <w:color w:val="auto"/>
        </w:rPr>
        <w:t>十、</w:t>
      </w:r>
      <w:r>
        <w:rPr>
          <w:rFonts w:hint="eastAsia" w:ascii="新宋体" w:eastAsia="新宋体"/>
          <w:b/>
          <w:color w:val="auto"/>
          <w:szCs w:val="24"/>
        </w:rPr>
        <w:t>公示</w:t>
      </w:r>
      <w:bookmarkEnd w:id="74"/>
    </w:p>
    <w:p>
      <w:pPr>
        <w:snapToGrid w:val="0"/>
        <w:spacing w:line="336" w:lineRule="auto"/>
        <w:ind w:firstLine="480" w:firstLineChars="200"/>
        <w:rPr>
          <w:rFonts w:ascii="新宋体" w:eastAsia="新宋体"/>
          <w:color w:val="auto"/>
          <w:sz w:val="24"/>
        </w:rPr>
      </w:pPr>
      <w:r>
        <w:rPr>
          <w:rFonts w:hint="eastAsia" w:ascii="新宋体" w:eastAsia="新宋体"/>
          <w:color w:val="auto"/>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36" w:lineRule="auto"/>
        <w:ind w:firstLine="480" w:firstLineChars="200"/>
        <w:rPr>
          <w:rFonts w:ascii="新宋体" w:eastAsia="新宋体"/>
          <w:b/>
          <w:color w:val="auto"/>
          <w:sz w:val="24"/>
        </w:rPr>
      </w:pPr>
      <w:r>
        <w:rPr>
          <w:rFonts w:hint="eastAsia" w:ascii="新宋体" w:eastAsia="新宋体"/>
          <w:b/>
          <w:color w:val="auto"/>
          <w:sz w:val="24"/>
        </w:rPr>
        <w:t>十一、特殊情况的处置程序</w:t>
      </w:r>
    </w:p>
    <w:p>
      <w:pPr>
        <w:snapToGrid w:val="0"/>
        <w:spacing w:line="336" w:lineRule="auto"/>
        <w:ind w:firstLine="480" w:firstLineChars="200"/>
        <w:rPr>
          <w:rFonts w:ascii="新宋体" w:eastAsia="新宋体"/>
          <w:b/>
          <w:color w:val="auto"/>
          <w:sz w:val="24"/>
        </w:rPr>
      </w:pPr>
      <w:r>
        <w:rPr>
          <w:rFonts w:hint="eastAsia" w:ascii="新宋体" w:eastAsia="新宋体"/>
          <w:b/>
          <w:color w:val="auto"/>
          <w:sz w:val="24"/>
        </w:rPr>
        <w:t>11.1关于澄清、说明或补正</w:t>
      </w:r>
    </w:p>
    <w:p>
      <w:pPr>
        <w:snapToGrid w:val="0"/>
        <w:spacing w:line="336" w:lineRule="auto"/>
        <w:ind w:firstLine="480" w:firstLineChars="200"/>
        <w:rPr>
          <w:rFonts w:ascii="新宋体" w:eastAsia="新宋体"/>
          <w:color w:val="auto"/>
          <w:sz w:val="24"/>
        </w:rPr>
      </w:pPr>
      <w:r>
        <w:rPr>
          <w:rFonts w:hint="eastAsia" w:ascii="新宋体" w:eastAsia="新宋体"/>
          <w:color w:val="auto"/>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36" w:lineRule="auto"/>
        <w:ind w:firstLine="480" w:firstLineChars="200"/>
        <w:rPr>
          <w:rFonts w:ascii="新宋体" w:eastAsia="新宋体"/>
          <w:b/>
          <w:color w:val="auto"/>
          <w:sz w:val="24"/>
        </w:rPr>
      </w:pPr>
      <w:r>
        <w:rPr>
          <w:rFonts w:hint="eastAsia" w:ascii="新宋体" w:eastAsia="新宋体"/>
          <w:b/>
          <w:color w:val="auto"/>
          <w:sz w:val="24"/>
        </w:rPr>
        <w:t>11.2关于评标活动暂停</w:t>
      </w:r>
    </w:p>
    <w:p>
      <w:pPr>
        <w:adjustRightInd w:val="0"/>
        <w:snapToGrid w:val="0"/>
        <w:spacing w:line="440" w:lineRule="exact"/>
        <w:ind w:firstLine="480"/>
        <w:rPr>
          <w:rFonts w:hAnsi="宋体" w:cs="宋体"/>
          <w:color w:val="auto"/>
          <w:sz w:val="24"/>
          <w:szCs w:val="24"/>
        </w:rPr>
      </w:pPr>
      <w:r>
        <w:rPr>
          <w:rFonts w:hint="eastAsia" w:hAnsi="宋体" w:cs="宋体"/>
          <w:color w:val="auto"/>
          <w:sz w:val="24"/>
          <w:szCs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rPr>
          <w:rFonts w:hAnsi="宋体" w:cs="宋体"/>
          <w:color w:val="auto"/>
          <w:sz w:val="24"/>
          <w:szCs w:val="24"/>
        </w:rPr>
      </w:pPr>
      <w:r>
        <w:rPr>
          <w:rFonts w:hint="eastAsia" w:hAnsi="宋体" w:cs="宋体"/>
          <w:color w:val="auto"/>
          <w:sz w:val="24"/>
          <w:szCs w:val="24"/>
        </w:rPr>
        <w:t>11.2.2发生评标暂停情况时，评标委员会应当封存全部投标文件和评标记录，待不可抗力的影响结束且具备继续评标的条件时，由原评标委员会继续评标。</w:t>
      </w:r>
    </w:p>
    <w:p>
      <w:pPr>
        <w:snapToGrid w:val="0"/>
        <w:spacing w:line="336" w:lineRule="auto"/>
        <w:ind w:firstLine="480" w:firstLineChars="200"/>
        <w:rPr>
          <w:rFonts w:ascii="新宋体" w:eastAsia="新宋体"/>
          <w:b/>
          <w:color w:val="auto"/>
          <w:sz w:val="24"/>
        </w:rPr>
      </w:pPr>
      <w:r>
        <w:rPr>
          <w:rFonts w:hint="eastAsia" w:ascii="新宋体" w:eastAsia="新宋体"/>
          <w:b/>
          <w:color w:val="auto"/>
          <w:sz w:val="24"/>
        </w:rPr>
        <w:t>11.3关于评标中途更换评标委员会成员</w:t>
      </w:r>
    </w:p>
    <w:p>
      <w:pPr>
        <w:adjustRightInd w:val="0"/>
        <w:snapToGrid w:val="0"/>
        <w:spacing w:line="440" w:lineRule="exact"/>
        <w:ind w:firstLine="480"/>
        <w:rPr>
          <w:rFonts w:hAnsi="宋体" w:cs="宋体"/>
          <w:color w:val="auto"/>
          <w:sz w:val="24"/>
          <w:szCs w:val="24"/>
        </w:rPr>
      </w:pPr>
      <w:r>
        <w:rPr>
          <w:rFonts w:hint="eastAsia" w:hAnsi="宋体" w:cs="宋体"/>
          <w:color w:val="auto"/>
          <w:sz w:val="24"/>
          <w:szCs w:val="24"/>
        </w:rPr>
        <w:t>11.3.1除非发生下列情况之一，评标委员会成员不得在评标中途更换：</w:t>
      </w:r>
    </w:p>
    <w:p>
      <w:pPr>
        <w:adjustRightInd w:val="0"/>
        <w:snapToGrid w:val="0"/>
        <w:spacing w:line="440" w:lineRule="exact"/>
        <w:ind w:firstLine="480"/>
        <w:rPr>
          <w:rFonts w:hAnsi="宋体" w:cs="宋体"/>
          <w:color w:val="auto"/>
          <w:sz w:val="24"/>
          <w:szCs w:val="24"/>
        </w:rPr>
      </w:pPr>
      <w:r>
        <w:rPr>
          <w:rFonts w:hint="eastAsia" w:hAnsi="宋体" w:cs="宋体"/>
          <w:color w:val="auto"/>
          <w:sz w:val="24"/>
          <w:szCs w:val="24"/>
        </w:rPr>
        <w:t>（1）因不可抗拒的客观原因，不能到场或需在评标中途退出评标活动。</w:t>
      </w:r>
    </w:p>
    <w:p>
      <w:pPr>
        <w:adjustRightInd w:val="0"/>
        <w:snapToGrid w:val="0"/>
        <w:spacing w:line="440" w:lineRule="exact"/>
        <w:ind w:firstLine="480"/>
        <w:rPr>
          <w:rFonts w:hAnsi="宋体" w:cs="宋体"/>
          <w:color w:val="auto"/>
          <w:sz w:val="24"/>
          <w:szCs w:val="24"/>
        </w:rPr>
      </w:pPr>
      <w:r>
        <w:rPr>
          <w:rFonts w:hint="eastAsia" w:hAnsi="宋体" w:cs="宋体"/>
          <w:color w:val="auto"/>
          <w:sz w:val="24"/>
          <w:szCs w:val="24"/>
        </w:rPr>
        <w:t>（2）根据法律法规规定，某个或某几个评标委员会成员需要回避。</w:t>
      </w:r>
    </w:p>
    <w:p>
      <w:pPr>
        <w:adjustRightInd w:val="0"/>
        <w:snapToGrid w:val="0"/>
        <w:spacing w:line="440" w:lineRule="exact"/>
        <w:ind w:firstLine="480"/>
        <w:rPr>
          <w:rFonts w:hAnsi="宋体" w:cs="宋体"/>
          <w:color w:val="auto"/>
          <w:sz w:val="24"/>
          <w:szCs w:val="24"/>
        </w:rPr>
      </w:pPr>
      <w:r>
        <w:rPr>
          <w:rFonts w:hint="eastAsia" w:hAnsi="宋体" w:cs="宋体"/>
          <w:color w:val="auto"/>
          <w:sz w:val="24"/>
          <w:szCs w:val="24"/>
        </w:rPr>
        <w:t>11.3.2退出评标的评标委员会成员，其已完成的评标行为无效。由招标人根据本招标文件规定的评标委员会成员产生方式另行确定替代者进行评标。</w:t>
      </w:r>
    </w:p>
    <w:p>
      <w:pPr>
        <w:snapToGrid w:val="0"/>
        <w:spacing w:line="336" w:lineRule="auto"/>
        <w:ind w:firstLine="480" w:firstLineChars="200"/>
        <w:rPr>
          <w:rFonts w:ascii="新宋体" w:eastAsia="新宋体"/>
          <w:b/>
          <w:color w:val="auto"/>
          <w:sz w:val="24"/>
        </w:rPr>
      </w:pPr>
      <w:r>
        <w:rPr>
          <w:rFonts w:hint="eastAsia" w:ascii="新宋体" w:eastAsia="新宋体"/>
          <w:b/>
          <w:color w:val="auto"/>
          <w:sz w:val="24"/>
        </w:rPr>
        <w:t>11.4记名投票</w:t>
      </w:r>
    </w:p>
    <w:p>
      <w:pPr>
        <w:snapToGrid w:val="0"/>
        <w:spacing w:line="336" w:lineRule="auto"/>
        <w:ind w:firstLine="480" w:firstLineChars="200"/>
        <w:rPr>
          <w:rFonts w:ascii="新宋体" w:eastAsia="新宋体"/>
          <w:color w:val="auto"/>
          <w:sz w:val="24"/>
        </w:rPr>
      </w:pPr>
      <w:r>
        <w:rPr>
          <w:rFonts w:hint="eastAsia" w:ascii="新宋体" w:eastAsia="新宋体"/>
          <w:color w:val="auto"/>
          <w:sz w:val="24"/>
        </w:rPr>
        <w:t>在任何评标环节中，需评标委员会就某项定性的评审结论做出表决的，由评标委员会全体成员按照少数服从多数的原则，以记名投票方式表决。</w:t>
      </w:r>
    </w:p>
    <w:p>
      <w:pPr>
        <w:snapToGrid w:val="0"/>
        <w:spacing w:line="336" w:lineRule="auto"/>
        <w:ind w:firstLine="480" w:firstLineChars="200"/>
        <w:rPr>
          <w:b/>
          <w:color w:val="auto"/>
          <w:sz w:val="24"/>
        </w:rPr>
      </w:pPr>
      <w:r>
        <w:rPr>
          <w:rFonts w:hint="eastAsia"/>
          <w:b/>
          <w:color w:val="auto"/>
          <w:sz w:val="24"/>
        </w:rPr>
        <w:t>11.5评标委员会对评标结果有异议的</w:t>
      </w:r>
    </w:p>
    <w:p>
      <w:pPr>
        <w:snapToGrid w:val="0"/>
        <w:spacing w:line="336" w:lineRule="auto"/>
        <w:ind w:firstLine="468" w:firstLineChars="200"/>
        <w:jc w:val="left"/>
        <w:rPr>
          <w:rFonts w:hAnsi="宋体" w:cs="黑体"/>
          <w:b/>
          <w:color w:val="auto"/>
          <w:sz w:val="36"/>
          <w:szCs w:val="36"/>
        </w:rPr>
      </w:pPr>
      <w:r>
        <w:rPr>
          <w:rFonts w:hint="eastAsia"/>
          <w:color w:val="auto"/>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pPr>
        <w:adjustRightInd w:val="0"/>
        <w:snapToGrid w:val="0"/>
        <w:spacing w:line="430" w:lineRule="exact"/>
        <w:rPr>
          <w:rFonts w:hAnsi="宋体" w:cs="宋体"/>
          <w:color w:val="auto"/>
          <w:spacing w:val="-3"/>
          <w:sz w:val="24"/>
        </w:rPr>
      </w:pPr>
    </w:p>
    <w:p>
      <w:pPr>
        <w:adjustRightInd w:val="0"/>
        <w:snapToGrid w:val="0"/>
        <w:spacing w:line="440" w:lineRule="exact"/>
        <w:ind w:firstLine="468" w:firstLineChars="200"/>
        <w:rPr>
          <w:rFonts w:hAnsi="宋体" w:cs="宋体"/>
          <w:color w:val="auto"/>
          <w:spacing w:val="-3"/>
          <w:sz w:val="24"/>
        </w:rPr>
      </w:pPr>
    </w:p>
    <w:p>
      <w:pPr>
        <w:adjustRightInd w:val="0"/>
        <w:snapToGrid w:val="0"/>
        <w:spacing w:line="440" w:lineRule="exact"/>
        <w:ind w:firstLine="468" w:firstLineChars="200"/>
        <w:rPr>
          <w:rFonts w:hAnsi="宋体" w:cs="宋体"/>
          <w:color w:val="auto"/>
          <w:spacing w:val="-3"/>
          <w:sz w:val="24"/>
        </w:rPr>
      </w:pPr>
    </w:p>
    <w:p>
      <w:pPr>
        <w:adjustRightInd w:val="0"/>
        <w:snapToGrid w:val="0"/>
        <w:spacing w:line="440" w:lineRule="exact"/>
        <w:ind w:firstLine="468" w:firstLineChars="200"/>
        <w:jc w:val="center"/>
        <w:rPr>
          <w:rFonts w:hAnsi="宋体" w:cs="宋体"/>
          <w:color w:val="auto"/>
          <w:spacing w:val="-3"/>
          <w:sz w:val="24"/>
        </w:rPr>
      </w:pPr>
    </w:p>
    <w:p>
      <w:pPr>
        <w:adjustRightInd w:val="0"/>
        <w:snapToGrid w:val="0"/>
        <w:spacing w:line="440" w:lineRule="exact"/>
        <w:jc w:val="center"/>
        <w:rPr>
          <w:rFonts w:hint="eastAsia" w:hAnsi="宋体" w:cs="宋体"/>
          <w:b/>
          <w:color w:val="auto"/>
          <w:sz w:val="36"/>
          <w:szCs w:val="36"/>
        </w:rPr>
      </w:pPr>
    </w:p>
    <w:p>
      <w:pPr>
        <w:adjustRightInd w:val="0"/>
        <w:snapToGrid w:val="0"/>
        <w:spacing w:line="440" w:lineRule="exact"/>
        <w:jc w:val="center"/>
        <w:rPr>
          <w:rFonts w:hint="eastAsia" w:hAnsi="宋体" w:cs="宋体"/>
          <w:b/>
          <w:color w:val="auto"/>
          <w:sz w:val="36"/>
          <w:szCs w:val="36"/>
        </w:rPr>
      </w:pPr>
    </w:p>
    <w:p>
      <w:pPr>
        <w:adjustRightInd w:val="0"/>
        <w:snapToGrid w:val="0"/>
        <w:spacing w:line="440" w:lineRule="exact"/>
        <w:jc w:val="center"/>
        <w:rPr>
          <w:rFonts w:hint="eastAsia" w:hAnsi="宋体" w:cs="宋体"/>
          <w:b/>
          <w:color w:val="auto"/>
          <w:sz w:val="36"/>
          <w:szCs w:val="36"/>
        </w:rPr>
      </w:pPr>
    </w:p>
    <w:p>
      <w:pPr>
        <w:adjustRightInd w:val="0"/>
        <w:snapToGrid w:val="0"/>
        <w:spacing w:line="440" w:lineRule="exact"/>
        <w:jc w:val="center"/>
        <w:rPr>
          <w:rFonts w:hAnsi="宋体" w:cs="宋体"/>
          <w:b/>
          <w:color w:val="auto"/>
          <w:sz w:val="36"/>
          <w:szCs w:val="36"/>
        </w:rPr>
      </w:pPr>
      <w:r>
        <w:rPr>
          <w:rFonts w:hint="eastAsia" w:hAnsi="宋体" w:cs="宋体"/>
          <w:b/>
          <w:color w:val="auto"/>
          <w:sz w:val="36"/>
          <w:szCs w:val="36"/>
        </w:rPr>
        <w:t>第四章 合同条款</w:t>
      </w:r>
      <w:bookmarkEnd w:id="67"/>
    </w:p>
    <w:p>
      <w:pPr>
        <w:tabs>
          <w:tab w:val="left" w:pos="5000"/>
        </w:tabs>
        <w:spacing w:line="360" w:lineRule="auto"/>
        <w:ind w:firstLine="490"/>
        <w:rPr>
          <w:rFonts w:hAnsi="宋体" w:cs="宋体"/>
          <w:bCs/>
          <w:color w:val="auto"/>
          <w:sz w:val="28"/>
          <w:szCs w:val="28"/>
        </w:rPr>
      </w:pPr>
      <w:bookmarkStart w:id="75" w:name="_Toc278443514"/>
    </w:p>
    <w:p>
      <w:pPr>
        <w:tabs>
          <w:tab w:val="left" w:pos="5000"/>
        </w:tabs>
        <w:spacing w:line="360" w:lineRule="auto"/>
        <w:ind w:firstLine="490"/>
        <w:rPr>
          <w:rFonts w:hAnsi="宋体" w:cs="宋体"/>
          <w:b/>
          <w:color w:val="auto"/>
          <w:sz w:val="32"/>
          <w:szCs w:val="32"/>
        </w:rPr>
      </w:pPr>
      <w:r>
        <w:rPr>
          <w:rFonts w:hint="eastAsia" w:hAnsi="宋体" w:cs="宋体"/>
          <w:bCs/>
          <w:color w:val="auto"/>
          <w:sz w:val="28"/>
          <w:szCs w:val="28"/>
        </w:rPr>
        <w:t>采用由中华人民共和国住房和城乡建设部与国家工商行政管理局联合制定的《建设工程施工合同》(GF2017-0201)签订合</w:t>
      </w:r>
      <w:bookmarkEnd w:id="75"/>
      <w:bookmarkStart w:id="76" w:name="_Toc278443518"/>
      <w:r>
        <w:rPr>
          <w:rFonts w:hint="eastAsia" w:hAnsi="宋体" w:cs="宋体"/>
          <w:bCs/>
          <w:color w:val="auto"/>
          <w:sz w:val="28"/>
          <w:szCs w:val="28"/>
        </w:rPr>
        <w:t>同。</w:t>
      </w: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jc w:val="center"/>
        <w:outlineLvl w:val="0"/>
        <w:rPr>
          <w:rFonts w:hint="eastAsia" w:hAnsi="宋体" w:cs="宋体"/>
          <w:b/>
          <w:color w:val="auto"/>
          <w:sz w:val="36"/>
          <w:szCs w:val="36"/>
        </w:rPr>
      </w:pPr>
    </w:p>
    <w:p>
      <w:pPr>
        <w:autoSpaceDE w:val="0"/>
        <w:autoSpaceDN w:val="0"/>
        <w:adjustRightInd w:val="0"/>
        <w:jc w:val="center"/>
        <w:outlineLvl w:val="0"/>
        <w:rPr>
          <w:rFonts w:hint="eastAsia" w:hAnsi="宋体" w:cs="宋体"/>
          <w:b/>
          <w:color w:val="auto"/>
          <w:sz w:val="36"/>
          <w:szCs w:val="36"/>
        </w:rPr>
      </w:pPr>
    </w:p>
    <w:p>
      <w:pPr>
        <w:autoSpaceDE w:val="0"/>
        <w:autoSpaceDN w:val="0"/>
        <w:adjustRightInd w:val="0"/>
        <w:jc w:val="center"/>
        <w:outlineLvl w:val="0"/>
        <w:rPr>
          <w:rFonts w:hint="eastAsia" w:hAnsi="宋体" w:cs="宋体"/>
          <w:b/>
          <w:color w:val="auto"/>
          <w:sz w:val="36"/>
          <w:szCs w:val="36"/>
        </w:rPr>
      </w:pPr>
    </w:p>
    <w:p>
      <w:pPr>
        <w:autoSpaceDE w:val="0"/>
        <w:autoSpaceDN w:val="0"/>
        <w:adjustRightInd w:val="0"/>
        <w:jc w:val="center"/>
        <w:outlineLvl w:val="0"/>
        <w:rPr>
          <w:rFonts w:hint="eastAsia" w:hAnsi="宋体" w:cs="宋体"/>
          <w:b/>
          <w:color w:val="auto"/>
          <w:sz w:val="36"/>
          <w:szCs w:val="36"/>
        </w:rPr>
      </w:pPr>
    </w:p>
    <w:p>
      <w:pPr>
        <w:autoSpaceDE w:val="0"/>
        <w:autoSpaceDN w:val="0"/>
        <w:adjustRightInd w:val="0"/>
        <w:jc w:val="center"/>
        <w:outlineLvl w:val="0"/>
        <w:rPr>
          <w:rFonts w:hint="eastAsia" w:hAnsi="宋体" w:cs="宋体"/>
          <w:b/>
          <w:color w:val="auto"/>
          <w:sz w:val="36"/>
          <w:szCs w:val="36"/>
        </w:rPr>
      </w:pPr>
    </w:p>
    <w:p>
      <w:pPr>
        <w:autoSpaceDE w:val="0"/>
        <w:autoSpaceDN w:val="0"/>
        <w:adjustRightInd w:val="0"/>
        <w:jc w:val="center"/>
        <w:outlineLvl w:val="0"/>
        <w:rPr>
          <w:rFonts w:hint="eastAsia" w:hAnsi="宋体" w:cs="宋体"/>
          <w:b/>
          <w:color w:val="auto"/>
          <w:sz w:val="36"/>
          <w:szCs w:val="36"/>
        </w:rPr>
      </w:pPr>
    </w:p>
    <w:p>
      <w:pPr>
        <w:autoSpaceDE w:val="0"/>
        <w:autoSpaceDN w:val="0"/>
        <w:adjustRightInd w:val="0"/>
        <w:jc w:val="center"/>
        <w:outlineLvl w:val="0"/>
        <w:rPr>
          <w:rFonts w:hint="eastAsia" w:hAnsi="宋体" w:cs="宋体"/>
          <w:b/>
          <w:color w:val="auto"/>
          <w:sz w:val="36"/>
          <w:szCs w:val="36"/>
        </w:rPr>
      </w:pPr>
    </w:p>
    <w:p>
      <w:pPr>
        <w:autoSpaceDE w:val="0"/>
        <w:autoSpaceDN w:val="0"/>
        <w:adjustRightInd w:val="0"/>
        <w:jc w:val="center"/>
        <w:outlineLvl w:val="0"/>
        <w:rPr>
          <w:rFonts w:hint="eastAsia" w:hAnsi="宋体" w:cs="宋体"/>
          <w:b/>
          <w:color w:val="auto"/>
          <w:sz w:val="36"/>
          <w:szCs w:val="36"/>
        </w:rPr>
      </w:pPr>
    </w:p>
    <w:p>
      <w:pPr>
        <w:autoSpaceDE w:val="0"/>
        <w:autoSpaceDN w:val="0"/>
        <w:adjustRightInd w:val="0"/>
        <w:jc w:val="center"/>
        <w:outlineLvl w:val="0"/>
        <w:rPr>
          <w:rFonts w:hint="eastAsia" w:hAnsi="宋体" w:cs="宋体"/>
          <w:b/>
          <w:color w:val="auto"/>
          <w:sz w:val="36"/>
          <w:szCs w:val="36"/>
        </w:rPr>
      </w:pPr>
    </w:p>
    <w:p>
      <w:pPr>
        <w:autoSpaceDE w:val="0"/>
        <w:autoSpaceDN w:val="0"/>
        <w:adjustRightInd w:val="0"/>
        <w:jc w:val="center"/>
        <w:outlineLvl w:val="0"/>
        <w:rPr>
          <w:rFonts w:hAnsi="宋体" w:cs="宋体"/>
          <w:b/>
          <w:color w:val="auto"/>
          <w:sz w:val="36"/>
          <w:szCs w:val="36"/>
        </w:rPr>
      </w:pPr>
      <w:r>
        <w:rPr>
          <w:rFonts w:hint="eastAsia" w:hAnsi="宋体" w:cs="宋体"/>
          <w:b/>
          <w:color w:val="auto"/>
          <w:sz w:val="36"/>
          <w:szCs w:val="36"/>
        </w:rPr>
        <w:t>第五章 工程量清单</w:t>
      </w:r>
    </w:p>
    <w:p>
      <w:pPr>
        <w:spacing w:line="440" w:lineRule="exact"/>
        <w:rPr>
          <w:rFonts w:hAnsi="宋体" w:cs="宋体"/>
          <w:b/>
          <w:color w:val="auto"/>
          <w:sz w:val="24"/>
        </w:rPr>
      </w:pPr>
      <w:r>
        <w:rPr>
          <w:rFonts w:hint="eastAsia" w:hAnsi="宋体" w:cs="宋体"/>
          <w:b/>
          <w:color w:val="auto"/>
          <w:sz w:val="24"/>
        </w:rPr>
        <w:t>1、工程量清单说明</w:t>
      </w:r>
    </w:p>
    <w:p>
      <w:pPr>
        <w:spacing w:line="440" w:lineRule="exact"/>
        <w:ind w:left="1" w:firstLine="480" w:firstLineChars="200"/>
        <w:rPr>
          <w:rFonts w:hAnsi="宋体" w:cs="宋体"/>
          <w:color w:val="auto"/>
          <w:sz w:val="24"/>
        </w:rPr>
      </w:pPr>
      <w:r>
        <w:rPr>
          <w:rFonts w:hint="eastAsia" w:hAnsi="宋体" w:cs="宋体"/>
          <w:color w:val="auto"/>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Ansi="宋体" w:cs="宋体"/>
          <w:color w:val="auto"/>
          <w:sz w:val="24"/>
        </w:rPr>
      </w:pPr>
      <w:r>
        <w:rPr>
          <w:rFonts w:hint="eastAsia" w:hAnsi="宋体" w:cs="宋体"/>
          <w:color w:val="auto"/>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Ansi="宋体" w:cs="宋体"/>
          <w:color w:val="auto"/>
          <w:sz w:val="24"/>
        </w:rPr>
      </w:pPr>
      <w:r>
        <w:rPr>
          <w:rFonts w:hint="eastAsia" w:hAnsi="宋体" w:cs="宋体"/>
          <w:color w:val="auto"/>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Ansi="宋体" w:cs="宋体"/>
          <w:color w:val="auto"/>
          <w:sz w:val="24"/>
          <w:u w:val="single"/>
        </w:rPr>
      </w:pPr>
      <w:r>
        <w:rPr>
          <w:rFonts w:hint="eastAsia" w:hAnsi="宋体" w:cs="宋体"/>
          <w:color w:val="auto"/>
          <w:sz w:val="24"/>
        </w:rPr>
        <w:t>1.4补充子目的子目特征、计量单位、工程量计算规则及工作内容说明如下：</w:t>
      </w:r>
      <w:r>
        <w:rPr>
          <w:rFonts w:hint="eastAsia" w:hAnsi="宋体" w:cs="宋体"/>
          <w:color w:val="auto"/>
          <w:sz w:val="24"/>
          <w:u w:val="single"/>
        </w:rPr>
        <w:t>本工程使用《建设工程工程量清单计价规范》（GB50500-2013）</w:t>
      </w:r>
    </w:p>
    <w:p>
      <w:pPr>
        <w:spacing w:line="440" w:lineRule="exact"/>
        <w:ind w:left="1" w:firstLine="480" w:firstLineChars="200"/>
        <w:rPr>
          <w:rFonts w:hAnsi="宋体" w:cs="宋体"/>
          <w:color w:val="auto"/>
          <w:sz w:val="24"/>
        </w:rPr>
      </w:pPr>
      <w:r>
        <w:rPr>
          <w:rFonts w:hint="eastAsia" w:hAnsi="宋体" w:cs="宋体"/>
          <w:color w:val="auto"/>
          <w:sz w:val="24"/>
        </w:rPr>
        <w:t>1.5 本条第1.1款中约定的计量和计价规则适用于合同履约过程中工程量计量与价款支付、工程变更、索赔和工程结算。</w:t>
      </w:r>
    </w:p>
    <w:p>
      <w:pPr>
        <w:spacing w:line="440" w:lineRule="exact"/>
        <w:ind w:left="1" w:firstLine="480" w:firstLineChars="200"/>
        <w:rPr>
          <w:rFonts w:hAnsi="宋体" w:cs="宋体"/>
          <w:color w:val="auto"/>
          <w:sz w:val="24"/>
        </w:rPr>
      </w:pPr>
      <w:r>
        <w:rPr>
          <w:rFonts w:hint="eastAsia" w:hAnsi="宋体" w:cs="宋体"/>
          <w:color w:val="auto"/>
          <w:sz w:val="24"/>
        </w:rPr>
        <w:t>1.6 本条与下述第2条和第3条的说明内容是构成合同文件的已标价工程量清单的组成部分。</w:t>
      </w:r>
    </w:p>
    <w:p>
      <w:pPr>
        <w:spacing w:line="440" w:lineRule="exact"/>
        <w:rPr>
          <w:rFonts w:hAnsi="宋体" w:cs="宋体"/>
          <w:b/>
          <w:color w:val="auto"/>
          <w:sz w:val="24"/>
        </w:rPr>
      </w:pPr>
      <w:r>
        <w:rPr>
          <w:rFonts w:hint="eastAsia" w:hAnsi="宋体" w:cs="宋体"/>
          <w:b/>
          <w:color w:val="auto"/>
          <w:sz w:val="24"/>
        </w:rPr>
        <w:t>2、投标报价说明</w:t>
      </w:r>
    </w:p>
    <w:p>
      <w:pPr>
        <w:spacing w:line="440" w:lineRule="exact"/>
        <w:ind w:left="1" w:firstLine="480" w:firstLineChars="200"/>
        <w:rPr>
          <w:rFonts w:ascii="新宋体" w:hAnsi="新宋体" w:eastAsia="新宋体"/>
          <w:color w:val="auto"/>
          <w:sz w:val="24"/>
        </w:rPr>
      </w:pPr>
      <w:r>
        <w:rPr>
          <w:rFonts w:hint="eastAsia" w:ascii="新宋体" w:hAnsi="新宋体" w:eastAsia="新宋体"/>
          <w:color w:val="auto"/>
          <w:sz w:val="24"/>
        </w:rPr>
        <w:t>2.1 投标报价应根据招标文件中的有关计价要求，并按照下列依据自主报价。</w:t>
      </w:r>
    </w:p>
    <w:p>
      <w:pPr>
        <w:spacing w:line="440" w:lineRule="exact"/>
        <w:ind w:firstLine="480" w:firstLineChars="200"/>
        <w:rPr>
          <w:rFonts w:hint="eastAsia" w:ascii="新宋体" w:hAnsi="新宋体" w:eastAsia="新宋体"/>
          <w:color w:val="auto"/>
          <w:sz w:val="24"/>
          <w:szCs w:val="22"/>
          <w:lang w:val="en-US" w:eastAsia="zh-CN"/>
        </w:rPr>
      </w:pPr>
      <w:r>
        <w:rPr>
          <w:rFonts w:hint="eastAsia" w:ascii="新宋体" w:hAnsi="新宋体" w:eastAsia="新宋体"/>
          <w:color w:val="auto"/>
          <w:sz w:val="24"/>
          <w:szCs w:val="22"/>
          <w:lang w:val="en-US" w:eastAsia="zh-CN"/>
        </w:rPr>
        <w:t>（1）本招标文件；</w:t>
      </w:r>
    </w:p>
    <w:p>
      <w:pPr>
        <w:spacing w:line="440" w:lineRule="exact"/>
        <w:ind w:firstLine="480" w:firstLineChars="200"/>
        <w:rPr>
          <w:rFonts w:hint="eastAsia" w:ascii="新宋体" w:hAnsi="新宋体" w:eastAsia="新宋体"/>
          <w:color w:val="auto"/>
          <w:sz w:val="24"/>
          <w:szCs w:val="22"/>
          <w:lang w:val="en-US" w:eastAsia="zh-CN"/>
        </w:rPr>
      </w:pPr>
      <w:r>
        <w:rPr>
          <w:rFonts w:hint="eastAsia" w:ascii="新宋体" w:hAnsi="新宋体" w:eastAsia="新宋体"/>
          <w:color w:val="auto"/>
          <w:sz w:val="24"/>
          <w:szCs w:val="22"/>
          <w:lang w:val="en-US" w:eastAsia="zh-CN"/>
        </w:rPr>
        <w:t>（2）许昌市中心医院新院区垃圾及被服系统工程设计图纸等；</w:t>
      </w:r>
    </w:p>
    <w:p>
      <w:pPr>
        <w:spacing w:line="440" w:lineRule="exact"/>
        <w:ind w:firstLine="480" w:firstLineChars="200"/>
        <w:rPr>
          <w:rFonts w:hint="eastAsia" w:ascii="新宋体" w:hAnsi="新宋体" w:eastAsia="新宋体"/>
          <w:color w:val="auto"/>
          <w:sz w:val="24"/>
          <w:szCs w:val="22"/>
          <w:lang w:val="en-US" w:eastAsia="zh-CN"/>
        </w:rPr>
      </w:pPr>
      <w:r>
        <w:rPr>
          <w:rFonts w:hint="eastAsia" w:ascii="新宋体" w:hAnsi="新宋体" w:eastAsia="新宋体"/>
          <w:color w:val="auto"/>
          <w:sz w:val="24"/>
          <w:szCs w:val="22"/>
          <w:lang w:val="en-US" w:eastAsia="zh-CN"/>
        </w:rPr>
        <w:t>（3）编制的招标控制价预算书等；</w:t>
      </w:r>
    </w:p>
    <w:p>
      <w:pPr>
        <w:spacing w:line="440" w:lineRule="exact"/>
        <w:ind w:firstLine="480" w:firstLineChars="200"/>
        <w:rPr>
          <w:rFonts w:hint="eastAsia" w:ascii="新宋体" w:hAnsi="新宋体" w:eastAsia="新宋体"/>
          <w:color w:val="auto"/>
          <w:sz w:val="24"/>
          <w:szCs w:val="22"/>
          <w:lang w:eastAsia="zh-CN"/>
        </w:rPr>
      </w:pPr>
      <w:r>
        <w:rPr>
          <w:rFonts w:hint="eastAsia" w:ascii="新宋体" w:hAnsi="新宋体" w:eastAsia="新宋体"/>
          <w:color w:val="auto"/>
          <w:sz w:val="24"/>
          <w:szCs w:val="22"/>
        </w:rPr>
        <w:t>（</w:t>
      </w:r>
      <w:r>
        <w:rPr>
          <w:rFonts w:hint="eastAsia" w:ascii="新宋体" w:hAnsi="新宋体" w:eastAsia="新宋体"/>
          <w:color w:val="auto"/>
          <w:sz w:val="24"/>
          <w:szCs w:val="22"/>
          <w:lang w:val="en-US" w:eastAsia="zh-CN"/>
        </w:rPr>
        <w:t>4</w:t>
      </w:r>
      <w:r>
        <w:rPr>
          <w:rFonts w:hint="eastAsia" w:ascii="新宋体" w:hAnsi="新宋体" w:eastAsia="新宋体"/>
          <w:color w:val="auto"/>
          <w:sz w:val="24"/>
          <w:szCs w:val="22"/>
        </w:rPr>
        <w:t>）</w:t>
      </w:r>
      <w:r>
        <w:rPr>
          <w:rFonts w:hint="eastAsia" w:ascii="新宋体" w:hAnsi="新宋体" w:eastAsia="新宋体"/>
          <w:color w:val="auto"/>
          <w:sz w:val="24"/>
          <w:szCs w:val="22"/>
          <w:lang w:eastAsia="zh-CN"/>
        </w:rPr>
        <w:t>中价协《建设工程招标控制价编审规程》；</w:t>
      </w:r>
    </w:p>
    <w:p>
      <w:pPr>
        <w:spacing w:line="440" w:lineRule="exact"/>
        <w:ind w:firstLine="480" w:firstLineChars="200"/>
        <w:rPr>
          <w:rFonts w:hint="eastAsia" w:ascii="新宋体" w:hAnsi="新宋体" w:eastAsia="新宋体"/>
          <w:color w:val="auto"/>
          <w:sz w:val="24"/>
          <w:szCs w:val="22"/>
          <w:lang w:eastAsia="zh-CN"/>
        </w:rPr>
      </w:pPr>
      <w:r>
        <w:rPr>
          <w:rFonts w:hint="eastAsia" w:ascii="新宋体" w:hAnsi="新宋体" w:eastAsia="新宋体"/>
          <w:color w:val="auto"/>
          <w:sz w:val="24"/>
          <w:szCs w:val="22"/>
        </w:rPr>
        <w:t>（</w:t>
      </w:r>
      <w:r>
        <w:rPr>
          <w:rFonts w:hint="eastAsia" w:ascii="新宋体" w:hAnsi="新宋体" w:eastAsia="新宋体"/>
          <w:color w:val="auto"/>
          <w:sz w:val="24"/>
          <w:szCs w:val="22"/>
          <w:lang w:val="en-US" w:eastAsia="zh-CN"/>
        </w:rPr>
        <w:t>5</w:t>
      </w:r>
      <w:r>
        <w:rPr>
          <w:rFonts w:hint="eastAsia" w:ascii="新宋体" w:hAnsi="新宋体" w:eastAsia="新宋体"/>
          <w:color w:val="auto"/>
          <w:sz w:val="24"/>
          <w:szCs w:val="22"/>
        </w:rPr>
        <w:t>）《建设工程工程量清单计算规范》（GB 50856-2013）</w:t>
      </w:r>
      <w:r>
        <w:rPr>
          <w:rFonts w:hint="eastAsia" w:ascii="新宋体" w:hAnsi="新宋体" w:eastAsia="新宋体"/>
          <w:color w:val="auto"/>
          <w:sz w:val="24"/>
          <w:szCs w:val="22"/>
          <w:lang w:eastAsia="zh-CN"/>
        </w:rPr>
        <w:t>；</w:t>
      </w:r>
    </w:p>
    <w:p>
      <w:pPr>
        <w:spacing w:line="440" w:lineRule="exact"/>
        <w:ind w:left="475" w:leftChars="140" w:firstLine="0" w:firstLineChars="0"/>
        <w:rPr>
          <w:rFonts w:hint="eastAsia" w:ascii="新宋体" w:hAnsi="新宋体" w:eastAsia="新宋体"/>
          <w:color w:val="auto"/>
          <w:sz w:val="24"/>
          <w:szCs w:val="22"/>
          <w:lang w:val="en-US" w:eastAsia="zh-CN"/>
        </w:rPr>
      </w:pPr>
      <w:r>
        <w:rPr>
          <w:rFonts w:hint="eastAsia" w:ascii="新宋体" w:hAnsi="新宋体" w:eastAsia="新宋体"/>
          <w:color w:val="auto"/>
          <w:sz w:val="24"/>
          <w:szCs w:val="22"/>
          <w:lang w:eastAsia="zh-CN"/>
        </w:rPr>
        <w:t>（</w:t>
      </w:r>
      <w:r>
        <w:rPr>
          <w:rFonts w:hint="eastAsia" w:ascii="新宋体" w:hAnsi="新宋体" w:eastAsia="新宋体"/>
          <w:color w:val="auto"/>
          <w:sz w:val="24"/>
          <w:szCs w:val="22"/>
          <w:lang w:val="en-US" w:eastAsia="zh-CN"/>
        </w:rPr>
        <w:t>6</w:t>
      </w:r>
      <w:r>
        <w:rPr>
          <w:rFonts w:hint="eastAsia" w:ascii="新宋体" w:hAnsi="新宋体" w:eastAsia="新宋体"/>
          <w:color w:val="auto"/>
          <w:sz w:val="24"/>
          <w:szCs w:val="22"/>
          <w:lang w:eastAsia="zh-CN"/>
        </w:rPr>
        <w:t>）施工图纸及采购要求；</w:t>
      </w:r>
      <w:r>
        <w:rPr>
          <w:rFonts w:hint="eastAsia" w:ascii="新宋体" w:hAnsi="新宋体" w:eastAsia="新宋体"/>
          <w:color w:val="auto"/>
          <w:sz w:val="24"/>
          <w:szCs w:val="22"/>
          <w:lang w:eastAsia="zh-CN"/>
        </w:rPr>
        <w:br w:type="textWrapping"/>
      </w:r>
      <w:r>
        <w:rPr>
          <w:rFonts w:hint="eastAsia" w:ascii="新宋体" w:hAnsi="新宋体" w:eastAsia="新宋体"/>
          <w:color w:val="auto"/>
          <w:sz w:val="24"/>
          <w:szCs w:val="22"/>
          <w:lang w:eastAsia="zh-CN"/>
        </w:rPr>
        <w:t>（</w:t>
      </w:r>
      <w:r>
        <w:rPr>
          <w:rFonts w:hint="eastAsia" w:ascii="新宋体" w:hAnsi="新宋体" w:eastAsia="新宋体"/>
          <w:color w:val="auto"/>
          <w:sz w:val="24"/>
          <w:szCs w:val="22"/>
          <w:lang w:val="en-US" w:eastAsia="zh-CN"/>
        </w:rPr>
        <w:t>7</w:t>
      </w:r>
      <w:r>
        <w:rPr>
          <w:rFonts w:hint="eastAsia" w:ascii="新宋体" w:hAnsi="新宋体" w:eastAsia="新宋体"/>
          <w:color w:val="auto"/>
          <w:sz w:val="24"/>
          <w:szCs w:val="22"/>
          <w:lang w:eastAsia="zh-CN"/>
        </w:rPr>
        <w:t>）本工程材料价格进行市场询价计入。</w:t>
      </w:r>
    </w:p>
    <w:p>
      <w:pPr>
        <w:autoSpaceDE w:val="0"/>
        <w:autoSpaceDN w:val="0"/>
        <w:spacing w:line="360" w:lineRule="exact"/>
        <w:ind w:firstLine="480" w:firstLineChars="200"/>
        <w:jc w:val="left"/>
        <w:outlineLvl w:val="0"/>
        <w:rPr>
          <w:rFonts w:hAnsi="宋体" w:cs="宋体"/>
          <w:color w:val="auto"/>
          <w:sz w:val="24"/>
        </w:rPr>
      </w:pPr>
      <w:r>
        <w:rPr>
          <w:rFonts w:hint="eastAsia" w:hAnsi="宋体" w:cs="宋体"/>
          <w:color w:val="auto"/>
          <w:sz w:val="24"/>
        </w:rPr>
        <w:t>2.2 工程量清单中的每一子目须填入单价或价格，且只允许有一个报价。</w:t>
      </w:r>
    </w:p>
    <w:p>
      <w:pPr>
        <w:spacing w:line="430" w:lineRule="exact"/>
        <w:ind w:left="1" w:firstLine="480" w:firstLineChars="200"/>
        <w:rPr>
          <w:rFonts w:hAnsi="宋体" w:cs="宋体"/>
          <w:color w:val="auto"/>
          <w:sz w:val="24"/>
        </w:rPr>
      </w:pPr>
      <w:r>
        <w:rPr>
          <w:rFonts w:hint="eastAsia" w:hAnsi="宋体" w:cs="宋体"/>
          <w:color w:val="auto"/>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Ansi="宋体" w:cs="宋体"/>
          <w:color w:val="auto"/>
          <w:sz w:val="24"/>
        </w:rPr>
      </w:pPr>
      <w:r>
        <w:rPr>
          <w:rFonts w:hint="eastAsia" w:hAnsi="宋体" w:cs="宋体"/>
          <w:color w:val="auto"/>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Ansi="宋体" w:cs="宋体"/>
          <w:color w:val="auto"/>
          <w:sz w:val="24"/>
        </w:rPr>
      </w:pPr>
      <w:r>
        <w:rPr>
          <w:rFonts w:hint="eastAsia" w:hAnsi="宋体" w:cs="宋体"/>
          <w:color w:val="auto"/>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Ansi="宋体" w:cs="宋体"/>
          <w:color w:val="auto"/>
          <w:sz w:val="24"/>
        </w:rPr>
      </w:pPr>
      <w:r>
        <w:rPr>
          <w:rFonts w:hint="eastAsia" w:hAnsi="宋体" w:cs="宋体"/>
          <w:color w:val="auto"/>
          <w:sz w:val="24"/>
        </w:rPr>
        <w:t>2.6 分部分项工程项目按下列要求报价：</w:t>
      </w:r>
    </w:p>
    <w:p>
      <w:pPr>
        <w:spacing w:line="430" w:lineRule="exact"/>
        <w:ind w:left="1" w:firstLine="480" w:firstLineChars="200"/>
        <w:rPr>
          <w:rFonts w:hAnsi="宋体" w:cs="宋体"/>
          <w:color w:val="auto"/>
          <w:sz w:val="24"/>
        </w:rPr>
      </w:pPr>
      <w:r>
        <w:rPr>
          <w:rFonts w:hint="eastAsia" w:hAnsi="宋体" w:cs="宋体"/>
          <w:color w:val="auto"/>
          <w:sz w:val="24"/>
        </w:rPr>
        <w:t>2.6.1 分部分项工程量清单计价应依据计价规范中关于综合单价的组成内容确定报价。</w:t>
      </w:r>
    </w:p>
    <w:p>
      <w:pPr>
        <w:spacing w:line="430" w:lineRule="exact"/>
        <w:ind w:left="1" w:firstLine="480" w:firstLineChars="200"/>
        <w:rPr>
          <w:rFonts w:hAnsi="宋体" w:cs="宋体"/>
          <w:color w:val="auto"/>
          <w:sz w:val="24"/>
        </w:rPr>
      </w:pPr>
      <w:r>
        <w:rPr>
          <w:rFonts w:hint="eastAsia" w:hAnsi="宋体" w:cs="宋体"/>
          <w:color w:val="auto"/>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Ansi="宋体" w:cs="宋体"/>
          <w:color w:val="auto"/>
          <w:sz w:val="24"/>
        </w:rPr>
      </w:pPr>
      <w:r>
        <w:rPr>
          <w:rFonts w:hint="eastAsia" w:hAnsi="宋体" w:cs="宋体"/>
          <w:color w:val="auto"/>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Ansi="宋体" w:cs="宋体"/>
          <w:color w:val="auto"/>
          <w:sz w:val="24"/>
        </w:rPr>
      </w:pPr>
      <w:r>
        <w:rPr>
          <w:rFonts w:hint="eastAsia" w:hAnsi="宋体" w:cs="宋体"/>
          <w:color w:val="auto"/>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Ansi="宋体" w:cs="宋体"/>
          <w:color w:val="auto"/>
          <w:sz w:val="24"/>
        </w:rPr>
      </w:pPr>
      <w:r>
        <w:rPr>
          <w:rFonts w:hint="eastAsia" w:hAnsi="宋体" w:cs="宋体"/>
          <w:color w:val="auto"/>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Ansi="宋体" w:cs="宋体"/>
          <w:color w:val="auto"/>
          <w:sz w:val="24"/>
        </w:rPr>
      </w:pPr>
      <w:r>
        <w:rPr>
          <w:rFonts w:hint="eastAsia" w:hAnsi="宋体" w:cs="宋体"/>
          <w:color w:val="auto"/>
          <w:sz w:val="24"/>
        </w:rPr>
        <w:t>2.7 措施项目按下列要求报价：</w:t>
      </w:r>
    </w:p>
    <w:p>
      <w:pPr>
        <w:spacing w:line="430" w:lineRule="exact"/>
        <w:ind w:left="1" w:firstLine="480" w:firstLineChars="200"/>
        <w:rPr>
          <w:rFonts w:hAnsi="宋体" w:cs="宋体"/>
          <w:color w:val="auto"/>
          <w:sz w:val="24"/>
        </w:rPr>
      </w:pPr>
      <w:r>
        <w:rPr>
          <w:rFonts w:hint="eastAsia" w:hAnsi="宋体" w:cs="宋体"/>
          <w:color w:val="auto"/>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Ansi="宋体" w:cs="宋体"/>
          <w:color w:val="auto"/>
          <w:sz w:val="24"/>
        </w:rPr>
      </w:pPr>
      <w:r>
        <w:rPr>
          <w:rFonts w:hint="eastAsia" w:hAnsi="宋体" w:cs="宋体"/>
          <w:color w:val="auto"/>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Ansi="宋体" w:cs="宋体"/>
          <w:color w:val="auto"/>
          <w:sz w:val="24"/>
        </w:rPr>
      </w:pPr>
      <w:r>
        <w:rPr>
          <w:rFonts w:hint="eastAsia" w:hAnsi="宋体" w:cs="宋体"/>
          <w:color w:val="auto"/>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Ansi="宋体" w:cs="宋体"/>
          <w:color w:val="auto"/>
          <w:sz w:val="24"/>
        </w:rPr>
      </w:pPr>
      <w:r>
        <w:rPr>
          <w:rFonts w:hint="eastAsia" w:hAnsi="宋体" w:cs="宋体"/>
          <w:color w:val="auto"/>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hAnsi="宋体" w:cs="宋体"/>
          <w:color w:val="auto"/>
          <w:sz w:val="24"/>
        </w:rPr>
      </w:pPr>
      <w:r>
        <w:rPr>
          <w:rFonts w:hint="eastAsia" w:hAnsi="宋体" w:cs="宋体"/>
          <w:color w:val="auto"/>
          <w:sz w:val="24"/>
        </w:rPr>
        <w:t>2.8 其他项目清单费应按下列规定报价：</w:t>
      </w:r>
    </w:p>
    <w:p>
      <w:pPr>
        <w:spacing w:line="430" w:lineRule="exact"/>
        <w:ind w:left="1" w:firstLine="480" w:firstLineChars="200"/>
        <w:rPr>
          <w:rFonts w:hAnsi="宋体" w:cs="宋体"/>
          <w:color w:val="auto"/>
          <w:sz w:val="24"/>
        </w:rPr>
      </w:pPr>
      <w:r>
        <w:rPr>
          <w:rFonts w:hint="eastAsia" w:hAnsi="宋体" w:cs="宋体"/>
          <w:color w:val="auto"/>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Ansi="宋体" w:cs="宋体"/>
          <w:color w:val="auto"/>
          <w:sz w:val="24"/>
        </w:rPr>
      </w:pPr>
      <w:r>
        <w:rPr>
          <w:rFonts w:hint="eastAsia" w:hAnsi="宋体" w:cs="宋体"/>
          <w:color w:val="auto"/>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Ansi="宋体" w:cs="宋体"/>
          <w:color w:val="auto"/>
          <w:sz w:val="24"/>
        </w:rPr>
      </w:pPr>
      <w:r>
        <w:rPr>
          <w:rFonts w:hint="eastAsia" w:hAnsi="宋体" w:cs="宋体"/>
          <w:color w:val="auto"/>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Ansi="宋体" w:cs="宋体"/>
          <w:color w:val="auto"/>
          <w:sz w:val="24"/>
        </w:rPr>
      </w:pPr>
      <w:r>
        <w:rPr>
          <w:rFonts w:hint="eastAsia" w:hAnsi="宋体" w:cs="宋体"/>
          <w:color w:val="auto"/>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Ansi="宋体" w:cs="宋体"/>
          <w:color w:val="auto"/>
          <w:sz w:val="24"/>
        </w:rPr>
      </w:pPr>
      <w:r>
        <w:rPr>
          <w:rFonts w:hint="eastAsia" w:hAnsi="宋体" w:cs="宋体"/>
          <w:color w:val="auto"/>
          <w:sz w:val="24"/>
        </w:rPr>
        <w:t>(2) 材料价格包括材料运到现场的价格以及现场搬运、仓储、二次搬运、损耗、保险、企业管理费和利润；</w:t>
      </w:r>
    </w:p>
    <w:p>
      <w:pPr>
        <w:spacing w:line="430" w:lineRule="exact"/>
        <w:ind w:left="1" w:firstLine="480" w:firstLineChars="200"/>
        <w:rPr>
          <w:rFonts w:hAnsi="宋体" w:cs="宋体"/>
          <w:color w:val="auto"/>
          <w:sz w:val="24"/>
        </w:rPr>
      </w:pPr>
      <w:r>
        <w:rPr>
          <w:rFonts w:hint="eastAsia" w:hAnsi="宋体" w:cs="宋体"/>
          <w:color w:val="auto"/>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color w:val="auto"/>
          <w:sz w:val="24"/>
        </w:rPr>
      </w:pPr>
      <w:r>
        <w:rPr>
          <w:rFonts w:hint="eastAsia" w:hAnsi="宋体" w:cs="宋体"/>
          <w:color w:val="auto"/>
          <w:sz w:val="24"/>
        </w:rPr>
        <w:t>2.8.4总承包服务费根据招标文件中列出的内容和要求，按“总承包服务费计价表”所列格式自主报价。</w:t>
      </w:r>
    </w:p>
    <w:p>
      <w:pPr>
        <w:spacing w:line="430" w:lineRule="exact"/>
        <w:rPr>
          <w:rFonts w:hAnsi="宋体" w:cs="宋体"/>
          <w:color w:val="auto"/>
          <w:sz w:val="24"/>
        </w:rPr>
      </w:pPr>
      <w:r>
        <w:rPr>
          <w:rFonts w:hint="eastAsia" w:hAnsi="宋体" w:cs="宋体"/>
          <w:color w:val="auto"/>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Ansi="宋体" w:cs="宋体"/>
          <w:color w:val="auto"/>
          <w:sz w:val="24"/>
        </w:rPr>
      </w:pPr>
      <w:r>
        <w:rPr>
          <w:rFonts w:hint="eastAsia" w:hAnsi="宋体" w:cs="宋体"/>
          <w:color w:val="auto"/>
          <w:sz w:val="24"/>
        </w:rPr>
        <w:t>2.10 除招标文件有强制性规定外，投标报价由投标人自主确定，但不得低于其成本。</w:t>
      </w:r>
    </w:p>
    <w:p>
      <w:pPr>
        <w:spacing w:line="430" w:lineRule="exact"/>
        <w:ind w:left="1" w:firstLine="480" w:firstLineChars="200"/>
        <w:rPr>
          <w:rFonts w:hAnsi="宋体" w:cs="宋体"/>
          <w:color w:val="auto"/>
          <w:sz w:val="24"/>
        </w:rPr>
      </w:pPr>
      <w:r>
        <w:rPr>
          <w:rFonts w:hint="eastAsia" w:hAnsi="宋体" w:cs="宋体"/>
          <w:color w:val="auto"/>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Ansi="宋体" w:cs="宋体"/>
          <w:color w:val="auto"/>
          <w:sz w:val="24"/>
        </w:rPr>
      </w:pPr>
      <w:r>
        <w:rPr>
          <w:rFonts w:hint="eastAsia" w:hAnsi="宋体" w:cs="宋体"/>
          <w:color w:val="auto"/>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Ansi="宋体" w:cs="宋体"/>
          <w:color w:val="auto"/>
          <w:sz w:val="24"/>
        </w:rPr>
      </w:pPr>
      <w:r>
        <w:rPr>
          <w:rFonts w:hint="eastAsia" w:hAnsi="宋体" w:cs="宋体"/>
          <w:color w:val="auto"/>
          <w:sz w:val="24"/>
        </w:rPr>
        <w:t>2.13 投标报价中应考虑招标文件中要求投标人承担的风险范围以及相关的费用。</w:t>
      </w:r>
    </w:p>
    <w:p>
      <w:pPr>
        <w:spacing w:line="430" w:lineRule="exact"/>
        <w:ind w:left="1" w:firstLine="480" w:firstLineChars="200"/>
        <w:rPr>
          <w:rFonts w:hAnsi="宋体" w:cs="宋体"/>
          <w:color w:val="auto"/>
          <w:sz w:val="24"/>
        </w:rPr>
      </w:pPr>
      <w:r>
        <w:rPr>
          <w:rFonts w:hint="eastAsia" w:hAnsi="宋体" w:cs="宋体"/>
          <w:color w:val="auto"/>
          <w:sz w:val="24"/>
        </w:rPr>
        <w:t>2.14 投标总价为投标人在投标文件中提出的各项支付金额的总和，为实施、完成招标工程并修补缺陷以及履行招标文件中约定的风险范围内的所有责任和义务所发生的全部费用。</w:t>
      </w:r>
    </w:p>
    <w:p>
      <w:pPr>
        <w:spacing w:line="440" w:lineRule="exact"/>
        <w:ind w:firstLine="481"/>
        <w:rPr>
          <w:rFonts w:hAnsi="宋体" w:cs="宋体"/>
          <w:bCs/>
          <w:color w:val="auto"/>
          <w:sz w:val="24"/>
        </w:rPr>
      </w:pPr>
      <w:r>
        <w:rPr>
          <w:rFonts w:hint="eastAsia" w:hAnsi="宋体" w:cs="宋体"/>
          <w:bCs/>
          <w:color w:val="auto"/>
          <w:sz w:val="24"/>
        </w:rPr>
        <w:t>3、其他说明</w:t>
      </w:r>
    </w:p>
    <w:p>
      <w:pPr>
        <w:spacing w:line="430" w:lineRule="exact"/>
        <w:ind w:left="1" w:firstLine="480" w:firstLineChars="200"/>
        <w:rPr>
          <w:rFonts w:hAnsi="宋体" w:cs="宋体"/>
          <w:color w:val="auto"/>
          <w:sz w:val="24"/>
        </w:rPr>
      </w:pPr>
      <w:r>
        <w:rPr>
          <w:rFonts w:hint="eastAsia" w:hAnsi="宋体" w:cs="宋体"/>
          <w:color w:val="auto"/>
          <w:sz w:val="24"/>
        </w:rPr>
        <w:t>3.1词语和定义</w:t>
      </w:r>
    </w:p>
    <w:p>
      <w:pPr>
        <w:spacing w:line="430" w:lineRule="exact"/>
        <w:ind w:left="1" w:firstLine="480" w:firstLineChars="200"/>
        <w:rPr>
          <w:rFonts w:hAnsi="宋体" w:cs="宋体"/>
          <w:color w:val="auto"/>
          <w:sz w:val="24"/>
        </w:rPr>
      </w:pPr>
      <w:r>
        <w:rPr>
          <w:rFonts w:hint="eastAsia" w:hAnsi="宋体" w:cs="宋体"/>
          <w:color w:val="auto"/>
          <w:sz w:val="24"/>
        </w:rPr>
        <w:t>3.1.1 工程量清单</w:t>
      </w:r>
    </w:p>
    <w:p>
      <w:pPr>
        <w:spacing w:line="430" w:lineRule="exact"/>
        <w:ind w:left="1" w:firstLine="480" w:firstLineChars="200"/>
        <w:rPr>
          <w:rFonts w:hAnsi="宋体" w:cs="宋体"/>
          <w:color w:val="auto"/>
          <w:sz w:val="24"/>
        </w:rPr>
      </w:pPr>
      <w:r>
        <w:rPr>
          <w:rFonts w:hint="eastAsia" w:hAnsi="宋体" w:cs="宋体"/>
          <w:color w:val="auto"/>
          <w:sz w:val="24"/>
        </w:rPr>
        <w:t>是表现本工程分部分项工程项目、措施项目、其他项目、规费项目和税金的名称和相应数量等的明细清单。</w:t>
      </w:r>
    </w:p>
    <w:p>
      <w:pPr>
        <w:spacing w:line="430" w:lineRule="exact"/>
        <w:ind w:left="1" w:firstLine="480" w:firstLineChars="200"/>
        <w:rPr>
          <w:rFonts w:hAnsi="宋体" w:cs="宋体"/>
          <w:color w:val="auto"/>
          <w:sz w:val="24"/>
        </w:rPr>
      </w:pPr>
      <w:r>
        <w:rPr>
          <w:rFonts w:hint="eastAsia" w:hAnsi="宋体" w:cs="宋体"/>
          <w:color w:val="auto"/>
          <w:sz w:val="24"/>
        </w:rPr>
        <w:t>3.1.2 总价子目</w:t>
      </w:r>
    </w:p>
    <w:p>
      <w:pPr>
        <w:spacing w:line="430" w:lineRule="exact"/>
        <w:ind w:left="1" w:firstLine="480" w:firstLineChars="200"/>
        <w:rPr>
          <w:rFonts w:hAnsi="宋体" w:cs="宋体"/>
          <w:color w:val="auto"/>
          <w:sz w:val="24"/>
        </w:rPr>
      </w:pPr>
      <w:r>
        <w:rPr>
          <w:rFonts w:hint="eastAsia" w:hAnsi="宋体" w:cs="宋体"/>
          <w:color w:val="auto"/>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Ansi="宋体" w:cs="宋体"/>
          <w:color w:val="auto"/>
          <w:sz w:val="24"/>
        </w:rPr>
      </w:pPr>
      <w:r>
        <w:rPr>
          <w:rFonts w:hint="eastAsia" w:hAnsi="宋体" w:cs="宋体"/>
          <w:color w:val="auto"/>
          <w:sz w:val="24"/>
        </w:rPr>
        <w:t>3.1.3 单价子目</w:t>
      </w:r>
    </w:p>
    <w:p>
      <w:pPr>
        <w:spacing w:line="430" w:lineRule="exact"/>
        <w:ind w:left="1" w:firstLine="480" w:firstLineChars="200"/>
        <w:rPr>
          <w:rFonts w:hAnsi="宋体" w:cs="宋体"/>
          <w:color w:val="auto"/>
          <w:sz w:val="24"/>
        </w:rPr>
      </w:pPr>
      <w:r>
        <w:rPr>
          <w:rFonts w:hint="eastAsia" w:hAnsi="宋体" w:cs="宋体"/>
          <w:color w:val="auto"/>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Ansi="宋体" w:cs="宋体"/>
          <w:color w:val="auto"/>
          <w:sz w:val="24"/>
        </w:rPr>
      </w:pPr>
      <w:r>
        <w:rPr>
          <w:rFonts w:hint="eastAsia" w:hAnsi="宋体" w:cs="宋体"/>
          <w:color w:val="auto"/>
          <w:sz w:val="24"/>
        </w:rPr>
        <w:t>3.1.4 子目编码</w:t>
      </w:r>
    </w:p>
    <w:p>
      <w:pPr>
        <w:spacing w:line="430" w:lineRule="exact"/>
        <w:ind w:left="1" w:firstLine="480" w:firstLineChars="200"/>
        <w:rPr>
          <w:rFonts w:hAnsi="宋体" w:cs="宋体"/>
          <w:color w:val="auto"/>
          <w:sz w:val="24"/>
        </w:rPr>
      </w:pPr>
      <w:r>
        <w:rPr>
          <w:rFonts w:hint="eastAsia" w:hAnsi="宋体" w:cs="宋体"/>
          <w:color w:val="auto"/>
          <w:sz w:val="24"/>
        </w:rPr>
        <w:t>分部分项工程项目清单中所列的子目名称的数字标识和代码，子目编码与项目编码同义。</w:t>
      </w:r>
    </w:p>
    <w:p>
      <w:pPr>
        <w:spacing w:line="430" w:lineRule="exact"/>
        <w:ind w:left="1" w:firstLine="480" w:firstLineChars="200"/>
        <w:rPr>
          <w:rFonts w:hAnsi="宋体" w:cs="宋体"/>
          <w:color w:val="auto"/>
          <w:sz w:val="24"/>
        </w:rPr>
      </w:pPr>
      <w:r>
        <w:rPr>
          <w:rFonts w:hint="eastAsia" w:hAnsi="宋体" w:cs="宋体"/>
          <w:color w:val="auto"/>
          <w:sz w:val="24"/>
        </w:rPr>
        <w:t>3.1.5 子目特征</w:t>
      </w:r>
    </w:p>
    <w:p>
      <w:pPr>
        <w:spacing w:line="430" w:lineRule="exact"/>
        <w:ind w:left="1" w:firstLine="480" w:firstLineChars="200"/>
        <w:rPr>
          <w:rFonts w:hAnsi="宋体" w:cs="宋体"/>
          <w:color w:val="auto"/>
          <w:sz w:val="24"/>
        </w:rPr>
      </w:pPr>
      <w:r>
        <w:rPr>
          <w:rFonts w:hint="eastAsia" w:hAnsi="宋体" w:cs="宋体"/>
          <w:color w:val="auto"/>
          <w:sz w:val="24"/>
        </w:rPr>
        <w:t>构成分部分项工程项目清单子目、措施项目的实质内容、决定其自身价值的本质特征，子目特征与项目特征同义。</w:t>
      </w:r>
    </w:p>
    <w:p>
      <w:pPr>
        <w:spacing w:line="430" w:lineRule="exact"/>
        <w:ind w:left="1" w:firstLine="480" w:firstLineChars="200"/>
        <w:rPr>
          <w:rFonts w:hAnsi="宋体" w:cs="宋体"/>
          <w:color w:val="auto"/>
          <w:sz w:val="24"/>
        </w:rPr>
      </w:pPr>
      <w:r>
        <w:rPr>
          <w:rFonts w:hint="eastAsia" w:hAnsi="宋体" w:cs="宋体"/>
          <w:color w:val="auto"/>
          <w:sz w:val="24"/>
        </w:rPr>
        <w:t>3.1.6 规费</w:t>
      </w:r>
    </w:p>
    <w:p>
      <w:pPr>
        <w:spacing w:line="430" w:lineRule="exact"/>
        <w:ind w:left="1" w:firstLine="480" w:firstLineChars="200"/>
        <w:rPr>
          <w:rFonts w:hAnsi="宋体" w:cs="宋体"/>
          <w:color w:val="auto"/>
          <w:sz w:val="24"/>
        </w:rPr>
      </w:pPr>
      <w:r>
        <w:rPr>
          <w:rFonts w:hint="eastAsia" w:hAnsi="宋体" w:cs="宋体"/>
          <w:color w:val="auto"/>
          <w:sz w:val="24"/>
        </w:rPr>
        <w:t>承包人根据省级政府或省级有关权力部门规定必须缴纳的，应计入建筑安装工程造价的费用。</w:t>
      </w:r>
    </w:p>
    <w:p>
      <w:pPr>
        <w:spacing w:line="430" w:lineRule="exact"/>
        <w:ind w:left="1" w:firstLine="480" w:firstLineChars="200"/>
        <w:rPr>
          <w:rFonts w:hAnsi="宋体" w:cs="宋体"/>
          <w:color w:val="auto"/>
          <w:sz w:val="24"/>
        </w:rPr>
      </w:pPr>
      <w:r>
        <w:rPr>
          <w:rFonts w:hint="eastAsia" w:hAnsi="宋体" w:cs="宋体"/>
          <w:color w:val="auto"/>
          <w:sz w:val="24"/>
        </w:rPr>
        <w:t>3.1.7 税金</w:t>
      </w:r>
    </w:p>
    <w:p>
      <w:pPr>
        <w:spacing w:line="430" w:lineRule="exact"/>
        <w:ind w:left="1" w:firstLine="480" w:firstLineChars="200"/>
        <w:rPr>
          <w:rFonts w:hAnsi="宋体" w:cs="宋体"/>
          <w:color w:val="auto"/>
          <w:sz w:val="24"/>
        </w:rPr>
      </w:pPr>
      <w:r>
        <w:rPr>
          <w:rFonts w:hint="eastAsia" w:hAnsi="宋体" w:cs="宋体"/>
          <w:color w:val="auto"/>
          <w:sz w:val="24"/>
        </w:rPr>
        <w:t>国家税法规定的应计入建筑安装工程造价内的增值税、城市维护建设税及教育费附加等。</w:t>
      </w:r>
    </w:p>
    <w:p>
      <w:pPr>
        <w:spacing w:line="430" w:lineRule="exact"/>
        <w:ind w:left="1" w:firstLine="480" w:firstLineChars="200"/>
        <w:rPr>
          <w:rFonts w:hAnsi="宋体" w:cs="宋体"/>
          <w:color w:val="auto"/>
          <w:sz w:val="24"/>
        </w:rPr>
      </w:pPr>
      <w:r>
        <w:rPr>
          <w:rFonts w:hint="eastAsia" w:hAnsi="宋体" w:cs="宋体"/>
          <w:color w:val="auto"/>
          <w:sz w:val="24"/>
        </w:rPr>
        <w:t>3.1.8 总承包服务费</w:t>
      </w:r>
    </w:p>
    <w:p>
      <w:pPr>
        <w:spacing w:line="430" w:lineRule="exact"/>
        <w:ind w:left="1" w:firstLine="480" w:firstLineChars="200"/>
        <w:rPr>
          <w:rFonts w:hAnsi="宋体" w:cs="宋体"/>
          <w:color w:val="auto"/>
          <w:sz w:val="24"/>
        </w:rPr>
      </w:pPr>
      <w:r>
        <w:rPr>
          <w:rFonts w:hint="eastAsia" w:hAnsi="宋体" w:cs="宋体"/>
          <w:color w:val="auto"/>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Ansi="宋体" w:cs="宋体"/>
          <w:color w:val="auto"/>
          <w:sz w:val="24"/>
        </w:rPr>
      </w:pPr>
      <w:r>
        <w:rPr>
          <w:rFonts w:hint="eastAsia" w:hAnsi="宋体" w:cs="宋体"/>
          <w:color w:val="auto"/>
          <w:sz w:val="24"/>
        </w:rPr>
        <w:t>3.1.9 同义词语</w:t>
      </w:r>
    </w:p>
    <w:p>
      <w:pPr>
        <w:spacing w:line="430" w:lineRule="exact"/>
        <w:ind w:left="1" w:firstLine="480" w:firstLineChars="200"/>
        <w:rPr>
          <w:rFonts w:hAnsi="宋体" w:cs="宋体"/>
          <w:color w:val="auto"/>
          <w:sz w:val="24"/>
        </w:rPr>
      </w:pPr>
      <w:r>
        <w:rPr>
          <w:rFonts w:hint="eastAsia" w:hAnsi="宋体" w:cs="宋体"/>
          <w:color w:val="auto"/>
          <w:sz w:val="24"/>
        </w:rPr>
        <w:t>本章中使用的词语“招标人”和“投标人”分别与合同条款中定义的“发包人”和“承包人”同义；就工程量清单而言，“子目”与“项目”同义。</w:t>
      </w:r>
    </w:p>
    <w:p>
      <w:pPr>
        <w:spacing w:line="430" w:lineRule="exact"/>
        <w:ind w:left="1" w:firstLine="480" w:firstLineChars="200"/>
        <w:rPr>
          <w:rFonts w:hAnsi="宋体" w:cs="宋体"/>
          <w:b/>
          <w:color w:val="auto"/>
          <w:sz w:val="24"/>
        </w:rPr>
      </w:pPr>
      <w:r>
        <w:rPr>
          <w:rFonts w:hint="eastAsia" w:hAnsi="宋体" w:cs="宋体"/>
          <w:color w:val="auto"/>
          <w:sz w:val="24"/>
        </w:rPr>
        <w:t>3.2工程量差异调整</w:t>
      </w:r>
    </w:p>
    <w:p>
      <w:pPr>
        <w:spacing w:line="430" w:lineRule="exact"/>
        <w:ind w:left="1" w:firstLine="480" w:firstLineChars="200"/>
        <w:rPr>
          <w:rFonts w:hAnsi="宋体" w:cs="宋体"/>
          <w:color w:val="auto"/>
          <w:sz w:val="24"/>
        </w:rPr>
      </w:pPr>
      <w:r>
        <w:rPr>
          <w:rFonts w:hint="eastAsia" w:hAnsi="宋体" w:cs="宋体"/>
          <w:color w:val="auto"/>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Ansi="宋体" w:cs="宋体"/>
          <w:color w:val="auto"/>
          <w:sz w:val="24"/>
        </w:rPr>
      </w:pPr>
      <w:r>
        <w:rPr>
          <w:rFonts w:hint="eastAsia" w:hAnsi="宋体" w:cs="宋体"/>
          <w:color w:val="auto"/>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Ansi="宋体" w:cs="宋体"/>
          <w:color w:val="auto"/>
          <w:sz w:val="24"/>
        </w:rPr>
      </w:pPr>
      <w:r>
        <w:rPr>
          <w:rFonts w:hint="eastAsia" w:hAnsi="宋体" w:cs="宋体"/>
          <w:color w:val="auto"/>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Ansi="宋体" w:cs="宋体"/>
          <w:color w:val="auto"/>
          <w:sz w:val="24"/>
        </w:rPr>
      </w:pPr>
      <w:r>
        <w:rPr>
          <w:rFonts w:hint="eastAsia" w:hAnsi="宋体" w:cs="宋体"/>
          <w:color w:val="auto"/>
          <w:sz w:val="24"/>
        </w:rPr>
        <w:t>3.3暂列金额和暂估价</w:t>
      </w:r>
    </w:p>
    <w:p>
      <w:pPr>
        <w:spacing w:line="430" w:lineRule="exact"/>
        <w:ind w:left="1" w:firstLine="480" w:firstLineChars="200"/>
        <w:rPr>
          <w:rFonts w:hAnsi="宋体" w:cs="宋体"/>
          <w:color w:val="auto"/>
          <w:sz w:val="24"/>
        </w:rPr>
      </w:pPr>
      <w:r>
        <w:rPr>
          <w:rFonts w:hint="eastAsia" w:hAnsi="宋体" w:cs="宋体"/>
          <w:color w:val="auto"/>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Ansi="宋体" w:cs="宋体"/>
          <w:color w:val="auto"/>
          <w:sz w:val="24"/>
        </w:rPr>
      </w:pPr>
      <w:r>
        <w:rPr>
          <w:rFonts w:hint="eastAsia" w:hAnsi="宋体" w:cs="宋体"/>
          <w:color w:val="auto"/>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Ansi="宋体" w:cs="宋体"/>
          <w:color w:val="auto"/>
          <w:sz w:val="24"/>
        </w:rPr>
      </w:pPr>
      <w:r>
        <w:rPr>
          <w:rFonts w:hint="eastAsia" w:hAnsi="宋体" w:cs="宋体"/>
          <w:color w:val="auto"/>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Ansi="宋体" w:cs="宋体"/>
          <w:color w:val="auto"/>
          <w:sz w:val="24"/>
          <w:u w:val="single"/>
        </w:rPr>
      </w:pPr>
      <w:r>
        <w:rPr>
          <w:rFonts w:hint="eastAsia" w:hAnsi="宋体" w:cs="宋体"/>
          <w:color w:val="auto"/>
          <w:sz w:val="24"/>
        </w:rPr>
        <w:t>3.4其他补充说明</w:t>
      </w:r>
      <w:r>
        <w:rPr>
          <w:rFonts w:hint="eastAsia" w:hAnsi="宋体" w:cs="宋体"/>
          <w:color w:val="auto"/>
          <w:sz w:val="24"/>
          <w:u w:val="single"/>
        </w:rPr>
        <w:t xml:space="preserve">     /  ；</w:t>
      </w:r>
    </w:p>
    <w:p>
      <w:pPr>
        <w:spacing w:line="440" w:lineRule="exact"/>
        <w:rPr>
          <w:rFonts w:hAnsi="宋体" w:cs="宋体"/>
          <w:b/>
          <w:color w:val="auto"/>
          <w:sz w:val="24"/>
        </w:rPr>
      </w:pPr>
      <w:r>
        <w:rPr>
          <w:rFonts w:hint="eastAsia" w:hAnsi="宋体" w:cs="宋体"/>
          <w:b/>
          <w:color w:val="auto"/>
          <w:sz w:val="24"/>
        </w:rPr>
        <w:t>4．工程量清单</w:t>
      </w:r>
    </w:p>
    <w:p>
      <w:pPr>
        <w:spacing w:line="440" w:lineRule="exact"/>
        <w:ind w:firstLine="480" w:firstLineChars="200"/>
        <w:rPr>
          <w:rFonts w:hAnsi="宋体" w:cs="宋体"/>
          <w:color w:val="auto"/>
          <w:sz w:val="24"/>
          <w:u w:val="single"/>
        </w:rPr>
      </w:pPr>
      <w:r>
        <w:rPr>
          <w:rFonts w:hint="eastAsia" w:hAnsi="宋体" w:cs="宋体"/>
          <w:color w:val="auto"/>
          <w:sz w:val="24"/>
          <w:u w:val="single"/>
        </w:rPr>
        <w:t>工程量清单在【全国公共资源交易平台（河南省·许昌市）】上自行下载。</w:t>
      </w:r>
    </w:p>
    <w:p>
      <w:pPr>
        <w:spacing w:line="440" w:lineRule="exact"/>
        <w:rPr>
          <w:rFonts w:hAnsi="宋体" w:cs="宋体"/>
          <w:color w:val="auto"/>
          <w:sz w:val="36"/>
          <w:szCs w:val="36"/>
          <w:u w:val="single"/>
        </w:rPr>
      </w:pPr>
    </w:p>
    <w:p>
      <w:pPr>
        <w:widowControl/>
        <w:jc w:val="center"/>
        <w:rPr>
          <w:rFonts w:hAnsi="宋体" w:cs="宋体"/>
          <w:b/>
          <w:color w:val="auto"/>
          <w:sz w:val="36"/>
          <w:szCs w:val="36"/>
        </w:rPr>
      </w:pPr>
      <w:r>
        <w:rPr>
          <w:rFonts w:hAnsi="宋体" w:cs="宋体"/>
          <w:b/>
          <w:color w:val="auto"/>
          <w:sz w:val="36"/>
          <w:szCs w:val="36"/>
        </w:rPr>
        <w:br w:type="page"/>
      </w:r>
      <w:r>
        <w:rPr>
          <w:rFonts w:hint="eastAsia" w:hAnsi="宋体" w:cs="宋体"/>
          <w:b/>
          <w:color w:val="auto"/>
          <w:sz w:val="36"/>
          <w:szCs w:val="36"/>
        </w:rPr>
        <w:t>第六章 图 纸</w:t>
      </w:r>
      <w:bookmarkEnd w:id="76"/>
    </w:p>
    <w:p>
      <w:pPr>
        <w:autoSpaceDE w:val="0"/>
        <w:autoSpaceDN w:val="0"/>
        <w:adjustRightInd w:val="0"/>
        <w:jc w:val="center"/>
        <w:outlineLvl w:val="0"/>
        <w:rPr>
          <w:rFonts w:hAnsi="宋体" w:cs="宋体"/>
          <w:b/>
          <w:color w:val="auto"/>
          <w:sz w:val="24"/>
        </w:rPr>
      </w:pPr>
    </w:p>
    <w:p>
      <w:pPr>
        <w:autoSpaceDE w:val="0"/>
        <w:autoSpaceDN w:val="0"/>
        <w:adjustRightInd w:val="0"/>
        <w:jc w:val="center"/>
        <w:outlineLvl w:val="0"/>
        <w:rPr>
          <w:rFonts w:hAnsi="宋体" w:cs="宋体"/>
          <w:b/>
          <w:color w:val="auto"/>
          <w:sz w:val="24"/>
        </w:rPr>
      </w:pPr>
      <w:r>
        <w:rPr>
          <w:rFonts w:hint="eastAsia" w:hAnsi="宋体" w:cs="宋体"/>
          <w:b/>
          <w:color w:val="auto"/>
          <w:sz w:val="24"/>
        </w:rPr>
        <w:t>按照招标文件中第二章投标人须知前附表第2.1项下载。</w:t>
      </w:r>
    </w:p>
    <w:p>
      <w:pPr>
        <w:autoSpaceDE w:val="0"/>
        <w:autoSpaceDN w:val="0"/>
        <w:adjustRightInd w:val="0"/>
        <w:jc w:val="center"/>
        <w:outlineLvl w:val="0"/>
        <w:rPr>
          <w:rFonts w:hAnsi="宋体" w:cs="宋体"/>
          <w:color w:val="auto"/>
          <w:sz w:val="28"/>
          <w:szCs w:val="28"/>
        </w:rPr>
      </w:pPr>
      <w:bookmarkStart w:id="77" w:name="_Toc278443522"/>
    </w:p>
    <w:p>
      <w:pPr>
        <w:autoSpaceDE w:val="0"/>
        <w:autoSpaceDN w:val="0"/>
        <w:adjustRightInd w:val="0"/>
        <w:jc w:val="center"/>
        <w:outlineLvl w:val="0"/>
        <w:rPr>
          <w:rFonts w:hAnsi="宋体" w:cs="宋体"/>
          <w:color w:val="auto"/>
          <w:sz w:val="28"/>
          <w:szCs w:val="28"/>
        </w:rPr>
      </w:pPr>
    </w:p>
    <w:p>
      <w:pPr>
        <w:autoSpaceDE w:val="0"/>
        <w:autoSpaceDN w:val="0"/>
        <w:adjustRightInd w:val="0"/>
        <w:jc w:val="center"/>
        <w:outlineLvl w:val="0"/>
        <w:rPr>
          <w:rFonts w:hAnsi="宋体" w:cs="宋体"/>
          <w:color w:val="auto"/>
          <w:sz w:val="28"/>
          <w:szCs w:val="28"/>
        </w:rPr>
      </w:pPr>
    </w:p>
    <w:p>
      <w:pPr>
        <w:autoSpaceDE w:val="0"/>
        <w:autoSpaceDN w:val="0"/>
        <w:adjustRightInd w:val="0"/>
        <w:jc w:val="center"/>
        <w:outlineLvl w:val="0"/>
        <w:rPr>
          <w:rFonts w:hAnsi="宋体" w:cs="宋体"/>
          <w:color w:val="auto"/>
          <w:sz w:val="28"/>
          <w:szCs w:val="28"/>
        </w:rPr>
      </w:pPr>
    </w:p>
    <w:p>
      <w:pPr>
        <w:autoSpaceDE w:val="0"/>
        <w:autoSpaceDN w:val="0"/>
        <w:adjustRightInd w:val="0"/>
        <w:jc w:val="center"/>
        <w:outlineLvl w:val="0"/>
        <w:rPr>
          <w:rFonts w:hint="eastAsia" w:hAnsi="宋体" w:cs="宋体"/>
          <w:b/>
          <w:color w:val="auto"/>
          <w:sz w:val="36"/>
          <w:szCs w:val="36"/>
        </w:rPr>
      </w:pPr>
    </w:p>
    <w:p>
      <w:pPr>
        <w:autoSpaceDE w:val="0"/>
        <w:autoSpaceDN w:val="0"/>
        <w:adjustRightInd w:val="0"/>
        <w:jc w:val="center"/>
        <w:outlineLvl w:val="0"/>
        <w:rPr>
          <w:rFonts w:hint="eastAsia" w:hAnsi="宋体" w:cs="宋体"/>
          <w:b/>
          <w:color w:val="auto"/>
          <w:sz w:val="36"/>
          <w:szCs w:val="36"/>
        </w:rPr>
      </w:pPr>
    </w:p>
    <w:p>
      <w:pPr>
        <w:autoSpaceDE w:val="0"/>
        <w:autoSpaceDN w:val="0"/>
        <w:adjustRightInd w:val="0"/>
        <w:jc w:val="center"/>
        <w:outlineLvl w:val="0"/>
        <w:rPr>
          <w:rFonts w:hint="eastAsia" w:hAnsi="宋体" w:cs="宋体"/>
          <w:b/>
          <w:color w:val="auto"/>
          <w:sz w:val="36"/>
          <w:szCs w:val="36"/>
        </w:rPr>
      </w:pPr>
    </w:p>
    <w:p>
      <w:pPr>
        <w:autoSpaceDE w:val="0"/>
        <w:autoSpaceDN w:val="0"/>
        <w:adjustRightInd w:val="0"/>
        <w:jc w:val="center"/>
        <w:outlineLvl w:val="0"/>
        <w:rPr>
          <w:rFonts w:hint="eastAsia" w:hAnsi="宋体" w:cs="宋体"/>
          <w:b/>
          <w:color w:val="auto"/>
          <w:sz w:val="36"/>
          <w:szCs w:val="36"/>
        </w:rPr>
      </w:pPr>
    </w:p>
    <w:p>
      <w:pPr>
        <w:autoSpaceDE w:val="0"/>
        <w:autoSpaceDN w:val="0"/>
        <w:adjustRightInd w:val="0"/>
        <w:jc w:val="center"/>
        <w:outlineLvl w:val="0"/>
        <w:rPr>
          <w:rFonts w:hint="eastAsia" w:hAnsi="宋体" w:cs="宋体"/>
          <w:b/>
          <w:color w:val="auto"/>
          <w:sz w:val="36"/>
          <w:szCs w:val="36"/>
        </w:rPr>
      </w:pPr>
    </w:p>
    <w:p>
      <w:pPr>
        <w:autoSpaceDE w:val="0"/>
        <w:autoSpaceDN w:val="0"/>
        <w:adjustRightInd w:val="0"/>
        <w:jc w:val="center"/>
        <w:outlineLvl w:val="0"/>
        <w:rPr>
          <w:rFonts w:hint="eastAsia" w:hAnsi="宋体" w:cs="宋体"/>
          <w:b/>
          <w:color w:val="auto"/>
          <w:sz w:val="36"/>
          <w:szCs w:val="36"/>
        </w:rPr>
      </w:pPr>
    </w:p>
    <w:p>
      <w:pPr>
        <w:autoSpaceDE w:val="0"/>
        <w:autoSpaceDN w:val="0"/>
        <w:adjustRightInd w:val="0"/>
        <w:jc w:val="center"/>
        <w:outlineLvl w:val="0"/>
        <w:rPr>
          <w:rFonts w:hint="eastAsia" w:hAnsi="宋体" w:cs="宋体"/>
          <w:b/>
          <w:color w:val="auto"/>
          <w:sz w:val="36"/>
          <w:szCs w:val="36"/>
        </w:rPr>
      </w:pPr>
    </w:p>
    <w:p>
      <w:pPr>
        <w:autoSpaceDE w:val="0"/>
        <w:autoSpaceDN w:val="0"/>
        <w:adjustRightInd w:val="0"/>
        <w:jc w:val="center"/>
        <w:outlineLvl w:val="0"/>
        <w:rPr>
          <w:rFonts w:hint="eastAsia" w:hAnsi="宋体" w:cs="宋体"/>
          <w:b/>
          <w:color w:val="auto"/>
          <w:sz w:val="36"/>
          <w:szCs w:val="36"/>
        </w:rPr>
      </w:pPr>
    </w:p>
    <w:p>
      <w:pPr>
        <w:autoSpaceDE w:val="0"/>
        <w:autoSpaceDN w:val="0"/>
        <w:adjustRightInd w:val="0"/>
        <w:jc w:val="center"/>
        <w:outlineLvl w:val="0"/>
        <w:rPr>
          <w:rFonts w:hint="eastAsia" w:hAnsi="宋体" w:cs="宋体"/>
          <w:b/>
          <w:color w:val="auto"/>
          <w:sz w:val="36"/>
          <w:szCs w:val="36"/>
        </w:rPr>
      </w:pPr>
    </w:p>
    <w:p>
      <w:pPr>
        <w:autoSpaceDE w:val="0"/>
        <w:autoSpaceDN w:val="0"/>
        <w:adjustRightInd w:val="0"/>
        <w:jc w:val="center"/>
        <w:outlineLvl w:val="0"/>
        <w:rPr>
          <w:rFonts w:hint="eastAsia" w:hAnsi="宋体" w:cs="宋体"/>
          <w:b/>
          <w:color w:val="auto"/>
          <w:sz w:val="36"/>
          <w:szCs w:val="36"/>
        </w:rPr>
      </w:pPr>
    </w:p>
    <w:p>
      <w:pPr>
        <w:autoSpaceDE w:val="0"/>
        <w:autoSpaceDN w:val="0"/>
        <w:adjustRightInd w:val="0"/>
        <w:jc w:val="center"/>
        <w:outlineLvl w:val="0"/>
        <w:rPr>
          <w:rFonts w:hint="eastAsia" w:hAnsi="宋体" w:cs="宋体"/>
          <w:b/>
          <w:color w:val="auto"/>
          <w:sz w:val="36"/>
          <w:szCs w:val="36"/>
        </w:rPr>
      </w:pPr>
    </w:p>
    <w:p>
      <w:pPr>
        <w:autoSpaceDE w:val="0"/>
        <w:autoSpaceDN w:val="0"/>
        <w:adjustRightInd w:val="0"/>
        <w:jc w:val="center"/>
        <w:outlineLvl w:val="0"/>
        <w:rPr>
          <w:rFonts w:hint="eastAsia" w:hAnsi="宋体" w:cs="宋体"/>
          <w:b/>
          <w:color w:val="auto"/>
          <w:sz w:val="36"/>
          <w:szCs w:val="36"/>
        </w:rPr>
      </w:pPr>
    </w:p>
    <w:p>
      <w:pPr>
        <w:autoSpaceDE w:val="0"/>
        <w:autoSpaceDN w:val="0"/>
        <w:adjustRightInd w:val="0"/>
        <w:jc w:val="center"/>
        <w:outlineLvl w:val="0"/>
        <w:rPr>
          <w:rFonts w:hint="eastAsia" w:hAnsi="宋体" w:cs="宋体"/>
          <w:b/>
          <w:color w:val="auto"/>
          <w:sz w:val="36"/>
          <w:szCs w:val="36"/>
        </w:rPr>
      </w:pPr>
    </w:p>
    <w:p>
      <w:pPr>
        <w:autoSpaceDE w:val="0"/>
        <w:autoSpaceDN w:val="0"/>
        <w:adjustRightInd w:val="0"/>
        <w:jc w:val="center"/>
        <w:outlineLvl w:val="0"/>
        <w:rPr>
          <w:rFonts w:hint="eastAsia" w:hAnsi="宋体" w:cs="宋体"/>
          <w:b/>
          <w:color w:val="auto"/>
          <w:sz w:val="36"/>
          <w:szCs w:val="36"/>
        </w:rPr>
      </w:pPr>
    </w:p>
    <w:p>
      <w:pPr>
        <w:autoSpaceDE w:val="0"/>
        <w:autoSpaceDN w:val="0"/>
        <w:adjustRightInd w:val="0"/>
        <w:jc w:val="center"/>
        <w:outlineLvl w:val="0"/>
        <w:rPr>
          <w:rFonts w:hint="eastAsia" w:hAnsi="宋体" w:cs="宋体"/>
          <w:b/>
          <w:color w:val="auto"/>
          <w:sz w:val="36"/>
          <w:szCs w:val="36"/>
        </w:rPr>
      </w:pPr>
    </w:p>
    <w:p>
      <w:pPr>
        <w:autoSpaceDE w:val="0"/>
        <w:autoSpaceDN w:val="0"/>
        <w:adjustRightInd w:val="0"/>
        <w:jc w:val="center"/>
        <w:outlineLvl w:val="0"/>
        <w:rPr>
          <w:rFonts w:hint="eastAsia" w:hAnsi="宋体" w:cs="宋体"/>
          <w:b/>
          <w:color w:val="auto"/>
          <w:sz w:val="36"/>
          <w:szCs w:val="36"/>
        </w:rPr>
      </w:pPr>
    </w:p>
    <w:bookmarkEnd w:id="77"/>
    <w:p>
      <w:pPr>
        <w:autoSpaceDE w:val="0"/>
        <w:autoSpaceDN w:val="0"/>
        <w:adjustRightInd w:val="0"/>
        <w:jc w:val="center"/>
        <w:outlineLvl w:val="0"/>
        <w:rPr>
          <w:rFonts w:hAnsi="宋体" w:cs="黑体"/>
          <w:b/>
          <w:color w:val="auto"/>
          <w:sz w:val="36"/>
          <w:szCs w:val="36"/>
        </w:rPr>
      </w:pPr>
      <w:r>
        <w:rPr>
          <w:rFonts w:hint="eastAsia" w:hAnsi="宋体" w:cs="黑体"/>
          <w:b/>
          <w:color w:val="auto"/>
          <w:sz w:val="36"/>
          <w:szCs w:val="36"/>
        </w:rPr>
        <w:t>第七章技术标准和要求</w:t>
      </w:r>
    </w:p>
    <w:p>
      <w:pPr>
        <w:spacing w:line="500" w:lineRule="exact"/>
        <w:ind w:firstLine="480" w:firstLineChars="200"/>
        <w:jc w:val="left"/>
        <w:rPr>
          <w:rFonts w:ascii="新宋体" w:hAnsi="新宋体" w:eastAsia="新宋体"/>
          <w:color w:val="auto"/>
          <w:sz w:val="24"/>
        </w:rPr>
      </w:pPr>
      <w:r>
        <w:rPr>
          <w:rFonts w:hint="eastAsia" w:ascii="新宋体" w:hAnsi="新宋体" w:eastAsia="新宋体"/>
          <w:color w:val="auto"/>
          <w:sz w:val="24"/>
          <w:lang w:val="en-US" w:eastAsia="zh-CN"/>
        </w:rPr>
        <w:t>1</w:t>
      </w:r>
      <w:r>
        <w:rPr>
          <w:rFonts w:hint="eastAsia" w:ascii="新宋体" w:hAnsi="新宋体" w:eastAsia="新宋体"/>
          <w:color w:val="auto"/>
          <w:sz w:val="24"/>
        </w:rPr>
        <w:t>、本工程技术标准和要求以本工程施工图纸和适用的国家、行业以及地方规范、标准和规程为准。</w:t>
      </w:r>
    </w:p>
    <w:p>
      <w:pPr>
        <w:spacing w:line="500" w:lineRule="exact"/>
        <w:ind w:firstLine="480" w:firstLineChars="200"/>
        <w:jc w:val="left"/>
        <w:rPr>
          <w:rFonts w:hint="eastAsia" w:ascii="新宋体" w:hAnsi="新宋体" w:eastAsia="新宋体"/>
          <w:color w:val="auto"/>
          <w:sz w:val="24"/>
        </w:rPr>
      </w:pPr>
      <w:r>
        <w:rPr>
          <w:rFonts w:hint="eastAsia" w:ascii="新宋体" w:hAnsi="新宋体" w:eastAsia="新宋体"/>
          <w:color w:val="auto"/>
          <w:sz w:val="24"/>
          <w:lang w:val="en-US" w:eastAsia="zh-CN"/>
        </w:rPr>
        <w:t>2</w:t>
      </w:r>
      <w:r>
        <w:rPr>
          <w:rFonts w:hint="eastAsia" w:ascii="新宋体" w:hAnsi="新宋体" w:eastAsia="新宋体"/>
          <w:color w:val="auto"/>
          <w:sz w:val="24"/>
        </w:rPr>
        <w:t>、施工工地扬尘污染整治标准以《许昌市施工工地扬尘污染综合整治工作方案》许气联办《2016》21号文件为准。</w:t>
      </w:r>
    </w:p>
    <w:p>
      <w:pPr>
        <w:spacing w:line="500" w:lineRule="exact"/>
        <w:ind w:firstLine="480" w:firstLineChars="200"/>
        <w:jc w:val="left"/>
        <w:rPr>
          <w:rFonts w:hint="eastAsia" w:ascii="新宋体" w:hAnsi="新宋体" w:eastAsia="新宋体"/>
          <w:color w:val="auto"/>
          <w:sz w:val="24"/>
          <w:szCs w:val="22"/>
        </w:rPr>
      </w:pPr>
      <w:r>
        <w:rPr>
          <w:rFonts w:hint="eastAsia" w:ascii="新宋体" w:hAnsi="新宋体" w:eastAsia="新宋体"/>
          <w:color w:val="auto"/>
          <w:sz w:val="24"/>
          <w:lang w:val="en-US" w:eastAsia="zh-CN"/>
        </w:rPr>
        <w:t>3</w:t>
      </w:r>
      <w:r>
        <w:rPr>
          <w:rFonts w:hint="eastAsia" w:ascii="新宋体" w:hAnsi="新宋体" w:eastAsia="新宋体"/>
          <w:color w:val="auto"/>
          <w:sz w:val="24"/>
          <w:lang w:eastAsia="zh-CN"/>
        </w:rPr>
        <w:t>、</w:t>
      </w:r>
      <w:r>
        <w:rPr>
          <w:rFonts w:hint="eastAsia" w:ascii="新宋体" w:hAnsi="新宋体" w:eastAsia="新宋体"/>
          <w:color w:val="auto"/>
          <w:sz w:val="24"/>
          <w:szCs w:val="22"/>
        </w:rPr>
        <w:t>投标单位须承诺：在投标报价时</w:t>
      </w:r>
      <w:r>
        <w:rPr>
          <w:rFonts w:hint="eastAsia" w:ascii="新宋体" w:hAnsi="新宋体" w:eastAsia="新宋体"/>
          <w:color w:val="auto"/>
          <w:sz w:val="24"/>
          <w:szCs w:val="22"/>
          <w:lang w:eastAsia="zh-CN"/>
        </w:rPr>
        <w:t>，已考虑设备安装等所需的管道封堵和机房改造等影响设备正常运行所需辅料等一切费用且由投标单位承担</w:t>
      </w:r>
      <w:r>
        <w:rPr>
          <w:rFonts w:hint="eastAsia" w:ascii="新宋体" w:hAnsi="新宋体" w:eastAsia="新宋体"/>
          <w:color w:val="auto"/>
          <w:sz w:val="24"/>
          <w:szCs w:val="22"/>
        </w:rPr>
        <w:t>。</w:t>
      </w:r>
    </w:p>
    <w:p>
      <w:pPr>
        <w:spacing w:line="500" w:lineRule="exact"/>
        <w:ind w:firstLine="480" w:firstLineChars="200"/>
        <w:jc w:val="left"/>
        <w:rPr>
          <w:rFonts w:hint="eastAsia" w:ascii="新宋体" w:hAnsi="新宋体" w:eastAsia="新宋体"/>
          <w:color w:val="auto"/>
          <w:sz w:val="24"/>
          <w:lang w:eastAsia="zh-CN"/>
        </w:rPr>
      </w:pPr>
    </w:p>
    <w:p>
      <w:pPr>
        <w:autoSpaceDE w:val="0"/>
        <w:autoSpaceDN w:val="0"/>
        <w:adjustRightInd w:val="0"/>
        <w:spacing w:line="420" w:lineRule="exact"/>
        <w:rPr>
          <w:rFonts w:hAnsi="宋体" w:cs="宋体"/>
          <w:color w:val="auto"/>
          <w:sz w:val="32"/>
          <w:szCs w:val="32"/>
        </w:rPr>
      </w:pPr>
    </w:p>
    <w:p>
      <w:pPr>
        <w:rPr>
          <w:rFonts w:hint="eastAsia" w:hAnsi="宋体" w:cs="宋体"/>
          <w:b/>
          <w:color w:val="auto"/>
          <w:sz w:val="44"/>
          <w:szCs w:val="44"/>
        </w:rPr>
      </w:pPr>
      <w:r>
        <w:rPr>
          <w:rFonts w:hint="eastAsia" w:hAnsi="宋体" w:cs="宋体"/>
          <w:b/>
          <w:color w:val="auto"/>
          <w:sz w:val="44"/>
          <w:szCs w:val="44"/>
        </w:rPr>
        <w:br w:type="page"/>
      </w:r>
    </w:p>
    <w:p>
      <w:pPr>
        <w:autoSpaceDE w:val="0"/>
        <w:autoSpaceDN w:val="0"/>
        <w:adjustRightInd w:val="0"/>
        <w:spacing w:beforeLines="100" w:afterLines="100"/>
        <w:jc w:val="center"/>
        <w:outlineLvl w:val="0"/>
        <w:rPr>
          <w:rFonts w:hAnsi="宋体" w:cs="宋体"/>
          <w:b/>
          <w:color w:val="auto"/>
          <w:sz w:val="44"/>
          <w:szCs w:val="44"/>
        </w:rPr>
      </w:pPr>
      <w:r>
        <w:rPr>
          <w:rFonts w:hint="eastAsia" w:hAnsi="宋体" w:cs="宋体"/>
          <w:b/>
          <w:color w:val="auto"/>
          <w:sz w:val="44"/>
          <w:szCs w:val="44"/>
        </w:rPr>
        <w:t>第八章 投标文件格式</w:t>
      </w:r>
    </w:p>
    <w:p>
      <w:pPr>
        <w:tabs>
          <w:tab w:val="center" w:pos="4739"/>
        </w:tabs>
        <w:spacing w:beforeLines="100" w:afterLines="100"/>
        <w:jc w:val="right"/>
        <w:rPr>
          <w:rFonts w:hAnsi="宋体" w:cs="宋体"/>
          <w:color w:val="auto"/>
          <w:sz w:val="32"/>
          <w:szCs w:val="32"/>
        </w:rPr>
      </w:pPr>
    </w:p>
    <w:p>
      <w:pPr>
        <w:autoSpaceDE w:val="0"/>
        <w:autoSpaceDN w:val="0"/>
        <w:adjustRightInd w:val="0"/>
        <w:jc w:val="center"/>
        <w:rPr>
          <w:rFonts w:hAnsi="宋体" w:cs="宋体"/>
          <w:b/>
          <w:color w:val="auto"/>
          <w:spacing w:val="60"/>
          <w:sz w:val="52"/>
          <w:szCs w:val="52"/>
          <w:u w:val="single"/>
        </w:rPr>
      </w:pPr>
      <w:r>
        <w:rPr>
          <w:rFonts w:hint="eastAsia" w:hAnsi="宋体" w:cs="宋体"/>
          <w:b/>
          <w:color w:val="auto"/>
          <w:spacing w:val="60"/>
          <w:sz w:val="52"/>
          <w:szCs w:val="52"/>
          <w:u w:val="single"/>
        </w:rPr>
        <w:t xml:space="preserve">      （工程名称）</w:t>
      </w:r>
    </w:p>
    <w:p>
      <w:pPr>
        <w:tabs>
          <w:tab w:val="center" w:pos="4739"/>
        </w:tabs>
        <w:ind w:left="180"/>
        <w:jc w:val="center"/>
        <w:rPr>
          <w:rFonts w:hAnsi="宋体" w:cs="宋体"/>
          <w:b/>
          <w:color w:val="auto"/>
          <w:sz w:val="36"/>
          <w:szCs w:val="36"/>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jc w:val="center"/>
        <w:rPr>
          <w:rFonts w:hAnsi="宋体" w:cs="宋体"/>
          <w:b/>
          <w:color w:val="auto"/>
          <w:sz w:val="72"/>
          <w:szCs w:val="72"/>
        </w:rPr>
      </w:pPr>
      <w:r>
        <w:rPr>
          <w:rFonts w:hint="eastAsia" w:hAnsi="宋体" w:cs="宋体"/>
          <w:b/>
          <w:color w:val="auto"/>
          <w:sz w:val="72"/>
          <w:szCs w:val="72"/>
        </w:rPr>
        <w:t>投 标 文 件</w:t>
      </w: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jc w:val="center"/>
        <w:rPr>
          <w:rFonts w:hAnsi="宋体" w:cs="宋体"/>
          <w:b/>
          <w:color w:val="auto"/>
          <w:sz w:val="32"/>
          <w:szCs w:val="32"/>
        </w:rPr>
      </w:pPr>
      <w:r>
        <w:rPr>
          <w:rFonts w:hint="eastAsia" w:hAnsi="宋体" w:cs="宋体"/>
          <w:b/>
          <w:color w:val="auto"/>
          <w:sz w:val="32"/>
          <w:szCs w:val="32"/>
        </w:rPr>
        <w:t>（商务标）</w:t>
      </w:r>
    </w:p>
    <w:p>
      <w:pPr>
        <w:tabs>
          <w:tab w:val="center" w:pos="4739"/>
        </w:tabs>
        <w:ind w:left="180"/>
        <w:rPr>
          <w:rFonts w:hAnsi="宋体" w:cs="宋体"/>
          <w:b/>
          <w:color w:val="auto"/>
          <w:sz w:val="32"/>
          <w:szCs w:val="32"/>
        </w:rPr>
      </w:pPr>
      <w:r>
        <w:rPr>
          <w:rFonts w:hint="eastAsia" w:hAnsi="宋体" w:cs="宋体"/>
          <w:b/>
          <w:color w:val="auto"/>
          <w:sz w:val="32"/>
          <w:szCs w:val="32"/>
        </w:rPr>
        <w:t xml:space="preserve">               项目编号：</w:t>
      </w: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jc w:val="center"/>
        <w:rPr>
          <w:rFonts w:hAnsi="宋体" w:cs="宋体"/>
          <w:b/>
          <w:color w:val="auto"/>
          <w:sz w:val="32"/>
        </w:rPr>
      </w:pPr>
      <w:r>
        <w:rPr>
          <w:rFonts w:hint="eastAsia" w:hAnsi="宋体" w:cs="宋体"/>
          <w:b/>
          <w:color w:val="auto"/>
          <w:sz w:val="32"/>
        </w:rPr>
        <w:t>投标人:(盖单位章)</w:t>
      </w:r>
    </w:p>
    <w:p>
      <w:pPr>
        <w:tabs>
          <w:tab w:val="center" w:pos="4739"/>
        </w:tabs>
        <w:ind w:left="180"/>
        <w:jc w:val="center"/>
        <w:rPr>
          <w:rFonts w:hAnsi="宋体" w:cs="宋体"/>
          <w:b/>
          <w:color w:val="auto"/>
          <w:sz w:val="32"/>
        </w:rPr>
      </w:pPr>
    </w:p>
    <w:p>
      <w:pPr>
        <w:tabs>
          <w:tab w:val="center" w:pos="4739"/>
        </w:tabs>
        <w:ind w:left="180"/>
        <w:jc w:val="center"/>
        <w:rPr>
          <w:rFonts w:hAnsi="宋体" w:cs="宋体"/>
          <w:b/>
          <w:color w:val="auto"/>
          <w:sz w:val="32"/>
        </w:rPr>
      </w:pPr>
      <w:r>
        <w:rPr>
          <w:rFonts w:hint="eastAsia" w:hAnsi="宋体" w:cs="宋体"/>
          <w:b/>
          <w:color w:val="auto"/>
          <w:sz w:val="32"/>
        </w:rPr>
        <w:t>法定代表人或其委托代理人:(签字)</w:t>
      </w:r>
    </w:p>
    <w:p>
      <w:pPr>
        <w:tabs>
          <w:tab w:val="center" w:pos="4739"/>
        </w:tabs>
        <w:ind w:left="180"/>
        <w:jc w:val="center"/>
        <w:rPr>
          <w:rFonts w:hAnsi="宋体" w:cs="宋体"/>
          <w:b/>
          <w:color w:val="auto"/>
          <w:sz w:val="32"/>
        </w:rPr>
      </w:pPr>
    </w:p>
    <w:p>
      <w:pPr>
        <w:tabs>
          <w:tab w:val="center" w:pos="4739"/>
        </w:tabs>
        <w:ind w:left="180"/>
        <w:jc w:val="center"/>
        <w:rPr>
          <w:rFonts w:hAnsi="宋体" w:cs="宋体"/>
          <w:b/>
          <w:color w:val="auto"/>
          <w:sz w:val="36"/>
          <w:szCs w:val="36"/>
        </w:rPr>
      </w:pPr>
      <w:r>
        <w:rPr>
          <w:rFonts w:hint="eastAsia" w:hAnsi="宋体" w:cs="宋体"/>
          <w:b/>
          <w:color w:val="auto"/>
          <w:sz w:val="32"/>
        </w:rPr>
        <w:t>年  月  日</w:t>
      </w:r>
      <w:r>
        <w:rPr>
          <w:rFonts w:hint="eastAsia" w:hAnsi="宋体" w:cs="宋体"/>
          <w:b/>
          <w:color w:val="auto"/>
          <w:sz w:val="36"/>
          <w:szCs w:val="36"/>
        </w:rPr>
        <w:br w:type="page"/>
      </w:r>
    </w:p>
    <w:p>
      <w:pPr>
        <w:autoSpaceDE w:val="0"/>
        <w:autoSpaceDN w:val="0"/>
        <w:adjustRightInd w:val="0"/>
        <w:spacing w:line="420" w:lineRule="exact"/>
        <w:jc w:val="center"/>
        <w:rPr>
          <w:rFonts w:hAnsi="宋体" w:cs="宋体"/>
          <w:b/>
          <w:color w:val="auto"/>
          <w:sz w:val="36"/>
          <w:szCs w:val="36"/>
        </w:rPr>
      </w:pPr>
      <w:r>
        <w:rPr>
          <w:rFonts w:hint="eastAsia" w:hAnsi="宋体" w:cs="宋体"/>
          <w:b/>
          <w:color w:val="auto"/>
          <w:sz w:val="36"/>
          <w:szCs w:val="36"/>
        </w:rPr>
        <w:t>已标价工程量清单</w:t>
      </w:r>
    </w:p>
    <w:p>
      <w:pPr>
        <w:autoSpaceDE w:val="0"/>
        <w:autoSpaceDN w:val="0"/>
        <w:adjustRightInd w:val="0"/>
        <w:spacing w:line="360" w:lineRule="auto"/>
        <w:ind w:right="215"/>
        <w:jc w:val="center"/>
        <w:rPr>
          <w:rFonts w:hAnsi="宋体" w:cs="宋体"/>
          <w:b/>
          <w:color w:val="auto"/>
          <w:sz w:val="32"/>
        </w:rPr>
      </w:pPr>
      <w:r>
        <w:rPr>
          <w:rFonts w:hint="eastAsia" w:hAnsi="宋体" w:cs="宋体"/>
          <w:color w:val="auto"/>
          <w:sz w:val="24"/>
        </w:rPr>
        <w:t xml:space="preserve">  （按所发放的工程量清单编制）</w:t>
      </w: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pStyle w:val="2"/>
        <w:ind w:firstLine="340"/>
        <w:rPr>
          <w:color w:val="auto"/>
        </w:rPr>
      </w:pPr>
    </w:p>
    <w:p>
      <w:pPr>
        <w:tabs>
          <w:tab w:val="center" w:pos="4739"/>
        </w:tabs>
        <w:spacing w:beforeLines="100" w:afterLines="100"/>
        <w:jc w:val="right"/>
        <w:rPr>
          <w:rFonts w:hAnsi="宋体" w:cs="宋体"/>
          <w:color w:val="auto"/>
          <w:sz w:val="32"/>
          <w:szCs w:val="32"/>
        </w:rPr>
      </w:pPr>
    </w:p>
    <w:p>
      <w:pPr>
        <w:autoSpaceDE w:val="0"/>
        <w:autoSpaceDN w:val="0"/>
        <w:adjustRightInd w:val="0"/>
        <w:jc w:val="center"/>
        <w:rPr>
          <w:rFonts w:hAnsi="宋体" w:cs="宋体"/>
          <w:b/>
          <w:color w:val="auto"/>
          <w:spacing w:val="60"/>
          <w:sz w:val="52"/>
          <w:szCs w:val="52"/>
          <w:u w:val="single"/>
        </w:rPr>
      </w:pPr>
      <w:r>
        <w:rPr>
          <w:rFonts w:hint="eastAsia" w:hAnsi="宋体" w:cs="宋体"/>
          <w:b/>
          <w:color w:val="auto"/>
          <w:spacing w:val="60"/>
          <w:sz w:val="52"/>
          <w:szCs w:val="52"/>
          <w:u w:val="single"/>
        </w:rPr>
        <w:t xml:space="preserve">      （工程名称）</w:t>
      </w:r>
    </w:p>
    <w:p>
      <w:pPr>
        <w:tabs>
          <w:tab w:val="center" w:pos="4739"/>
        </w:tabs>
        <w:ind w:left="180"/>
        <w:jc w:val="center"/>
        <w:rPr>
          <w:rFonts w:hAnsi="宋体" w:cs="宋体"/>
          <w:b/>
          <w:color w:val="auto"/>
          <w:sz w:val="36"/>
          <w:szCs w:val="36"/>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jc w:val="center"/>
        <w:rPr>
          <w:rFonts w:hAnsi="宋体" w:cs="宋体"/>
          <w:b/>
          <w:color w:val="auto"/>
          <w:sz w:val="72"/>
          <w:szCs w:val="72"/>
        </w:rPr>
      </w:pPr>
      <w:r>
        <w:rPr>
          <w:rFonts w:hint="eastAsia" w:hAnsi="宋体" w:cs="宋体"/>
          <w:b/>
          <w:color w:val="auto"/>
          <w:sz w:val="72"/>
          <w:szCs w:val="72"/>
        </w:rPr>
        <w:t>投 标 文 件</w:t>
      </w: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jc w:val="center"/>
        <w:rPr>
          <w:rFonts w:hAnsi="宋体" w:cs="宋体"/>
          <w:b/>
          <w:color w:val="auto"/>
          <w:sz w:val="32"/>
          <w:szCs w:val="32"/>
        </w:rPr>
      </w:pPr>
      <w:r>
        <w:rPr>
          <w:rFonts w:hint="eastAsia" w:hAnsi="宋体" w:cs="宋体"/>
          <w:b/>
          <w:color w:val="auto"/>
          <w:sz w:val="32"/>
          <w:szCs w:val="32"/>
        </w:rPr>
        <w:t>（综合标）</w:t>
      </w:r>
    </w:p>
    <w:p>
      <w:pPr>
        <w:tabs>
          <w:tab w:val="center" w:pos="4739"/>
        </w:tabs>
        <w:ind w:left="180"/>
        <w:rPr>
          <w:rFonts w:hAnsi="宋体" w:cs="宋体"/>
          <w:b/>
          <w:color w:val="auto"/>
          <w:sz w:val="32"/>
          <w:szCs w:val="32"/>
        </w:rPr>
      </w:pPr>
      <w:r>
        <w:rPr>
          <w:rFonts w:hint="eastAsia" w:hAnsi="宋体" w:cs="宋体"/>
          <w:b/>
          <w:color w:val="auto"/>
          <w:sz w:val="32"/>
          <w:szCs w:val="32"/>
        </w:rPr>
        <w:t xml:space="preserve">               项目编号：</w:t>
      </w: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jc w:val="center"/>
        <w:rPr>
          <w:rFonts w:hAnsi="宋体" w:cs="宋体"/>
          <w:b/>
          <w:color w:val="auto"/>
          <w:sz w:val="32"/>
        </w:rPr>
      </w:pPr>
      <w:r>
        <w:rPr>
          <w:rFonts w:hint="eastAsia" w:hAnsi="宋体" w:cs="宋体"/>
          <w:b/>
          <w:color w:val="auto"/>
          <w:sz w:val="32"/>
        </w:rPr>
        <w:t>投标人:(盖单位章)</w:t>
      </w:r>
    </w:p>
    <w:p>
      <w:pPr>
        <w:tabs>
          <w:tab w:val="center" w:pos="4739"/>
        </w:tabs>
        <w:ind w:left="180"/>
        <w:jc w:val="center"/>
        <w:rPr>
          <w:rFonts w:hAnsi="宋体" w:cs="宋体"/>
          <w:b/>
          <w:color w:val="auto"/>
          <w:sz w:val="32"/>
        </w:rPr>
      </w:pPr>
    </w:p>
    <w:p>
      <w:pPr>
        <w:tabs>
          <w:tab w:val="center" w:pos="4739"/>
        </w:tabs>
        <w:ind w:left="180"/>
        <w:jc w:val="center"/>
        <w:rPr>
          <w:rFonts w:hAnsi="宋体" w:cs="宋体"/>
          <w:b/>
          <w:color w:val="auto"/>
          <w:sz w:val="32"/>
        </w:rPr>
      </w:pPr>
      <w:r>
        <w:rPr>
          <w:rFonts w:hint="eastAsia" w:hAnsi="宋体" w:cs="宋体"/>
          <w:b/>
          <w:color w:val="auto"/>
          <w:sz w:val="32"/>
        </w:rPr>
        <w:t>法定代表人或其委托代理人:(签字)</w:t>
      </w:r>
    </w:p>
    <w:p>
      <w:pPr>
        <w:tabs>
          <w:tab w:val="center" w:pos="4739"/>
        </w:tabs>
        <w:ind w:left="180"/>
        <w:jc w:val="center"/>
        <w:rPr>
          <w:rFonts w:hAnsi="宋体" w:cs="宋体"/>
          <w:b/>
          <w:color w:val="auto"/>
          <w:sz w:val="32"/>
        </w:rPr>
      </w:pPr>
    </w:p>
    <w:p>
      <w:pPr>
        <w:tabs>
          <w:tab w:val="center" w:pos="4739"/>
        </w:tabs>
        <w:ind w:left="180"/>
        <w:jc w:val="center"/>
        <w:rPr>
          <w:rFonts w:hAnsi="宋体" w:cs="宋体"/>
          <w:b/>
          <w:color w:val="auto"/>
          <w:sz w:val="36"/>
          <w:szCs w:val="36"/>
        </w:rPr>
      </w:pPr>
      <w:r>
        <w:rPr>
          <w:rFonts w:hint="eastAsia" w:hAnsi="宋体" w:cs="宋体"/>
          <w:b/>
          <w:color w:val="auto"/>
          <w:sz w:val="32"/>
        </w:rPr>
        <w:t>年月日</w:t>
      </w:r>
    </w:p>
    <w:p>
      <w:pPr>
        <w:autoSpaceDE w:val="0"/>
        <w:autoSpaceDN w:val="0"/>
        <w:adjustRightInd w:val="0"/>
        <w:spacing w:line="420" w:lineRule="exact"/>
        <w:rPr>
          <w:rFonts w:hAnsi="宋体" w:cs="宋体"/>
          <w:b/>
          <w:color w:val="auto"/>
          <w:sz w:val="36"/>
          <w:szCs w:val="36"/>
        </w:rPr>
      </w:pPr>
    </w:p>
    <w:p>
      <w:pPr>
        <w:autoSpaceDE w:val="0"/>
        <w:autoSpaceDN w:val="0"/>
        <w:adjustRightInd w:val="0"/>
        <w:spacing w:line="420" w:lineRule="exact"/>
        <w:rPr>
          <w:rFonts w:hAnsi="宋体" w:cs="宋体"/>
          <w:b/>
          <w:color w:val="auto"/>
          <w:sz w:val="36"/>
          <w:szCs w:val="36"/>
        </w:rPr>
      </w:pPr>
    </w:p>
    <w:p>
      <w:pPr>
        <w:autoSpaceDE w:val="0"/>
        <w:autoSpaceDN w:val="0"/>
        <w:adjustRightInd w:val="0"/>
        <w:spacing w:line="420" w:lineRule="exact"/>
        <w:rPr>
          <w:rFonts w:hAnsi="宋体" w:cs="宋体"/>
          <w:b/>
          <w:color w:val="auto"/>
          <w:sz w:val="36"/>
          <w:szCs w:val="36"/>
        </w:rPr>
      </w:pPr>
    </w:p>
    <w:p>
      <w:pPr>
        <w:autoSpaceDE w:val="0"/>
        <w:autoSpaceDN w:val="0"/>
        <w:adjustRightInd w:val="0"/>
        <w:spacing w:line="420" w:lineRule="exact"/>
        <w:rPr>
          <w:rFonts w:hAnsi="宋体" w:cs="宋体"/>
          <w:b/>
          <w:color w:val="auto"/>
          <w:sz w:val="36"/>
          <w:szCs w:val="36"/>
        </w:rPr>
      </w:pPr>
    </w:p>
    <w:p>
      <w:pPr>
        <w:autoSpaceDE w:val="0"/>
        <w:autoSpaceDN w:val="0"/>
        <w:adjustRightInd w:val="0"/>
        <w:spacing w:line="420" w:lineRule="exact"/>
        <w:rPr>
          <w:rFonts w:hAnsi="宋体" w:cs="宋体"/>
          <w:b/>
          <w:color w:val="auto"/>
          <w:sz w:val="36"/>
          <w:szCs w:val="36"/>
        </w:rPr>
      </w:pPr>
    </w:p>
    <w:p>
      <w:pPr>
        <w:autoSpaceDE w:val="0"/>
        <w:autoSpaceDN w:val="0"/>
        <w:adjustRightInd w:val="0"/>
        <w:spacing w:line="420" w:lineRule="exact"/>
        <w:jc w:val="center"/>
        <w:rPr>
          <w:rFonts w:hint="eastAsia" w:hAnsi="宋体" w:cs="宋体"/>
          <w:b/>
          <w:color w:val="auto"/>
          <w:sz w:val="36"/>
          <w:szCs w:val="36"/>
        </w:rPr>
      </w:pPr>
    </w:p>
    <w:p>
      <w:pPr>
        <w:autoSpaceDE w:val="0"/>
        <w:autoSpaceDN w:val="0"/>
        <w:adjustRightInd w:val="0"/>
        <w:spacing w:line="420" w:lineRule="exact"/>
        <w:jc w:val="center"/>
        <w:rPr>
          <w:rFonts w:hAnsi="宋体" w:cs="宋体"/>
          <w:color w:val="auto"/>
          <w:sz w:val="36"/>
          <w:szCs w:val="36"/>
        </w:rPr>
      </w:pPr>
      <w:r>
        <w:rPr>
          <w:rFonts w:hint="eastAsia" w:hAnsi="宋体" w:cs="宋体"/>
          <w:b/>
          <w:color w:val="auto"/>
          <w:sz w:val="36"/>
          <w:szCs w:val="36"/>
        </w:rPr>
        <w:t>目    录</w:t>
      </w:r>
    </w:p>
    <w:p>
      <w:pPr>
        <w:autoSpaceDE w:val="0"/>
        <w:autoSpaceDN w:val="0"/>
        <w:adjustRightInd w:val="0"/>
        <w:spacing w:line="420" w:lineRule="exact"/>
        <w:jc w:val="center"/>
        <w:rPr>
          <w:rFonts w:hAnsi="宋体" w:cs="宋体"/>
          <w:color w:val="auto"/>
          <w:sz w:val="28"/>
          <w:szCs w:val="28"/>
        </w:rPr>
      </w:pPr>
    </w:p>
    <w:p>
      <w:pPr>
        <w:autoSpaceDE w:val="0"/>
        <w:autoSpaceDN w:val="0"/>
        <w:adjustRightInd w:val="0"/>
        <w:spacing w:line="420" w:lineRule="exact"/>
        <w:jc w:val="center"/>
        <w:rPr>
          <w:rFonts w:hAnsi="宋体" w:cs="宋体"/>
          <w:color w:val="auto"/>
          <w:sz w:val="28"/>
          <w:szCs w:val="28"/>
        </w:rPr>
      </w:pPr>
    </w:p>
    <w:p>
      <w:pPr>
        <w:autoSpaceDE w:val="0"/>
        <w:autoSpaceDN w:val="0"/>
        <w:adjustRightInd w:val="0"/>
        <w:spacing w:line="480" w:lineRule="auto"/>
        <w:ind w:left="1162" w:leftChars="342"/>
        <w:jc w:val="left"/>
        <w:rPr>
          <w:rFonts w:hAnsi="宋体" w:cs="宋体"/>
          <w:b/>
          <w:color w:val="auto"/>
          <w:sz w:val="24"/>
        </w:rPr>
      </w:pPr>
      <w:r>
        <w:rPr>
          <w:rFonts w:hint="eastAsia" w:hAnsi="宋体" w:cs="宋体"/>
          <w:b/>
          <w:color w:val="auto"/>
          <w:sz w:val="24"/>
        </w:rPr>
        <w:t>一、投标函及投标函附录；</w:t>
      </w:r>
    </w:p>
    <w:p>
      <w:pPr>
        <w:autoSpaceDE w:val="0"/>
        <w:autoSpaceDN w:val="0"/>
        <w:adjustRightInd w:val="0"/>
        <w:spacing w:line="480" w:lineRule="auto"/>
        <w:ind w:left="1162" w:leftChars="342"/>
        <w:jc w:val="left"/>
        <w:rPr>
          <w:rFonts w:hAnsi="宋体" w:cs="宋体"/>
          <w:b/>
          <w:color w:val="auto"/>
          <w:sz w:val="24"/>
        </w:rPr>
      </w:pPr>
      <w:r>
        <w:rPr>
          <w:rFonts w:hint="eastAsia" w:hAnsi="宋体" w:cs="宋体"/>
          <w:b/>
          <w:color w:val="auto"/>
          <w:sz w:val="24"/>
        </w:rPr>
        <w:t>二、法定代表人身份证明、授权委托书；</w:t>
      </w:r>
    </w:p>
    <w:p>
      <w:pPr>
        <w:autoSpaceDE w:val="0"/>
        <w:autoSpaceDN w:val="0"/>
        <w:adjustRightInd w:val="0"/>
        <w:spacing w:line="480" w:lineRule="auto"/>
        <w:ind w:left="1162" w:leftChars="342"/>
        <w:jc w:val="left"/>
        <w:rPr>
          <w:rFonts w:hAnsi="宋体" w:cs="宋体"/>
          <w:b/>
          <w:color w:val="auto"/>
          <w:sz w:val="24"/>
        </w:rPr>
      </w:pPr>
      <w:r>
        <w:rPr>
          <w:rFonts w:hint="eastAsia" w:hAnsi="宋体" w:cs="宋体"/>
          <w:b/>
          <w:color w:val="auto"/>
          <w:sz w:val="24"/>
        </w:rPr>
        <w:t>三、投标保证金；</w:t>
      </w:r>
    </w:p>
    <w:p>
      <w:pPr>
        <w:autoSpaceDE w:val="0"/>
        <w:autoSpaceDN w:val="0"/>
        <w:adjustRightInd w:val="0"/>
        <w:spacing w:line="480" w:lineRule="auto"/>
        <w:ind w:left="1162" w:leftChars="342"/>
        <w:jc w:val="left"/>
        <w:rPr>
          <w:rFonts w:hAnsi="宋体" w:cs="宋体"/>
          <w:b/>
          <w:color w:val="auto"/>
          <w:sz w:val="24"/>
        </w:rPr>
      </w:pPr>
      <w:r>
        <w:rPr>
          <w:rFonts w:hint="eastAsia" w:hAnsi="宋体" w:cs="宋体"/>
          <w:b/>
          <w:color w:val="auto"/>
          <w:sz w:val="24"/>
        </w:rPr>
        <w:t>四、项目管理机构配备情况；</w:t>
      </w:r>
    </w:p>
    <w:p>
      <w:pPr>
        <w:autoSpaceDE w:val="0"/>
        <w:autoSpaceDN w:val="0"/>
        <w:adjustRightInd w:val="0"/>
        <w:spacing w:line="480" w:lineRule="auto"/>
        <w:ind w:left="1162" w:leftChars="342"/>
        <w:jc w:val="left"/>
        <w:rPr>
          <w:rFonts w:hAnsi="宋体" w:cs="宋体"/>
          <w:b/>
          <w:color w:val="auto"/>
          <w:sz w:val="24"/>
        </w:rPr>
      </w:pPr>
      <w:r>
        <w:rPr>
          <w:rFonts w:hint="eastAsia" w:hAnsi="宋体" w:cs="宋体"/>
          <w:b/>
          <w:color w:val="auto"/>
          <w:sz w:val="24"/>
        </w:rPr>
        <w:t>五、投标单位基本信息表；</w:t>
      </w:r>
    </w:p>
    <w:p>
      <w:pPr>
        <w:autoSpaceDE w:val="0"/>
        <w:autoSpaceDN w:val="0"/>
        <w:adjustRightInd w:val="0"/>
        <w:spacing w:line="480" w:lineRule="auto"/>
        <w:ind w:left="1162" w:leftChars="342"/>
        <w:jc w:val="left"/>
        <w:rPr>
          <w:rFonts w:hAnsi="宋体" w:cs="宋体"/>
          <w:b/>
          <w:color w:val="auto"/>
          <w:sz w:val="24"/>
        </w:rPr>
      </w:pPr>
      <w:r>
        <w:rPr>
          <w:rFonts w:hint="eastAsia" w:hAnsi="宋体" w:cs="宋体"/>
          <w:b/>
          <w:color w:val="auto"/>
          <w:sz w:val="24"/>
        </w:rPr>
        <w:t>六、资格证明文件；</w:t>
      </w:r>
    </w:p>
    <w:p>
      <w:pPr>
        <w:autoSpaceDE w:val="0"/>
        <w:autoSpaceDN w:val="0"/>
        <w:adjustRightInd w:val="0"/>
        <w:spacing w:line="480" w:lineRule="auto"/>
        <w:ind w:left="1162" w:leftChars="342"/>
        <w:jc w:val="left"/>
        <w:rPr>
          <w:rFonts w:hAnsi="宋体" w:cs="宋体"/>
          <w:b/>
          <w:color w:val="auto"/>
          <w:sz w:val="24"/>
        </w:rPr>
      </w:pPr>
      <w:r>
        <w:rPr>
          <w:rFonts w:hint="eastAsia" w:hAnsi="宋体" w:cs="宋体"/>
          <w:b/>
          <w:color w:val="auto"/>
          <w:sz w:val="24"/>
        </w:rPr>
        <w:t>七、近年完成的类似项目情况表；</w:t>
      </w:r>
    </w:p>
    <w:p>
      <w:pPr>
        <w:autoSpaceDE w:val="0"/>
        <w:autoSpaceDN w:val="0"/>
        <w:adjustRightInd w:val="0"/>
        <w:spacing w:line="480" w:lineRule="auto"/>
        <w:ind w:left="1162" w:leftChars="342"/>
        <w:jc w:val="left"/>
        <w:rPr>
          <w:rFonts w:hAnsi="宋体" w:cs="宋体"/>
          <w:b/>
          <w:color w:val="auto"/>
          <w:sz w:val="24"/>
        </w:rPr>
      </w:pPr>
      <w:r>
        <w:rPr>
          <w:rFonts w:hint="eastAsia" w:hAnsi="宋体" w:cs="宋体"/>
          <w:b/>
          <w:color w:val="auto"/>
          <w:sz w:val="24"/>
        </w:rPr>
        <w:t>八、正在施工的和新承接的项目情况；</w:t>
      </w:r>
    </w:p>
    <w:p>
      <w:pPr>
        <w:autoSpaceDE w:val="0"/>
        <w:autoSpaceDN w:val="0"/>
        <w:adjustRightInd w:val="0"/>
        <w:spacing w:line="480" w:lineRule="auto"/>
        <w:ind w:left="1162" w:leftChars="342"/>
        <w:jc w:val="left"/>
        <w:rPr>
          <w:rFonts w:hAnsi="宋体" w:cs="宋体"/>
          <w:b/>
          <w:color w:val="auto"/>
          <w:sz w:val="24"/>
        </w:rPr>
      </w:pPr>
      <w:r>
        <w:rPr>
          <w:rFonts w:hint="eastAsia" w:hAnsi="宋体" w:cs="宋体"/>
          <w:b/>
          <w:color w:val="auto"/>
          <w:sz w:val="24"/>
        </w:rPr>
        <w:t>九、近年发生的诉讼及仲裁</w:t>
      </w:r>
    </w:p>
    <w:p>
      <w:pPr>
        <w:autoSpaceDE w:val="0"/>
        <w:autoSpaceDN w:val="0"/>
        <w:adjustRightInd w:val="0"/>
        <w:spacing w:line="480" w:lineRule="auto"/>
        <w:ind w:left="1162" w:leftChars="342"/>
        <w:jc w:val="left"/>
        <w:rPr>
          <w:rFonts w:hAnsi="宋体" w:cs="宋体"/>
          <w:b/>
          <w:color w:val="auto"/>
          <w:sz w:val="24"/>
        </w:rPr>
      </w:pPr>
      <w:r>
        <w:rPr>
          <w:rFonts w:hint="eastAsia" w:hAnsi="宋体" w:cs="宋体"/>
          <w:b/>
          <w:color w:val="auto"/>
          <w:sz w:val="24"/>
        </w:rPr>
        <w:t>十、其它材料；</w:t>
      </w:r>
    </w:p>
    <w:p>
      <w:pPr>
        <w:autoSpaceDE w:val="0"/>
        <w:autoSpaceDN w:val="0"/>
        <w:adjustRightInd w:val="0"/>
        <w:spacing w:line="480" w:lineRule="auto"/>
        <w:ind w:left="1162" w:leftChars="342"/>
        <w:jc w:val="left"/>
        <w:rPr>
          <w:rFonts w:hAnsi="宋体" w:cs="宋体"/>
          <w:b/>
          <w:color w:val="auto"/>
          <w:sz w:val="24"/>
        </w:rPr>
      </w:pPr>
    </w:p>
    <w:p>
      <w:pPr>
        <w:spacing w:line="600" w:lineRule="exact"/>
        <w:ind w:left="1377" w:leftChars="405"/>
        <w:rPr>
          <w:rFonts w:hAnsi="宋体" w:cs="宋体"/>
          <w:b/>
          <w:color w:val="auto"/>
          <w:sz w:val="24"/>
        </w:rPr>
      </w:pPr>
      <w:r>
        <w:rPr>
          <w:rFonts w:hint="eastAsia" w:hAnsi="宋体" w:cs="宋体"/>
          <w:b/>
          <w:color w:val="auto"/>
          <w:sz w:val="24"/>
        </w:rPr>
        <w:t>投标文件编制过程中应按本章提供的格式填报。</w:t>
      </w:r>
    </w:p>
    <w:p>
      <w:pPr>
        <w:spacing w:line="600" w:lineRule="exact"/>
        <w:ind w:left="1377" w:leftChars="405"/>
        <w:rPr>
          <w:rFonts w:hAnsi="宋体" w:cs="宋体"/>
          <w:b/>
          <w:color w:val="auto"/>
          <w:sz w:val="24"/>
        </w:rPr>
      </w:pPr>
      <w:r>
        <w:rPr>
          <w:rFonts w:hint="eastAsia" w:hAnsi="宋体" w:cs="宋体"/>
          <w:b/>
          <w:color w:val="auto"/>
          <w:sz w:val="24"/>
        </w:rPr>
        <w:t>如有本章未提供的格式，投标人可自行编制。</w:t>
      </w:r>
    </w:p>
    <w:p>
      <w:pPr>
        <w:tabs>
          <w:tab w:val="center" w:pos="4739"/>
        </w:tabs>
        <w:ind w:left="180"/>
        <w:jc w:val="center"/>
        <w:rPr>
          <w:rFonts w:hAnsi="宋体" w:cs="宋体"/>
          <w:b/>
          <w:color w:val="auto"/>
          <w:sz w:val="32"/>
        </w:rPr>
      </w:pPr>
      <w:r>
        <w:rPr>
          <w:rFonts w:hint="eastAsia" w:hAnsi="宋体" w:cs="宋体"/>
          <w:b/>
          <w:color w:val="auto"/>
          <w:sz w:val="32"/>
        </w:rPr>
        <w:br w:type="page"/>
      </w:r>
    </w:p>
    <w:p>
      <w:pPr>
        <w:tabs>
          <w:tab w:val="center" w:pos="4739"/>
        </w:tabs>
        <w:ind w:left="180"/>
        <w:jc w:val="center"/>
        <w:rPr>
          <w:rFonts w:hAnsi="宋体" w:cs="宋体"/>
          <w:b/>
          <w:color w:val="auto"/>
          <w:sz w:val="32"/>
        </w:rPr>
      </w:pPr>
      <w:r>
        <w:rPr>
          <w:rFonts w:hint="eastAsia" w:hAnsi="宋体" w:cs="宋体"/>
          <w:b/>
          <w:color w:val="auto"/>
          <w:sz w:val="32"/>
        </w:rPr>
        <w:t>一、投标函及投标函附录</w:t>
      </w:r>
    </w:p>
    <w:p>
      <w:pPr>
        <w:spacing w:beforeLines="100" w:afterLines="50" w:line="510" w:lineRule="exact"/>
        <w:jc w:val="center"/>
        <w:rPr>
          <w:rFonts w:hAnsi="宋体" w:cs="宋体"/>
          <w:color w:val="auto"/>
          <w:sz w:val="28"/>
          <w:szCs w:val="28"/>
        </w:rPr>
      </w:pPr>
      <w:bookmarkStart w:id="78" w:name="_Toc271787730"/>
      <w:r>
        <w:rPr>
          <w:rFonts w:hint="eastAsia" w:hAnsi="宋体" w:cs="宋体"/>
          <w:color w:val="auto"/>
          <w:sz w:val="28"/>
          <w:szCs w:val="28"/>
        </w:rPr>
        <w:t>（一）投标函</w:t>
      </w:r>
    </w:p>
    <w:p>
      <w:pPr>
        <w:spacing w:line="480" w:lineRule="exact"/>
        <w:rPr>
          <w:rFonts w:hAnsi="宋体" w:cs="宋体"/>
          <w:color w:val="auto"/>
          <w:sz w:val="24"/>
        </w:rPr>
      </w:pPr>
      <w:r>
        <w:rPr>
          <w:rFonts w:hint="eastAsia" w:hAnsi="宋体" w:cs="宋体"/>
          <w:color w:val="auto"/>
          <w:sz w:val="24"/>
        </w:rPr>
        <w:t>致：（招标人名称）</w:t>
      </w:r>
    </w:p>
    <w:p>
      <w:pPr>
        <w:spacing w:line="480" w:lineRule="exact"/>
        <w:ind w:firstLine="480" w:firstLineChars="200"/>
        <w:rPr>
          <w:rFonts w:hAnsi="宋体" w:cs="宋体"/>
          <w:color w:val="auto"/>
          <w:sz w:val="24"/>
        </w:rPr>
      </w:pPr>
      <w:r>
        <w:rPr>
          <w:rFonts w:hint="eastAsia" w:hAnsi="宋体" w:cs="宋体"/>
          <w:color w:val="auto"/>
          <w:sz w:val="24"/>
        </w:rPr>
        <w:t>在考察现场并充分研究（项目名称）（以下简称“本工程”）施工招标文件的全部内容后，我方兹以：</w:t>
      </w:r>
    </w:p>
    <w:p>
      <w:pPr>
        <w:spacing w:line="480" w:lineRule="exact"/>
        <w:ind w:firstLine="943" w:firstLineChars="393"/>
        <w:rPr>
          <w:rFonts w:hAnsi="宋体" w:cs="宋体"/>
          <w:color w:val="auto"/>
          <w:sz w:val="24"/>
        </w:rPr>
      </w:pPr>
      <w:r>
        <w:rPr>
          <w:rFonts w:hint="eastAsia" w:hAnsi="宋体" w:cs="宋体"/>
          <w:color w:val="auto"/>
          <w:sz w:val="24"/>
        </w:rPr>
        <w:t>人民币（大写）：元</w:t>
      </w:r>
    </w:p>
    <w:p>
      <w:pPr>
        <w:spacing w:line="480" w:lineRule="exact"/>
        <w:ind w:firstLine="943" w:firstLineChars="393"/>
        <w:rPr>
          <w:rFonts w:hAnsi="宋体" w:cs="宋体"/>
          <w:color w:val="auto"/>
          <w:sz w:val="24"/>
        </w:rPr>
      </w:pPr>
      <w:r>
        <w:rPr>
          <w:rFonts w:hint="eastAsia" w:hAnsi="宋体" w:cs="宋体"/>
          <w:color w:val="auto"/>
          <w:sz w:val="24"/>
        </w:rPr>
        <w:t>RMB￥：元</w:t>
      </w:r>
    </w:p>
    <w:p>
      <w:pPr>
        <w:spacing w:line="480" w:lineRule="exact"/>
        <w:rPr>
          <w:rFonts w:hAnsi="宋体" w:cs="宋体"/>
          <w:color w:val="auto"/>
          <w:sz w:val="24"/>
        </w:rPr>
      </w:pPr>
      <w:r>
        <w:rPr>
          <w:rFonts w:hint="eastAsia" w:hAnsi="宋体" w:cs="宋体"/>
          <w:color w:val="auto"/>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color w:val="auto"/>
          <w:sz w:val="24"/>
        </w:rPr>
      </w:pPr>
      <w:r>
        <w:rPr>
          <w:rFonts w:hint="eastAsia" w:hAnsi="宋体" w:cs="宋体"/>
          <w:color w:val="auto"/>
          <w:sz w:val="24"/>
        </w:rPr>
        <w:t>在我方的上述投标总报价中，包括：</w:t>
      </w:r>
    </w:p>
    <w:p>
      <w:pPr>
        <w:spacing w:line="480" w:lineRule="exact"/>
        <w:ind w:firstLine="1048" w:firstLineChars="437"/>
        <w:rPr>
          <w:rFonts w:hAnsi="宋体" w:cs="宋体"/>
          <w:color w:val="auto"/>
          <w:sz w:val="24"/>
        </w:rPr>
      </w:pPr>
      <w:r>
        <w:rPr>
          <w:rFonts w:hint="eastAsia" w:hAnsi="宋体" w:cs="宋体"/>
          <w:color w:val="auto"/>
          <w:sz w:val="24"/>
        </w:rPr>
        <w:t>规费RMB￥：元</w:t>
      </w:r>
    </w:p>
    <w:p>
      <w:pPr>
        <w:spacing w:line="480" w:lineRule="exact"/>
        <w:ind w:firstLine="1048" w:firstLineChars="437"/>
        <w:rPr>
          <w:rFonts w:hAnsi="宋体" w:cs="宋体"/>
          <w:color w:val="auto"/>
          <w:sz w:val="24"/>
        </w:rPr>
      </w:pPr>
      <w:r>
        <w:rPr>
          <w:rFonts w:hint="eastAsia" w:hAnsi="宋体" w:cs="宋体"/>
          <w:color w:val="auto"/>
          <w:sz w:val="24"/>
        </w:rPr>
        <w:t>税金RMB￥：元</w:t>
      </w:r>
    </w:p>
    <w:p>
      <w:pPr>
        <w:spacing w:line="480" w:lineRule="exact"/>
        <w:ind w:firstLine="1048" w:firstLineChars="437"/>
        <w:rPr>
          <w:rFonts w:hAnsi="宋体" w:cs="宋体"/>
          <w:color w:val="auto"/>
          <w:sz w:val="24"/>
        </w:rPr>
      </w:pPr>
      <w:r>
        <w:rPr>
          <w:rFonts w:hint="eastAsia" w:hAnsi="宋体" w:cs="宋体"/>
          <w:color w:val="auto"/>
          <w:sz w:val="24"/>
        </w:rPr>
        <w:t>安全文明措施费RMB￥：元</w:t>
      </w:r>
    </w:p>
    <w:p>
      <w:pPr>
        <w:spacing w:line="480" w:lineRule="exact"/>
        <w:ind w:firstLine="1048" w:firstLineChars="437"/>
        <w:rPr>
          <w:rFonts w:hAnsi="宋体" w:cs="宋体"/>
          <w:color w:val="auto"/>
          <w:sz w:val="24"/>
        </w:rPr>
      </w:pPr>
      <w:r>
        <w:rPr>
          <w:rFonts w:hint="eastAsia" w:hAnsi="宋体" w:cs="宋体"/>
          <w:color w:val="auto"/>
          <w:sz w:val="24"/>
        </w:rPr>
        <w:t>暂列金额RMB￥：元</w:t>
      </w:r>
    </w:p>
    <w:p>
      <w:pPr>
        <w:spacing w:line="480" w:lineRule="exact"/>
        <w:ind w:firstLine="1048" w:firstLineChars="437"/>
        <w:rPr>
          <w:rFonts w:hAnsi="宋体" w:cs="宋体"/>
          <w:color w:val="auto"/>
          <w:sz w:val="24"/>
        </w:rPr>
      </w:pPr>
      <w:r>
        <w:rPr>
          <w:rFonts w:hint="eastAsia" w:hAnsi="宋体" w:cs="宋体"/>
          <w:color w:val="auto"/>
          <w:sz w:val="24"/>
        </w:rPr>
        <w:t>专业暂估价RMB￥：元</w:t>
      </w:r>
    </w:p>
    <w:p>
      <w:pPr>
        <w:spacing w:line="480" w:lineRule="exact"/>
        <w:ind w:firstLine="480" w:firstLineChars="200"/>
        <w:rPr>
          <w:rFonts w:hAnsi="宋体" w:cs="宋体"/>
          <w:color w:val="auto"/>
          <w:sz w:val="24"/>
        </w:rPr>
      </w:pPr>
      <w:r>
        <w:rPr>
          <w:rFonts w:hint="eastAsia" w:hAnsi="宋体" w:cs="宋体"/>
          <w:color w:val="auto"/>
          <w:sz w:val="24"/>
        </w:rPr>
        <w:t>如果我方中标，我方保证按照合同约定的开工日期开始本工程的施工，</w:t>
      </w:r>
      <w:r>
        <w:rPr>
          <w:rFonts w:hint="eastAsia" w:hAnsi="宋体" w:cs="宋体"/>
          <w:color w:val="auto"/>
          <w:sz w:val="24"/>
          <w:u w:val="single"/>
        </w:rPr>
        <w:t xml:space="preserve">      天</w:t>
      </w:r>
      <w:r>
        <w:rPr>
          <w:rFonts w:hint="eastAsia" w:hAnsi="宋体" w:cs="宋体"/>
          <w:color w:val="auto"/>
          <w:sz w:val="24"/>
        </w:rPr>
        <w:t>（日历天）内竣工，并确保工程质量达到</w:t>
      </w:r>
      <w:r>
        <w:rPr>
          <w:rFonts w:hint="eastAsia" w:hAnsi="宋体" w:cs="宋体"/>
          <w:color w:val="auto"/>
          <w:sz w:val="24"/>
          <w:u w:val="single"/>
        </w:rPr>
        <w:t xml:space="preserve">     </w:t>
      </w:r>
      <w:r>
        <w:rPr>
          <w:rFonts w:hint="eastAsia" w:hAnsi="宋体" w:cs="宋体"/>
          <w:color w:val="auto"/>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color w:val="auto"/>
          <w:sz w:val="24"/>
        </w:rPr>
      </w:pPr>
      <w:r>
        <w:rPr>
          <w:rFonts w:hint="eastAsia" w:hAnsi="宋体" w:cs="宋体"/>
          <w:color w:val="auto"/>
          <w:sz w:val="24"/>
        </w:rPr>
        <w:t>随本投标函递交的投标函附录是本投标函的组成部分，对我方构成约束力。</w:t>
      </w:r>
    </w:p>
    <w:p>
      <w:pPr>
        <w:spacing w:line="480" w:lineRule="exact"/>
        <w:ind w:firstLine="480" w:firstLineChars="200"/>
        <w:rPr>
          <w:rFonts w:hAnsi="宋体" w:cs="宋体"/>
          <w:color w:val="auto"/>
          <w:sz w:val="24"/>
        </w:rPr>
      </w:pPr>
      <w:r>
        <w:rPr>
          <w:rFonts w:hint="eastAsia" w:hAnsi="宋体" w:cs="宋体"/>
          <w:color w:val="auto"/>
          <w:sz w:val="24"/>
        </w:rPr>
        <w:t>随同本投标函递交投标保证金一份，金额为人民币（大写）：元（￥：元）。</w:t>
      </w:r>
    </w:p>
    <w:p>
      <w:pPr>
        <w:spacing w:line="480" w:lineRule="exact"/>
        <w:ind w:firstLine="480" w:firstLineChars="200"/>
        <w:rPr>
          <w:rFonts w:hAnsi="宋体" w:cs="宋体"/>
          <w:color w:val="auto"/>
          <w:sz w:val="24"/>
        </w:rPr>
      </w:pPr>
      <w:r>
        <w:rPr>
          <w:rFonts w:hint="eastAsia" w:hAnsi="宋体" w:cs="宋体"/>
          <w:color w:val="auto"/>
          <w:sz w:val="24"/>
        </w:rPr>
        <w:t>在签署协议书之前，你方的中标通知书连同本投标函，包括投标函附录，对双方具有约束力。</w:t>
      </w:r>
    </w:p>
    <w:p>
      <w:pPr>
        <w:spacing w:line="480" w:lineRule="exact"/>
        <w:ind w:firstLine="480" w:firstLineChars="200"/>
        <w:rPr>
          <w:rFonts w:hAnsi="宋体" w:cs="宋体"/>
          <w:color w:val="auto"/>
          <w:sz w:val="24"/>
        </w:rPr>
      </w:pPr>
      <w:r>
        <w:rPr>
          <w:rFonts w:hint="eastAsia" w:hAnsi="宋体" w:cs="宋体"/>
          <w:color w:val="auto"/>
          <w:sz w:val="24"/>
        </w:rPr>
        <w:t>投标人（盖章）：</w:t>
      </w:r>
    </w:p>
    <w:p>
      <w:pPr>
        <w:spacing w:line="480" w:lineRule="exact"/>
        <w:ind w:firstLine="480" w:firstLineChars="200"/>
        <w:rPr>
          <w:rFonts w:hAnsi="宋体" w:cs="宋体"/>
          <w:color w:val="auto"/>
          <w:sz w:val="24"/>
        </w:rPr>
      </w:pPr>
      <w:r>
        <w:rPr>
          <w:rFonts w:hint="eastAsia" w:hAnsi="宋体" w:cs="宋体"/>
          <w:color w:val="auto"/>
          <w:sz w:val="24"/>
        </w:rPr>
        <w:t>法定代表人或委托代理人（签字）：</w:t>
      </w:r>
    </w:p>
    <w:p>
      <w:pPr>
        <w:spacing w:line="480" w:lineRule="exact"/>
        <w:ind w:firstLine="480" w:firstLineChars="200"/>
        <w:rPr>
          <w:rFonts w:hAnsi="宋体" w:cs="宋体"/>
          <w:color w:val="auto"/>
          <w:sz w:val="24"/>
        </w:rPr>
      </w:pPr>
      <w:r>
        <w:rPr>
          <w:rFonts w:hint="eastAsia" w:hAnsi="宋体" w:cs="宋体"/>
          <w:color w:val="auto"/>
          <w:sz w:val="24"/>
        </w:rPr>
        <w:t>日期：年月日</w:t>
      </w:r>
    </w:p>
    <w:p>
      <w:pPr>
        <w:autoSpaceDE w:val="0"/>
        <w:autoSpaceDN w:val="0"/>
        <w:adjustRightInd w:val="0"/>
        <w:jc w:val="center"/>
        <w:outlineLvl w:val="0"/>
        <w:rPr>
          <w:rFonts w:hAnsi="宋体" w:cs="宋体"/>
          <w:color w:val="auto"/>
          <w:sz w:val="28"/>
          <w:szCs w:val="28"/>
        </w:rPr>
      </w:pPr>
    </w:p>
    <w:p>
      <w:pPr>
        <w:autoSpaceDE w:val="0"/>
        <w:autoSpaceDN w:val="0"/>
        <w:adjustRightInd w:val="0"/>
        <w:jc w:val="center"/>
        <w:outlineLvl w:val="0"/>
        <w:rPr>
          <w:rFonts w:hAnsi="宋体" w:cs="宋体"/>
          <w:color w:val="auto"/>
          <w:sz w:val="28"/>
          <w:szCs w:val="28"/>
        </w:rPr>
      </w:pPr>
      <w:r>
        <w:rPr>
          <w:rFonts w:hint="eastAsia" w:hAnsi="宋体" w:cs="宋体"/>
          <w:color w:val="auto"/>
          <w:sz w:val="28"/>
          <w:szCs w:val="28"/>
        </w:rPr>
        <w:t>（二）投标函附录</w:t>
      </w:r>
    </w:p>
    <w:p>
      <w:pPr>
        <w:rPr>
          <w:rFonts w:hAnsi="宋体" w:cs="宋体"/>
          <w:color w:val="auto"/>
        </w:rPr>
      </w:pPr>
    </w:p>
    <w:tbl>
      <w:tblPr>
        <w:tblStyle w:val="13"/>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3242" w:type="dxa"/>
            <w:vAlign w:val="center"/>
          </w:tcPr>
          <w:p>
            <w:pPr>
              <w:jc w:val="center"/>
              <w:rPr>
                <w:rFonts w:hAnsi="宋体" w:eastAsia="宋体" w:cs="宋体"/>
                <w:color w:val="auto"/>
                <w:sz w:val="24"/>
              </w:rPr>
            </w:pPr>
            <w:r>
              <w:rPr>
                <w:rFonts w:hint="eastAsia" w:hAnsi="宋体" w:eastAsia="宋体" w:cs="宋体"/>
                <w:color w:val="auto"/>
                <w:sz w:val="24"/>
              </w:rPr>
              <w:t>工程名称</w:t>
            </w:r>
          </w:p>
        </w:tc>
        <w:tc>
          <w:tcPr>
            <w:tcW w:w="6014" w:type="dxa"/>
            <w:gridSpan w:val="5"/>
            <w:vAlign w:val="center"/>
          </w:tcPr>
          <w:p>
            <w:pPr>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3242" w:type="dxa"/>
            <w:vAlign w:val="center"/>
          </w:tcPr>
          <w:p>
            <w:pPr>
              <w:jc w:val="center"/>
              <w:rPr>
                <w:rFonts w:hAnsi="宋体" w:eastAsia="宋体" w:cs="宋体"/>
                <w:color w:val="auto"/>
                <w:sz w:val="24"/>
              </w:rPr>
            </w:pPr>
            <w:r>
              <w:rPr>
                <w:rFonts w:hint="eastAsia" w:hAnsi="宋体" w:eastAsia="宋体" w:cs="宋体"/>
                <w:color w:val="auto"/>
                <w:sz w:val="24"/>
              </w:rPr>
              <w:t>投标人</w:t>
            </w:r>
          </w:p>
        </w:tc>
        <w:tc>
          <w:tcPr>
            <w:tcW w:w="6014" w:type="dxa"/>
            <w:gridSpan w:val="5"/>
            <w:vAlign w:val="center"/>
          </w:tcPr>
          <w:p>
            <w:pPr>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color w:val="auto"/>
                <w:sz w:val="24"/>
              </w:rPr>
            </w:pPr>
            <w:r>
              <w:rPr>
                <w:rFonts w:hint="eastAsia" w:hAnsi="宋体" w:eastAsia="宋体" w:cs="宋体"/>
                <w:color w:val="auto"/>
                <w:sz w:val="24"/>
              </w:rPr>
              <w:t>项目负责人</w:t>
            </w:r>
          </w:p>
        </w:tc>
        <w:tc>
          <w:tcPr>
            <w:tcW w:w="1510" w:type="dxa"/>
            <w:vAlign w:val="center"/>
          </w:tcPr>
          <w:p>
            <w:pPr>
              <w:jc w:val="center"/>
              <w:rPr>
                <w:rFonts w:hAnsi="宋体" w:eastAsia="宋体" w:cs="宋体"/>
                <w:color w:val="auto"/>
                <w:sz w:val="24"/>
              </w:rPr>
            </w:pPr>
          </w:p>
        </w:tc>
        <w:tc>
          <w:tcPr>
            <w:tcW w:w="565" w:type="dxa"/>
            <w:vAlign w:val="center"/>
          </w:tcPr>
          <w:p>
            <w:pPr>
              <w:jc w:val="center"/>
              <w:rPr>
                <w:rFonts w:hAnsi="宋体" w:eastAsia="宋体" w:cs="宋体"/>
                <w:color w:val="auto"/>
                <w:sz w:val="24"/>
              </w:rPr>
            </w:pPr>
            <w:r>
              <w:rPr>
                <w:rFonts w:hint="eastAsia" w:hAnsi="宋体" w:eastAsia="宋体" w:cs="宋体"/>
                <w:color w:val="auto"/>
                <w:sz w:val="24"/>
              </w:rPr>
              <w:t>级别</w:t>
            </w:r>
          </w:p>
        </w:tc>
        <w:tc>
          <w:tcPr>
            <w:tcW w:w="1245" w:type="dxa"/>
            <w:vAlign w:val="center"/>
          </w:tcPr>
          <w:p>
            <w:pPr>
              <w:jc w:val="center"/>
              <w:rPr>
                <w:rFonts w:hAnsi="宋体" w:eastAsia="宋体" w:cs="宋体"/>
                <w:color w:val="auto"/>
                <w:sz w:val="24"/>
              </w:rPr>
            </w:pPr>
          </w:p>
        </w:tc>
        <w:tc>
          <w:tcPr>
            <w:tcW w:w="790" w:type="dxa"/>
            <w:vAlign w:val="center"/>
          </w:tcPr>
          <w:p>
            <w:pPr>
              <w:jc w:val="center"/>
              <w:rPr>
                <w:rFonts w:hAnsi="宋体" w:eastAsia="宋体" w:cs="宋体"/>
                <w:color w:val="auto"/>
                <w:sz w:val="24"/>
              </w:rPr>
            </w:pPr>
            <w:r>
              <w:rPr>
                <w:rFonts w:hint="eastAsia" w:hAnsi="宋体" w:eastAsia="宋体" w:cs="宋体"/>
                <w:color w:val="auto"/>
                <w:sz w:val="24"/>
              </w:rPr>
              <w:t>证书编号</w:t>
            </w:r>
          </w:p>
        </w:tc>
        <w:tc>
          <w:tcPr>
            <w:tcW w:w="1904" w:type="dxa"/>
            <w:vAlign w:val="center"/>
          </w:tcPr>
          <w:p>
            <w:pPr>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color w:val="auto"/>
                <w:sz w:val="24"/>
              </w:rPr>
            </w:pPr>
            <w:r>
              <w:rPr>
                <w:rFonts w:hint="eastAsia" w:hAnsi="宋体" w:eastAsia="宋体" w:cs="宋体"/>
                <w:color w:val="auto"/>
                <w:sz w:val="24"/>
              </w:rPr>
              <w:t>技术负责人</w:t>
            </w:r>
          </w:p>
        </w:tc>
        <w:tc>
          <w:tcPr>
            <w:tcW w:w="1510" w:type="dxa"/>
            <w:vAlign w:val="center"/>
          </w:tcPr>
          <w:p>
            <w:pPr>
              <w:jc w:val="center"/>
              <w:rPr>
                <w:rFonts w:hAnsi="宋体" w:eastAsia="宋体" w:cs="宋体"/>
                <w:color w:val="auto"/>
                <w:sz w:val="24"/>
              </w:rPr>
            </w:pPr>
          </w:p>
        </w:tc>
        <w:tc>
          <w:tcPr>
            <w:tcW w:w="565" w:type="dxa"/>
            <w:vAlign w:val="center"/>
          </w:tcPr>
          <w:p>
            <w:pPr>
              <w:jc w:val="center"/>
              <w:rPr>
                <w:rFonts w:hAnsi="宋体" w:eastAsia="宋体" w:cs="宋体"/>
                <w:color w:val="auto"/>
                <w:sz w:val="24"/>
              </w:rPr>
            </w:pPr>
            <w:r>
              <w:rPr>
                <w:rFonts w:hint="eastAsia" w:hAnsi="宋体" w:eastAsia="宋体" w:cs="宋体"/>
                <w:color w:val="auto"/>
                <w:sz w:val="24"/>
              </w:rPr>
              <w:t>级别</w:t>
            </w:r>
          </w:p>
        </w:tc>
        <w:tc>
          <w:tcPr>
            <w:tcW w:w="1245" w:type="dxa"/>
            <w:vAlign w:val="center"/>
          </w:tcPr>
          <w:p>
            <w:pPr>
              <w:jc w:val="center"/>
              <w:rPr>
                <w:rFonts w:hAnsi="宋体" w:eastAsia="宋体" w:cs="宋体"/>
                <w:color w:val="auto"/>
                <w:sz w:val="24"/>
              </w:rPr>
            </w:pPr>
          </w:p>
        </w:tc>
        <w:tc>
          <w:tcPr>
            <w:tcW w:w="790" w:type="dxa"/>
            <w:vAlign w:val="center"/>
          </w:tcPr>
          <w:p>
            <w:pPr>
              <w:jc w:val="center"/>
              <w:rPr>
                <w:rFonts w:hAnsi="宋体" w:eastAsia="宋体" w:cs="宋体"/>
                <w:color w:val="auto"/>
                <w:sz w:val="24"/>
              </w:rPr>
            </w:pPr>
            <w:r>
              <w:rPr>
                <w:rFonts w:hint="eastAsia" w:hAnsi="宋体" w:eastAsia="宋体" w:cs="宋体"/>
                <w:color w:val="auto"/>
                <w:sz w:val="24"/>
              </w:rPr>
              <w:t>证书编号</w:t>
            </w:r>
          </w:p>
        </w:tc>
        <w:tc>
          <w:tcPr>
            <w:tcW w:w="1904" w:type="dxa"/>
            <w:vAlign w:val="center"/>
          </w:tcPr>
          <w:p>
            <w:pPr>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Ansi="宋体" w:eastAsia="宋体" w:cs="宋体"/>
                <w:color w:val="auto"/>
                <w:sz w:val="24"/>
              </w:rPr>
            </w:pPr>
            <w:r>
              <w:rPr>
                <w:rFonts w:hint="eastAsia" w:hAnsi="宋体" w:eastAsia="宋体" w:cs="宋体"/>
                <w:color w:val="auto"/>
                <w:sz w:val="24"/>
              </w:rPr>
              <w:t>投标总报价</w:t>
            </w:r>
          </w:p>
        </w:tc>
        <w:tc>
          <w:tcPr>
            <w:tcW w:w="3320" w:type="dxa"/>
            <w:gridSpan w:val="3"/>
            <w:vAlign w:val="center"/>
          </w:tcPr>
          <w:p>
            <w:pPr>
              <w:rPr>
                <w:rFonts w:hAnsi="宋体" w:eastAsia="宋体" w:cs="宋体"/>
                <w:color w:val="auto"/>
                <w:sz w:val="24"/>
              </w:rPr>
            </w:pPr>
            <w:r>
              <w:rPr>
                <w:rFonts w:hint="eastAsia" w:hAnsi="宋体" w:eastAsia="宋体" w:cs="宋体"/>
                <w:color w:val="auto"/>
                <w:sz w:val="24"/>
              </w:rPr>
              <w:t>（大写）</w:t>
            </w:r>
          </w:p>
        </w:tc>
        <w:tc>
          <w:tcPr>
            <w:tcW w:w="2694" w:type="dxa"/>
            <w:gridSpan w:val="2"/>
            <w:vAlign w:val="center"/>
          </w:tcPr>
          <w:p>
            <w:pPr>
              <w:rPr>
                <w:rFonts w:hAnsi="宋体" w:eastAsia="宋体" w:cs="宋体"/>
                <w:color w:val="auto"/>
                <w:sz w:val="24"/>
              </w:rPr>
            </w:pPr>
            <w:r>
              <w:rPr>
                <w:rFonts w:hint="eastAsia" w:hAnsi="宋体" w:eastAsia="宋体" w:cs="宋体"/>
                <w:color w:val="auto"/>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Ansi="宋体" w:eastAsia="宋体" w:cs="宋体"/>
                <w:color w:val="auto"/>
                <w:sz w:val="24"/>
              </w:rPr>
            </w:pPr>
          </w:p>
        </w:tc>
        <w:tc>
          <w:tcPr>
            <w:tcW w:w="6014" w:type="dxa"/>
            <w:gridSpan w:val="5"/>
            <w:vAlign w:val="center"/>
          </w:tcPr>
          <w:p>
            <w:pPr>
              <w:spacing w:line="480" w:lineRule="exact"/>
              <w:rPr>
                <w:rFonts w:hAnsi="宋体" w:eastAsia="宋体" w:cs="宋体"/>
                <w:color w:val="auto"/>
                <w:sz w:val="24"/>
              </w:rPr>
            </w:pPr>
            <w:r>
              <w:rPr>
                <w:rFonts w:hint="eastAsia" w:hAnsi="宋体" w:eastAsia="宋体" w:cs="宋体"/>
                <w:color w:val="auto"/>
                <w:sz w:val="24"/>
              </w:rPr>
              <w:t>其中：</w:t>
            </w:r>
          </w:p>
          <w:p>
            <w:pPr>
              <w:spacing w:line="480" w:lineRule="exact"/>
              <w:ind w:firstLine="600" w:firstLineChars="250"/>
              <w:rPr>
                <w:rFonts w:hAnsi="宋体" w:eastAsia="宋体" w:cs="宋体"/>
                <w:color w:val="auto"/>
                <w:sz w:val="24"/>
              </w:rPr>
            </w:pPr>
            <w:r>
              <w:rPr>
                <w:rFonts w:hint="eastAsia" w:hAnsi="宋体" w:eastAsia="宋体" w:cs="宋体"/>
                <w:color w:val="auto"/>
                <w:sz w:val="24"/>
              </w:rPr>
              <w:t>规费RMB￥：元</w:t>
            </w:r>
          </w:p>
          <w:p>
            <w:pPr>
              <w:spacing w:line="480" w:lineRule="exact"/>
              <w:ind w:firstLine="600" w:firstLineChars="250"/>
              <w:rPr>
                <w:rFonts w:hAnsi="宋体" w:eastAsia="宋体" w:cs="宋体"/>
                <w:color w:val="auto"/>
                <w:sz w:val="24"/>
              </w:rPr>
            </w:pPr>
            <w:r>
              <w:rPr>
                <w:rFonts w:hint="eastAsia" w:hAnsi="宋体" w:eastAsia="宋体" w:cs="宋体"/>
                <w:color w:val="auto"/>
                <w:sz w:val="24"/>
              </w:rPr>
              <w:t>税金RMB￥：元</w:t>
            </w:r>
          </w:p>
          <w:p>
            <w:pPr>
              <w:spacing w:line="480" w:lineRule="exact"/>
              <w:ind w:firstLine="600" w:firstLineChars="250"/>
              <w:rPr>
                <w:rFonts w:hAnsi="宋体" w:eastAsia="宋体" w:cs="宋体"/>
                <w:color w:val="auto"/>
                <w:sz w:val="24"/>
              </w:rPr>
            </w:pPr>
            <w:r>
              <w:rPr>
                <w:rFonts w:hint="eastAsia" w:hAnsi="宋体" w:eastAsia="宋体" w:cs="宋体"/>
                <w:color w:val="auto"/>
                <w:sz w:val="24"/>
              </w:rPr>
              <w:t>安全文明措施费RMB￥：元</w:t>
            </w:r>
          </w:p>
          <w:p>
            <w:pPr>
              <w:spacing w:line="480" w:lineRule="exact"/>
              <w:ind w:firstLine="600" w:firstLineChars="250"/>
              <w:rPr>
                <w:rFonts w:hAnsi="宋体" w:cs="宋体"/>
                <w:color w:val="auto"/>
                <w:sz w:val="24"/>
              </w:rPr>
            </w:pPr>
            <w:r>
              <w:rPr>
                <w:rFonts w:hint="eastAsia" w:hAnsi="宋体" w:cs="宋体"/>
                <w:color w:val="auto"/>
                <w:sz w:val="24"/>
              </w:rPr>
              <w:t>暂列金额RMB￥：元</w:t>
            </w:r>
          </w:p>
          <w:p>
            <w:pPr>
              <w:spacing w:line="480" w:lineRule="exact"/>
              <w:ind w:firstLine="600" w:firstLineChars="250"/>
              <w:rPr>
                <w:rFonts w:hAnsi="宋体" w:cs="宋体"/>
                <w:color w:val="auto"/>
                <w:sz w:val="24"/>
              </w:rPr>
            </w:pPr>
            <w:r>
              <w:rPr>
                <w:rFonts w:hint="eastAsia" w:hAnsi="宋体" w:cs="宋体"/>
                <w:color w:val="auto"/>
                <w:sz w:val="24"/>
              </w:rPr>
              <w:t>专业暂估价RMB￥：元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3242" w:type="dxa"/>
            <w:vAlign w:val="center"/>
          </w:tcPr>
          <w:p>
            <w:pPr>
              <w:jc w:val="center"/>
              <w:rPr>
                <w:rFonts w:hAnsi="宋体" w:eastAsia="宋体" w:cs="宋体"/>
                <w:color w:val="auto"/>
                <w:sz w:val="24"/>
              </w:rPr>
            </w:pPr>
            <w:r>
              <w:rPr>
                <w:rFonts w:hint="eastAsia" w:hAnsi="宋体" w:eastAsia="宋体" w:cs="宋体"/>
                <w:color w:val="auto"/>
                <w:sz w:val="24"/>
              </w:rPr>
              <w:t>投标质量等级</w:t>
            </w:r>
          </w:p>
        </w:tc>
        <w:tc>
          <w:tcPr>
            <w:tcW w:w="6014" w:type="dxa"/>
            <w:gridSpan w:val="5"/>
            <w:vAlign w:val="center"/>
          </w:tcPr>
          <w:p>
            <w:pPr>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3242" w:type="dxa"/>
            <w:vAlign w:val="center"/>
          </w:tcPr>
          <w:p>
            <w:pPr>
              <w:jc w:val="center"/>
              <w:rPr>
                <w:rFonts w:hAnsi="宋体" w:eastAsia="宋体" w:cs="宋体"/>
                <w:color w:val="auto"/>
                <w:sz w:val="24"/>
              </w:rPr>
            </w:pPr>
            <w:r>
              <w:rPr>
                <w:rFonts w:hint="eastAsia" w:hAnsi="宋体" w:eastAsia="宋体" w:cs="宋体"/>
                <w:color w:val="auto"/>
                <w:sz w:val="24"/>
              </w:rPr>
              <w:t>投标工期</w:t>
            </w:r>
          </w:p>
        </w:tc>
        <w:tc>
          <w:tcPr>
            <w:tcW w:w="6014" w:type="dxa"/>
            <w:gridSpan w:val="5"/>
            <w:vAlign w:val="center"/>
          </w:tcPr>
          <w:p>
            <w:pPr>
              <w:jc w:val="center"/>
              <w:rPr>
                <w:rFonts w:hAnsi="宋体" w:eastAsia="宋体" w:cs="宋体"/>
                <w:color w:val="auto"/>
                <w:sz w:val="24"/>
              </w:rPr>
            </w:pPr>
            <w:r>
              <w:rPr>
                <w:rFonts w:hint="eastAsia" w:hAnsi="宋体" w:eastAsia="宋体" w:cs="宋体"/>
                <w:color w:val="auto"/>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3242" w:type="dxa"/>
            <w:vAlign w:val="center"/>
          </w:tcPr>
          <w:p>
            <w:pPr>
              <w:jc w:val="center"/>
              <w:rPr>
                <w:rFonts w:hAnsi="宋体" w:eastAsia="宋体" w:cs="宋体"/>
                <w:color w:val="auto"/>
                <w:sz w:val="24"/>
              </w:rPr>
            </w:pPr>
            <w:r>
              <w:rPr>
                <w:rFonts w:hint="eastAsia" w:hAnsi="宋体" w:eastAsia="宋体" w:cs="宋体"/>
                <w:color w:val="auto"/>
                <w:sz w:val="24"/>
              </w:rPr>
              <w:t>投标有效期</w:t>
            </w:r>
          </w:p>
        </w:tc>
        <w:tc>
          <w:tcPr>
            <w:tcW w:w="6014" w:type="dxa"/>
            <w:gridSpan w:val="5"/>
            <w:vAlign w:val="center"/>
          </w:tcPr>
          <w:p>
            <w:pPr>
              <w:jc w:val="center"/>
              <w:rPr>
                <w:rFonts w:hAnsi="宋体" w:eastAsia="宋体" w:cs="宋体"/>
                <w:color w:val="auto"/>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9256" w:type="dxa"/>
            <w:gridSpan w:val="6"/>
          </w:tcPr>
          <w:p>
            <w:pPr>
              <w:spacing w:line="276" w:lineRule="auto"/>
              <w:rPr>
                <w:rFonts w:hAnsi="宋体"/>
                <w:color w:val="auto"/>
                <w:sz w:val="24"/>
              </w:rPr>
            </w:pPr>
            <w:r>
              <w:rPr>
                <w:rFonts w:hint="eastAsia" w:hAnsi="宋体"/>
                <w:color w:val="auto"/>
                <w:sz w:val="24"/>
              </w:rPr>
              <w:t>承  诺：</w:t>
            </w:r>
          </w:p>
          <w:p>
            <w:pPr>
              <w:spacing w:line="276" w:lineRule="auto"/>
              <w:rPr>
                <w:rFonts w:hAnsi="宋体"/>
                <w:color w:val="auto"/>
                <w:sz w:val="24"/>
              </w:rPr>
            </w:pPr>
          </w:p>
          <w:p>
            <w:pPr>
              <w:spacing w:line="276" w:lineRule="auto"/>
              <w:rPr>
                <w:rFonts w:hAnsi="宋体"/>
                <w:color w:val="auto"/>
                <w:sz w:val="24"/>
              </w:rPr>
            </w:pPr>
          </w:p>
          <w:p>
            <w:pPr>
              <w:rPr>
                <w:rFonts w:hAnsi="宋体" w:eastAsia="宋体" w:cs="宋体"/>
                <w:color w:val="auto"/>
                <w:sz w:val="24"/>
              </w:rPr>
            </w:pPr>
            <w:r>
              <w:rPr>
                <w:rFonts w:hint="eastAsia" w:ascii="新宋体" w:hAnsi="新宋体" w:eastAsia="新宋体"/>
                <w:color w:val="auto"/>
                <w:sz w:val="24"/>
              </w:rPr>
              <w:t>（包含优惠承诺、质量承诺、服务承诺及按扬尘污染整治标准进行各工序的施工等）</w:t>
            </w:r>
          </w:p>
        </w:tc>
      </w:tr>
    </w:tbl>
    <w:p>
      <w:pPr>
        <w:ind w:right="475"/>
        <w:jc w:val="right"/>
        <w:rPr>
          <w:rFonts w:hAnsi="宋体" w:cs="宋体"/>
          <w:color w:val="auto"/>
        </w:rPr>
      </w:pPr>
    </w:p>
    <w:p>
      <w:pPr>
        <w:spacing w:line="360" w:lineRule="auto"/>
        <w:ind w:right="475"/>
        <w:jc w:val="right"/>
        <w:rPr>
          <w:rFonts w:hAnsi="宋体" w:cs="宋体"/>
          <w:color w:val="auto"/>
          <w:sz w:val="24"/>
        </w:rPr>
      </w:pPr>
      <w:r>
        <w:rPr>
          <w:rFonts w:hint="eastAsia" w:hAnsi="宋体" w:cs="宋体"/>
          <w:color w:val="auto"/>
          <w:sz w:val="24"/>
        </w:rPr>
        <w:t>投标单位（盖章）：</w:t>
      </w:r>
    </w:p>
    <w:p>
      <w:pPr>
        <w:spacing w:line="360" w:lineRule="auto"/>
        <w:ind w:right="315"/>
        <w:jc w:val="right"/>
        <w:rPr>
          <w:rFonts w:hAnsi="宋体" w:cs="宋体"/>
          <w:color w:val="auto"/>
          <w:sz w:val="24"/>
        </w:rPr>
      </w:pPr>
      <w:r>
        <w:rPr>
          <w:rFonts w:hint="eastAsia" w:hAnsi="宋体" w:cs="宋体"/>
          <w:color w:val="auto"/>
          <w:sz w:val="24"/>
        </w:rPr>
        <w:t>法定代表人或委托代理人（签字）：</w:t>
      </w:r>
    </w:p>
    <w:p>
      <w:pPr>
        <w:wordWrap w:val="0"/>
        <w:spacing w:line="360" w:lineRule="auto"/>
        <w:ind w:right="1110"/>
        <w:jc w:val="right"/>
        <w:rPr>
          <w:rFonts w:hAnsi="宋体" w:cs="宋体"/>
          <w:color w:val="auto"/>
          <w:sz w:val="28"/>
          <w:szCs w:val="28"/>
        </w:rPr>
      </w:pPr>
      <w:r>
        <w:rPr>
          <w:rFonts w:hint="eastAsia" w:hAnsi="宋体" w:cs="宋体"/>
          <w:color w:val="auto"/>
          <w:sz w:val="24"/>
        </w:rPr>
        <w:t>年   月    日</w:t>
      </w:r>
    </w:p>
    <w:p>
      <w:pPr>
        <w:autoSpaceDE w:val="0"/>
        <w:autoSpaceDN w:val="0"/>
        <w:adjustRightInd w:val="0"/>
        <w:spacing w:beforeLines="100" w:afterLines="100" w:line="420" w:lineRule="exact"/>
        <w:jc w:val="center"/>
        <w:outlineLvl w:val="0"/>
        <w:rPr>
          <w:rFonts w:hAnsi="宋体" w:cs="宋体"/>
          <w:b/>
          <w:color w:val="auto"/>
          <w:sz w:val="32"/>
        </w:rPr>
      </w:pPr>
      <w:r>
        <w:rPr>
          <w:rFonts w:hint="eastAsia" w:hAnsi="宋体" w:cs="宋体"/>
          <w:color w:val="auto"/>
          <w:sz w:val="28"/>
          <w:szCs w:val="28"/>
        </w:rPr>
        <w:br w:type="page"/>
      </w:r>
      <w:r>
        <w:rPr>
          <w:rFonts w:hint="eastAsia" w:hAnsi="宋体" w:cs="宋体"/>
          <w:b/>
          <w:color w:val="auto"/>
          <w:sz w:val="32"/>
        </w:rPr>
        <w:t>二、</w:t>
      </w:r>
      <w:bookmarkEnd w:id="78"/>
      <w:bookmarkStart w:id="79" w:name="_Toc271787731"/>
      <w:r>
        <w:rPr>
          <w:rFonts w:hint="eastAsia" w:hAnsi="宋体" w:cs="宋体"/>
          <w:b/>
          <w:color w:val="auto"/>
          <w:sz w:val="32"/>
        </w:rPr>
        <w:t>法定代表人身份证明、授权委托书</w:t>
      </w:r>
    </w:p>
    <w:p>
      <w:pPr>
        <w:autoSpaceDE w:val="0"/>
        <w:autoSpaceDN w:val="0"/>
        <w:adjustRightInd w:val="0"/>
        <w:spacing w:beforeLines="100" w:afterLines="100" w:line="420" w:lineRule="exact"/>
        <w:jc w:val="center"/>
        <w:outlineLvl w:val="0"/>
        <w:rPr>
          <w:rFonts w:hAnsi="宋体" w:cs="宋体"/>
          <w:b/>
          <w:bCs/>
          <w:color w:val="auto"/>
          <w:sz w:val="28"/>
          <w:szCs w:val="28"/>
        </w:rPr>
      </w:pPr>
      <w:r>
        <w:rPr>
          <w:rFonts w:hint="eastAsia" w:hAnsi="宋体" w:cs="宋体"/>
          <w:b/>
          <w:bCs/>
          <w:color w:val="auto"/>
          <w:sz w:val="28"/>
          <w:szCs w:val="28"/>
        </w:rPr>
        <w:t>（一）法定代表人身份证明</w:t>
      </w:r>
      <w:bookmarkEnd w:id="79"/>
    </w:p>
    <w:p>
      <w:pPr>
        <w:autoSpaceDE w:val="0"/>
        <w:autoSpaceDN w:val="0"/>
        <w:adjustRightInd w:val="0"/>
        <w:spacing w:line="420" w:lineRule="exact"/>
        <w:ind w:firstLine="480" w:firstLineChars="200"/>
        <w:jc w:val="left"/>
        <w:rPr>
          <w:rFonts w:hAnsi="宋体" w:cs="宋体"/>
          <w:color w:val="auto"/>
          <w:sz w:val="24"/>
          <w:u w:val="single"/>
        </w:rPr>
      </w:pPr>
      <w:r>
        <w:rPr>
          <w:rFonts w:hint="eastAsia" w:hAnsi="宋体" w:cs="宋体"/>
          <w:color w:val="auto"/>
          <w:sz w:val="24"/>
        </w:rPr>
        <w:t>投标人名称：</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单位性质：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地址：</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成立时间：年月日</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经营期限：</w:t>
      </w:r>
    </w:p>
    <w:p>
      <w:pPr>
        <w:autoSpaceDE w:val="0"/>
        <w:autoSpaceDN w:val="0"/>
        <w:adjustRightInd w:val="0"/>
        <w:spacing w:line="420" w:lineRule="exact"/>
        <w:ind w:firstLine="480" w:firstLineChars="200"/>
        <w:jc w:val="left"/>
        <w:rPr>
          <w:rFonts w:hAnsi="宋体" w:cs="宋体"/>
          <w:b/>
          <w:bCs/>
          <w:color w:val="auto"/>
          <w:sz w:val="24"/>
        </w:rPr>
      </w:pPr>
      <w:r>
        <w:rPr>
          <w:rFonts w:hint="eastAsia" w:hAnsi="宋体" w:cs="宋体"/>
          <w:color w:val="auto"/>
          <w:sz w:val="24"/>
        </w:rPr>
        <w:t xml:space="preserve">姓名：性别：年龄：职务： </w:t>
      </w:r>
      <w:r>
        <w:rPr>
          <w:rFonts w:hint="eastAsia" w:hAnsi="宋体" w:cs="宋体"/>
          <w:b/>
          <w:bCs/>
          <w:color w:val="auto"/>
          <w:sz w:val="24"/>
        </w:rPr>
        <w:t>联系电话:</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系（投标人名称）的法定代表人。</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特此证明。</w:t>
      </w:r>
    </w:p>
    <w:p>
      <w:pPr>
        <w:autoSpaceDE w:val="0"/>
        <w:autoSpaceDN w:val="0"/>
        <w:adjustRightInd w:val="0"/>
        <w:spacing w:line="420" w:lineRule="exact"/>
        <w:ind w:firstLine="480" w:firstLineChars="200"/>
        <w:jc w:val="right"/>
        <w:rPr>
          <w:rFonts w:hAnsi="宋体" w:cs="宋体"/>
          <w:color w:val="auto"/>
          <w:sz w:val="24"/>
        </w:rPr>
      </w:pPr>
    </w:p>
    <w:p>
      <w:pPr>
        <w:autoSpaceDE w:val="0"/>
        <w:autoSpaceDN w:val="0"/>
        <w:adjustRightInd w:val="0"/>
        <w:spacing w:line="420" w:lineRule="exact"/>
        <w:ind w:firstLine="480" w:firstLineChars="200"/>
        <w:jc w:val="right"/>
        <w:rPr>
          <w:rFonts w:hAnsi="宋体" w:cs="宋体"/>
          <w:color w:val="auto"/>
          <w:sz w:val="24"/>
        </w:rPr>
      </w:pPr>
      <w:r>
        <w:rPr>
          <w:rFonts w:hint="eastAsia" w:hAnsi="宋体" w:cs="宋体"/>
          <w:color w:val="auto"/>
          <w:sz w:val="24"/>
        </w:rPr>
        <w:t>投标人：（盖单位章）</w:t>
      </w:r>
    </w:p>
    <w:p>
      <w:pPr>
        <w:autoSpaceDE w:val="0"/>
        <w:autoSpaceDN w:val="0"/>
        <w:adjustRightInd w:val="0"/>
        <w:spacing w:line="420" w:lineRule="exact"/>
        <w:ind w:firstLine="480" w:firstLineChars="200"/>
        <w:jc w:val="right"/>
        <w:rPr>
          <w:rFonts w:hAnsi="宋体" w:cs="宋体"/>
          <w:color w:val="auto"/>
          <w:sz w:val="24"/>
        </w:rPr>
      </w:pPr>
      <w:r>
        <w:rPr>
          <w:rFonts w:hint="eastAsia" w:hAnsi="宋体" w:cs="宋体"/>
          <w:color w:val="auto"/>
          <w:sz w:val="24"/>
        </w:rPr>
        <w:t>年月日</w:t>
      </w:r>
    </w:p>
    <w:p>
      <w:pPr>
        <w:autoSpaceDE w:val="0"/>
        <w:autoSpaceDN w:val="0"/>
        <w:adjustRightInd w:val="0"/>
        <w:spacing w:line="420" w:lineRule="exact"/>
        <w:ind w:firstLine="680" w:firstLineChars="200"/>
        <w:jc w:val="right"/>
        <w:rPr>
          <w:rFonts w:hAnsi="宋体" w:cs="宋体"/>
          <w:color w:val="auto"/>
          <w:szCs w:val="21"/>
        </w:rPr>
      </w:pPr>
    </w:p>
    <w:p>
      <w:pPr>
        <w:autoSpaceDE w:val="0"/>
        <w:autoSpaceDN w:val="0"/>
        <w:adjustRightInd w:val="0"/>
        <w:spacing w:line="420" w:lineRule="exact"/>
        <w:jc w:val="center"/>
        <w:outlineLvl w:val="0"/>
        <w:rPr>
          <w:rFonts w:hAnsi="宋体" w:cs="宋体"/>
          <w:b/>
          <w:bCs/>
          <w:color w:val="auto"/>
          <w:sz w:val="28"/>
          <w:szCs w:val="28"/>
        </w:rPr>
      </w:pPr>
      <w:bookmarkStart w:id="80" w:name="_Toc271787732"/>
      <w:r>
        <w:rPr>
          <w:rFonts w:hint="eastAsia" w:hAnsi="宋体" w:cs="宋体"/>
          <w:b/>
          <w:bCs/>
          <w:color w:val="auto"/>
          <w:sz w:val="28"/>
          <w:szCs w:val="28"/>
        </w:rPr>
        <w:t>（二）授权委托书</w:t>
      </w:r>
      <w:bookmarkEnd w:id="80"/>
    </w:p>
    <w:p>
      <w:pPr>
        <w:autoSpaceDE w:val="0"/>
        <w:autoSpaceDN w:val="0"/>
        <w:adjustRightInd w:val="0"/>
        <w:spacing w:line="420" w:lineRule="exact"/>
        <w:jc w:val="center"/>
        <w:rPr>
          <w:rFonts w:hAnsi="宋体" w:cs="宋体"/>
          <w:color w:val="auto"/>
          <w:sz w:val="28"/>
          <w:szCs w:val="28"/>
        </w:rPr>
      </w:pPr>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本人 （姓名）系（投标人名称）的法定代表人，现委托（姓名）为我方代理人。代理人根据授权，以我方名义签署、澄清、说明、补正、递交、撤回、修改 （项目名称）施工投标文件、签订合同和处理有关事宜，其法律后果由我方承担。</w:t>
      </w:r>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委托期限：。</w:t>
      </w:r>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代理人无转委托权。</w:t>
      </w:r>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附：法定代表人身份证明</w:t>
      </w:r>
    </w:p>
    <w:p>
      <w:pPr>
        <w:autoSpaceDE w:val="0"/>
        <w:autoSpaceDN w:val="0"/>
        <w:adjustRightInd w:val="0"/>
        <w:spacing w:line="440" w:lineRule="exact"/>
        <w:ind w:firstLine="480" w:firstLineChars="200"/>
        <w:jc w:val="left"/>
        <w:rPr>
          <w:rFonts w:hAnsi="宋体" w:cs="宋体"/>
          <w:color w:val="auto"/>
          <w:sz w:val="24"/>
        </w:rPr>
      </w:pPr>
    </w:p>
    <w:p>
      <w:pPr>
        <w:autoSpaceDE w:val="0"/>
        <w:autoSpaceDN w:val="0"/>
        <w:adjustRightInd w:val="0"/>
        <w:spacing w:line="440" w:lineRule="exact"/>
        <w:ind w:firstLine="3700" w:firstLineChars="1542"/>
        <w:jc w:val="left"/>
        <w:rPr>
          <w:rFonts w:hAnsi="宋体" w:cs="宋体"/>
          <w:color w:val="auto"/>
          <w:sz w:val="24"/>
        </w:rPr>
      </w:pPr>
      <w:r>
        <w:rPr>
          <w:rFonts w:hint="eastAsia" w:hAnsi="宋体" w:cs="宋体"/>
          <w:color w:val="auto"/>
          <w:sz w:val="24"/>
        </w:rPr>
        <w:t>投标人：（盖单位章）</w:t>
      </w:r>
    </w:p>
    <w:p>
      <w:pPr>
        <w:autoSpaceDE w:val="0"/>
        <w:autoSpaceDN w:val="0"/>
        <w:adjustRightInd w:val="0"/>
        <w:spacing w:line="440" w:lineRule="exact"/>
        <w:ind w:firstLine="3700" w:firstLineChars="1542"/>
        <w:jc w:val="left"/>
        <w:rPr>
          <w:rFonts w:hAnsi="宋体" w:cs="宋体"/>
          <w:color w:val="auto"/>
          <w:sz w:val="24"/>
        </w:rPr>
      </w:pPr>
      <w:r>
        <w:rPr>
          <w:rFonts w:hint="eastAsia" w:hAnsi="宋体" w:cs="宋体"/>
          <w:color w:val="auto"/>
          <w:sz w:val="24"/>
        </w:rPr>
        <w:t>法定代表人： （签字）</w:t>
      </w:r>
    </w:p>
    <w:p>
      <w:pPr>
        <w:autoSpaceDE w:val="0"/>
        <w:autoSpaceDN w:val="0"/>
        <w:adjustRightInd w:val="0"/>
        <w:spacing w:line="440" w:lineRule="exact"/>
        <w:ind w:firstLine="3700" w:firstLineChars="1542"/>
        <w:jc w:val="left"/>
        <w:rPr>
          <w:rFonts w:hAnsi="宋体" w:cs="宋体"/>
          <w:color w:val="auto"/>
          <w:sz w:val="24"/>
        </w:rPr>
      </w:pPr>
      <w:r>
        <w:rPr>
          <w:rFonts w:hint="eastAsia" w:hAnsi="宋体" w:cs="宋体"/>
          <w:color w:val="auto"/>
          <w:sz w:val="24"/>
        </w:rPr>
        <w:t>身份证号码：</w:t>
      </w:r>
    </w:p>
    <w:p>
      <w:pPr>
        <w:autoSpaceDE w:val="0"/>
        <w:autoSpaceDN w:val="0"/>
        <w:adjustRightInd w:val="0"/>
        <w:spacing w:line="440" w:lineRule="exact"/>
        <w:ind w:firstLine="3700" w:firstLineChars="1542"/>
        <w:jc w:val="left"/>
        <w:rPr>
          <w:rFonts w:hAnsi="宋体" w:cs="宋体"/>
          <w:color w:val="auto"/>
          <w:sz w:val="24"/>
        </w:rPr>
      </w:pPr>
      <w:r>
        <w:rPr>
          <w:rFonts w:hint="eastAsia" w:hAnsi="宋体" w:cs="宋体"/>
          <w:color w:val="auto"/>
          <w:sz w:val="24"/>
        </w:rPr>
        <w:t>委托代理人： （签字）</w:t>
      </w:r>
    </w:p>
    <w:p>
      <w:pPr>
        <w:autoSpaceDE w:val="0"/>
        <w:autoSpaceDN w:val="0"/>
        <w:adjustRightInd w:val="0"/>
        <w:spacing w:line="440" w:lineRule="exact"/>
        <w:ind w:firstLine="3700" w:firstLineChars="1542"/>
        <w:jc w:val="left"/>
        <w:rPr>
          <w:rFonts w:hAnsi="宋体" w:cs="宋体"/>
          <w:color w:val="auto"/>
          <w:sz w:val="24"/>
        </w:rPr>
      </w:pPr>
      <w:r>
        <w:rPr>
          <w:rFonts w:hint="eastAsia" w:hAnsi="宋体" w:cs="宋体"/>
          <w:color w:val="auto"/>
          <w:sz w:val="24"/>
        </w:rPr>
        <w:t>身份证号码：</w:t>
      </w:r>
    </w:p>
    <w:p>
      <w:pPr>
        <w:autoSpaceDE w:val="0"/>
        <w:autoSpaceDN w:val="0"/>
        <w:adjustRightInd w:val="0"/>
        <w:spacing w:line="440" w:lineRule="exact"/>
        <w:ind w:firstLine="3700" w:firstLineChars="1542"/>
        <w:jc w:val="left"/>
        <w:rPr>
          <w:rFonts w:hAnsi="宋体" w:cs="宋体"/>
          <w:b/>
          <w:bCs w:val="0"/>
          <w:color w:val="auto"/>
          <w:sz w:val="24"/>
        </w:rPr>
      </w:pPr>
      <w:r>
        <w:rPr>
          <w:rFonts w:hint="eastAsia" w:hAnsi="宋体" w:cs="宋体"/>
          <w:b/>
          <w:bCs w:val="0"/>
          <w:color w:val="auto"/>
          <w:sz w:val="24"/>
        </w:rPr>
        <w:t>联系电话:</w:t>
      </w:r>
    </w:p>
    <w:p>
      <w:pPr>
        <w:autoSpaceDE w:val="0"/>
        <w:autoSpaceDN w:val="0"/>
        <w:adjustRightInd w:val="0"/>
        <w:spacing w:line="440" w:lineRule="exact"/>
        <w:ind w:firstLine="3700" w:firstLineChars="1542"/>
        <w:jc w:val="left"/>
        <w:rPr>
          <w:rFonts w:hAnsi="宋体" w:cs="宋体"/>
          <w:color w:val="auto"/>
          <w:sz w:val="24"/>
        </w:rPr>
      </w:pPr>
      <w:r>
        <w:rPr>
          <w:rFonts w:hint="eastAsia" w:hAnsi="宋体" w:cs="宋体"/>
          <w:color w:val="auto"/>
          <w:sz w:val="24"/>
        </w:rPr>
        <w:t>年月 日</w:t>
      </w:r>
    </w:p>
    <w:p>
      <w:pPr>
        <w:spacing w:line="360" w:lineRule="auto"/>
        <w:jc w:val="center"/>
        <w:rPr>
          <w:rFonts w:hAnsi="宋体" w:cs="宋体"/>
          <w:b/>
          <w:color w:val="auto"/>
          <w:sz w:val="36"/>
          <w:szCs w:val="36"/>
        </w:rPr>
      </w:pPr>
      <w:r>
        <w:rPr>
          <w:rFonts w:hint="eastAsia" w:hAnsi="宋体" w:cs="宋体"/>
          <w:color w:val="auto"/>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14" cstate="print"/>
                    <a:stretch>
                      <a:fillRect/>
                    </a:stretch>
                  </pic:blipFill>
                  <pic:spPr>
                    <a:xfrm>
                      <a:off x="0" y="0"/>
                      <a:ext cx="952500" cy="927100"/>
                    </a:xfrm>
                    <a:prstGeom prst="rect">
                      <a:avLst/>
                    </a:prstGeom>
                    <a:noFill/>
                    <a:ln w="9525">
                      <a:noFill/>
                    </a:ln>
                  </pic:spPr>
                </pic:pic>
              </a:graphicData>
            </a:graphic>
          </wp:anchor>
        </w:drawing>
      </w:r>
      <w:r>
        <w:rPr>
          <w:rFonts w:hint="eastAsia" w:hAnsi="宋体" w:cs="宋体"/>
          <w:b/>
          <w:color w:val="auto"/>
          <w:sz w:val="36"/>
          <w:szCs w:val="36"/>
        </w:rPr>
        <w:t>三、投标保证金</w:t>
      </w:r>
    </w:p>
    <w:p>
      <w:pPr>
        <w:rPr>
          <w:color w:val="auto"/>
          <w:sz w:val="21"/>
          <w:szCs w:val="21"/>
        </w:rPr>
      </w:pPr>
    </w:p>
    <w:p>
      <w:pPr>
        <w:numPr>
          <w:ilvl w:val="0"/>
          <w:numId w:val="0"/>
        </w:numPr>
        <w:autoSpaceDE w:val="0"/>
        <w:autoSpaceDN w:val="0"/>
        <w:adjustRightInd w:val="0"/>
        <w:spacing w:line="340" w:lineRule="exact"/>
        <w:rPr>
          <w:rFonts w:hint="default" w:hAnsi="宋体" w:cs="宋体" w:eastAsiaTheme="minorEastAsia"/>
          <w:color w:val="auto"/>
          <w:sz w:val="24"/>
          <w:lang w:val="en-US" w:eastAsia="zh-CN"/>
        </w:rPr>
      </w:pPr>
      <w:r>
        <w:rPr>
          <w:rFonts w:hint="eastAsia" w:hAnsi="宋体" w:cs="宋体"/>
          <w:color w:val="auto"/>
          <w:sz w:val="24"/>
          <w:lang w:val="en-US" w:eastAsia="zh-CN"/>
        </w:rPr>
        <w:t>附提交凭证：</w:t>
      </w:r>
    </w:p>
    <w:p>
      <w:pPr>
        <w:numPr>
          <w:ilvl w:val="0"/>
          <w:numId w:val="8"/>
        </w:numPr>
        <w:autoSpaceDE w:val="0"/>
        <w:autoSpaceDN w:val="0"/>
        <w:adjustRightInd w:val="0"/>
        <w:spacing w:line="340" w:lineRule="exact"/>
        <w:ind w:firstLine="480" w:firstLineChars="200"/>
        <w:rPr>
          <w:rFonts w:hint="eastAsia" w:hAnsi="宋体" w:cs="宋体"/>
          <w:color w:val="auto"/>
          <w:sz w:val="24"/>
          <w:lang w:val="zh-CN"/>
        </w:rPr>
      </w:pPr>
      <w:r>
        <w:rPr>
          <w:rFonts w:hint="eastAsia" w:hAnsi="宋体" w:cs="宋体"/>
          <w:color w:val="auto"/>
          <w:sz w:val="24"/>
          <w:lang w:val="zh-CN"/>
        </w:rPr>
        <w:t>银行转帐、银行电汇</w:t>
      </w:r>
      <w:r>
        <w:rPr>
          <w:rFonts w:hint="eastAsia" w:hAnsi="宋体" w:eastAsia="Times New Roman" w:cs="宋体"/>
          <w:color w:val="auto"/>
          <w:sz w:val="24"/>
          <w:lang w:val="zh-CN"/>
        </w:rPr>
        <w:t>方式</w:t>
      </w:r>
      <w:r>
        <w:rPr>
          <w:rFonts w:hint="eastAsia" w:hAnsi="宋体" w:cs="宋体"/>
          <w:color w:val="auto"/>
          <w:sz w:val="24"/>
          <w:lang w:val="zh-CN"/>
        </w:rPr>
        <w:t>的，于截止时间前通过投标人基本账户将款项一次足额递交、成功绑定，以收款人到账时间为准，在途资金无效。</w:t>
      </w:r>
      <w:r>
        <w:rPr>
          <w:rFonts w:hint="eastAsia" w:hAnsi="宋体" w:cs="宋体"/>
          <w:color w:val="auto"/>
          <w:sz w:val="24"/>
          <w:lang w:val="en-US" w:eastAsia="zh-CN"/>
        </w:rPr>
        <w:t>附</w:t>
      </w:r>
      <w:r>
        <w:rPr>
          <w:rFonts w:hint="eastAsia" w:hAnsi="宋体" w:cs="宋体"/>
          <w:color w:val="auto"/>
          <w:sz w:val="24"/>
          <w:szCs w:val="22"/>
          <w:lang w:val="en-US" w:eastAsia="zh-CN"/>
        </w:rPr>
        <w:t>本项目本标段</w:t>
      </w:r>
      <w:r>
        <w:rPr>
          <w:rFonts w:hint="eastAsia" w:hAnsi="宋体" w:cs="宋体"/>
          <w:color w:val="auto"/>
          <w:sz w:val="24"/>
          <w:szCs w:val="22"/>
          <w:lang w:val="zh-CN" w:eastAsia="zh-CN"/>
        </w:rPr>
        <w:t>“许昌公共资源交易中心保证金缴纳回执”。</w:t>
      </w:r>
    </w:p>
    <w:p>
      <w:pPr>
        <w:numPr>
          <w:ilvl w:val="0"/>
          <w:numId w:val="0"/>
        </w:numPr>
        <w:autoSpaceDE w:val="0"/>
        <w:autoSpaceDN w:val="0"/>
        <w:adjustRightInd w:val="0"/>
        <w:spacing w:line="340" w:lineRule="exact"/>
        <w:ind w:firstLine="480" w:firstLineChars="200"/>
        <w:rPr>
          <w:rFonts w:hAnsi="宋体" w:cs="宋体"/>
          <w:color w:val="auto"/>
          <w:sz w:val="24"/>
          <w:lang w:val="zh-CN"/>
        </w:rPr>
      </w:pPr>
      <w:r>
        <w:rPr>
          <w:rFonts w:hint="eastAsia" w:hAnsi="宋体" w:cs="宋体"/>
          <w:color w:val="auto"/>
          <w:sz w:val="24"/>
          <w:lang w:val="zh-CN"/>
        </w:rPr>
        <w:t>2、使用银行保函方式的，银行保函应明确项目名称、项目编号及标段、受益人（招标人）、有效期（不低于本项目投标有效期），银行保函担保金额（不低于本项目本标段投标保证金数额）。附</w:t>
      </w:r>
      <w:r>
        <w:rPr>
          <w:rFonts w:hint="eastAsia" w:hAnsi="宋体" w:cs="宋体"/>
          <w:color w:val="auto"/>
          <w:sz w:val="24"/>
          <w:lang w:val="en-US" w:eastAsia="zh-CN"/>
        </w:rPr>
        <w:t>真实</w:t>
      </w:r>
      <w:r>
        <w:rPr>
          <w:rFonts w:hint="eastAsia" w:hAnsi="宋体" w:cs="宋体"/>
          <w:color w:val="auto"/>
          <w:sz w:val="24"/>
          <w:lang w:val="zh-CN"/>
        </w:rPr>
        <w:t>合法的银行保函原件扫描件，否则视为未按</w:t>
      </w:r>
      <w:r>
        <w:rPr>
          <w:rFonts w:hint="eastAsia" w:hAnsi="宋体" w:cs="宋体"/>
          <w:color w:val="auto"/>
          <w:sz w:val="24"/>
          <w:lang w:val="en-US" w:eastAsia="zh-CN"/>
        </w:rPr>
        <w:t>规定提交</w:t>
      </w:r>
      <w:r>
        <w:rPr>
          <w:rFonts w:hint="eastAsia" w:hAnsi="宋体" w:cs="宋体"/>
          <w:color w:val="auto"/>
          <w:sz w:val="24"/>
          <w:lang w:val="zh-CN"/>
        </w:rPr>
        <w:t>。</w:t>
      </w:r>
    </w:p>
    <w:p>
      <w:pPr>
        <w:autoSpaceDE w:val="0"/>
        <w:autoSpaceDN w:val="0"/>
        <w:adjustRightInd w:val="0"/>
        <w:spacing w:line="420" w:lineRule="exact"/>
        <w:jc w:val="center"/>
        <w:rPr>
          <w:rFonts w:hAnsi="宋体" w:cs="宋体"/>
          <w:b/>
          <w:color w:val="auto"/>
          <w:sz w:val="32"/>
        </w:rPr>
      </w:pPr>
      <w:r>
        <w:rPr>
          <w:rFonts w:hint="eastAsia" w:hAnsi="宋体" w:cs="宋体"/>
          <w:color w:val="auto"/>
          <w:szCs w:val="21"/>
        </w:rPr>
        <w:br w:type="page"/>
      </w:r>
      <w:r>
        <w:rPr>
          <w:rFonts w:hint="eastAsia" w:hAnsi="宋体" w:cs="宋体"/>
          <w:b/>
          <w:color w:val="auto"/>
          <w:sz w:val="32"/>
        </w:rPr>
        <w:t>四、项目管理机构配备情况</w:t>
      </w:r>
    </w:p>
    <w:p>
      <w:pPr>
        <w:autoSpaceDE w:val="0"/>
        <w:autoSpaceDN w:val="0"/>
        <w:adjustRightInd w:val="0"/>
        <w:spacing w:line="360" w:lineRule="auto"/>
        <w:ind w:right="215" w:firstLine="420"/>
        <w:jc w:val="center"/>
        <w:rPr>
          <w:rFonts w:hAnsi="宋体" w:cs="宋体"/>
          <w:b/>
          <w:color w:val="auto"/>
          <w:sz w:val="28"/>
        </w:rPr>
      </w:pPr>
      <w:r>
        <w:rPr>
          <w:rFonts w:hint="eastAsia" w:hAnsi="宋体" w:cs="宋体"/>
          <w:b/>
          <w:color w:val="auto"/>
          <w:sz w:val="28"/>
        </w:rPr>
        <w:t>（一）项目管理机构组成表</w:t>
      </w:r>
    </w:p>
    <w:p>
      <w:pPr>
        <w:autoSpaceDE w:val="0"/>
        <w:autoSpaceDN w:val="0"/>
        <w:adjustRightInd w:val="0"/>
        <w:spacing w:line="360" w:lineRule="auto"/>
        <w:ind w:right="215" w:firstLine="420"/>
        <w:jc w:val="center"/>
        <w:rPr>
          <w:rFonts w:hAnsi="宋体" w:cs="宋体"/>
          <w:b/>
          <w:color w:val="auto"/>
          <w:sz w:val="24"/>
        </w:rPr>
      </w:pPr>
    </w:p>
    <w:tbl>
      <w:tblPr>
        <w:tblStyle w:val="13"/>
        <w:tblW w:w="9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cs="宋体"/>
                <w:color w:val="auto"/>
                <w:sz w:val="24"/>
              </w:rPr>
            </w:pPr>
            <w:r>
              <w:rPr>
                <w:rFonts w:hint="eastAsia" w:hAnsi="宋体" w:cs="宋体"/>
                <w:color w:val="auto"/>
                <w:sz w:val="24"/>
              </w:rPr>
              <w:t>职务</w:t>
            </w:r>
          </w:p>
        </w:tc>
        <w:tc>
          <w:tcPr>
            <w:tcW w:w="914" w:type="dxa"/>
            <w:vMerge w:val="restart"/>
            <w:vAlign w:val="center"/>
          </w:tcPr>
          <w:p>
            <w:pPr>
              <w:autoSpaceDE w:val="0"/>
              <w:autoSpaceDN w:val="0"/>
              <w:adjustRightInd w:val="0"/>
              <w:spacing w:line="360" w:lineRule="auto"/>
              <w:ind w:right="215"/>
              <w:rPr>
                <w:rFonts w:hAnsi="宋体" w:cs="宋体"/>
                <w:color w:val="auto"/>
                <w:sz w:val="24"/>
              </w:rPr>
            </w:pPr>
            <w:r>
              <w:rPr>
                <w:rFonts w:hint="eastAsia" w:hAnsi="宋体" w:cs="宋体"/>
                <w:color w:val="auto"/>
                <w:sz w:val="24"/>
              </w:rPr>
              <w:t>姓名</w:t>
            </w:r>
          </w:p>
        </w:tc>
        <w:tc>
          <w:tcPr>
            <w:tcW w:w="914" w:type="dxa"/>
            <w:vMerge w:val="restart"/>
            <w:vAlign w:val="center"/>
          </w:tcPr>
          <w:p>
            <w:pPr>
              <w:autoSpaceDE w:val="0"/>
              <w:autoSpaceDN w:val="0"/>
              <w:adjustRightInd w:val="0"/>
              <w:spacing w:line="360" w:lineRule="auto"/>
              <w:ind w:right="215"/>
              <w:rPr>
                <w:rFonts w:hAnsi="宋体" w:cs="宋体"/>
                <w:color w:val="auto"/>
                <w:sz w:val="24"/>
              </w:rPr>
            </w:pPr>
            <w:r>
              <w:rPr>
                <w:rFonts w:hint="eastAsia" w:hAnsi="宋体" w:cs="宋体"/>
                <w:color w:val="auto"/>
                <w:sz w:val="24"/>
              </w:rPr>
              <w:t>职称</w:t>
            </w:r>
          </w:p>
        </w:tc>
        <w:tc>
          <w:tcPr>
            <w:tcW w:w="5710" w:type="dxa"/>
            <w:gridSpan w:val="5"/>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执业或职业资格证明</w:t>
            </w:r>
          </w:p>
        </w:tc>
        <w:tc>
          <w:tcPr>
            <w:tcW w:w="1036"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cs="宋体"/>
                <w:color w:val="auto"/>
                <w:sz w:val="24"/>
              </w:rPr>
            </w:pPr>
          </w:p>
        </w:tc>
        <w:tc>
          <w:tcPr>
            <w:tcW w:w="914" w:type="dxa"/>
            <w:vMerge w:val="continue"/>
            <w:vAlign w:val="center"/>
          </w:tcPr>
          <w:p>
            <w:pPr>
              <w:autoSpaceDE w:val="0"/>
              <w:autoSpaceDN w:val="0"/>
              <w:adjustRightInd w:val="0"/>
              <w:spacing w:line="360" w:lineRule="auto"/>
              <w:ind w:right="215"/>
              <w:jc w:val="center"/>
              <w:rPr>
                <w:rFonts w:hAnsi="宋体" w:cs="宋体"/>
                <w:color w:val="auto"/>
                <w:sz w:val="24"/>
              </w:rPr>
            </w:pPr>
          </w:p>
        </w:tc>
        <w:tc>
          <w:tcPr>
            <w:tcW w:w="914" w:type="dxa"/>
            <w:vMerge w:val="continue"/>
            <w:vAlign w:val="center"/>
          </w:tcPr>
          <w:p>
            <w:pPr>
              <w:autoSpaceDE w:val="0"/>
              <w:autoSpaceDN w:val="0"/>
              <w:adjustRightInd w:val="0"/>
              <w:spacing w:line="360" w:lineRule="auto"/>
              <w:ind w:right="215"/>
              <w:jc w:val="center"/>
              <w:rPr>
                <w:rFonts w:hAnsi="宋体" w:cs="宋体"/>
                <w:color w:val="auto"/>
                <w:sz w:val="24"/>
              </w:rPr>
            </w:pPr>
          </w:p>
        </w:tc>
        <w:tc>
          <w:tcPr>
            <w:tcW w:w="1405"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证书名称</w:t>
            </w:r>
          </w:p>
        </w:tc>
        <w:tc>
          <w:tcPr>
            <w:tcW w:w="945"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级别</w:t>
            </w:r>
          </w:p>
        </w:tc>
        <w:tc>
          <w:tcPr>
            <w:tcW w:w="945"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证号</w:t>
            </w:r>
          </w:p>
        </w:tc>
        <w:tc>
          <w:tcPr>
            <w:tcW w:w="945"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专业</w:t>
            </w:r>
          </w:p>
        </w:tc>
        <w:tc>
          <w:tcPr>
            <w:tcW w:w="1470"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养老保险</w:t>
            </w:r>
          </w:p>
        </w:tc>
        <w:tc>
          <w:tcPr>
            <w:tcW w:w="1036"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cs="宋体"/>
                <w:color w:val="auto"/>
                <w:sz w:val="24"/>
              </w:rPr>
            </w:pPr>
          </w:p>
        </w:tc>
        <w:tc>
          <w:tcPr>
            <w:tcW w:w="914" w:type="dxa"/>
          </w:tcPr>
          <w:p>
            <w:pPr>
              <w:autoSpaceDE w:val="0"/>
              <w:autoSpaceDN w:val="0"/>
              <w:adjustRightInd w:val="0"/>
              <w:spacing w:line="360" w:lineRule="auto"/>
              <w:ind w:right="215"/>
              <w:jc w:val="center"/>
              <w:rPr>
                <w:rFonts w:hAnsi="宋体" w:cs="宋体"/>
                <w:color w:val="auto"/>
                <w:sz w:val="24"/>
              </w:rPr>
            </w:pPr>
          </w:p>
        </w:tc>
        <w:tc>
          <w:tcPr>
            <w:tcW w:w="914" w:type="dxa"/>
          </w:tcPr>
          <w:p>
            <w:pPr>
              <w:autoSpaceDE w:val="0"/>
              <w:autoSpaceDN w:val="0"/>
              <w:adjustRightInd w:val="0"/>
              <w:spacing w:line="360" w:lineRule="auto"/>
              <w:ind w:right="215"/>
              <w:jc w:val="center"/>
              <w:rPr>
                <w:rFonts w:hAnsi="宋体" w:cs="宋体"/>
                <w:color w:val="auto"/>
                <w:sz w:val="24"/>
              </w:rPr>
            </w:pPr>
          </w:p>
        </w:tc>
        <w:tc>
          <w:tcPr>
            <w:tcW w:w="1405" w:type="dxa"/>
          </w:tcPr>
          <w:p>
            <w:pPr>
              <w:autoSpaceDE w:val="0"/>
              <w:autoSpaceDN w:val="0"/>
              <w:adjustRightInd w:val="0"/>
              <w:spacing w:line="360" w:lineRule="auto"/>
              <w:ind w:right="215"/>
              <w:jc w:val="center"/>
              <w:rPr>
                <w:rFonts w:hAnsi="宋体" w:cs="宋体"/>
                <w:color w:val="auto"/>
                <w:sz w:val="24"/>
              </w:rPr>
            </w:pPr>
          </w:p>
        </w:tc>
        <w:tc>
          <w:tcPr>
            <w:tcW w:w="945" w:type="dxa"/>
          </w:tcPr>
          <w:p>
            <w:pPr>
              <w:autoSpaceDE w:val="0"/>
              <w:autoSpaceDN w:val="0"/>
              <w:adjustRightInd w:val="0"/>
              <w:spacing w:line="360" w:lineRule="auto"/>
              <w:ind w:right="215"/>
              <w:jc w:val="center"/>
              <w:rPr>
                <w:rFonts w:hAnsi="宋体" w:cs="宋体"/>
                <w:color w:val="auto"/>
                <w:sz w:val="24"/>
              </w:rPr>
            </w:pPr>
          </w:p>
        </w:tc>
        <w:tc>
          <w:tcPr>
            <w:tcW w:w="945" w:type="dxa"/>
          </w:tcPr>
          <w:p>
            <w:pPr>
              <w:autoSpaceDE w:val="0"/>
              <w:autoSpaceDN w:val="0"/>
              <w:adjustRightInd w:val="0"/>
              <w:spacing w:line="360" w:lineRule="auto"/>
              <w:ind w:right="215"/>
              <w:jc w:val="center"/>
              <w:rPr>
                <w:rFonts w:hAnsi="宋体" w:cs="宋体"/>
                <w:color w:val="auto"/>
                <w:sz w:val="24"/>
              </w:rPr>
            </w:pPr>
          </w:p>
        </w:tc>
        <w:tc>
          <w:tcPr>
            <w:tcW w:w="945" w:type="dxa"/>
          </w:tcPr>
          <w:p>
            <w:pPr>
              <w:autoSpaceDE w:val="0"/>
              <w:autoSpaceDN w:val="0"/>
              <w:adjustRightInd w:val="0"/>
              <w:spacing w:line="360" w:lineRule="auto"/>
              <w:ind w:right="215"/>
              <w:jc w:val="center"/>
              <w:rPr>
                <w:rFonts w:hAnsi="宋体" w:cs="宋体"/>
                <w:color w:val="auto"/>
                <w:sz w:val="24"/>
              </w:rPr>
            </w:pPr>
          </w:p>
        </w:tc>
        <w:tc>
          <w:tcPr>
            <w:tcW w:w="1470" w:type="dxa"/>
          </w:tcPr>
          <w:p>
            <w:pPr>
              <w:autoSpaceDE w:val="0"/>
              <w:autoSpaceDN w:val="0"/>
              <w:adjustRightInd w:val="0"/>
              <w:spacing w:line="360" w:lineRule="auto"/>
              <w:ind w:right="215"/>
              <w:jc w:val="center"/>
              <w:rPr>
                <w:rFonts w:hAnsi="宋体" w:cs="宋体"/>
                <w:color w:val="auto"/>
                <w:sz w:val="24"/>
              </w:rPr>
            </w:pPr>
          </w:p>
        </w:tc>
        <w:tc>
          <w:tcPr>
            <w:tcW w:w="1036" w:type="dxa"/>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color w:val="auto"/>
                <w:sz w:val="24"/>
              </w:rPr>
            </w:pPr>
          </w:p>
        </w:tc>
        <w:tc>
          <w:tcPr>
            <w:tcW w:w="914" w:type="dxa"/>
          </w:tcPr>
          <w:p>
            <w:pPr>
              <w:autoSpaceDE w:val="0"/>
              <w:autoSpaceDN w:val="0"/>
              <w:adjustRightInd w:val="0"/>
              <w:spacing w:line="360" w:lineRule="auto"/>
              <w:ind w:right="215"/>
              <w:jc w:val="center"/>
              <w:rPr>
                <w:rFonts w:hAnsi="宋体" w:cs="宋体"/>
                <w:color w:val="auto"/>
                <w:sz w:val="24"/>
              </w:rPr>
            </w:pPr>
          </w:p>
        </w:tc>
        <w:tc>
          <w:tcPr>
            <w:tcW w:w="914" w:type="dxa"/>
          </w:tcPr>
          <w:p>
            <w:pPr>
              <w:autoSpaceDE w:val="0"/>
              <w:autoSpaceDN w:val="0"/>
              <w:adjustRightInd w:val="0"/>
              <w:spacing w:line="360" w:lineRule="auto"/>
              <w:ind w:right="215"/>
              <w:jc w:val="center"/>
              <w:rPr>
                <w:rFonts w:hAnsi="宋体" w:cs="宋体"/>
                <w:color w:val="auto"/>
                <w:sz w:val="24"/>
              </w:rPr>
            </w:pPr>
          </w:p>
        </w:tc>
        <w:tc>
          <w:tcPr>
            <w:tcW w:w="1405" w:type="dxa"/>
          </w:tcPr>
          <w:p>
            <w:pPr>
              <w:autoSpaceDE w:val="0"/>
              <w:autoSpaceDN w:val="0"/>
              <w:adjustRightInd w:val="0"/>
              <w:spacing w:line="360" w:lineRule="auto"/>
              <w:ind w:right="215"/>
              <w:jc w:val="center"/>
              <w:rPr>
                <w:rFonts w:hAnsi="宋体" w:cs="宋体"/>
                <w:color w:val="auto"/>
                <w:sz w:val="24"/>
              </w:rPr>
            </w:pPr>
          </w:p>
        </w:tc>
        <w:tc>
          <w:tcPr>
            <w:tcW w:w="945" w:type="dxa"/>
          </w:tcPr>
          <w:p>
            <w:pPr>
              <w:autoSpaceDE w:val="0"/>
              <w:autoSpaceDN w:val="0"/>
              <w:adjustRightInd w:val="0"/>
              <w:spacing w:line="360" w:lineRule="auto"/>
              <w:ind w:right="215"/>
              <w:jc w:val="center"/>
              <w:rPr>
                <w:rFonts w:hAnsi="宋体" w:cs="宋体"/>
                <w:color w:val="auto"/>
                <w:sz w:val="24"/>
              </w:rPr>
            </w:pPr>
          </w:p>
        </w:tc>
        <w:tc>
          <w:tcPr>
            <w:tcW w:w="945" w:type="dxa"/>
          </w:tcPr>
          <w:p>
            <w:pPr>
              <w:autoSpaceDE w:val="0"/>
              <w:autoSpaceDN w:val="0"/>
              <w:adjustRightInd w:val="0"/>
              <w:spacing w:line="360" w:lineRule="auto"/>
              <w:ind w:right="215"/>
              <w:jc w:val="center"/>
              <w:rPr>
                <w:rFonts w:hAnsi="宋体" w:cs="宋体"/>
                <w:color w:val="auto"/>
                <w:sz w:val="24"/>
              </w:rPr>
            </w:pPr>
          </w:p>
        </w:tc>
        <w:tc>
          <w:tcPr>
            <w:tcW w:w="945" w:type="dxa"/>
          </w:tcPr>
          <w:p>
            <w:pPr>
              <w:autoSpaceDE w:val="0"/>
              <w:autoSpaceDN w:val="0"/>
              <w:adjustRightInd w:val="0"/>
              <w:spacing w:line="360" w:lineRule="auto"/>
              <w:ind w:right="215"/>
              <w:jc w:val="center"/>
              <w:rPr>
                <w:rFonts w:hAnsi="宋体" w:cs="宋体"/>
                <w:color w:val="auto"/>
                <w:sz w:val="24"/>
              </w:rPr>
            </w:pPr>
          </w:p>
        </w:tc>
        <w:tc>
          <w:tcPr>
            <w:tcW w:w="1470" w:type="dxa"/>
          </w:tcPr>
          <w:p>
            <w:pPr>
              <w:autoSpaceDE w:val="0"/>
              <w:autoSpaceDN w:val="0"/>
              <w:adjustRightInd w:val="0"/>
              <w:spacing w:line="360" w:lineRule="auto"/>
              <w:ind w:right="215"/>
              <w:jc w:val="center"/>
              <w:rPr>
                <w:rFonts w:hAnsi="宋体" w:cs="宋体"/>
                <w:color w:val="auto"/>
                <w:sz w:val="24"/>
              </w:rPr>
            </w:pPr>
          </w:p>
        </w:tc>
        <w:tc>
          <w:tcPr>
            <w:tcW w:w="1036" w:type="dxa"/>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color w:val="auto"/>
                <w:sz w:val="24"/>
              </w:rPr>
            </w:pPr>
          </w:p>
        </w:tc>
        <w:tc>
          <w:tcPr>
            <w:tcW w:w="914" w:type="dxa"/>
          </w:tcPr>
          <w:p>
            <w:pPr>
              <w:autoSpaceDE w:val="0"/>
              <w:autoSpaceDN w:val="0"/>
              <w:adjustRightInd w:val="0"/>
              <w:spacing w:line="360" w:lineRule="auto"/>
              <w:ind w:right="215"/>
              <w:jc w:val="center"/>
              <w:rPr>
                <w:rFonts w:hAnsi="宋体" w:cs="宋体"/>
                <w:color w:val="auto"/>
                <w:sz w:val="24"/>
              </w:rPr>
            </w:pPr>
          </w:p>
        </w:tc>
        <w:tc>
          <w:tcPr>
            <w:tcW w:w="914" w:type="dxa"/>
          </w:tcPr>
          <w:p>
            <w:pPr>
              <w:autoSpaceDE w:val="0"/>
              <w:autoSpaceDN w:val="0"/>
              <w:adjustRightInd w:val="0"/>
              <w:spacing w:line="360" w:lineRule="auto"/>
              <w:ind w:right="215"/>
              <w:jc w:val="center"/>
              <w:rPr>
                <w:rFonts w:hAnsi="宋体" w:cs="宋体"/>
                <w:color w:val="auto"/>
                <w:sz w:val="24"/>
              </w:rPr>
            </w:pPr>
          </w:p>
        </w:tc>
        <w:tc>
          <w:tcPr>
            <w:tcW w:w="1405" w:type="dxa"/>
          </w:tcPr>
          <w:p>
            <w:pPr>
              <w:autoSpaceDE w:val="0"/>
              <w:autoSpaceDN w:val="0"/>
              <w:adjustRightInd w:val="0"/>
              <w:spacing w:line="360" w:lineRule="auto"/>
              <w:ind w:right="215"/>
              <w:jc w:val="center"/>
              <w:rPr>
                <w:rFonts w:hAnsi="宋体" w:cs="宋体"/>
                <w:color w:val="auto"/>
                <w:sz w:val="24"/>
              </w:rPr>
            </w:pPr>
          </w:p>
        </w:tc>
        <w:tc>
          <w:tcPr>
            <w:tcW w:w="945" w:type="dxa"/>
          </w:tcPr>
          <w:p>
            <w:pPr>
              <w:autoSpaceDE w:val="0"/>
              <w:autoSpaceDN w:val="0"/>
              <w:adjustRightInd w:val="0"/>
              <w:spacing w:line="360" w:lineRule="auto"/>
              <w:ind w:right="215"/>
              <w:jc w:val="center"/>
              <w:rPr>
                <w:rFonts w:hAnsi="宋体" w:cs="宋体"/>
                <w:color w:val="auto"/>
                <w:sz w:val="24"/>
              </w:rPr>
            </w:pPr>
          </w:p>
        </w:tc>
        <w:tc>
          <w:tcPr>
            <w:tcW w:w="945" w:type="dxa"/>
          </w:tcPr>
          <w:p>
            <w:pPr>
              <w:autoSpaceDE w:val="0"/>
              <w:autoSpaceDN w:val="0"/>
              <w:adjustRightInd w:val="0"/>
              <w:spacing w:line="360" w:lineRule="auto"/>
              <w:ind w:right="215"/>
              <w:jc w:val="center"/>
              <w:rPr>
                <w:rFonts w:hAnsi="宋体" w:cs="宋体"/>
                <w:color w:val="auto"/>
                <w:sz w:val="24"/>
              </w:rPr>
            </w:pPr>
          </w:p>
        </w:tc>
        <w:tc>
          <w:tcPr>
            <w:tcW w:w="945" w:type="dxa"/>
          </w:tcPr>
          <w:p>
            <w:pPr>
              <w:autoSpaceDE w:val="0"/>
              <w:autoSpaceDN w:val="0"/>
              <w:adjustRightInd w:val="0"/>
              <w:spacing w:line="360" w:lineRule="auto"/>
              <w:ind w:right="215"/>
              <w:jc w:val="center"/>
              <w:rPr>
                <w:rFonts w:hAnsi="宋体" w:cs="宋体"/>
                <w:color w:val="auto"/>
                <w:sz w:val="24"/>
              </w:rPr>
            </w:pPr>
          </w:p>
        </w:tc>
        <w:tc>
          <w:tcPr>
            <w:tcW w:w="1470" w:type="dxa"/>
          </w:tcPr>
          <w:p>
            <w:pPr>
              <w:autoSpaceDE w:val="0"/>
              <w:autoSpaceDN w:val="0"/>
              <w:adjustRightInd w:val="0"/>
              <w:spacing w:line="360" w:lineRule="auto"/>
              <w:ind w:right="215"/>
              <w:jc w:val="center"/>
              <w:rPr>
                <w:rFonts w:hAnsi="宋体" w:cs="宋体"/>
                <w:color w:val="auto"/>
                <w:sz w:val="24"/>
              </w:rPr>
            </w:pPr>
          </w:p>
        </w:tc>
        <w:tc>
          <w:tcPr>
            <w:tcW w:w="1036" w:type="dxa"/>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color w:val="auto"/>
                <w:sz w:val="24"/>
              </w:rPr>
            </w:pPr>
          </w:p>
        </w:tc>
        <w:tc>
          <w:tcPr>
            <w:tcW w:w="914" w:type="dxa"/>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w:t>
            </w:r>
          </w:p>
        </w:tc>
        <w:tc>
          <w:tcPr>
            <w:tcW w:w="914" w:type="dxa"/>
          </w:tcPr>
          <w:p>
            <w:pPr>
              <w:autoSpaceDE w:val="0"/>
              <w:autoSpaceDN w:val="0"/>
              <w:adjustRightInd w:val="0"/>
              <w:spacing w:line="360" w:lineRule="auto"/>
              <w:ind w:right="215"/>
              <w:jc w:val="center"/>
              <w:rPr>
                <w:rFonts w:hAnsi="宋体" w:cs="宋体"/>
                <w:color w:val="auto"/>
                <w:sz w:val="24"/>
              </w:rPr>
            </w:pPr>
          </w:p>
        </w:tc>
        <w:tc>
          <w:tcPr>
            <w:tcW w:w="1405" w:type="dxa"/>
          </w:tcPr>
          <w:p>
            <w:pPr>
              <w:autoSpaceDE w:val="0"/>
              <w:autoSpaceDN w:val="0"/>
              <w:adjustRightInd w:val="0"/>
              <w:spacing w:line="360" w:lineRule="auto"/>
              <w:ind w:right="215"/>
              <w:jc w:val="center"/>
              <w:rPr>
                <w:rFonts w:hAnsi="宋体" w:cs="宋体"/>
                <w:color w:val="auto"/>
                <w:sz w:val="24"/>
              </w:rPr>
            </w:pPr>
          </w:p>
        </w:tc>
        <w:tc>
          <w:tcPr>
            <w:tcW w:w="945" w:type="dxa"/>
          </w:tcPr>
          <w:p>
            <w:pPr>
              <w:autoSpaceDE w:val="0"/>
              <w:autoSpaceDN w:val="0"/>
              <w:adjustRightInd w:val="0"/>
              <w:spacing w:line="360" w:lineRule="auto"/>
              <w:ind w:right="215"/>
              <w:jc w:val="center"/>
              <w:rPr>
                <w:rFonts w:hAnsi="宋体" w:cs="宋体"/>
                <w:color w:val="auto"/>
                <w:sz w:val="24"/>
              </w:rPr>
            </w:pPr>
          </w:p>
        </w:tc>
        <w:tc>
          <w:tcPr>
            <w:tcW w:w="945" w:type="dxa"/>
          </w:tcPr>
          <w:p>
            <w:pPr>
              <w:autoSpaceDE w:val="0"/>
              <w:autoSpaceDN w:val="0"/>
              <w:adjustRightInd w:val="0"/>
              <w:spacing w:line="360" w:lineRule="auto"/>
              <w:ind w:right="215"/>
              <w:jc w:val="center"/>
              <w:rPr>
                <w:rFonts w:hAnsi="宋体" w:cs="宋体"/>
                <w:color w:val="auto"/>
                <w:sz w:val="24"/>
              </w:rPr>
            </w:pPr>
          </w:p>
        </w:tc>
        <w:tc>
          <w:tcPr>
            <w:tcW w:w="945" w:type="dxa"/>
          </w:tcPr>
          <w:p>
            <w:pPr>
              <w:autoSpaceDE w:val="0"/>
              <w:autoSpaceDN w:val="0"/>
              <w:adjustRightInd w:val="0"/>
              <w:spacing w:line="360" w:lineRule="auto"/>
              <w:ind w:right="215"/>
              <w:jc w:val="center"/>
              <w:rPr>
                <w:rFonts w:hAnsi="宋体" w:cs="宋体"/>
                <w:color w:val="auto"/>
                <w:sz w:val="24"/>
              </w:rPr>
            </w:pPr>
          </w:p>
        </w:tc>
        <w:tc>
          <w:tcPr>
            <w:tcW w:w="1470" w:type="dxa"/>
          </w:tcPr>
          <w:p>
            <w:pPr>
              <w:autoSpaceDE w:val="0"/>
              <w:autoSpaceDN w:val="0"/>
              <w:adjustRightInd w:val="0"/>
              <w:spacing w:line="360" w:lineRule="auto"/>
              <w:ind w:right="215"/>
              <w:jc w:val="center"/>
              <w:rPr>
                <w:rFonts w:hAnsi="宋体" w:cs="宋体"/>
                <w:color w:val="auto"/>
                <w:sz w:val="24"/>
              </w:rPr>
            </w:pPr>
          </w:p>
        </w:tc>
        <w:tc>
          <w:tcPr>
            <w:tcW w:w="1036" w:type="dxa"/>
          </w:tcPr>
          <w:p>
            <w:pPr>
              <w:autoSpaceDE w:val="0"/>
              <w:autoSpaceDN w:val="0"/>
              <w:adjustRightInd w:val="0"/>
              <w:spacing w:line="360" w:lineRule="auto"/>
              <w:ind w:right="215"/>
              <w:jc w:val="center"/>
              <w:rPr>
                <w:rFonts w:hAnsi="宋体" w:cs="宋体"/>
                <w:color w:val="auto"/>
                <w:sz w:val="24"/>
              </w:rPr>
            </w:pPr>
          </w:p>
        </w:tc>
      </w:tr>
    </w:tbl>
    <w:p>
      <w:pPr>
        <w:autoSpaceDE w:val="0"/>
        <w:autoSpaceDN w:val="0"/>
        <w:adjustRightInd w:val="0"/>
        <w:spacing w:line="360" w:lineRule="auto"/>
        <w:ind w:right="215"/>
        <w:rPr>
          <w:rFonts w:hAnsi="宋体" w:cs="宋体"/>
          <w:color w:val="auto"/>
        </w:rPr>
      </w:pPr>
    </w:p>
    <w:p>
      <w:pPr>
        <w:spacing w:beforeLines="50" w:afterLines="100" w:line="420" w:lineRule="exact"/>
        <w:ind w:firstLine="2800" w:firstLineChars="1000"/>
        <w:rPr>
          <w:rFonts w:hAnsi="宋体" w:cs="宋体"/>
          <w:b/>
          <w:color w:val="auto"/>
          <w:sz w:val="28"/>
          <w:szCs w:val="28"/>
        </w:rPr>
      </w:pPr>
      <w:r>
        <w:rPr>
          <w:rFonts w:hint="eastAsia" w:hAnsi="宋体" w:cs="宋体"/>
          <w:b/>
          <w:color w:val="auto"/>
          <w:sz w:val="28"/>
          <w:szCs w:val="28"/>
        </w:rPr>
        <w:t>（二）主要人员简历表</w:t>
      </w:r>
    </w:p>
    <w:p>
      <w:pPr>
        <w:spacing w:line="420" w:lineRule="exact"/>
        <w:rPr>
          <w:rFonts w:hAnsi="宋体" w:cs="宋体"/>
          <w:color w:val="auto"/>
          <w:sz w:val="24"/>
        </w:rPr>
      </w:pPr>
      <w:r>
        <w:rPr>
          <w:rFonts w:hint="eastAsia" w:hAnsi="宋体" w:cs="宋体"/>
          <w:color w:val="auto"/>
          <w:sz w:val="24"/>
        </w:rPr>
        <w:t>附1：项目负责人简历表</w:t>
      </w:r>
    </w:p>
    <w:p>
      <w:pPr>
        <w:spacing w:line="420" w:lineRule="exact"/>
        <w:ind w:firstLine="480" w:firstLineChars="200"/>
        <w:rPr>
          <w:rFonts w:hAnsi="宋体" w:cs="宋体"/>
          <w:color w:val="auto"/>
          <w:sz w:val="24"/>
          <w:szCs w:val="24"/>
        </w:rPr>
      </w:pPr>
      <w:r>
        <w:rPr>
          <w:rFonts w:hint="eastAsia" w:hAnsi="宋体" w:cs="宋体"/>
          <w:color w:val="auto"/>
          <w:sz w:val="24"/>
          <w:szCs w:val="24"/>
        </w:rPr>
        <w:t>项目负责人应附执业资格证书、注册证书、安全生产考核合格证书、身份证、职称证、养老保险及未担任其他在施建设工程项目项目负责人的承诺书，管理过的项目业绩须附合同和中标通知书或合同和竣工验收备案表原件扫描件（或图片）。类似项目限于以项目负责人身份参与的项目。</w:t>
      </w:r>
    </w:p>
    <w:p>
      <w:pPr>
        <w:spacing w:line="420" w:lineRule="exact"/>
        <w:rPr>
          <w:rFonts w:hAnsi="宋体" w:cs="宋体"/>
          <w:color w:val="auto"/>
          <w:sz w:val="24"/>
        </w:rPr>
      </w:pPr>
    </w:p>
    <w:tbl>
      <w:tblPr>
        <w:tblStyle w:val="13"/>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1103"/>
        <w:gridCol w:w="1207"/>
        <w:gridCol w:w="1358"/>
        <w:gridCol w:w="1964"/>
        <w:gridCol w:w="2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164" w:type="dxa"/>
            <w:vAlign w:val="center"/>
          </w:tcPr>
          <w:p>
            <w:pPr>
              <w:jc w:val="center"/>
              <w:rPr>
                <w:rFonts w:hAnsi="宋体" w:cs="宋体"/>
                <w:color w:val="auto"/>
                <w:sz w:val="24"/>
              </w:rPr>
            </w:pPr>
            <w:r>
              <w:rPr>
                <w:rFonts w:hint="eastAsia" w:hAnsi="宋体" w:cs="宋体"/>
                <w:color w:val="auto"/>
                <w:sz w:val="24"/>
              </w:rPr>
              <w:t>姓  名</w:t>
            </w:r>
          </w:p>
        </w:tc>
        <w:tc>
          <w:tcPr>
            <w:tcW w:w="1103" w:type="dxa"/>
            <w:vAlign w:val="center"/>
          </w:tcPr>
          <w:p>
            <w:pPr>
              <w:jc w:val="center"/>
              <w:rPr>
                <w:rFonts w:hAnsi="宋体" w:cs="宋体"/>
                <w:color w:val="auto"/>
                <w:sz w:val="24"/>
              </w:rPr>
            </w:pPr>
          </w:p>
        </w:tc>
        <w:tc>
          <w:tcPr>
            <w:tcW w:w="1207" w:type="dxa"/>
            <w:vAlign w:val="center"/>
          </w:tcPr>
          <w:p>
            <w:pPr>
              <w:jc w:val="center"/>
              <w:rPr>
                <w:rFonts w:hAnsi="宋体" w:cs="宋体"/>
                <w:color w:val="auto"/>
                <w:sz w:val="24"/>
              </w:rPr>
            </w:pPr>
            <w:r>
              <w:rPr>
                <w:rFonts w:hint="eastAsia" w:hAnsi="宋体" w:cs="宋体"/>
                <w:color w:val="auto"/>
                <w:sz w:val="24"/>
              </w:rPr>
              <w:t>年  龄</w:t>
            </w:r>
          </w:p>
        </w:tc>
        <w:tc>
          <w:tcPr>
            <w:tcW w:w="1358" w:type="dxa"/>
            <w:vAlign w:val="center"/>
          </w:tcPr>
          <w:p>
            <w:pPr>
              <w:jc w:val="center"/>
              <w:rPr>
                <w:rFonts w:hAnsi="宋体" w:cs="宋体"/>
                <w:color w:val="auto"/>
                <w:sz w:val="24"/>
              </w:rPr>
            </w:pPr>
          </w:p>
        </w:tc>
        <w:tc>
          <w:tcPr>
            <w:tcW w:w="1964" w:type="dxa"/>
            <w:vAlign w:val="center"/>
          </w:tcPr>
          <w:p>
            <w:pPr>
              <w:jc w:val="center"/>
              <w:rPr>
                <w:rFonts w:hAnsi="宋体" w:cs="宋体"/>
                <w:color w:val="auto"/>
                <w:sz w:val="24"/>
              </w:rPr>
            </w:pPr>
            <w:r>
              <w:rPr>
                <w:rFonts w:hint="eastAsia" w:hAnsi="宋体" w:cs="宋体"/>
                <w:color w:val="auto"/>
                <w:sz w:val="24"/>
              </w:rPr>
              <w:t>学历</w:t>
            </w:r>
          </w:p>
        </w:tc>
        <w:tc>
          <w:tcPr>
            <w:tcW w:w="2264" w:type="dxa"/>
            <w:vAlign w:val="center"/>
          </w:tcPr>
          <w:p>
            <w:pPr>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164" w:type="dxa"/>
            <w:vAlign w:val="center"/>
          </w:tcPr>
          <w:p>
            <w:pPr>
              <w:jc w:val="center"/>
              <w:rPr>
                <w:rFonts w:hAnsi="宋体" w:cs="宋体"/>
                <w:color w:val="auto"/>
                <w:sz w:val="24"/>
              </w:rPr>
            </w:pPr>
            <w:r>
              <w:rPr>
                <w:rFonts w:hint="eastAsia" w:hAnsi="宋体" w:cs="宋体"/>
                <w:color w:val="auto"/>
                <w:sz w:val="24"/>
              </w:rPr>
              <w:t>职  称</w:t>
            </w:r>
          </w:p>
        </w:tc>
        <w:tc>
          <w:tcPr>
            <w:tcW w:w="1103" w:type="dxa"/>
            <w:vAlign w:val="center"/>
          </w:tcPr>
          <w:p>
            <w:pPr>
              <w:jc w:val="center"/>
              <w:rPr>
                <w:rFonts w:hAnsi="宋体" w:cs="宋体"/>
                <w:color w:val="auto"/>
                <w:sz w:val="24"/>
              </w:rPr>
            </w:pPr>
          </w:p>
        </w:tc>
        <w:tc>
          <w:tcPr>
            <w:tcW w:w="1207" w:type="dxa"/>
            <w:vAlign w:val="center"/>
          </w:tcPr>
          <w:p>
            <w:pPr>
              <w:jc w:val="center"/>
              <w:rPr>
                <w:rFonts w:hAnsi="宋体" w:cs="宋体"/>
                <w:color w:val="auto"/>
                <w:sz w:val="24"/>
              </w:rPr>
            </w:pPr>
            <w:r>
              <w:rPr>
                <w:rFonts w:hint="eastAsia" w:hAnsi="宋体" w:cs="宋体"/>
                <w:color w:val="auto"/>
                <w:sz w:val="24"/>
              </w:rPr>
              <w:t>职  务</w:t>
            </w:r>
          </w:p>
        </w:tc>
        <w:tc>
          <w:tcPr>
            <w:tcW w:w="1358" w:type="dxa"/>
            <w:vAlign w:val="center"/>
          </w:tcPr>
          <w:p>
            <w:pPr>
              <w:jc w:val="center"/>
              <w:rPr>
                <w:rFonts w:hAnsi="宋体" w:cs="宋体"/>
                <w:color w:val="auto"/>
                <w:sz w:val="24"/>
              </w:rPr>
            </w:pPr>
          </w:p>
        </w:tc>
        <w:tc>
          <w:tcPr>
            <w:tcW w:w="1964" w:type="dxa"/>
            <w:vAlign w:val="center"/>
          </w:tcPr>
          <w:p>
            <w:pPr>
              <w:jc w:val="center"/>
              <w:rPr>
                <w:rFonts w:hAnsi="宋体" w:cs="宋体"/>
                <w:color w:val="auto"/>
                <w:sz w:val="24"/>
              </w:rPr>
            </w:pPr>
            <w:r>
              <w:rPr>
                <w:rFonts w:hint="eastAsia" w:hAnsi="宋体" w:cs="宋体"/>
                <w:color w:val="auto"/>
                <w:sz w:val="24"/>
              </w:rPr>
              <w:t>拟在本工程任职</w:t>
            </w:r>
          </w:p>
        </w:tc>
        <w:tc>
          <w:tcPr>
            <w:tcW w:w="2264" w:type="dxa"/>
            <w:vAlign w:val="center"/>
          </w:tcPr>
          <w:p>
            <w:pPr>
              <w:jc w:val="center"/>
              <w:rPr>
                <w:rFonts w:hAnsi="宋体" w:cs="宋体"/>
                <w:color w:val="auto"/>
                <w:sz w:val="24"/>
              </w:rPr>
            </w:pPr>
            <w:r>
              <w:rPr>
                <w:rFonts w:hint="eastAsia" w:hAnsi="宋体" w:cs="宋体"/>
                <w:color w:val="auto"/>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3474" w:type="dxa"/>
            <w:gridSpan w:val="3"/>
            <w:vAlign w:val="center"/>
          </w:tcPr>
          <w:p>
            <w:pPr>
              <w:jc w:val="center"/>
              <w:rPr>
                <w:rFonts w:hAnsi="宋体" w:cs="宋体"/>
                <w:color w:val="auto"/>
                <w:sz w:val="24"/>
              </w:rPr>
            </w:pPr>
            <w:r>
              <w:rPr>
                <w:rFonts w:hint="eastAsia" w:hAnsi="宋体" w:cs="宋体"/>
                <w:color w:val="auto"/>
                <w:sz w:val="24"/>
              </w:rPr>
              <w:t>注册建造师执业资格等级</w:t>
            </w:r>
          </w:p>
        </w:tc>
        <w:tc>
          <w:tcPr>
            <w:tcW w:w="1358" w:type="dxa"/>
            <w:vAlign w:val="center"/>
          </w:tcPr>
          <w:p>
            <w:pPr>
              <w:jc w:val="center"/>
              <w:rPr>
                <w:rFonts w:hAnsi="宋体" w:cs="宋体"/>
                <w:color w:val="auto"/>
                <w:sz w:val="24"/>
              </w:rPr>
            </w:pPr>
            <w:r>
              <w:rPr>
                <w:rFonts w:hint="eastAsia" w:hAnsi="宋体" w:cs="宋体"/>
                <w:color w:val="auto"/>
                <w:sz w:val="24"/>
              </w:rPr>
              <w:t xml:space="preserve">      级</w:t>
            </w:r>
          </w:p>
        </w:tc>
        <w:tc>
          <w:tcPr>
            <w:tcW w:w="1964" w:type="dxa"/>
            <w:vAlign w:val="center"/>
          </w:tcPr>
          <w:p>
            <w:pPr>
              <w:jc w:val="center"/>
              <w:rPr>
                <w:rFonts w:hAnsi="宋体" w:cs="宋体"/>
                <w:color w:val="auto"/>
                <w:sz w:val="24"/>
              </w:rPr>
            </w:pPr>
            <w:r>
              <w:rPr>
                <w:rFonts w:hint="eastAsia" w:hAnsi="宋体" w:cs="宋体"/>
                <w:color w:val="auto"/>
                <w:sz w:val="24"/>
              </w:rPr>
              <w:t>建造师专业</w:t>
            </w:r>
          </w:p>
        </w:tc>
        <w:tc>
          <w:tcPr>
            <w:tcW w:w="2264" w:type="dxa"/>
            <w:vAlign w:val="center"/>
          </w:tcPr>
          <w:p>
            <w:pPr>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3474" w:type="dxa"/>
            <w:gridSpan w:val="3"/>
            <w:vAlign w:val="center"/>
          </w:tcPr>
          <w:p>
            <w:pPr>
              <w:jc w:val="center"/>
              <w:rPr>
                <w:rFonts w:hAnsi="宋体" w:cs="宋体"/>
                <w:color w:val="auto"/>
                <w:sz w:val="24"/>
              </w:rPr>
            </w:pPr>
            <w:r>
              <w:rPr>
                <w:rFonts w:hint="eastAsia" w:hAnsi="宋体" w:cs="宋体"/>
                <w:color w:val="auto"/>
                <w:sz w:val="24"/>
              </w:rPr>
              <w:t>安全生产考核合格证书</w:t>
            </w:r>
          </w:p>
        </w:tc>
        <w:tc>
          <w:tcPr>
            <w:tcW w:w="5586" w:type="dxa"/>
            <w:gridSpan w:val="3"/>
            <w:vAlign w:val="center"/>
          </w:tcPr>
          <w:p>
            <w:pPr>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164" w:type="dxa"/>
            <w:vAlign w:val="center"/>
          </w:tcPr>
          <w:p>
            <w:pPr>
              <w:jc w:val="center"/>
              <w:rPr>
                <w:rFonts w:hAnsi="宋体" w:cs="宋体"/>
                <w:color w:val="auto"/>
                <w:sz w:val="24"/>
              </w:rPr>
            </w:pPr>
            <w:r>
              <w:rPr>
                <w:rFonts w:hint="eastAsia" w:hAnsi="宋体" w:cs="宋体"/>
                <w:color w:val="auto"/>
                <w:sz w:val="24"/>
              </w:rPr>
              <w:t>毕业学校</w:t>
            </w:r>
          </w:p>
        </w:tc>
        <w:tc>
          <w:tcPr>
            <w:tcW w:w="7896" w:type="dxa"/>
            <w:gridSpan w:val="5"/>
            <w:vAlign w:val="center"/>
          </w:tcPr>
          <w:p>
            <w:pPr>
              <w:ind w:firstLine="960" w:firstLineChars="400"/>
              <w:rPr>
                <w:rFonts w:hAnsi="宋体" w:cs="宋体"/>
                <w:color w:val="auto"/>
                <w:sz w:val="24"/>
              </w:rPr>
            </w:pPr>
            <w:r>
              <w:rPr>
                <w:rFonts w:hint="eastAsia" w:hAnsi="宋体" w:cs="宋体"/>
                <w:color w:val="auto"/>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060" w:type="dxa"/>
            <w:gridSpan w:val="6"/>
            <w:vAlign w:val="center"/>
          </w:tcPr>
          <w:p>
            <w:pPr>
              <w:jc w:val="center"/>
              <w:rPr>
                <w:rFonts w:hAnsi="宋体" w:cs="宋体"/>
                <w:color w:val="auto"/>
                <w:sz w:val="24"/>
              </w:rPr>
            </w:pPr>
            <w:r>
              <w:rPr>
                <w:rFonts w:hint="eastAsia" w:hAnsi="宋体" w:cs="宋体"/>
                <w:color w:val="auto"/>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164" w:type="dxa"/>
            <w:vAlign w:val="center"/>
          </w:tcPr>
          <w:p>
            <w:pPr>
              <w:jc w:val="center"/>
              <w:rPr>
                <w:rFonts w:hAnsi="宋体" w:cs="宋体"/>
                <w:color w:val="auto"/>
                <w:sz w:val="24"/>
              </w:rPr>
            </w:pPr>
            <w:r>
              <w:rPr>
                <w:rFonts w:hint="eastAsia" w:hAnsi="宋体" w:cs="宋体"/>
                <w:color w:val="auto"/>
                <w:sz w:val="24"/>
              </w:rPr>
              <w:t>时  间</w:t>
            </w:r>
          </w:p>
        </w:tc>
        <w:tc>
          <w:tcPr>
            <w:tcW w:w="3668" w:type="dxa"/>
            <w:gridSpan w:val="3"/>
            <w:vAlign w:val="center"/>
          </w:tcPr>
          <w:p>
            <w:pPr>
              <w:jc w:val="center"/>
              <w:rPr>
                <w:rFonts w:hAnsi="宋体" w:cs="宋体"/>
                <w:color w:val="auto"/>
                <w:sz w:val="24"/>
              </w:rPr>
            </w:pPr>
            <w:r>
              <w:rPr>
                <w:rFonts w:hint="eastAsia" w:hAnsi="宋体" w:cs="宋体"/>
                <w:color w:val="auto"/>
                <w:sz w:val="24"/>
              </w:rPr>
              <w:t>参加过的类似项目名称</w:t>
            </w:r>
          </w:p>
        </w:tc>
        <w:tc>
          <w:tcPr>
            <w:tcW w:w="1964" w:type="dxa"/>
            <w:vAlign w:val="center"/>
          </w:tcPr>
          <w:p>
            <w:pPr>
              <w:jc w:val="center"/>
              <w:rPr>
                <w:rFonts w:hAnsi="宋体" w:cs="宋体"/>
                <w:color w:val="auto"/>
                <w:sz w:val="24"/>
              </w:rPr>
            </w:pPr>
            <w:r>
              <w:rPr>
                <w:rFonts w:hint="eastAsia" w:hAnsi="宋体" w:cs="宋体"/>
                <w:color w:val="auto"/>
                <w:sz w:val="24"/>
              </w:rPr>
              <w:t>工程概况说明</w:t>
            </w:r>
          </w:p>
        </w:tc>
        <w:tc>
          <w:tcPr>
            <w:tcW w:w="2264" w:type="dxa"/>
            <w:vAlign w:val="center"/>
          </w:tcPr>
          <w:p>
            <w:pPr>
              <w:jc w:val="center"/>
              <w:rPr>
                <w:rFonts w:hAnsi="宋体" w:cs="宋体"/>
                <w:color w:val="auto"/>
                <w:sz w:val="24"/>
              </w:rPr>
            </w:pPr>
            <w:r>
              <w:rPr>
                <w:rFonts w:hint="eastAsia" w:hAnsi="宋体" w:cs="宋体"/>
                <w:color w:val="auto"/>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164" w:type="dxa"/>
            <w:vAlign w:val="center"/>
          </w:tcPr>
          <w:p>
            <w:pPr>
              <w:jc w:val="center"/>
              <w:rPr>
                <w:rFonts w:hAnsi="宋体" w:cs="宋体"/>
                <w:color w:val="auto"/>
                <w:sz w:val="24"/>
              </w:rPr>
            </w:pPr>
          </w:p>
        </w:tc>
        <w:tc>
          <w:tcPr>
            <w:tcW w:w="3668" w:type="dxa"/>
            <w:gridSpan w:val="3"/>
            <w:vAlign w:val="center"/>
          </w:tcPr>
          <w:p>
            <w:pPr>
              <w:jc w:val="center"/>
              <w:rPr>
                <w:rFonts w:hAnsi="宋体" w:cs="宋体"/>
                <w:color w:val="auto"/>
                <w:sz w:val="24"/>
              </w:rPr>
            </w:pPr>
          </w:p>
        </w:tc>
        <w:tc>
          <w:tcPr>
            <w:tcW w:w="1964" w:type="dxa"/>
            <w:vAlign w:val="center"/>
          </w:tcPr>
          <w:p>
            <w:pPr>
              <w:jc w:val="center"/>
              <w:rPr>
                <w:rFonts w:hAnsi="宋体" w:cs="宋体"/>
                <w:color w:val="auto"/>
                <w:sz w:val="24"/>
              </w:rPr>
            </w:pPr>
          </w:p>
        </w:tc>
        <w:tc>
          <w:tcPr>
            <w:tcW w:w="2264" w:type="dxa"/>
            <w:vAlign w:val="center"/>
          </w:tcPr>
          <w:p>
            <w:pPr>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164" w:type="dxa"/>
            <w:vAlign w:val="center"/>
          </w:tcPr>
          <w:p>
            <w:pPr>
              <w:jc w:val="center"/>
              <w:rPr>
                <w:rFonts w:hAnsi="宋体" w:cs="宋体"/>
                <w:color w:val="auto"/>
                <w:sz w:val="24"/>
              </w:rPr>
            </w:pPr>
          </w:p>
        </w:tc>
        <w:tc>
          <w:tcPr>
            <w:tcW w:w="3668" w:type="dxa"/>
            <w:gridSpan w:val="3"/>
            <w:vAlign w:val="center"/>
          </w:tcPr>
          <w:p>
            <w:pPr>
              <w:jc w:val="center"/>
              <w:rPr>
                <w:rFonts w:hAnsi="宋体" w:cs="宋体"/>
                <w:color w:val="auto"/>
                <w:sz w:val="24"/>
              </w:rPr>
            </w:pPr>
          </w:p>
        </w:tc>
        <w:tc>
          <w:tcPr>
            <w:tcW w:w="1964" w:type="dxa"/>
            <w:vAlign w:val="center"/>
          </w:tcPr>
          <w:p>
            <w:pPr>
              <w:jc w:val="center"/>
              <w:rPr>
                <w:rFonts w:hAnsi="宋体" w:cs="宋体"/>
                <w:color w:val="auto"/>
                <w:sz w:val="24"/>
              </w:rPr>
            </w:pPr>
          </w:p>
        </w:tc>
        <w:tc>
          <w:tcPr>
            <w:tcW w:w="2264" w:type="dxa"/>
            <w:vAlign w:val="center"/>
          </w:tcPr>
          <w:p>
            <w:pPr>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64" w:type="dxa"/>
            <w:vAlign w:val="center"/>
          </w:tcPr>
          <w:p>
            <w:pPr>
              <w:jc w:val="center"/>
              <w:rPr>
                <w:rFonts w:hAnsi="宋体" w:cs="宋体"/>
                <w:color w:val="auto"/>
                <w:sz w:val="24"/>
              </w:rPr>
            </w:pPr>
          </w:p>
        </w:tc>
        <w:tc>
          <w:tcPr>
            <w:tcW w:w="3668" w:type="dxa"/>
            <w:gridSpan w:val="3"/>
            <w:vAlign w:val="center"/>
          </w:tcPr>
          <w:p>
            <w:pPr>
              <w:jc w:val="center"/>
              <w:rPr>
                <w:rFonts w:hAnsi="宋体" w:cs="宋体"/>
                <w:color w:val="auto"/>
                <w:sz w:val="24"/>
              </w:rPr>
            </w:pPr>
          </w:p>
        </w:tc>
        <w:tc>
          <w:tcPr>
            <w:tcW w:w="1964" w:type="dxa"/>
            <w:vAlign w:val="center"/>
          </w:tcPr>
          <w:p>
            <w:pPr>
              <w:jc w:val="center"/>
              <w:rPr>
                <w:rFonts w:hAnsi="宋体" w:cs="宋体"/>
                <w:color w:val="auto"/>
                <w:sz w:val="24"/>
              </w:rPr>
            </w:pPr>
          </w:p>
        </w:tc>
        <w:tc>
          <w:tcPr>
            <w:tcW w:w="2264" w:type="dxa"/>
            <w:vAlign w:val="center"/>
          </w:tcPr>
          <w:p>
            <w:pPr>
              <w:jc w:val="center"/>
              <w:rPr>
                <w:rFonts w:hAnsi="宋体" w:cs="宋体"/>
                <w:color w:val="auto"/>
                <w:sz w:val="24"/>
              </w:rPr>
            </w:pPr>
          </w:p>
        </w:tc>
      </w:tr>
    </w:tbl>
    <w:p>
      <w:pPr>
        <w:spacing w:line="420" w:lineRule="exact"/>
        <w:rPr>
          <w:rFonts w:hAnsi="宋体" w:cs="宋体"/>
          <w:color w:val="auto"/>
          <w:sz w:val="24"/>
        </w:rPr>
      </w:pPr>
      <w:r>
        <w:rPr>
          <w:rFonts w:hint="eastAsia" w:hAnsi="宋体" w:cs="宋体"/>
          <w:color w:val="auto"/>
          <w:szCs w:val="21"/>
        </w:rPr>
        <w:br w:type="page"/>
      </w:r>
      <w:r>
        <w:rPr>
          <w:rFonts w:hint="eastAsia" w:hAnsi="宋体" w:cs="宋体"/>
          <w:color w:val="auto"/>
          <w:sz w:val="24"/>
        </w:rPr>
        <w:t>附2：主要项目管理人员简历表</w:t>
      </w:r>
    </w:p>
    <w:p>
      <w:pPr>
        <w:spacing w:line="420" w:lineRule="exact"/>
        <w:ind w:firstLine="480" w:firstLineChars="200"/>
        <w:rPr>
          <w:rFonts w:hAnsi="宋体" w:cs="宋体"/>
          <w:color w:val="auto"/>
          <w:sz w:val="24"/>
          <w:szCs w:val="24"/>
        </w:rPr>
      </w:pPr>
      <w:r>
        <w:rPr>
          <w:rFonts w:hint="eastAsia" w:hAnsi="宋体" w:cs="宋体"/>
          <w:color w:val="auto"/>
          <w:sz w:val="24"/>
          <w:szCs w:val="24"/>
        </w:rPr>
        <w:t>主要项目管理人员是指项目副经理、技术负责人、专职安全生产管理员等岗位人员（根据各投标单位岗位设置情况，有则提供，无则不提供）。应附与其岗位相关的注册资格证书或岗位证书、身份证、养老保险原件扫描件（或图片），专职安全生产管理人员应附安全生产考核合格证书。</w:t>
      </w:r>
    </w:p>
    <w:tbl>
      <w:tblPr>
        <w:tblStyle w:val="13"/>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cs="宋体"/>
                <w:color w:val="auto"/>
                <w:sz w:val="24"/>
              </w:rPr>
            </w:pPr>
            <w:r>
              <w:rPr>
                <w:rFonts w:hint="eastAsia" w:hAnsi="宋体" w:cs="宋体"/>
                <w:color w:val="auto"/>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cs="宋体"/>
                <w:color w:val="auto"/>
                <w:sz w:val="24"/>
              </w:rPr>
            </w:pPr>
            <w:r>
              <w:rPr>
                <w:rFonts w:hint="eastAsia" w:hAnsi="宋体" w:cs="宋体"/>
                <w:color w:val="auto"/>
                <w:sz w:val="24"/>
              </w:rPr>
              <w:t>姓    名</w:t>
            </w:r>
          </w:p>
        </w:tc>
        <w:tc>
          <w:tcPr>
            <w:tcW w:w="4458" w:type="dxa"/>
            <w:tcBorders>
              <w:left w:val="nil"/>
            </w:tcBorders>
            <w:vAlign w:val="center"/>
          </w:tcPr>
          <w:p>
            <w:pPr>
              <w:spacing w:line="640" w:lineRule="exact"/>
              <w:rPr>
                <w:rFonts w:hAnsi="宋体" w:cs="宋体"/>
                <w:color w:val="auto"/>
                <w:sz w:val="24"/>
              </w:rPr>
            </w:pPr>
            <w:r>
              <w:rPr>
                <w:rFonts w:hint="eastAsia" w:hAnsi="宋体" w:cs="宋体"/>
                <w:color w:val="auto"/>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color w:val="auto"/>
                <w:sz w:val="24"/>
              </w:rPr>
            </w:pPr>
            <w:r>
              <w:rPr>
                <w:rFonts w:hint="eastAsia" w:hAnsi="宋体" w:cs="宋体"/>
                <w:color w:val="auto"/>
                <w:sz w:val="24"/>
              </w:rPr>
              <w:t>性    别</w:t>
            </w:r>
          </w:p>
        </w:tc>
        <w:tc>
          <w:tcPr>
            <w:tcW w:w="4458" w:type="dxa"/>
            <w:vAlign w:val="center"/>
          </w:tcPr>
          <w:p>
            <w:pPr>
              <w:spacing w:line="640" w:lineRule="exact"/>
              <w:rPr>
                <w:rFonts w:hAnsi="宋体" w:cs="宋体"/>
                <w:color w:val="auto"/>
                <w:sz w:val="24"/>
              </w:rPr>
            </w:pPr>
            <w:r>
              <w:rPr>
                <w:rFonts w:hint="eastAsia" w:hAnsi="宋体" w:cs="宋体"/>
                <w:color w:val="auto"/>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color w:val="auto"/>
                <w:sz w:val="24"/>
              </w:rPr>
            </w:pPr>
            <w:r>
              <w:rPr>
                <w:rFonts w:hint="eastAsia" w:hAnsi="宋体" w:cs="宋体"/>
                <w:color w:val="auto"/>
                <w:sz w:val="24"/>
              </w:rPr>
              <w:t>学历和专业</w:t>
            </w:r>
          </w:p>
        </w:tc>
        <w:tc>
          <w:tcPr>
            <w:tcW w:w="4458" w:type="dxa"/>
            <w:vAlign w:val="center"/>
          </w:tcPr>
          <w:p>
            <w:pPr>
              <w:spacing w:line="640" w:lineRule="exact"/>
              <w:rPr>
                <w:rFonts w:hAnsi="宋体" w:cs="宋体"/>
                <w:color w:val="auto"/>
                <w:sz w:val="24"/>
              </w:rPr>
            </w:pPr>
            <w:r>
              <w:rPr>
                <w:rFonts w:hint="eastAsia" w:hAnsi="宋体" w:cs="宋体"/>
                <w:color w:val="auto"/>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cs="宋体"/>
                <w:color w:val="auto"/>
                <w:sz w:val="24"/>
              </w:rPr>
            </w:pPr>
            <w:r>
              <w:rPr>
                <w:rFonts w:hint="eastAsia" w:hAnsi="宋体" w:cs="宋体"/>
                <w:color w:val="auto"/>
                <w:sz w:val="24"/>
              </w:rPr>
              <w:t>拥有的执业资格</w:t>
            </w:r>
          </w:p>
        </w:tc>
        <w:tc>
          <w:tcPr>
            <w:tcW w:w="4458" w:type="dxa"/>
            <w:vAlign w:val="center"/>
          </w:tcPr>
          <w:p>
            <w:pPr>
              <w:spacing w:line="640" w:lineRule="exact"/>
              <w:rPr>
                <w:rFonts w:hAnsi="宋体" w:cs="宋体"/>
                <w:color w:val="auto"/>
                <w:sz w:val="24"/>
              </w:rPr>
            </w:pPr>
            <w:r>
              <w:rPr>
                <w:rFonts w:hint="eastAsia" w:hAnsi="宋体" w:cs="宋体"/>
                <w:color w:val="auto"/>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cs="宋体"/>
                <w:color w:val="auto"/>
                <w:sz w:val="24"/>
              </w:rPr>
            </w:pPr>
            <w:r>
              <w:rPr>
                <w:rFonts w:hint="eastAsia" w:hAnsi="宋体" w:cs="宋体"/>
                <w:color w:val="auto"/>
                <w:sz w:val="24"/>
              </w:rPr>
              <w:t>执业资格证书编号</w:t>
            </w:r>
          </w:p>
        </w:tc>
        <w:tc>
          <w:tcPr>
            <w:tcW w:w="4458" w:type="dxa"/>
            <w:vAlign w:val="center"/>
          </w:tcPr>
          <w:p>
            <w:pPr>
              <w:spacing w:line="640" w:lineRule="exact"/>
              <w:rPr>
                <w:rFonts w:hAnsi="宋体" w:cs="宋体"/>
                <w:color w:val="auto"/>
                <w:sz w:val="24"/>
              </w:rPr>
            </w:pPr>
            <w:r>
              <w:rPr>
                <w:rFonts w:hint="eastAsia" w:hAnsi="宋体" w:cs="宋体"/>
                <w:color w:val="auto"/>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cs="宋体"/>
                <w:color w:val="auto"/>
                <w:sz w:val="24"/>
              </w:rPr>
            </w:pPr>
            <w:r>
              <w:rPr>
                <w:rFonts w:hint="eastAsia" w:hAnsi="宋体" w:cs="宋体"/>
                <w:color w:val="auto"/>
                <w:sz w:val="24"/>
              </w:rPr>
              <w:t>主要</w:t>
            </w:r>
          </w:p>
          <w:p>
            <w:pPr>
              <w:jc w:val="center"/>
              <w:rPr>
                <w:rFonts w:hAnsi="宋体" w:cs="宋体"/>
                <w:color w:val="auto"/>
                <w:sz w:val="24"/>
              </w:rPr>
            </w:pPr>
            <w:r>
              <w:rPr>
                <w:rFonts w:hint="eastAsia" w:hAnsi="宋体" w:cs="宋体"/>
                <w:color w:val="auto"/>
                <w:sz w:val="24"/>
              </w:rPr>
              <w:t>工作</w:t>
            </w:r>
          </w:p>
          <w:p>
            <w:pPr>
              <w:jc w:val="center"/>
              <w:rPr>
                <w:rFonts w:hAnsi="宋体" w:cs="宋体"/>
                <w:color w:val="auto"/>
                <w:sz w:val="24"/>
              </w:rPr>
            </w:pPr>
            <w:r>
              <w:rPr>
                <w:rFonts w:hint="eastAsia" w:hAnsi="宋体" w:cs="宋体"/>
                <w:color w:val="auto"/>
                <w:sz w:val="24"/>
              </w:rPr>
              <w:t>业绩</w:t>
            </w:r>
          </w:p>
          <w:p>
            <w:pPr>
              <w:jc w:val="center"/>
              <w:rPr>
                <w:rFonts w:hAnsi="宋体" w:cs="宋体"/>
                <w:color w:val="auto"/>
                <w:sz w:val="24"/>
              </w:rPr>
            </w:pPr>
            <w:r>
              <w:rPr>
                <w:rFonts w:hint="eastAsia" w:hAnsi="宋体" w:cs="宋体"/>
                <w:color w:val="auto"/>
                <w:sz w:val="24"/>
              </w:rPr>
              <w:t>及担</w:t>
            </w:r>
          </w:p>
          <w:p>
            <w:pPr>
              <w:jc w:val="center"/>
              <w:rPr>
                <w:rFonts w:hAnsi="宋体" w:cs="宋体"/>
                <w:color w:val="auto"/>
                <w:sz w:val="24"/>
              </w:rPr>
            </w:pPr>
            <w:r>
              <w:rPr>
                <w:rFonts w:hint="eastAsia" w:hAnsi="宋体" w:cs="宋体"/>
                <w:color w:val="auto"/>
                <w:sz w:val="24"/>
              </w:rPr>
              <w:t>任的</w:t>
            </w:r>
          </w:p>
          <w:p>
            <w:pPr>
              <w:jc w:val="center"/>
              <w:rPr>
                <w:rFonts w:hAnsi="宋体" w:cs="宋体"/>
                <w:color w:val="auto"/>
                <w:sz w:val="24"/>
              </w:rPr>
            </w:pPr>
            <w:r>
              <w:rPr>
                <w:rFonts w:hint="eastAsia" w:hAnsi="宋体" w:cs="宋体"/>
                <w:color w:val="auto"/>
                <w:sz w:val="24"/>
              </w:rPr>
              <w:t>主要</w:t>
            </w:r>
          </w:p>
          <w:p>
            <w:pPr>
              <w:jc w:val="center"/>
              <w:rPr>
                <w:rFonts w:hAnsi="宋体" w:cs="宋体"/>
                <w:color w:val="auto"/>
                <w:sz w:val="24"/>
              </w:rPr>
            </w:pPr>
            <w:r>
              <w:rPr>
                <w:rFonts w:hint="eastAsia" w:hAnsi="宋体" w:cs="宋体"/>
                <w:color w:val="auto"/>
                <w:sz w:val="24"/>
              </w:rPr>
              <w:t>工作</w:t>
            </w:r>
          </w:p>
        </w:tc>
        <w:tc>
          <w:tcPr>
            <w:tcW w:w="7586" w:type="dxa"/>
            <w:gridSpan w:val="2"/>
          </w:tcPr>
          <w:p>
            <w:pPr>
              <w:rPr>
                <w:rFonts w:hAnsi="宋体" w:cs="宋体"/>
                <w:color w:val="auto"/>
                <w:sz w:val="24"/>
              </w:rPr>
            </w:pPr>
          </w:p>
        </w:tc>
      </w:tr>
    </w:tbl>
    <w:p>
      <w:pPr>
        <w:rPr>
          <w:rFonts w:hAnsi="宋体" w:cs="宋体"/>
          <w:color w:val="auto"/>
          <w:szCs w:val="21"/>
        </w:rPr>
      </w:pPr>
    </w:p>
    <w:p>
      <w:pPr>
        <w:widowControl/>
        <w:jc w:val="left"/>
        <w:rPr>
          <w:rFonts w:hAnsi="宋体" w:cs="宋体"/>
          <w:color w:val="auto"/>
          <w:sz w:val="24"/>
        </w:rPr>
      </w:pPr>
      <w:r>
        <w:rPr>
          <w:rFonts w:hAnsi="宋体" w:cs="宋体"/>
          <w:color w:val="auto"/>
          <w:sz w:val="24"/>
        </w:rPr>
        <w:br w:type="page"/>
      </w:r>
    </w:p>
    <w:p>
      <w:pPr>
        <w:rPr>
          <w:rFonts w:hAnsi="宋体" w:cs="宋体"/>
          <w:color w:val="auto"/>
          <w:sz w:val="24"/>
        </w:rPr>
      </w:pPr>
      <w:r>
        <w:rPr>
          <w:rFonts w:hint="eastAsia" w:hAnsi="宋体" w:cs="宋体"/>
          <w:color w:val="auto"/>
          <w:sz w:val="24"/>
        </w:rPr>
        <w:t>附3：承诺书</w:t>
      </w:r>
    </w:p>
    <w:p>
      <w:pPr>
        <w:jc w:val="center"/>
        <w:rPr>
          <w:rFonts w:hAnsi="宋体" w:cs="宋体"/>
          <w:b/>
          <w:bCs/>
          <w:color w:val="auto"/>
          <w:sz w:val="24"/>
        </w:rPr>
      </w:pPr>
      <w:r>
        <w:rPr>
          <w:rFonts w:hint="eastAsia" w:hAnsi="宋体" w:cs="宋体"/>
          <w:b/>
          <w:bCs/>
          <w:color w:val="auto"/>
          <w:sz w:val="24"/>
        </w:rPr>
        <w:t>承诺书</w:t>
      </w:r>
    </w:p>
    <w:p>
      <w:pPr>
        <w:jc w:val="center"/>
        <w:rPr>
          <w:rFonts w:hAnsi="宋体" w:cs="宋体"/>
          <w:b/>
          <w:bCs/>
          <w:color w:val="auto"/>
          <w:sz w:val="24"/>
        </w:rPr>
      </w:pPr>
    </w:p>
    <w:p>
      <w:pPr>
        <w:spacing w:afterLines="100" w:line="440" w:lineRule="exact"/>
        <w:rPr>
          <w:rFonts w:hAnsi="宋体" w:cs="宋体"/>
          <w:color w:val="auto"/>
          <w:sz w:val="24"/>
        </w:rPr>
      </w:pPr>
      <w:r>
        <w:rPr>
          <w:rFonts w:hint="eastAsia" w:hAnsi="宋体" w:cs="宋体"/>
          <w:color w:val="auto"/>
          <w:sz w:val="24"/>
          <w:u w:val="single"/>
        </w:rPr>
        <w:t xml:space="preserve">                     </w:t>
      </w:r>
      <w:r>
        <w:rPr>
          <w:rFonts w:hint="eastAsia" w:hAnsi="宋体" w:cs="宋体"/>
          <w:color w:val="auto"/>
          <w:sz w:val="24"/>
        </w:rPr>
        <w:t>（招标人名称）：</w:t>
      </w:r>
    </w:p>
    <w:p>
      <w:pPr>
        <w:spacing w:line="440" w:lineRule="exact"/>
        <w:ind w:firstLine="480" w:firstLineChars="200"/>
        <w:rPr>
          <w:rFonts w:hAnsi="宋体" w:cs="宋体"/>
          <w:color w:val="auto"/>
          <w:sz w:val="24"/>
        </w:rPr>
      </w:pPr>
      <w:r>
        <w:rPr>
          <w:rFonts w:hint="eastAsia" w:hAnsi="宋体" w:cs="宋体"/>
          <w:color w:val="auto"/>
          <w:sz w:val="24"/>
        </w:rPr>
        <w:t>我方在此声明，我方拟派往</w:t>
      </w:r>
      <w:r>
        <w:rPr>
          <w:rFonts w:hint="eastAsia" w:hAnsi="宋体" w:cs="宋体"/>
          <w:color w:val="auto"/>
          <w:sz w:val="24"/>
          <w:u w:val="single"/>
        </w:rPr>
        <w:t xml:space="preserve">        </w:t>
      </w:r>
      <w:r>
        <w:rPr>
          <w:rFonts w:hint="eastAsia" w:hAnsi="宋体" w:cs="宋体"/>
          <w:color w:val="auto"/>
          <w:sz w:val="24"/>
        </w:rPr>
        <w:t>（项目名称）（以下简称“本工程”）的项目负责人</w:t>
      </w:r>
      <w:r>
        <w:rPr>
          <w:rFonts w:hint="eastAsia" w:hAnsi="宋体" w:cs="宋体"/>
          <w:color w:val="auto"/>
          <w:sz w:val="24"/>
          <w:u w:val="single"/>
        </w:rPr>
        <w:t xml:space="preserve">           </w:t>
      </w:r>
      <w:r>
        <w:rPr>
          <w:rFonts w:hint="eastAsia" w:hAnsi="宋体" w:cs="宋体"/>
          <w:color w:val="auto"/>
          <w:sz w:val="24"/>
        </w:rPr>
        <w:t>（项目负责人姓名）现阶段没有担任任何在施建设工程项目的项目负责人。</w:t>
      </w:r>
    </w:p>
    <w:p>
      <w:pPr>
        <w:spacing w:line="440" w:lineRule="exact"/>
        <w:ind w:firstLine="480" w:firstLineChars="200"/>
        <w:rPr>
          <w:rFonts w:hAnsi="宋体" w:cs="宋体"/>
          <w:color w:val="auto"/>
          <w:sz w:val="24"/>
        </w:rPr>
      </w:pPr>
      <w:r>
        <w:rPr>
          <w:rFonts w:hint="eastAsia" w:hAnsi="宋体" w:cs="宋体"/>
          <w:color w:val="auto"/>
          <w:sz w:val="24"/>
        </w:rPr>
        <w:t>我方保证上述信息的真实和准确，并愿意承担因我方就此弄虚作假所引起的一切法律后果。</w:t>
      </w:r>
    </w:p>
    <w:p>
      <w:pPr>
        <w:spacing w:line="440" w:lineRule="exact"/>
        <w:ind w:firstLine="480" w:firstLineChars="200"/>
        <w:rPr>
          <w:rFonts w:hAnsi="宋体" w:cs="宋体"/>
          <w:color w:val="auto"/>
          <w:sz w:val="24"/>
        </w:rPr>
      </w:pPr>
      <w:r>
        <w:rPr>
          <w:rFonts w:hint="eastAsia" w:hAnsi="宋体" w:cs="宋体"/>
          <w:color w:val="auto"/>
          <w:sz w:val="24"/>
        </w:rPr>
        <w:t>特此承诺。</w:t>
      </w:r>
    </w:p>
    <w:p>
      <w:pPr>
        <w:spacing w:line="440" w:lineRule="exact"/>
        <w:jc w:val="right"/>
        <w:rPr>
          <w:rFonts w:hAnsi="宋体" w:cs="宋体"/>
          <w:color w:val="auto"/>
          <w:sz w:val="24"/>
        </w:rPr>
      </w:pPr>
      <w:r>
        <w:rPr>
          <w:rFonts w:hint="eastAsia" w:hAnsi="宋体" w:cs="宋体"/>
          <w:color w:val="auto"/>
          <w:sz w:val="24"/>
        </w:rPr>
        <w:t>投标人：</w:t>
      </w:r>
      <w:r>
        <w:rPr>
          <w:rFonts w:hint="eastAsia" w:hAnsi="宋体" w:cs="宋体"/>
          <w:color w:val="auto"/>
          <w:sz w:val="24"/>
          <w:u w:val="single"/>
        </w:rPr>
        <w:t xml:space="preserve">                             </w:t>
      </w:r>
      <w:r>
        <w:rPr>
          <w:rFonts w:hint="eastAsia" w:hAnsi="宋体" w:cs="宋体"/>
          <w:color w:val="auto"/>
          <w:sz w:val="24"/>
        </w:rPr>
        <w:t>（盖单位章）</w:t>
      </w:r>
    </w:p>
    <w:p>
      <w:pPr>
        <w:spacing w:line="440" w:lineRule="exact"/>
        <w:ind w:right="315"/>
        <w:jc w:val="right"/>
        <w:rPr>
          <w:rFonts w:hAnsi="宋体" w:cs="宋体"/>
          <w:color w:val="auto"/>
          <w:sz w:val="24"/>
        </w:rPr>
      </w:pPr>
      <w:r>
        <w:rPr>
          <w:rFonts w:hint="eastAsia" w:hAnsi="宋体" w:cs="宋体"/>
          <w:color w:val="auto"/>
          <w:sz w:val="24"/>
        </w:rPr>
        <w:t>法定代表人：</w:t>
      </w:r>
      <w:r>
        <w:rPr>
          <w:rFonts w:hint="eastAsia" w:hAnsi="宋体" w:cs="宋体"/>
          <w:color w:val="auto"/>
          <w:sz w:val="24"/>
          <w:u w:val="single"/>
        </w:rPr>
        <w:t xml:space="preserve">               </w:t>
      </w:r>
      <w:r>
        <w:rPr>
          <w:rFonts w:hint="eastAsia" w:hAnsi="宋体" w:cs="宋体"/>
          <w:color w:val="auto"/>
          <w:sz w:val="24"/>
        </w:rPr>
        <w:t>（签字）</w:t>
      </w:r>
    </w:p>
    <w:p>
      <w:pPr>
        <w:spacing w:line="440" w:lineRule="exact"/>
        <w:jc w:val="right"/>
        <w:rPr>
          <w:rFonts w:hAnsi="宋体" w:cs="宋体"/>
          <w:color w:val="auto"/>
          <w:sz w:val="24"/>
        </w:rPr>
      </w:pPr>
      <w:r>
        <w:rPr>
          <w:rFonts w:hint="eastAsia" w:hAnsi="宋体" w:cs="宋体"/>
          <w:color w:val="auto"/>
          <w:sz w:val="24"/>
          <w:u w:val="single"/>
        </w:rPr>
        <w:t xml:space="preserve">          </w:t>
      </w:r>
      <w:r>
        <w:rPr>
          <w:rFonts w:hint="eastAsia" w:hAnsi="宋体" w:cs="宋体"/>
          <w:color w:val="auto"/>
          <w:sz w:val="24"/>
        </w:rPr>
        <w:t>年</w:t>
      </w:r>
      <w:r>
        <w:rPr>
          <w:rFonts w:hint="eastAsia" w:hAnsi="宋体" w:cs="宋体"/>
          <w:color w:val="auto"/>
          <w:sz w:val="24"/>
          <w:u w:val="single"/>
        </w:rPr>
        <w:t xml:space="preserve">        </w:t>
      </w:r>
      <w:r>
        <w:rPr>
          <w:rFonts w:hint="eastAsia" w:hAnsi="宋体" w:cs="宋体"/>
          <w:color w:val="auto"/>
          <w:sz w:val="24"/>
        </w:rPr>
        <w:t>月</w:t>
      </w:r>
      <w:r>
        <w:rPr>
          <w:rFonts w:hint="eastAsia" w:hAnsi="宋体" w:cs="宋体"/>
          <w:color w:val="auto"/>
          <w:sz w:val="24"/>
          <w:u w:val="single"/>
        </w:rPr>
        <w:t xml:space="preserve">        </w:t>
      </w:r>
      <w:r>
        <w:rPr>
          <w:rFonts w:hint="eastAsia" w:hAnsi="宋体" w:cs="宋体"/>
          <w:color w:val="auto"/>
          <w:sz w:val="24"/>
        </w:rPr>
        <w:t>日</w:t>
      </w:r>
    </w:p>
    <w:p>
      <w:pPr>
        <w:autoSpaceDE w:val="0"/>
        <w:autoSpaceDN w:val="0"/>
        <w:adjustRightInd w:val="0"/>
        <w:spacing w:line="360" w:lineRule="auto"/>
        <w:ind w:right="215" w:firstLine="420"/>
        <w:jc w:val="center"/>
        <w:rPr>
          <w:rFonts w:hAnsi="宋体" w:cs="宋体"/>
          <w:color w:val="auto"/>
          <w:sz w:val="24"/>
        </w:rPr>
      </w:pPr>
      <w:r>
        <w:rPr>
          <w:rFonts w:hint="eastAsia" w:hAnsi="宋体" w:cs="宋体"/>
          <w:b/>
          <w:color w:val="auto"/>
          <w:sz w:val="32"/>
        </w:rPr>
        <w:br w:type="page"/>
      </w:r>
    </w:p>
    <w:p>
      <w:pPr>
        <w:autoSpaceDE w:val="0"/>
        <w:autoSpaceDN w:val="0"/>
        <w:adjustRightInd w:val="0"/>
        <w:spacing w:line="360" w:lineRule="auto"/>
        <w:ind w:right="215" w:firstLine="420"/>
        <w:jc w:val="center"/>
        <w:rPr>
          <w:rFonts w:hAnsi="宋体" w:cs="宋体"/>
          <w:color w:val="auto"/>
          <w:sz w:val="24"/>
        </w:rPr>
      </w:pPr>
      <w:r>
        <w:rPr>
          <w:rFonts w:hint="eastAsia" w:hAnsi="宋体" w:cs="宋体"/>
          <w:b/>
          <w:color w:val="auto"/>
          <w:sz w:val="32"/>
        </w:rPr>
        <w:t>五、</w:t>
      </w:r>
      <w:r>
        <w:rPr>
          <w:rFonts w:hint="eastAsia" w:hAnsi="宋体" w:cs="宋体"/>
          <w:b/>
          <w:color w:val="auto"/>
          <w:sz w:val="32"/>
          <w:szCs w:val="32"/>
        </w:rPr>
        <w:t>投标单位基本情况表</w:t>
      </w:r>
    </w:p>
    <w:p>
      <w:pPr>
        <w:autoSpaceDE w:val="0"/>
        <w:autoSpaceDN w:val="0"/>
        <w:adjustRightInd w:val="0"/>
        <w:spacing w:line="360" w:lineRule="auto"/>
        <w:ind w:right="215" w:firstLine="420"/>
        <w:jc w:val="center"/>
        <w:rPr>
          <w:rFonts w:hAnsi="宋体" w:cs="宋体"/>
          <w:b/>
          <w:color w:val="auto"/>
          <w:sz w:val="28"/>
        </w:rPr>
      </w:pPr>
    </w:p>
    <w:tbl>
      <w:tblPr>
        <w:tblStyle w:val="13"/>
        <w:tblW w:w="9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注册地址</w:t>
            </w:r>
          </w:p>
        </w:tc>
        <w:tc>
          <w:tcPr>
            <w:tcW w:w="4134" w:type="dxa"/>
            <w:gridSpan w:val="5"/>
            <w:vAlign w:val="center"/>
          </w:tcPr>
          <w:p>
            <w:pPr>
              <w:autoSpaceDE w:val="0"/>
              <w:autoSpaceDN w:val="0"/>
              <w:adjustRightInd w:val="0"/>
              <w:spacing w:line="360" w:lineRule="auto"/>
              <w:ind w:right="215"/>
              <w:jc w:val="center"/>
              <w:rPr>
                <w:rFonts w:hAnsi="宋体" w:eastAsia="宋体" w:cs="宋体"/>
                <w:color w:val="auto"/>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邮政编码</w:t>
            </w:r>
          </w:p>
        </w:tc>
        <w:tc>
          <w:tcPr>
            <w:tcW w:w="1726" w:type="dxa"/>
            <w:gridSpan w:val="2"/>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联系方式</w:t>
            </w:r>
          </w:p>
        </w:tc>
        <w:tc>
          <w:tcPr>
            <w:tcW w:w="1205"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联系人</w:t>
            </w:r>
          </w:p>
        </w:tc>
        <w:tc>
          <w:tcPr>
            <w:tcW w:w="2929" w:type="dxa"/>
            <w:gridSpan w:val="4"/>
            <w:vAlign w:val="center"/>
          </w:tcPr>
          <w:p>
            <w:pPr>
              <w:autoSpaceDE w:val="0"/>
              <w:autoSpaceDN w:val="0"/>
              <w:adjustRightInd w:val="0"/>
              <w:spacing w:line="360" w:lineRule="auto"/>
              <w:ind w:right="215"/>
              <w:jc w:val="center"/>
              <w:rPr>
                <w:rFonts w:hAnsi="宋体" w:eastAsia="宋体" w:cs="宋体"/>
                <w:color w:val="auto"/>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电话</w:t>
            </w:r>
          </w:p>
        </w:tc>
        <w:tc>
          <w:tcPr>
            <w:tcW w:w="1726" w:type="dxa"/>
            <w:gridSpan w:val="2"/>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eastAsia="宋体" w:cs="宋体"/>
                <w:color w:val="auto"/>
                <w:sz w:val="24"/>
              </w:rPr>
            </w:pPr>
          </w:p>
        </w:tc>
        <w:tc>
          <w:tcPr>
            <w:tcW w:w="1205"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传真</w:t>
            </w:r>
          </w:p>
        </w:tc>
        <w:tc>
          <w:tcPr>
            <w:tcW w:w="2929" w:type="dxa"/>
            <w:gridSpan w:val="4"/>
            <w:vAlign w:val="center"/>
          </w:tcPr>
          <w:p>
            <w:pPr>
              <w:autoSpaceDE w:val="0"/>
              <w:autoSpaceDN w:val="0"/>
              <w:adjustRightInd w:val="0"/>
              <w:spacing w:line="360" w:lineRule="auto"/>
              <w:ind w:right="215"/>
              <w:jc w:val="center"/>
              <w:rPr>
                <w:rFonts w:hAnsi="宋体" w:eastAsia="宋体" w:cs="宋体"/>
                <w:color w:val="auto"/>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网址</w:t>
            </w:r>
          </w:p>
        </w:tc>
        <w:tc>
          <w:tcPr>
            <w:tcW w:w="1726" w:type="dxa"/>
            <w:gridSpan w:val="2"/>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组织结构</w:t>
            </w:r>
          </w:p>
        </w:tc>
        <w:tc>
          <w:tcPr>
            <w:tcW w:w="7435" w:type="dxa"/>
            <w:gridSpan w:val="9"/>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法定代表人</w:t>
            </w:r>
          </w:p>
        </w:tc>
        <w:tc>
          <w:tcPr>
            <w:tcW w:w="1205"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姓名</w:t>
            </w:r>
          </w:p>
        </w:tc>
        <w:tc>
          <w:tcPr>
            <w:tcW w:w="1205" w:type="dxa"/>
            <w:vAlign w:val="center"/>
          </w:tcPr>
          <w:p>
            <w:pPr>
              <w:autoSpaceDE w:val="0"/>
              <w:autoSpaceDN w:val="0"/>
              <w:adjustRightInd w:val="0"/>
              <w:spacing w:line="360" w:lineRule="auto"/>
              <w:ind w:right="215"/>
              <w:jc w:val="center"/>
              <w:rPr>
                <w:rFonts w:hAnsi="宋体" w:eastAsia="宋体" w:cs="宋体"/>
                <w:color w:val="auto"/>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color w:val="auto"/>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电话</w:t>
            </w:r>
          </w:p>
        </w:tc>
        <w:tc>
          <w:tcPr>
            <w:tcW w:w="1206"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技术负责人</w:t>
            </w:r>
          </w:p>
        </w:tc>
        <w:tc>
          <w:tcPr>
            <w:tcW w:w="1205"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姓名</w:t>
            </w:r>
          </w:p>
        </w:tc>
        <w:tc>
          <w:tcPr>
            <w:tcW w:w="1205" w:type="dxa"/>
            <w:vAlign w:val="center"/>
          </w:tcPr>
          <w:p>
            <w:pPr>
              <w:autoSpaceDE w:val="0"/>
              <w:autoSpaceDN w:val="0"/>
              <w:adjustRightInd w:val="0"/>
              <w:spacing w:line="360" w:lineRule="auto"/>
              <w:ind w:right="215"/>
              <w:jc w:val="center"/>
              <w:rPr>
                <w:rFonts w:hAnsi="宋体" w:eastAsia="宋体" w:cs="宋体"/>
                <w:color w:val="auto"/>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color w:val="auto"/>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电话</w:t>
            </w:r>
          </w:p>
        </w:tc>
        <w:tc>
          <w:tcPr>
            <w:tcW w:w="1206"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成立时间</w:t>
            </w:r>
          </w:p>
        </w:tc>
        <w:tc>
          <w:tcPr>
            <w:tcW w:w="2410" w:type="dxa"/>
            <w:gridSpan w:val="2"/>
            <w:vAlign w:val="center"/>
          </w:tcPr>
          <w:p>
            <w:pPr>
              <w:autoSpaceDE w:val="0"/>
              <w:autoSpaceDN w:val="0"/>
              <w:adjustRightInd w:val="0"/>
              <w:spacing w:line="360" w:lineRule="auto"/>
              <w:ind w:right="215"/>
              <w:jc w:val="center"/>
              <w:rPr>
                <w:rFonts w:hAnsi="宋体" w:eastAsia="宋体" w:cs="宋体"/>
                <w:color w:val="auto"/>
                <w:sz w:val="24"/>
              </w:rPr>
            </w:pPr>
          </w:p>
        </w:tc>
        <w:tc>
          <w:tcPr>
            <w:tcW w:w="5025" w:type="dxa"/>
            <w:gridSpan w:val="7"/>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auto"/>
                <w:spacing w:val="-20"/>
                <w:sz w:val="24"/>
              </w:rPr>
            </w:pPr>
            <w:r>
              <w:rPr>
                <w:rFonts w:hint="eastAsia" w:hAnsi="宋体" w:eastAsia="宋体" w:cs="宋体"/>
                <w:color w:val="auto"/>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eastAsia="宋体" w:cs="宋体"/>
                <w:color w:val="auto"/>
                <w:sz w:val="24"/>
              </w:rPr>
            </w:pPr>
          </w:p>
        </w:tc>
        <w:tc>
          <w:tcPr>
            <w:tcW w:w="1205" w:type="dxa"/>
            <w:vMerge w:val="restart"/>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其中</w:t>
            </w:r>
          </w:p>
        </w:tc>
        <w:tc>
          <w:tcPr>
            <w:tcW w:w="2614" w:type="dxa"/>
            <w:gridSpan w:val="5"/>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项目负责人</w:t>
            </w:r>
          </w:p>
        </w:tc>
        <w:tc>
          <w:tcPr>
            <w:tcW w:w="1206"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营业执照号</w:t>
            </w:r>
          </w:p>
        </w:tc>
        <w:tc>
          <w:tcPr>
            <w:tcW w:w="2410" w:type="dxa"/>
            <w:gridSpan w:val="2"/>
            <w:vAlign w:val="center"/>
          </w:tcPr>
          <w:p>
            <w:pPr>
              <w:autoSpaceDE w:val="0"/>
              <w:autoSpaceDN w:val="0"/>
              <w:adjustRightInd w:val="0"/>
              <w:spacing w:line="360" w:lineRule="auto"/>
              <w:ind w:right="215"/>
              <w:jc w:val="center"/>
              <w:rPr>
                <w:rFonts w:hAnsi="宋体" w:eastAsia="宋体" w:cs="宋体"/>
                <w:color w:val="auto"/>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color w:val="auto"/>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高级职称人员</w:t>
            </w:r>
          </w:p>
        </w:tc>
        <w:tc>
          <w:tcPr>
            <w:tcW w:w="1206"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注册资金</w:t>
            </w:r>
          </w:p>
        </w:tc>
        <w:tc>
          <w:tcPr>
            <w:tcW w:w="2410" w:type="dxa"/>
            <w:gridSpan w:val="2"/>
            <w:vAlign w:val="center"/>
          </w:tcPr>
          <w:p>
            <w:pPr>
              <w:autoSpaceDE w:val="0"/>
              <w:autoSpaceDN w:val="0"/>
              <w:adjustRightInd w:val="0"/>
              <w:spacing w:line="360" w:lineRule="auto"/>
              <w:ind w:right="215"/>
              <w:jc w:val="center"/>
              <w:rPr>
                <w:rFonts w:hAnsi="宋体" w:eastAsia="宋体" w:cs="宋体"/>
                <w:color w:val="auto"/>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color w:val="auto"/>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中级职称人员</w:t>
            </w:r>
          </w:p>
        </w:tc>
        <w:tc>
          <w:tcPr>
            <w:tcW w:w="1206"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开户银行</w:t>
            </w:r>
          </w:p>
        </w:tc>
        <w:tc>
          <w:tcPr>
            <w:tcW w:w="2410" w:type="dxa"/>
            <w:gridSpan w:val="2"/>
            <w:vAlign w:val="center"/>
          </w:tcPr>
          <w:p>
            <w:pPr>
              <w:autoSpaceDE w:val="0"/>
              <w:autoSpaceDN w:val="0"/>
              <w:adjustRightInd w:val="0"/>
              <w:spacing w:line="360" w:lineRule="auto"/>
              <w:ind w:right="215"/>
              <w:jc w:val="center"/>
              <w:rPr>
                <w:rFonts w:hAnsi="宋体" w:eastAsia="宋体" w:cs="宋体"/>
                <w:color w:val="auto"/>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color w:val="auto"/>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初级职称人员</w:t>
            </w:r>
          </w:p>
        </w:tc>
        <w:tc>
          <w:tcPr>
            <w:tcW w:w="1206"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账号</w:t>
            </w:r>
          </w:p>
        </w:tc>
        <w:tc>
          <w:tcPr>
            <w:tcW w:w="2410" w:type="dxa"/>
            <w:gridSpan w:val="2"/>
            <w:vAlign w:val="center"/>
          </w:tcPr>
          <w:p>
            <w:pPr>
              <w:autoSpaceDE w:val="0"/>
              <w:autoSpaceDN w:val="0"/>
              <w:adjustRightInd w:val="0"/>
              <w:spacing w:line="360" w:lineRule="auto"/>
              <w:ind w:right="215"/>
              <w:jc w:val="center"/>
              <w:rPr>
                <w:rFonts w:hAnsi="宋体" w:eastAsia="宋体" w:cs="宋体"/>
                <w:color w:val="auto"/>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color w:val="auto"/>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技工</w:t>
            </w:r>
          </w:p>
        </w:tc>
        <w:tc>
          <w:tcPr>
            <w:tcW w:w="1206"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经营范围</w:t>
            </w:r>
          </w:p>
        </w:tc>
        <w:tc>
          <w:tcPr>
            <w:tcW w:w="7435" w:type="dxa"/>
            <w:gridSpan w:val="9"/>
            <w:vAlign w:val="center"/>
          </w:tcPr>
          <w:p>
            <w:pPr>
              <w:autoSpaceDE w:val="0"/>
              <w:autoSpaceDN w:val="0"/>
              <w:adjustRightInd w:val="0"/>
              <w:spacing w:line="360" w:lineRule="auto"/>
              <w:ind w:right="215"/>
              <w:jc w:val="center"/>
              <w:rPr>
                <w:rFonts w:hAnsi="宋体" w:eastAsia="宋体" w:cs="宋体"/>
                <w:color w:val="auto"/>
                <w:sz w:val="24"/>
              </w:rPr>
            </w:pPr>
          </w:p>
          <w:p>
            <w:pPr>
              <w:autoSpaceDE w:val="0"/>
              <w:autoSpaceDN w:val="0"/>
              <w:adjustRightInd w:val="0"/>
              <w:spacing w:line="360" w:lineRule="auto"/>
              <w:ind w:right="215"/>
              <w:jc w:val="center"/>
              <w:rPr>
                <w:rFonts w:hAnsi="宋体" w:eastAsia="宋体" w:cs="宋体"/>
                <w:color w:val="auto"/>
                <w:sz w:val="24"/>
              </w:rPr>
            </w:pPr>
          </w:p>
          <w:p>
            <w:pPr>
              <w:autoSpaceDE w:val="0"/>
              <w:autoSpaceDN w:val="0"/>
              <w:adjustRightInd w:val="0"/>
              <w:spacing w:line="360" w:lineRule="auto"/>
              <w:ind w:right="215"/>
              <w:jc w:val="center"/>
              <w:rPr>
                <w:rFonts w:hAnsi="宋体" w:eastAsia="宋体" w:cs="宋体"/>
                <w:color w:val="auto"/>
                <w:sz w:val="24"/>
              </w:rPr>
            </w:pPr>
          </w:p>
          <w:p>
            <w:pPr>
              <w:autoSpaceDE w:val="0"/>
              <w:autoSpaceDN w:val="0"/>
              <w:adjustRightInd w:val="0"/>
              <w:spacing w:line="360" w:lineRule="auto"/>
              <w:ind w:right="215"/>
              <w:jc w:val="center"/>
              <w:rPr>
                <w:rFonts w:hAnsi="宋体" w:eastAsia="宋体" w:cs="宋体"/>
                <w:color w:val="auto"/>
                <w:sz w:val="24"/>
              </w:rPr>
            </w:pPr>
          </w:p>
          <w:p>
            <w:pPr>
              <w:autoSpaceDE w:val="0"/>
              <w:autoSpaceDN w:val="0"/>
              <w:adjustRightInd w:val="0"/>
              <w:spacing w:line="360" w:lineRule="auto"/>
              <w:ind w:right="215"/>
              <w:jc w:val="center"/>
              <w:rPr>
                <w:rFonts w:hAnsi="宋体" w:eastAsia="宋体" w:cs="宋体"/>
                <w:color w:val="auto"/>
                <w:sz w:val="24"/>
              </w:rPr>
            </w:pPr>
          </w:p>
          <w:p>
            <w:pPr>
              <w:autoSpaceDE w:val="0"/>
              <w:autoSpaceDN w:val="0"/>
              <w:adjustRightInd w:val="0"/>
              <w:spacing w:line="360" w:lineRule="auto"/>
              <w:ind w:right="215"/>
              <w:jc w:val="center"/>
              <w:rPr>
                <w:rFonts w:hAnsi="宋体" w:eastAsia="宋体" w:cs="宋体"/>
                <w:color w:val="auto"/>
                <w:sz w:val="24"/>
              </w:rPr>
            </w:pPr>
          </w:p>
          <w:p>
            <w:pPr>
              <w:autoSpaceDE w:val="0"/>
              <w:autoSpaceDN w:val="0"/>
              <w:adjustRightInd w:val="0"/>
              <w:spacing w:line="360" w:lineRule="auto"/>
              <w:ind w:right="215"/>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备注</w:t>
            </w:r>
          </w:p>
        </w:tc>
        <w:tc>
          <w:tcPr>
            <w:tcW w:w="7435" w:type="dxa"/>
            <w:gridSpan w:val="9"/>
            <w:vAlign w:val="center"/>
          </w:tcPr>
          <w:p>
            <w:pPr>
              <w:autoSpaceDE w:val="0"/>
              <w:autoSpaceDN w:val="0"/>
              <w:adjustRightInd w:val="0"/>
              <w:spacing w:line="360" w:lineRule="auto"/>
              <w:ind w:right="215"/>
              <w:jc w:val="center"/>
              <w:rPr>
                <w:rFonts w:hAnsi="宋体" w:eastAsia="宋体" w:cs="宋体"/>
                <w:color w:val="auto"/>
                <w:sz w:val="24"/>
              </w:rPr>
            </w:pPr>
          </w:p>
          <w:p>
            <w:pPr>
              <w:autoSpaceDE w:val="0"/>
              <w:autoSpaceDN w:val="0"/>
              <w:adjustRightInd w:val="0"/>
              <w:spacing w:line="360" w:lineRule="auto"/>
              <w:ind w:right="215"/>
              <w:jc w:val="center"/>
              <w:rPr>
                <w:rFonts w:hAnsi="宋体" w:eastAsia="宋体" w:cs="宋体"/>
                <w:color w:val="auto"/>
                <w:sz w:val="24"/>
              </w:rPr>
            </w:pPr>
          </w:p>
        </w:tc>
      </w:tr>
    </w:tbl>
    <w:p>
      <w:pPr>
        <w:autoSpaceDE w:val="0"/>
        <w:autoSpaceDN w:val="0"/>
        <w:adjustRightInd w:val="0"/>
        <w:spacing w:line="360" w:lineRule="auto"/>
        <w:ind w:right="215" w:firstLine="420"/>
        <w:rPr>
          <w:rFonts w:hAnsi="宋体" w:cs="宋体"/>
          <w:color w:val="auto"/>
          <w:sz w:val="24"/>
        </w:rPr>
      </w:pPr>
      <w:r>
        <w:rPr>
          <w:rFonts w:hint="eastAsia" w:hAnsi="宋体" w:cs="宋体"/>
          <w:color w:val="auto"/>
          <w:sz w:val="24"/>
        </w:rPr>
        <w:t>备注：本表后应附企业法人营业执照、企业资质证书副本、安全生产许可证等材料的原件扫描件（或图片）。</w:t>
      </w:r>
    </w:p>
    <w:p>
      <w:pPr>
        <w:autoSpaceDE w:val="0"/>
        <w:autoSpaceDN w:val="0"/>
        <w:adjustRightInd w:val="0"/>
        <w:spacing w:line="360" w:lineRule="auto"/>
        <w:ind w:right="215" w:firstLine="420"/>
        <w:jc w:val="left"/>
        <w:rPr>
          <w:rFonts w:hAnsi="宋体" w:cs="宋体"/>
          <w:color w:val="auto"/>
          <w:sz w:val="24"/>
        </w:rPr>
      </w:pPr>
      <w:r>
        <w:rPr>
          <w:rFonts w:hint="eastAsia" w:hAnsi="宋体" w:cs="宋体"/>
          <w:color w:val="auto"/>
          <w:sz w:val="24"/>
        </w:rPr>
        <w:t xml:space="preserve">  </w:t>
      </w:r>
    </w:p>
    <w:p>
      <w:pPr>
        <w:autoSpaceDE w:val="0"/>
        <w:autoSpaceDN w:val="0"/>
        <w:adjustRightInd w:val="0"/>
        <w:spacing w:line="360" w:lineRule="auto"/>
        <w:ind w:right="215"/>
        <w:jc w:val="center"/>
        <w:rPr>
          <w:rFonts w:hAnsi="宋体" w:cs="宋体"/>
          <w:b/>
          <w:color w:val="auto"/>
          <w:sz w:val="28"/>
        </w:rPr>
      </w:pPr>
      <w:r>
        <w:rPr>
          <w:rFonts w:hint="eastAsia" w:hAnsi="宋体" w:cs="宋体"/>
          <w:color w:val="auto"/>
          <w:sz w:val="24"/>
        </w:rPr>
        <w:br w:type="page"/>
      </w:r>
      <w:r>
        <w:rPr>
          <w:rFonts w:hint="eastAsia" w:hAnsi="宋体" w:cs="宋体"/>
          <w:b/>
          <w:color w:val="auto"/>
          <w:sz w:val="32"/>
        </w:rPr>
        <w:t>六、</w:t>
      </w:r>
      <w:r>
        <w:rPr>
          <w:rFonts w:hint="eastAsia" w:hAnsi="宋体" w:cs="宋体"/>
          <w:b/>
          <w:color w:val="auto"/>
          <w:sz w:val="32"/>
          <w:szCs w:val="32"/>
        </w:rPr>
        <w:t>资格证明文件</w:t>
      </w:r>
    </w:p>
    <w:p>
      <w:pPr>
        <w:autoSpaceDE w:val="0"/>
        <w:autoSpaceDN w:val="0"/>
        <w:adjustRightInd w:val="0"/>
        <w:spacing w:line="360" w:lineRule="auto"/>
        <w:ind w:right="215" w:firstLine="420"/>
        <w:jc w:val="center"/>
        <w:rPr>
          <w:rFonts w:hAnsi="宋体" w:cs="宋体"/>
          <w:color w:val="auto"/>
          <w:sz w:val="24"/>
        </w:rPr>
      </w:pPr>
      <w:r>
        <w:rPr>
          <w:rFonts w:hint="eastAsia" w:hAnsi="宋体" w:cs="宋体"/>
          <w:color w:val="auto"/>
          <w:sz w:val="24"/>
        </w:rPr>
        <w:t>（附原件扫描件或图片）</w:t>
      </w:r>
    </w:p>
    <w:p>
      <w:pPr>
        <w:autoSpaceDE w:val="0"/>
        <w:autoSpaceDN w:val="0"/>
        <w:adjustRightInd w:val="0"/>
        <w:spacing w:line="360" w:lineRule="auto"/>
        <w:ind w:right="215" w:firstLine="420"/>
        <w:jc w:val="center"/>
        <w:rPr>
          <w:rFonts w:hAnsi="宋体" w:cs="宋体"/>
          <w:color w:val="auto"/>
          <w:sz w:val="24"/>
        </w:rPr>
      </w:pPr>
    </w:p>
    <w:p>
      <w:pPr>
        <w:autoSpaceDE w:val="0"/>
        <w:autoSpaceDN w:val="0"/>
        <w:adjustRightInd w:val="0"/>
        <w:spacing w:line="360" w:lineRule="auto"/>
        <w:ind w:right="215" w:firstLine="420"/>
        <w:jc w:val="center"/>
        <w:rPr>
          <w:rFonts w:hAnsi="宋体" w:cs="宋体"/>
          <w:b/>
          <w:color w:val="auto"/>
          <w:sz w:val="32"/>
          <w:szCs w:val="32"/>
        </w:rPr>
      </w:pPr>
      <w:r>
        <w:rPr>
          <w:rFonts w:hint="eastAsia" w:hAnsi="宋体" w:cs="宋体"/>
          <w:b/>
          <w:color w:val="auto"/>
          <w:sz w:val="32"/>
          <w:szCs w:val="32"/>
        </w:rPr>
        <w:t>七、近年完成的类似项目情况表</w:t>
      </w:r>
    </w:p>
    <w:tbl>
      <w:tblPr>
        <w:tblStyle w:val="13"/>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auto"/>
                <w:sz w:val="24"/>
              </w:rPr>
            </w:pPr>
            <w:r>
              <w:rPr>
                <w:rFonts w:hint="eastAsia" w:hAnsi="宋体" w:eastAsia="宋体" w:cs="宋体"/>
                <w:color w:val="auto"/>
                <w:sz w:val="24"/>
              </w:rPr>
              <w:t>项目名称</w:t>
            </w:r>
          </w:p>
        </w:tc>
        <w:tc>
          <w:tcPr>
            <w:tcW w:w="6721" w:type="dxa"/>
            <w:vAlign w:val="center"/>
          </w:tcPr>
          <w:p>
            <w:pPr>
              <w:autoSpaceDE w:val="0"/>
              <w:autoSpaceDN w:val="0"/>
              <w:adjustRightInd w:val="0"/>
              <w:spacing w:line="48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auto"/>
                <w:sz w:val="24"/>
              </w:rPr>
            </w:pPr>
            <w:r>
              <w:rPr>
                <w:rFonts w:hint="eastAsia" w:hAnsi="宋体" w:eastAsia="宋体" w:cs="宋体"/>
                <w:color w:val="auto"/>
                <w:sz w:val="24"/>
              </w:rPr>
              <w:t>项目所在地</w:t>
            </w:r>
          </w:p>
        </w:tc>
        <w:tc>
          <w:tcPr>
            <w:tcW w:w="6721" w:type="dxa"/>
            <w:vAlign w:val="center"/>
          </w:tcPr>
          <w:p>
            <w:pPr>
              <w:autoSpaceDE w:val="0"/>
              <w:autoSpaceDN w:val="0"/>
              <w:adjustRightInd w:val="0"/>
              <w:spacing w:line="48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auto"/>
                <w:sz w:val="24"/>
              </w:rPr>
            </w:pPr>
            <w:r>
              <w:rPr>
                <w:rFonts w:hint="eastAsia" w:hAnsi="宋体" w:eastAsia="宋体" w:cs="宋体"/>
                <w:color w:val="auto"/>
                <w:sz w:val="24"/>
              </w:rPr>
              <w:t>发包人名称</w:t>
            </w:r>
          </w:p>
        </w:tc>
        <w:tc>
          <w:tcPr>
            <w:tcW w:w="6721" w:type="dxa"/>
            <w:vAlign w:val="center"/>
          </w:tcPr>
          <w:p>
            <w:pPr>
              <w:autoSpaceDE w:val="0"/>
              <w:autoSpaceDN w:val="0"/>
              <w:adjustRightInd w:val="0"/>
              <w:spacing w:line="48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auto"/>
                <w:sz w:val="24"/>
              </w:rPr>
            </w:pPr>
            <w:r>
              <w:rPr>
                <w:rFonts w:hint="eastAsia" w:hAnsi="宋体" w:eastAsia="宋体" w:cs="宋体"/>
                <w:color w:val="auto"/>
                <w:sz w:val="24"/>
              </w:rPr>
              <w:t>发包人地址</w:t>
            </w:r>
          </w:p>
        </w:tc>
        <w:tc>
          <w:tcPr>
            <w:tcW w:w="6721" w:type="dxa"/>
            <w:vAlign w:val="center"/>
          </w:tcPr>
          <w:p>
            <w:pPr>
              <w:autoSpaceDE w:val="0"/>
              <w:autoSpaceDN w:val="0"/>
              <w:adjustRightInd w:val="0"/>
              <w:spacing w:line="48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auto"/>
                <w:sz w:val="24"/>
              </w:rPr>
            </w:pPr>
            <w:r>
              <w:rPr>
                <w:rFonts w:hint="eastAsia" w:hAnsi="宋体" w:eastAsia="宋体" w:cs="宋体"/>
                <w:color w:val="auto"/>
                <w:sz w:val="24"/>
              </w:rPr>
              <w:t>发包人电话</w:t>
            </w:r>
          </w:p>
        </w:tc>
        <w:tc>
          <w:tcPr>
            <w:tcW w:w="6721" w:type="dxa"/>
            <w:vAlign w:val="center"/>
          </w:tcPr>
          <w:p>
            <w:pPr>
              <w:autoSpaceDE w:val="0"/>
              <w:autoSpaceDN w:val="0"/>
              <w:adjustRightInd w:val="0"/>
              <w:spacing w:line="48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auto"/>
                <w:sz w:val="24"/>
              </w:rPr>
            </w:pPr>
            <w:r>
              <w:rPr>
                <w:rFonts w:hint="eastAsia" w:hAnsi="宋体" w:eastAsia="宋体" w:cs="宋体"/>
                <w:color w:val="auto"/>
                <w:sz w:val="24"/>
              </w:rPr>
              <w:t>合同价格</w:t>
            </w:r>
          </w:p>
        </w:tc>
        <w:tc>
          <w:tcPr>
            <w:tcW w:w="6721" w:type="dxa"/>
            <w:vAlign w:val="center"/>
          </w:tcPr>
          <w:p>
            <w:pPr>
              <w:autoSpaceDE w:val="0"/>
              <w:autoSpaceDN w:val="0"/>
              <w:adjustRightInd w:val="0"/>
              <w:spacing w:line="48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auto"/>
                <w:sz w:val="24"/>
              </w:rPr>
            </w:pPr>
            <w:r>
              <w:rPr>
                <w:rFonts w:hint="eastAsia" w:hAnsi="宋体" w:eastAsia="宋体" w:cs="宋体"/>
                <w:color w:val="auto"/>
                <w:sz w:val="24"/>
              </w:rPr>
              <w:t>开工日期</w:t>
            </w:r>
          </w:p>
        </w:tc>
        <w:tc>
          <w:tcPr>
            <w:tcW w:w="6721" w:type="dxa"/>
            <w:vAlign w:val="center"/>
          </w:tcPr>
          <w:p>
            <w:pPr>
              <w:autoSpaceDE w:val="0"/>
              <w:autoSpaceDN w:val="0"/>
              <w:adjustRightInd w:val="0"/>
              <w:spacing w:line="48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auto"/>
                <w:sz w:val="24"/>
              </w:rPr>
            </w:pPr>
            <w:r>
              <w:rPr>
                <w:rFonts w:hint="eastAsia" w:hAnsi="宋体" w:eastAsia="宋体" w:cs="宋体"/>
                <w:color w:val="auto"/>
                <w:sz w:val="24"/>
              </w:rPr>
              <w:t>竣工日期</w:t>
            </w:r>
          </w:p>
        </w:tc>
        <w:tc>
          <w:tcPr>
            <w:tcW w:w="6721" w:type="dxa"/>
            <w:vAlign w:val="center"/>
          </w:tcPr>
          <w:p>
            <w:pPr>
              <w:autoSpaceDE w:val="0"/>
              <w:autoSpaceDN w:val="0"/>
              <w:adjustRightInd w:val="0"/>
              <w:spacing w:line="48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auto"/>
                <w:sz w:val="24"/>
              </w:rPr>
            </w:pPr>
            <w:r>
              <w:rPr>
                <w:rFonts w:hint="eastAsia" w:hAnsi="宋体" w:eastAsia="宋体" w:cs="宋体"/>
                <w:color w:val="auto"/>
                <w:sz w:val="24"/>
              </w:rPr>
              <w:t>承担的工作</w:t>
            </w:r>
          </w:p>
        </w:tc>
        <w:tc>
          <w:tcPr>
            <w:tcW w:w="6721" w:type="dxa"/>
            <w:vAlign w:val="center"/>
          </w:tcPr>
          <w:p>
            <w:pPr>
              <w:autoSpaceDE w:val="0"/>
              <w:autoSpaceDN w:val="0"/>
              <w:adjustRightInd w:val="0"/>
              <w:spacing w:line="48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auto"/>
                <w:sz w:val="24"/>
              </w:rPr>
            </w:pPr>
            <w:r>
              <w:rPr>
                <w:rFonts w:hint="eastAsia" w:hAnsi="宋体" w:eastAsia="宋体" w:cs="宋体"/>
                <w:color w:val="auto"/>
                <w:sz w:val="24"/>
              </w:rPr>
              <w:t>工程质量</w:t>
            </w:r>
          </w:p>
        </w:tc>
        <w:tc>
          <w:tcPr>
            <w:tcW w:w="6721" w:type="dxa"/>
            <w:vAlign w:val="center"/>
          </w:tcPr>
          <w:p>
            <w:pPr>
              <w:autoSpaceDE w:val="0"/>
              <w:autoSpaceDN w:val="0"/>
              <w:adjustRightInd w:val="0"/>
              <w:spacing w:line="48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auto"/>
                <w:sz w:val="24"/>
              </w:rPr>
            </w:pPr>
            <w:r>
              <w:rPr>
                <w:rFonts w:hint="eastAsia" w:hAnsi="宋体" w:eastAsia="宋体" w:cs="宋体"/>
                <w:color w:val="auto"/>
                <w:sz w:val="24"/>
              </w:rPr>
              <w:t>项目负责人</w:t>
            </w:r>
          </w:p>
        </w:tc>
        <w:tc>
          <w:tcPr>
            <w:tcW w:w="6721" w:type="dxa"/>
            <w:vAlign w:val="center"/>
          </w:tcPr>
          <w:p>
            <w:pPr>
              <w:autoSpaceDE w:val="0"/>
              <w:autoSpaceDN w:val="0"/>
              <w:adjustRightInd w:val="0"/>
              <w:spacing w:line="48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auto"/>
                <w:sz w:val="24"/>
              </w:rPr>
            </w:pPr>
            <w:r>
              <w:rPr>
                <w:rFonts w:hint="eastAsia" w:hAnsi="宋体" w:eastAsia="宋体" w:cs="宋体"/>
                <w:color w:val="auto"/>
                <w:sz w:val="24"/>
              </w:rPr>
              <w:t>技术负责人</w:t>
            </w:r>
          </w:p>
        </w:tc>
        <w:tc>
          <w:tcPr>
            <w:tcW w:w="6721" w:type="dxa"/>
            <w:vAlign w:val="center"/>
          </w:tcPr>
          <w:p>
            <w:pPr>
              <w:autoSpaceDE w:val="0"/>
              <w:autoSpaceDN w:val="0"/>
              <w:adjustRightInd w:val="0"/>
              <w:spacing w:line="48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auto"/>
                <w:spacing w:val="-20"/>
                <w:sz w:val="24"/>
              </w:rPr>
            </w:pPr>
            <w:r>
              <w:rPr>
                <w:rFonts w:hint="eastAsia" w:hAnsi="宋体" w:eastAsia="宋体" w:cs="宋体"/>
                <w:color w:val="auto"/>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项目描述</w:t>
            </w:r>
          </w:p>
        </w:tc>
        <w:tc>
          <w:tcPr>
            <w:tcW w:w="6721"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备注</w:t>
            </w:r>
          </w:p>
        </w:tc>
        <w:tc>
          <w:tcPr>
            <w:tcW w:w="6721" w:type="dxa"/>
            <w:vAlign w:val="center"/>
          </w:tcPr>
          <w:p>
            <w:pPr>
              <w:autoSpaceDE w:val="0"/>
              <w:autoSpaceDN w:val="0"/>
              <w:adjustRightInd w:val="0"/>
              <w:spacing w:line="360" w:lineRule="auto"/>
              <w:ind w:right="215"/>
              <w:jc w:val="center"/>
              <w:rPr>
                <w:rFonts w:hAnsi="宋体" w:eastAsia="宋体" w:cs="宋体"/>
                <w:color w:val="auto"/>
                <w:sz w:val="24"/>
              </w:rPr>
            </w:pPr>
          </w:p>
          <w:p>
            <w:pPr>
              <w:autoSpaceDE w:val="0"/>
              <w:autoSpaceDN w:val="0"/>
              <w:adjustRightInd w:val="0"/>
              <w:spacing w:line="360" w:lineRule="auto"/>
              <w:ind w:right="215"/>
              <w:rPr>
                <w:rFonts w:hAnsi="宋体" w:eastAsia="宋体" w:cs="宋体"/>
                <w:color w:val="auto"/>
                <w:sz w:val="24"/>
              </w:rPr>
            </w:pPr>
          </w:p>
        </w:tc>
      </w:tr>
    </w:tbl>
    <w:p>
      <w:pPr>
        <w:rPr>
          <w:rFonts w:hAnsi="宋体" w:cs="宋体"/>
          <w:color w:val="auto"/>
          <w:sz w:val="24"/>
          <w:szCs w:val="24"/>
        </w:rPr>
      </w:pPr>
    </w:p>
    <w:p>
      <w:pPr>
        <w:jc w:val="center"/>
        <w:rPr>
          <w:rFonts w:hAnsi="宋体" w:cs="宋体"/>
          <w:b/>
          <w:color w:val="auto"/>
          <w:sz w:val="32"/>
          <w:szCs w:val="32"/>
        </w:rPr>
      </w:pPr>
      <w:r>
        <w:rPr>
          <w:rFonts w:hint="eastAsia" w:hAnsi="宋体" w:cs="宋体"/>
          <w:color w:val="auto"/>
          <w:sz w:val="24"/>
          <w:szCs w:val="24"/>
        </w:rPr>
        <w:br w:type="page"/>
      </w:r>
      <w:r>
        <w:rPr>
          <w:rFonts w:hint="eastAsia" w:hAnsi="宋体" w:cs="宋体"/>
          <w:b/>
          <w:color w:val="auto"/>
          <w:sz w:val="32"/>
          <w:szCs w:val="32"/>
        </w:rPr>
        <w:t>八、正在施工的和新承接的项目情况</w:t>
      </w:r>
    </w:p>
    <w:p>
      <w:pPr>
        <w:autoSpaceDE w:val="0"/>
        <w:autoSpaceDN w:val="0"/>
        <w:adjustRightInd w:val="0"/>
        <w:spacing w:line="360" w:lineRule="auto"/>
        <w:ind w:right="215" w:firstLine="420"/>
        <w:jc w:val="center"/>
        <w:rPr>
          <w:rFonts w:hAnsi="宋体" w:cs="宋体"/>
          <w:b/>
          <w:color w:val="auto"/>
          <w:sz w:val="32"/>
          <w:szCs w:val="32"/>
        </w:rPr>
      </w:pPr>
    </w:p>
    <w:tbl>
      <w:tblPr>
        <w:tblStyle w:val="13"/>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项目名称</w:t>
            </w:r>
          </w:p>
        </w:tc>
        <w:tc>
          <w:tcPr>
            <w:tcW w:w="6727"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项目所在地</w:t>
            </w:r>
          </w:p>
        </w:tc>
        <w:tc>
          <w:tcPr>
            <w:tcW w:w="6727"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发包人名称</w:t>
            </w:r>
          </w:p>
        </w:tc>
        <w:tc>
          <w:tcPr>
            <w:tcW w:w="6727"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发包人地址</w:t>
            </w:r>
          </w:p>
        </w:tc>
        <w:tc>
          <w:tcPr>
            <w:tcW w:w="6727"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发包人电话</w:t>
            </w:r>
          </w:p>
        </w:tc>
        <w:tc>
          <w:tcPr>
            <w:tcW w:w="6727"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签约合同价</w:t>
            </w:r>
          </w:p>
        </w:tc>
        <w:tc>
          <w:tcPr>
            <w:tcW w:w="6727"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开工日期</w:t>
            </w:r>
          </w:p>
        </w:tc>
        <w:tc>
          <w:tcPr>
            <w:tcW w:w="6727"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计划竣工日期</w:t>
            </w:r>
          </w:p>
        </w:tc>
        <w:tc>
          <w:tcPr>
            <w:tcW w:w="6727"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承担的工作</w:t>
            </w:r>
          </w:p>
        </w:tc>
        <w:tc>
          <w:tcPr>
            <w:tcW w:w="6727"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工程质量</w:t>
            </w:r>
          </w:p>
        </w:tc>
        <w:tc>
          <w:tcPr>
            <w:tcW w:w="6727"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项目负责人</w:t>
            </w:r>
          </w:p>
        </w:tc>
        <w:tc>
          <w:tcPr>
            <w:tcW w:w="6727"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技术负责人</w:t>
            </w:r>
          </w:p>
        </w:tc>
        <w:tc>
          <w:tcPr>
            <w:tcW w:w="6727"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pacing w:val="-20"/>
                <w:sz w:val="24"/>
              </w:rPr>
            </w:pPr>
            <w:r>
              <w:rPr>
                <w:rFonts w:hint="eastAsia" w:hAnsi="宋体" w:eastAsia="宋体" w:cs="宋体"/>
                <w:color w:val="auto"/>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项目描述</w:t>
            </w:r>
          </w:p>
        </w:tc>
        <w:tc>
          <w:tcPr>
            <w:tcW w:w="6727" w:type="dxa"/>
            <w:vAlign w:val="center"/>
          </w:tcPr>
          <w:p>
            <w:pPr>
              <w:autoSpaceDE w:val="0"/>
              <w:autoSpaceDN w:val="0"/>
              <w:adjustRightInd w:val="0"/>
              <w:spacing w:line="360" w:lineRule="auto"/>
              <w:ind w:right="215"/>
              <w:rPr>
                <w:rFonts w:hAnsi="宋体" w:eastAsia="宋体" w:cs="宋体"/>
                <w:color w:val="auto"/>
                <w:sz w:val="24"/>
              </w:rPr>
            </w:pPr>
          </w:p>
          <w:p>
            <w:pPr>
              <w:autoSpaceDE w:val="0"/>
              <w:autoSpaceDN w:val="0"/>
              <w:adjustRightInd w:val="0"/>
              <w:spacing w:line="360" w:lineRule="auto"/>
              <w:ind w:right="215"/>
              <w:jc w:val="center"/>
              <w:rPr>
                <w:rFonts w:hAnsi="宋体" w:eastAsia="宋体" w:cs="宋体"/>
                <w:color w:val="auto"/>
                <w:sz w:val="24"/>
              </w:rPr>
            </w:pPr>
          </w:p>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备注</w:t>
            </w:r>
          </w:p>
        </w:tc>
        <w:tc>
          <w:tcPr>
            <w:tcW w:w="6727" w:type="dxa"/>
            <w:vAlign w:val="center"/>
          </w:tcPr>
          <w:p>
            <w:pPr>
              <w:autoSpaceDE w:val="0"/>
              <w:autoSpaceDN w:val="0"/>
              <w:adjustRightInd w:val="0"/>
              <w:spacing w:line="360" w:lineRule="auto"/>
              <w:ind w:right="215"/>
              <w:jc w:val="center"/>
              <w:rPr>
                <w:rFonts w:hAnsi="宋体" w:eastAsia="宋体" w:cs="宋体"/>
                <w:color w:val="auto"/>
                <w:sz w:val="24"/>
              </w:rPr>
            </w:pPr>
          </w:p>
          <w:p>
            <w:pPr>
              <w:autoSpaceDE w:val="0"/>
              <w:autoSpaceDN w:val="0"/>
              <w:adjustRightInd w:val="0"/>
              <w:spacing w:line="360" w:lineRule="auto"/>
              <w:ind w:right="215"/>
              <w:rPr>
                <w:rFonts w:hAnsi="宋体" w:eastAsia="宋体" w:cs="宋体"/>
                <w:color w:val="auto"/>
                <w:sz w:val="24"/>
              </w:rPr>
            </w:pPr>
          </w:p>
        </w:tc>
      </w:tr>
    </w:tbl>
    <w:p>
      <w:pPr>
        <w:autoSpaceDE w:val="0"/>
        <w:autoSpaceDN w:val="0"/>
        <w:adjustRightInd w:val="0"/>
        <w:spacing w:line="360" w:lineRule="auto"/>
        <w:ind w:right="215"/>
        <w:jc w:val="center"/>
        <w:rPr>
          <w:rFonts w:hAnsi="宋体" w:cs="宋体"/>
          <w:b/>
          <w:color w:val="auto"/>
          <w:sz w:val="32"/>
          <w:szCs w:val="32"/>
        </w:rPr>
      </w:pPr>
    </w:p>
    <w:p>
      <w:pPr>
        <w:autoSpaceDE w:val="0"/>
        <w:autoSpaceDN w:val="0"/>
        <w:adjustRightInd w:val="0"/>
        <w:spacing w:line="360" w:lineRule="auto"/>
        <w:ind w:right="215"/>
        <w:jc w:val="center"/>
        <w:rPr>
          <w:rFonts w:hAnsi="宋体" w:cs="宋体"/>
          <w:b/>
          <w:color w:val="auto"/>
          <w:sz w:val="32"/>
          <w:szCs w:val="32"/>
        </w:rPr>
      </w:pPr>
    </w:p>
    <w:p>
      <w:pPr>
        <w:autoSpaceDE w:val="0"/>
        <w:autoSpaceDN w:val="0"/>
        <w:adjustRightInd w:val="0"/>
        <w:spacing w:line="360" w:lineRule="auto"/>
        <w:ind w:right="215"/>
        <w:jc w:val="center"/>
        <w:rPr>
          <w:rFonts w:hAnsi="宋体" w:cs="宋体"/>
          <w:b/>
          <w:color w:val="auto"/>
          <w:sz w:val="32"/>
          <w:szCs w:val="32"/>
        </w:rPr>
      </w:pPr>
    </w:p>
    <w:p>
      <w:pPr>
        <w:autoSpaceDE w:val="0"/>
        <w:autoSpaceDN w:val="0"/>
        <w:adjustRightInd w:val="0"/>
        <w:spacing w:line="360" w:lineRule="auto"/>
        <w:ind w:right="215"/>
        <w:jc w:val="center"/>
        <w:rPr>
          <w:rFonts w:hAnsi="宋体" w:cs="宋体"/>
          <w:b/>
          <w:color w:val="auto"/>
          <w:sz w:val="32"/>
          <w:szCs w:val="32"/>
        </w:rPr>
      </w:pPr>
    </w:p>
    <w:p>
      <w:pPr>
        <w:numPr>
          <w:ilvl w:val="0"/>
          <w:numId w:val="9"/>
        </w:numPr>
        <w:autoSpaceDE w:val="0"/>
        <w:autoSpaceDN w:val="0"/>
        <w:adjustRightInd w:val="0"/>
        <w:spacing w:line="360" w:lineRule="auto"/>
        <w:ind w:right="215"/>
        <w:jc w:val="center"/>
        <w:rPr>
          <w:rFonts w:hAnsi="宋体" w:cs="宋体"/>
          <w:b/>
          <w:color w:val="auto"/>
          <w:sz w:val="32"/>
          <w:szCs w:val="32"/>
        </w:rPr>
      </w:pPr>
      <w:r>
        <w:rPr>
          <w:rFonts w:hint="eastAsia" w:hAnsi="宋体" w:cs="宋体"/>
          <w:b/>
          <w:color w:val="auto"/>
          <w:sz w:val="32"/>
          <w:szCs w:val="32"/>
        </w:rPr>
        <w:t>近年发生的诉讼及仲裁</w:t>
      </w:r>
    </w:p>
    <w:p>
      <w:pPr>
        <w:autoSpaceDE w:val="0"/>
        <w:autoSpaceDN w:val="0"/>
        <w:adjustRightInd w:val="0"/>
        <w:spacing w:line="360" w:lineRule="auto"/>
        <w:ind w:right="215" w:firstLine="1920" w:firstLineChars="600"/>
        <w:rPr>
          <w:rFonts w:hAnsi="宋体" w:cs="宋体"/>
          <w:b/>
          <w:color w:val="auto"/>
          <w:sz w:val="32"/>
          <w:szCs w:val="32"/>
        </w:rPr>
      </w:pPr>
    </w:p>
    <w:tbl>
      <w:tblPr>
        <w:tblStyle w:val="1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hAnsi="宋体" w:eastAsia="宋体" w:cs="宋体"/>
                <w:bCs/>
                <w:color w:val="auto"/>
                <w:sz w:val="24"/>
                <w:szCs w:val="24"/>
              </w:rPr>
            </w:pPr>
            <w:r>
              <w:rPr>
                <w:rFonts w:hint="eastAsia" w:hAnsi="宋体" w:eastAsia="宋体" w:cs="宋体"/>
                <w:bCs/>
                <w:color w:val="auto"/>
                <w:sz w:val="24"/>
                <w:szCs w:val="24"/>
              </w:rPr>
              <w:t>类别</w:t>
            </w:r>
          </w:p>
        </w:tc>
        <w:tc>
          <w:tcPr>
            <w:tcW w:w="1164" w:type="dxa"/>
          </w:tcPr>
          <w:p>
            <w:pPr>
              <w:autoSpaceDE w:val="0"/>
              <w:autoSpaceDN w:val="0"/>
              <w:adjustRightInd w:val="0"/>
              <w:spacing w:line="360" w:lineRule="auto"/>
              <w:ind w:right="215"/>
              <w:jc w:val="center"/>
              <w:rPr>
                <w:rFonts w:hAnsi="宋体" w:eastAsia="宋体" w:cs="宋体"/>
                <w:bCs/>
                <w:color w:val="auto"/>
                <w:sz w:val="24"/>
                <w:szCs w:val="24"/>
              </w:rPr>
            </w:pPr>
            <w:r>
              <w:rPr>
                <w:rFonts w:hint="eastAsia" w:hAnsi="宋体" w:eastAsia="宋体" w:cs="宋体"/>
                <w:bCs/>
                <w:color w:val="auto"/>
                <w:sz w:val="24"/>
                <w:szCs w:val="24"/>
              </w:rPr>
              <w:t>序号</w:t>
            </w:r>
          </w:p>
        </w:tc>
        <w:tc>
          <w:tcPr>
            <w:tcW w:w="1752" w:type="dxa"/>
          </w:tcPr>
          <w:p>
            <w:pPr>
              <w:autoSpaceDE w:val="0"/>
              <w:autoSpaceDN w:val="0"/>
              <w:adjustRightInd w:val="0"/>
              <w:spacing w:line="360" w:lineRule="auto"/>
              <w:ind w:right="215"/>
              <w:jc w:val="center"/>
              <w:rPr>
                <w:rFonts w:hAnsi="宋体" w:eastAsia="宋体" w:cs="宋体"/>
                <w:bCs/>
                <w:color w:val="auto"/>
                <w:sz w:val="24"/>
                <w:szCs w:val="24"/>
              </w:rPr>
            </w:pPr>
            <w:r>
              <w:rPr>
                <w:rFonts w:hint="eastAsia" w:hAnsi="宋体" w:eastAsia="宋体" w:cs="宋体"/>
                <w:bCs/>
                <w:color w:val="auto"/>
                <w:sz w:val="24"/>
                <w:szCs w:val="24"/>
              </w:rPr>
              <w:t>发生时间</w:t>
            </w:r>
          </w:p>
        </w:tc>
        <w:tc>
          <w:tcPr>
            <w:tcW w:w="3060" w:type="dxa"/>
          </w:tcPr>
          <w:p>
            <w:pPr>
              <w:autoSpaceDE w:val="0"/>
              <w:autoSpaceDN w:val="0"/>
              <w:adjustRightInd w:val="0"/>
              <w:spacing w:line="360" w:lineRule="auto"/>
              <w:ind w:right="215"/>
              <w:jc w:val="center"/>
              <w:rPr>
                <w:rFonts w:hAnsi="宋体" w:eastAsia="宋体" w:cs="宋体"/>
                <w:bCs/>
                <w:color w:val="auto"/>
                <w:sz w:val="24"/>
                <w:szCs w:val="24"/>
              </w:rPr>
            </w:pPr>
            <w:r>
              <w:rPr>
                <w:rFonts w:hint="eastAsia" w:hAnsi="宋体" w:eastAsia="宋体" w:cs="宋体"/>
                <w:bCs/>
                <w:color w:val="auto"/>
                <w:sz w:val="24"/>
                <w:szCs w:val="24"/>
              </w:rPr>
              <w:t>情况简介</w:t>
            </w:r>
          </w:p>
        </w:tc>
        <w:tc>
          <w:tcPr>
            <w:tcW w:w="2605" w:type="dxa"/>
          </w:tcPr>
          <w:p>
            <w:pPr>
              <w:autoSpaceDE w:val="0"/>
              <w:autoSpaceDN w:val="0"/>
              <w:adjustRightInd w:val="0"/>
              <w:spacing w:line="360" w:lineRule="auto"/>
              <w:ind w:right="215"/>
              <w:jc w:val="center"/>
              <w:rPr>
                <w:rFonts w:hAnsi="宋体" w:eastAsia="宋体" w:cs="宋体"/>
                <w:bCs/>
                <w:color w:val="auto"/>
                <w:sz w:val="24"/>
                <w:szCs w:val="24"/>
              </w:rPr>
            </w:pPr>
            <w:r>
              <w:rPr>
                <w:rFonts w:hint="eastAsia" w:hAnsi="宋体" w:eastAsia="宋体" w:cs="宋体"/>
                <w:bCs/>
                <w:color w:val="auto"/>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color w:val="auto"/>
                <w:sz w:val="32"/>
                <w:szCs w:val="32"/>
              </w:rPr>
            </w:pPr>
            <w:r>
              <w:rPr>
                <w:rFonts w:hint="eastAsia" w:hAnsi="宋体" w:eastAsia="宋体" w:cs="宋体"/>
                <w:bCs/>
                <w:color w:val="auto"/>
                <w:sz w:val="32"/>
                <w:szCs w:val="32"/>
              </w:rPr>
              <w:t>诉</w:t>
            </w:r>
          </w:p>
          <w:p>
            <w:pPr>
              <w:autoSpaceDE w:val="0"/>
              <w:autoSpaceDN w:val="0"/>
              <w:adjustRightInd w:val="0"/>
              <w:spacing w:line="360" w:lineRule="auto"/>
              <w:ind w:right="215"/>
              <w:jc w:val="center"/>
              <w:rPr>
                <w:rFonts w:hAnsi="宋体" w:eastAsia="宋体" w:cs="宋体"/>
                <w:bCs/>
                <w:color w:val="auto"/>
                <w:sz w:val="32"/>
                <w:szCs w:val="32"/>
              </w:rPr>
            </w:pPr>
            <w:r>
              <w:rPr>
                <w:rFonts w:hint="eastAsia" w:hAnsi="宋体" w:eastAsia="宋体" w:cs="宋体"/>
                <w:bCs/>
                <w:color w:val="auto"/>
                <w:sz w:val="32"/>
                <w:szCs w:val="32"/>
              </w:rPr>
              <w:t>讼</w:t>
            </w:r>
          </w:p>
          <w:p>
            <w:pPr>
              <w:autoSpaceDE w:val="0"/>
              <w:autoSpaceDN w:val="0"/>
              <w:adjustRightInd w:val="0"/>
              <w:spacing w:line="360" w:lineRule="auto"/>
              <w:ind w:right="215"/>
              <w:jc w:val="center"/>
              <w:rPr>
                <w:rFonts w:hAnsi="宋体" w:eastAsia="宋体" w:cs="宋体"/>
                <w:bCs/>
                <w:color w:val="auto"/>
                <w:sz w:val="32"/>
                <w:szCs w:val="32"/>
              </w:rPr>
            </w:pPr>
            <w:r>
              <w:rPr>
                <w:rFonts w:hint="eastAsia" w:hAnsi="宋体" w:eastAsia="宋体" w:cs="宋体"/>
                <w:bCs/>
                <w:color w:val="auto"/>
                <w:sz w:val="32"/>
                <w:szCs w:val="32"/>
              </w:rPr>
              <w:t>情</w:t>
            </w:r>
          </w:p>
          <w:p>
            <w:pPr>
              <w:autoSpaceDE w:val="0"/>
              <w:autoSpaceDN w:val="0"/>
              <w:adjustRightInd w:val="0"/>
              <w:spacing w:line="360" w:lineRule="auto"/>
              <w:ind w:right="215"/>
              <w:jc w:val="center"/>
              <w:rPr>
                <w:rFonts w:hAnsi="宋体" w:eastAsia="宋体" w:cs="宋体"/>
                <w:b/>
                <w:color w:val="auto"/>
                <w:sz w:val="32"/>
                <w:szCs w:val="32"/>
              </w:rPr>
            </w:pPr>
            <w:r>
              <w:rPr>
                <w:rFonts w:hint="eastAsia" w:hAnsi="宋体" w:eastAsia="宋体" w:cs="宋体"/>
                <w:bCs/>
                <w:color w:val="auto"/>
                <w:sz w:val="32"/>
                <w:szCs w:val="32"/>
              </w:rPr>
              <w:t>况</w:t>
            </w:r>
          </w:p>
        </w:tc>
        <w:tc>
          <w:tcPr>
            <w:tcW w:w="1164" w:type="dxa"/>
          </w:tcPr>
          <w:p>
            <w:pPr>
              <w:autoSpaceDE w:val="0"/>
              <w:autoSpaceDN w:val="0"/>
              <w:adjustRightInd w:val="0"/>
              <w:spacing w:line="360" w:lineRule="auto"/>
              <w:ind w:right="215"/>
              <w:rPr>
                <w:rFonts w:hAnsi="宋体" w:eastAsia="宋体" w:cs="宋体"/>
                <w:b/>
                <w:color w:val="auto"/>
                <w:sz w:val="32"/>
                <w:szCs w:val="32"/>
              </w:rPr>
            </w:pPr>
          </w:p>
        </w:tc>
        <w:tc>
          <w:tcPr>
            <w:tcW w:w="1752" w:type="dxa"/>
          </w:tcPr>
          <w:p>
            <w:pPr>
              <w:autoSpaceDE w:val="0"/>
              <w:autoSpaceDN w:val="0"/>
              <w:adjustRightInd w:val="0"/>
              <w:spacing w:line="360" w:lineRule="auto"/>
              <w:ind w:right="215"/>
              <w:rPr>
                <w:rFonts w:hAnsi="宋体" w:eastAsia="宋体" w:cs="宋体"/>
                <w:b/>
                <w:color w:val="auto"/>
                <w:sz w:val="32"/>
                <w:szCs w:val="32"/>
              </w:rPr>
            </w:pPr>
          </w:p>
        </w:tc>
        <w:tc>
          <w:tcPr>
            <w:tcW w:w="3060" w:type="dxa"/>
          </w:tcPr>
          <w:p>
            <w:pPr>
              <w:autoSpaceDE w:val="0"/>
              <w:autoSpaceDN w:val="0"/>
              <w:adjustRightInd w:val="0"/>
              <w:spacing w:line="360" w:lineRule="auto"/>
              <w:ind w:right="215"/>
              <w:rPr>
                <w:rFonts w:hAnsi="宋体" w:eastAsia="宋体" w:cs="宋体"/>
                <w:b/>
                <w:color w:val="auto"/>
                <w:sz w:val="32"/>
                <w:szCs w:val="32"/>
              </w:rPr>
            </w:pPr>
          </w:p>
        </w:tc>
        <w:tc>
          <w:tcPr>
            <w:tcW w:w="2605" w:type="dxa"/>
          </w:tcPr>
          <w:p>
            <w:pPr>
              <w:autoSpaceDE w:val="0"/>
              <w:autoSpaceDN w:val="0"/>
              <w:adjustRightInd w:val="0"/>
              <w:spacing w:line="360" w:lineRule="auto"/>
              <w:ind w:right="215"/>
              <w:rPr>
                <w:rFonts w:hAnsi="宋体" w:eastAsia="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color w:val="auto"/>
                <w:sz w:val="32"/>
                <w:szCs w:val="32"/>
              </w:rPr>
            </w:pPr>
          </w:p>
        </w:tc>
        <w:tc>
          <w:tcPr>
            <w:tcW w:w="1164" w:type="dxa"/>
          </w:tcPr>
          <w:p>
            <w:pPr>
              <w:autoSpaceDE w:val="0"/>
              <w:autoSpaceDN w:val="0"/>
              <w:adjustRightInd w:val="0"/>
              <w:spacing w:line="360" w:lineRule="auto"/>
              <w:ind w:right="215"/>
              <w:rPr>
                <w:rFonts w:hAnsi="宋体" w:eastAsia="宋体" w:cs="宋体"/>
                <w:b/>
                <w:color w:val="auto"/>
                <w:sz w:val="32"/>
                <w:szCs w:val="32"/>
              </w:rPr>
            </w:pPr>
          </w:p>
        </w:tc>
        <w:tc>
          <w:tcPr>
            <w:tcW w:w="1752" w:type="dxa"/>
          </w:tcPr>
          <w:p>
            <w:pPr>
              <w:autoSpaceDE w:val="0"/>
              <w:autoSpaceDN w:val="0"/>
              <w:adjustRightInd w:val="0"/>
              <w:spacing w:line="360" w:lineRule="auto"/>
              <w:ind w:right="215"/>
              <w:rPr>
                <w:rFonts w:hAnsi="宋体" w:eastAsia="宋体" w:cs="宋体"/>
                <w:b/>
                <w:color w:val="auto"/>
                <w:sz w:val="32"/>
                <w:szCs w:val="32"/>
              </w:rPr>
            </w:pPr>
          </w:p>
        </w:tc>
        <w:tc>
          <w:tcPr>
            <w:tcW w:w="3060" w:type="dxa"/>
          </w:tcPr>
          <w:p>
            <w:pPr>
              <w:autoSpaceDE w:val="0"/>
              <w:autoSpaceDN w:val="0"/>
              <w:adjustRightInd w:val="0"/>
              <w:spacing w:line="360" w:lineRule="auto"/>
              <w:ind w:right="215"/>
              <w:rPr>
                <w:rFonts w:hAnsi="宋体" w:eastAsia="宋体" w:cs="宋体"/>
                <w:b/>
                <w:color w:val="auto"/>
                <w:sz w:val="32"/>
                <w:szCs w:val="32"/>
              </w:rPr>
            </w:pPr>
          </w:p>
        </w:tc>
        <w:tc>
          <w:tcPr>
            <w:tcW w:w="2605" w:type="dxa"/>
          </w:tcPr>
          <w:p>
            <w:pPr>
              <w:autoSpaceDE w:val="0"/>
              <w:autoSpaceDN w:val="0"/>
              <w:adjustRightInd w:val="0"/>
              <w:spacing w:line="360" w:lineRule="auto"/>
              <w:ind w:right="215"/>
              <w:rPr>
                <w:rFonts w:hAnsi="宋体" w:eastAsia="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color w:val="auto"/>
                <w:sz w:val="32"/>
                <w:szCs w:val="32"/>
              </w:rPr>
            </w:pPr>
          </w:p>
        </w:tc>
        <w:tc>
          <w:tcPr>
            <w:tcW w:w="1164" w:type="dxa"/>
          </w:tcPr>
          <w:p>
            <w:pPr>
              <w:autoSpaceDE w:val="0"/>
              <w:autoSpaceDN w:val="0"/>
              <w:adjustRightInd w:val="0"/>
              <w:spacing w:line="360" w:lineRule="auto"/>
              <w:ind w:right="215"/>
              <w:rPr>
                <w:rFonts w:hAnsi="宋体" w:eastAsia="宋体" w:cs="宋体"/>
                <w:b/>
                <w:color w:val="auto"/>
                <w:sz w:val="32"/>
                <w:szCs w:val="32"/>
              </w:rPr>
            </w:pPr>
          </w:p>
        </w:tc>
        <w:tc>
          <w:tcPr>
            <w:tcW w:w="1752" w:type="dxa"/>
          </w:tcPr>
          <w:p>
            <w:pPr>
              <w:autoSpaceDE w:val="0"/>
              <w:autoSpaceDN w:val="0"/>
              <w:adjustRightInd w:val="0"/>
              <w:spacing w:line="360" w:lineRule="auto"/>
              <w:ind w:right="215"/>
              <w:rPr>
                <w:rFonts w:hAnsi="宋体" w:eastAsia="宋体" w:cs="宋体"/>
                <w:b/>
                <w:color w:val="auto"/>
                <w:sz w:val="32"/>
                <w:szCs w:val="32"/>
              </w:rPr>
            </w:pPr>
          </w:p>
        </w:tc>
        <w:tc>
          <w:tcPr>
            <w:tcW w:w="3060" w:type="dxa"/>
          </w:tcPr>
          <w:p>
            <w:pPr>
              <w:autoSpaceDE w:val="0"/>
              <w:autoSpaceDN w:val="0"/>
              <w:adjustRightInd w:val="0"/>
              <w:spacing w:line="360" w:lineRule="auto"/>
              <w:ind w:right="215"/>
              <w:rPr>
                <w:rFonts w:hAnsi="宋体" w:eastAsia="宋体" w:cs="宋体"/>
                <w:b/>
                <w:color w:val="auto"/>
                <w:sz w:val="32"/>
                <w:szCs w:val="32"/>
              </w:rPr>
            </w:pPr>
          </w:p>
        </w:tc>
        <w:tc>
          <w:tcPr>
            <w:tcW w:w="2605" w:type="dxa"/>
          </w:tcPr>
          <w:p>
            <w:pPr>
              <w:autoSpaceDE w:val="0"/>
              <w:autoSpaceDN w:val="0"/>
              <w:adjustRightInd w:val="0"/>
              <w:spacing w:line="360" w:lineRule="auto"/>
              <w:ind w:right="215"/>
              <w:rPr>
                <w:rFonts w:hAnsi="宋体" w:eastAsia="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color w:val="auto"/>
                <w:sz w:val="32"/>
                <w:szCs w:val="32"/>
              </w:rPr>
            </w:pPr>
          </w:p>
        </w:tc>
        <w:tc>
          <w:tcPr>
            <w:tcW w:w="1164" w:type="dxa"/>
          </w:tcPr>
          <w:p>
            <w:pPr>
              <w:autoSpaceDE w:val="0"/>
              <w:autoSpaceDN w:val="0"/>
              <w:adjustRightInd w:val="0"/>
              <w:spacing w:line="360" w:lineRule="auto"/>
              <w:ind w:right="215"/>
              <w:rPr>
                <w:rFonts w:hAnsi="宋体" w:eastAsia="宋体" w:cs="宋体"/>
                <w:b/>
                <w:color w:val="auto"/>
                <w:sz w:val="32"/>
                <w:szCs w:val="32"/>
              </w:rPr>
            </w:pPr>
          </w:p>
        </w:tc>
        <w:tc>
          <w:tcPr>
            <w:tcW w:w="1752" w:type="dxa"/>
          </w:tcPr>
          <w:p>
            <w:pPr>
              <w:autoSpaceDE w:val="0"/>
              <w:autoSpaceDN w:val="0"/>
              <w:adjustRightInd w:val="0"/>
              <w:spacing w:line="360" w:lineRule="auto"/>
              <w:ind w:right="215"/>
              <w:rPr>
                <w:rFonts w:hAnsi="宋体" w:eastAsia="宋体" w:cs="宋体"/>
                <w:b/>
                <w:color w:val="auto"/>
                <w:sz w:val="32"/>
                <w:szCs w:val="32"/>
              </w:rPr>
            </w:pPr>
          </w:p>
        </w:tc>
        <w:tc>
          <w:tcPr>
            <w:tcW w:w="3060" w:type="dxa"/>
          </w:tcPr>
          <w:p>
            <w:pPr>
              <w:autoSpaceDE w:val="0"/>
              <w:autoSpaceDN w:val="0"/>
              <w:adjustRightInd w:val="0"/>
              <w:spacing w:line="360" w:lineRule="auto"/>
              <w:ind w:right="215"/>
              <w:rPr>
                <w:rFonts w:hAnsi="宋体" w:eastAsia="宋体" w:cs="宋体"/>
                <w:b/>
                <w:color w:val="auto"/>
                <w:sz w:val="32"/>
                <w:szCs w:val="32"/>
              </w:rPr>
            </w:pPr>
          </w:p>
        </w:tc>
        <w:tc>
          <w:tcPr>
            <w:tcW w:w="2605" w:type="dxa"/>
          </w:tcPr>
          <w:p>
            <w:pPr>
              <w:autoSpaceDE w:val="0"/>
              <w:autoSpaceDN w:val="0"/>
              <w:adjustRightInd w:val="0"/>
              <w:spacing w:line="360" w:lineRule="auto"/>
              <w:ind w:right="215"/>
              <w:rPr>
                <w:rFonts w:hAnsi="宋体" w:eastAsia="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color w:val="auto"/>
                <w:sz w:val="32"/>
                <w:szCs w:val="32"/>
              </w:rPr>
            </w:pPr>
          </w:p>
        </w:tc>
        <w:tc>
          <w:tcPr>
            <w:tcW w:w="1164" w:type="dxa"/>
          </w:tcPr>
          <w:p>
            <w:pPr>
              <w:autoSpaceDE w:val="0"/>
              <w:autoSpaceDN w:val="0"/>
              <w:adjustRightInd w:val="0"/>
              <w:spacing w:line="360" w:lineRule="auto"/>
              <w:ind w:right="215"/>
              <w:rPr>
                <w:rFonts w:hAnsi="宋体" w:eastAsia="宋体" w:cs="宋体"/>
                <w:b/>
                <w:color w:val="auto"/>
                <w:sz w:val="32"/>
                <w:szCs w:val="32"/>
              </w:rPr>
            </w:pPr>
          </w:p>
        </w:tc>
        <w:tc>
          <w:tcPr>
            <w:tcW w:w="1752" w:type="dxa"/>
          </w:tcPr>
          <w:p>
            <w:pPr>
              <w:autoSpaceDE w:val="0"/>
              <w:autoSpaceDN w:val="0"/>
              <w:adjustRightInd w:val="0"/>
              <w:spacing w:line="360" w:lineRule="auto"/>
              <w:ind w:right="215"/>
              <w:rPr>
                <w:rFonts w:hAnsi="宋体" w:eastAsia="宋体" w:cs="宋体"/>
                <w:b/>
                <w:color w:val="auto"/>
                <w:sz w:val="32"/>
                <w:szCs w:val="32"/>
              </w:rPr>
            </w:pPr>
          </w:p>
        </w:tc>
        <w:tc>
          <w:tcPr>
            <w:tcW w:w="3060" w:type="dxa"/>
          </w:tcPr>
          <w:p>
            <w:pPr>
              <w:autoSpaceDE w:val="0"/>
              <w:autoSpaceDN w:val="0"/>
              <w:adjustRightInd w:val="0"/>
              <w:spacing w:line="360" w:lineRule="auto"/>
              <w:ind w:right="215"/>
              <w:rPr>
                <w:rFonts w:hAnsi="宋体" w:eastAsia="宋体" w:cs="宋体"/>
                <w:b/>
                <w:color w:val="auto"/>
                <w:sz w:val="32"/>
                <w:szCs w:val="32"/>
              </w:rPr>
            </w:pPr>
          </w:p>
        </w:tc>
        <w:tc>
          <w:tcPr>
            <w:tcW w:w="2605" w:type="dxa"/>
          </w:tcPr>
          <w:p>
            <w:pPr>
              <w:autoSpaceDE w:val="0"/>
              <w:autoSpaceDN w:val="0"/>
              <w:adjustRightInd w:val="0"/>
              <w:spacing w:line="360" w:lineRule="auto"/>
              <w:ind w:right="215"/>
              <w:rPr>
                <w:rFonts w:hAnsi="宋体" w:eastAsia="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color w:val="auto"/>
                <w:sz w:val="32"/>
                <w:szCs w:val="32"/>
              </w:rPr>
            </w:pPr>
            <w:r>
              <w:rPr>
                <w:rFonts w:hint="eastAsia" w:hAnsi="宋体" w:eastAsia="宋体" w:cs="宋体"/>
                <w:bCs/>
                <w:color w:val="auto"/>
                <w:sz w:val="32"/>
                <w:szCs w:val="32"/>
              </w:rPr>
              <w:t>仲</w:t>
            </w:r>
          </w:p>
          <w:p>
            <w:pPr>
              <w:autoSpaceDE w:val="0"/>
              <w:autoSpaceDN w:val="0"/>
              <w:adjustRightInd w:val="0"/>
              <w:spacing w:line="360" w:lineRule="auto"/>
              <w:ind w:right="215"/>
              <w:jc w:val="center"/>
              <w:rPr>
                <w:rFonts w:hAnsi="宋体" w:eastAsia="宋体" w:cs="宋体"/>
                <w:bCs/>
                <w:color w:val="auto"/>
                <w:sz w:val="32"/>
                <w:szCs w:val="32"/>
              </w:rPr>
            </w:pPr>
            <w:r>
              <w:rPr>
                <w:rFonts w:hint="eastAsia" w:hAnsi="宋体" w:eastAsia="宋体" w:cs="宋体"/>
                <w:bCs/>
                <w:color w:val="auto"/>
                <w:sz w:val="32"/>
                <w:szCs w:val="32"/>
              </w:rPr>
              <w:t>裁</w:t>
            </w:r>
          </w:p>
          <w:p>
            <w:pPr>
              <w:autoSpaceDE w:val="0"/>
              <w:autoSpaceDN w:val="0"/>
              <w:adjustRightInd w:val="0"/>
              <w:spacing w:line="360" w:lineRule="auto"/>
              <w:ind w:right="215"/>
              <w:jc w:val="center"/>
              <w:rPr>
                <w:rFonts w:hAnsi="宋体" w:eastAsia="宋体" w:cs="宋体"/>
                <w:bCs/>
                <w:color w:val="auto"/>
                <w:sz w:val="32"/>
                <w:szCs w:val="32"/>
              </w:rPr>
            </w:pPr>
            <w:r>
              <w:rPr>
                <w:rFonts w:hint="eastAsia" w:hAnsi="宋体" w:eastAsia="宋体" w:cs="宋体"/>
                <w:bCs/>
                <w:color w:val="auto"/>
                <w:sz w:val="32"/>
                <w:szCs w:val="32"/>
              </w:rPr>
              <w:t>情</w:t>
            </w:r>
          </w:p>
          <w:p>
            <w:pPr>
              <w:autoSpaceDE w:val="0"/>
              <w:autoSpaceDN w:val="0"/>
              <w:adjustRightInd w:val="0"/>
              <w:spacing w:line="360" w:lineRule="auto"/>
              <w:ind w:right="215"/>
              <w:jc w:val="center"/>
              <w:rPr>
                <w:rFonts w:hAnsi="宋体" w:eastAsia="宋体" w:cs="宋体"/>
                <w:b/>
                <w:color w:val="auto"/>
                <w:sz w:val="32"/>
                <w:szCs w:val="32"/>
              </w:rPr>
            </w:pPr>
            <w:r>
              <w:rPr>
                <w:rFonts w:hint="eastAsia" w:hAnsi="宋体" w:eastAsia="宋体" w:cs="宋体"/>
                <w:bCs/>
                <w:color w:val="auto"/>
                <w:sz w:val="32"/>
                <w:szCs w:val="32"/>
              </w:rPr>
              <w:t>况</w:t>
            </w:r>
          </w:p>
        </w:tc>
        <w:tc>
          <w:tcPr>
            <w:tcW w:w="1164" w:type="dxa"/>
          </w:tcPr>
          <w:p>
            <w:pPr>
              <w:autoSpaceDE w:val="0"/>
              <w:autoSpaceDN w:val="0"/>
              <w:adjustRightInd w:val="0"/>
              <w:spacing w:line="360" w:lineRule="auto"/>
              <w:ind w:right="215"/>
              <w:rPr>
                <w:rFonts w:hAnsi="宋体" w:eastAsia="宋体" w:cs="宋体"/>
                <w:b/>
                <w:color w:val="auto"/>
                <w:sz w:val="32"/>
                <w:szCs w:val="32"/>
              </w:rPr>
            </w:pPr>
          </w:p>
        </w:tc>
        <w:tc>
          <w:tcPr>
            <w:tcW w:w="1752" w:type="dxa"/>
          </w:tcPr>
          <w:p>
            <w:pPr>
              <w:autoSpaceDE w:val="0"/>
              <w:autoSpaceDN w:val="0"/>
              <w:adjustRightInd w:val="0"/>
              <w:spacing w:line="360" w:lineRule="auto"/>
              <w:ind w:right="215"/>
              <w:rPr>
                <w:rFonts w:hAnsi="宋体" w:eastAsia="宋体" w:cs="宋体"/>
                <w:b/>
                <w:color w:val="auto"/>
                <w:sz w:val="32"/>
                <w:szCs w:val="32"/>
              </w:rPr>
            </w:pPr>
          </w:p>
        </w:tc>
        <w:tc>
          <w:tcPr>
            <w:tcW w:w="3060" w:type="dxa"/>
          </w:tcPr>
          <w:p>
            <w:pPr>
              <w:autoSpaceDE w:val="0"/>
              <w:autoSpaceDN w:val="0"/>
              <w:adjustRightInd w:val="0"/>
              <w:spacing w:line="360" w:lineRule="auto"/>
              <w:ind w:right="215"/>
              <w:rPr>
                <w:rFonts w:hAnsi="宋体" w:eastAsia="宋体" w:cs="宋体"/>
                <w:b/>
                <w:color w:val="auto"/>
                <w:sz w:val="32"/>
                <w:szCs w:val="32"/>
              </w:rPr>
            </w:pPr>
          </w:p>
        </w:tc>
        <w:tc>
          <w:tcPr>
            <w:tcW w:w="2605" w:type="dxa"/>
          </w:tcPr>
          <w:p>
            <w:pPr>
              <w:autoSpaceDE w:val="0"/>
              <w:autoSpaceDN w:val="0"/>
              <w:adjustRightInd w:val="0"/>
              <w:spacing w:line="360" w:lineRule="auto"/>
              <w:ind w:right="215"/>
              <w:rPr>
                <w:rFonts w:hAnsi="宋体" w:eastAsia="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color w:val="auto"/>
                <w:sz w:val="32"/>
                <w:szCs w:val="32"/>
              </w:rPr>
            </w:pPr>
          </w:p>
        </w:tc>
        <w:tc>
          <w:tcPr>
            <w:tcW w:w="1164" w:type="dxa"/>
          </w:tcPr>
          <w:p>
            <w:pPr>
              <w:autoSpaceDE w:val="0"/>
              <w:autoSpaceDN w:val="0"/>
              <w:adjustRightInd w:val="0"/>
              <w:spacing w:line="360" w:lineRule="auto"/>
              <w:ind w:right="215"/>
              <w:rPr>
                <w:rFonts w:hAnsi="宋体" w:eastAsia="宋体" w:cs="宋体"/>
                <w:b/>
                <w:color w:val="auto"/>
                <w:sz w:val="32"/>
                <w:szCs w:val="32"/>
              </w:rPr>
            </w:pPr>
          </w:p>
        </w:tc>
        <w:tc>
          <w:tcPr>
            <w:tcW w:w="1752" w:type="dxa"/>
          </w:tcPr>
          <w:p>
            <w:pPr>
              <w:autoSpaceDE w:val="0"/>
              <w:autoSpaceDN w:val="0"/>
              <w:adjustRightInd w:val="0"/>
              <w:spacing w:line="360" w:lineRule="auto"/>
              <w:ind w:right="215"/>
              <w:rPr>
                <w:rFonts w:hAnsi="宋体" w:eastAsia="宋体" w:cs="宋体"/>
                <w:b/>
                <w:color w:val="auto"/>
                <w:sz w:val="32"/>
                <w:szCs w:val="32"/>
              </w:rPr>
            </w:pPr>
          </w:p>
        </w:tc>
        <w:tc>
          <w:tcPr>
            <w:tcW w:w="3060" w:type="dxa"/>
          </w:tcPr>
          <w:p>
            <w:pPr>
              <w:autoSpaceDE w:val="0"/>
              <w:autoSpaceDN w:val="0"/>
              <w:adjustRightInd w:val="0"/>
              <w:spacing w:line="360" w:lineRule="auto"/>
              <w:ind w:right="215"/>
              <w:rPr>
                <w:rFonts w:hAnsi="宋体" w:eastAsia="宋体" w:cs="宋体"/>
                <w:b/>
                <w:color w:val="auto"/>
                <w:sz w:val="32"/>
                <w:szCs w:val="32"/>
              </w:rPr>
            </w:pPr>
          </w:p>
        </w:tc>
        <w:tc>
          <w:tcPr>
            <w:tcW w:w="2605" w:type="dxa"/>
          </w:tcPr>
          <w:p>
            <w:pPr>
              <w:autoSpaceDE w:val="0"/>
              <w:autoSpaceDN w:val="0"/>
              <w:adjustRightInd w:val="0"/>
              <w:spacing w:line="360" w:lineRule="auto"/>
              <w:ind w:right="215"/>
              <w:rPr>
                <w:rFonts w:hAnsi="宋体" w:eastAsia="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color w:val="auto"/>
                <w:sz w:val="32"/>
                <w:szCs w:val="32"/>
              </w:rPr>
            </w:pPr>
          </w:p>
        </w:tc>
        <w:tc>
          <w:tcPr>
            <w:tcW w:w="1164" w:type="dxa"/>
          </w:tcPr>
          <w:p>
            <w:pPr>
              <w:autoSpaceDE w:val="0"/>
              <w:autoSpaceDN w:val="0"/>
              <w:adjustRightInd w:val="0"/>
              <w:spacing w:line="360" w:lineRule="auto"/>
              <w:ind w:right="215"/>
              <w:rPr>
                <w:rFonts w:hAnsi="宋体" w:eastAsia="宋体" w:cs="宋体"/>
                <w:b/>
                <w:color w:val="auto"/>
                <w:sz w:val="32"/>
                <w:szCs w:val="32"/>
              </w:rPr>
            </w:pPr>
          </w:p>
        </w:tc>
        <w:tc>
          <w:tcPr>
            <w:tcW w:w="1752" w:type="dxa"/>
          </w:tcPr>
          <w:p>
            <w:pPr>
              <w:autoSpaceDE w:val="0"/>
              <w:autoSpaceDN w:val="0"/>
              <w:adjustRightInd w:val="0"/>
              <w:spacing w:line="360" w:lineRule="auto"/>
              <w:ind w:right="215"/>
              <w:rPr>
                <w:rFonts w:hAnsi="宋体" w:eastAsia="宋体" w:cs="宋体"/>
                <w:b/>
                <w:color w:val="auto"/>
                <w:sz w:val="32"/>
                <w:szCs w:val="32"/>
              </w:rPr>
            </w:pPr>
          </w:p>
        </w:tc>
        <w:tc>
          <w:tcPr>
            <w:tcW w:w="3060" w:type="dxa"/>
          </w:tcPr>
          <w:p>
            <w:pPr>
              <w:autoSpaceDE w:val="0"/>
              <w:autoSpaceDN w:val="0"/>
              <w:adjustRightInd w:val="0"/>
              <w:spacing w:line="360" w:lineRule="auto"/>
              <w:ind w:right="215"/>
              <w:rPr>
                <w:rFonts w:hAnsi="宋体" w:eastAsia="宋体" w:cs="宋体"/>
                <w:b/>
                <w:color w:val="auto"/>
                <w:sz w:val="32"/>
                <w:szCs w:val="32"/>
              </w:rPr>
            </w:pPr>
          </w:p>
        </w:tc>
        <w:tc>
          <w:tcPr>
            <w:tcW w:w="2605" w:type="dxa"/>
          </w:tcPr>
          <w:p>
            <w:pPr>
              <w:autoSpaceDE w:val="0"/>
              <w:autoSpaceDN w:val="0"/>
              <w:adjustRightInd w:val="0"/>
              <w:spacing w:line="360" w:lineRule="auto"/>
              <w:ind w:right="215"/>
              <w:rPr>
                <w:rFonts w:hAnsi="宋体" w:eastAsia="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color w:val="auto"/>
                <w:sz w:val="32"/>
                <w:szCs w:val="32"/>
              </w:rPr>
            </w:pPr>
          </w:p>
        </w:tc>
        <w:tc>
          <w:tcPr>
            <w:tcW w:w="1164" w:type="dxa"/>
          </w:tcPr>
          <w:p>
            <w:pPr>
              <w:autoSpaceDE w:val="0"/>
              <w:autoSpaceDN w:val="0"/>
              <w:adjustRightInd w:val="0"/>
              <w:spacing w:line="360" w:lineRule="auto"/>
              <w:ind w:right="215"/>
              <w:rPr>
                <w:rFonts w:hAnsi="宋体" w:eastAsia="宋体" w:cs="宋体"/>
                <w:b/>
                <w:color w:val="auto"/>
                <w:sz w:val="32"/>
                <w:szCs w:val="32"/>
              </w:rPr>
            </w:pPr>
          </w:p>
        </w:tc>
        <w:tc>
          <w:tcPr>
            <w:tcW w:w="1752" w:type="dxa"/>
          </w:tcPr>
          <w:p>
            <w:pPr>
              <w:autoSpaceDE w:val="0"/>
              <w:autoSpaceDN w:val="0"/>
              <w:adjustRightInd w:val="0"/>
              <w:spacing w:line="360" w:lineRule="auto"/>
              <w:ind w:right="215"/>
              <w:rPr>
                <w:rFonts w:hAnsi="宋体" w:eastAsia="宋体" w:cs="宋体"/>
                <w:b/>
                <w:color w:val="auto"/>
                <w:sz w:val="32"/>
                <w:szCs w:val="32"/>
              </w:rPr>
            </w:pPr>
          </w:p>
        </w:tc>
        <w:tc>
          <w:tcPr>
            <w:tcW w:w="3060" w:type="dxa"/>
          </w:tcPr>
          <w:p>
            <w:pPr>
              <w:autoSpaceDE w:val="0"/>
              <w:autoSpaceDN w:val="0"/>
              <w:adjustRightInd w:val="0"/>
              <w:spacing w:line="360" w:lineRule="auto"/>
              <w:ind w:right="215"/>
              <w:rPr>
                <w:rFonts w:hAnsi="宋体" w:eastAsia="宋体" w:cs="宋体"/>
                <w:b/>
                <w:color w:val="auto"/>
                <w:sz w:val="32"/>
                <w:szCs w:val="32"/>
              </w:rPr>
            </w:pPr>
          </w:p>
        </w:tc>
        <w:tc>
          <w:tcPr>
            <w:tcW w:w="2605" w:type="dxa"/>
          </w:tcPr>
          <w:p>
            <w:pPr>
              <w:autoSpaceDE w:val="0"/>
              <w:autoSpaceDN w:val="0"/>
              <w:adjustRightInd w:val="0"/>
              <w:spacing w:line="360" w:lineRule="auto"/>
              <w:ind w:right="215"/>
              <w:rPr>
                <w:rFonts w:hAnsi="宋体" w:eastAsia="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color w:val="auto"/>
                <w:sz w:val="32"/>
                <w:szCs w:val="32"/>
              </w:rPr>
            </w:pPr>
          </w:p>
        </w:tc>
        <w:tc>
          <w:tcPr>
            <w:tcW w:w="1164" w:type="dxa"/>
          </w:tcPr>
          <w:p>
            <w:pPr>
              <w:autoSpaceDE w:val="0"/>
              <w:autoSpaceDN w:val="0"/>
              <w:adjustRightInd w:val="0"/>
              <w:spacing w:line="360" w:lineRule="auto"/>
              <w:ind w:right="215"/>
              <w:rPr>
                <w:rFonts w:hAnsi="宋体" w:eastAsia="宋体" w:cs="宋体"/>
                <w:b/>
                <w:color w:val="auto"/>
                <w:sz w:val="32"/>
                <w:szCs w:val="32"/>
              </w:rPr>
            </w:pPr>
          </w:p>
        </w:tc>
        <w:tc>
          <w:tcPr>
            <w:tcW w:w="1752" w:type="dxa"/>
          </w:tcPr>
          <w:p>
            <w:pPr>
              <w:autoSpaceDE w:val="0"/>
              <w:autoSpaceDN w:val="0"/>
              <w:adjustRightInd w:val="0"/>
              <w:spacing w:line="360" w:lineRule="auto"/>
              <w:ind w:right="215"/>
              <w:rPr>
                <w:rFonts w:hAnsi="宋体" w:eastAsia="宋体" w:cs="宋体"/>
                <w:b/>
                <w:color w:val="auto"/>
                <w:sz w:val="32"/>
                <w:szCs w:val="32"/>
              </w:rPr>
            </w:pPr>
          </w:p>
        </w:tc>
        <w:tc>
          <w:tcPr>
            <w:tcW w:w="3060" w:type="dxa"/>
          </w:tcPr>
          <w:p>
            <w:pPr>
              <w:autoSpaceDE w:val="0"/>
              <w:autoSpaceDN w:val="0"/>
              <w:adjustRightInd w:val="0"/>
              <w:spacing w:line="360" w:lineRule="auto"/>
              <w:ind w:right="215"/>
              <w:rPr>
                <w:rFonts w:hAnsi="宋体" w:eastAsia="宋体" w:cs="宋体"/>
                <w:b/>
                <w:color w:val="auto"/>
                <w:sz w:val="32"/>
                <w:szCs w:val="32"/>
              </w:rPr>
            </w:pPr>
          </w:p>
        </w:tc>
        <w:tc>
          <w:tcPr>
            <w:tcW w:w="2605" w:type="dxa"/>
          </w:tcPr>
          <w:p>
            <w:pPr>
              <w:autoSpaceDE w:val="0"/>
              <w:autoSpaceDN w:val="0"/>
              <w:adjustRightInd w:val="0"/>
              <w:spacing w:line="360" w:lineRule="auto"/>
              <w:ind w:right="215"/>
              <w:rPr>
                <w:rFonts w:hAnsi="宋体" w:eastAsia="宋体" w:cs="宋体"/>
                <w:b/>
                <w:color w:val="auto"/>
                <w:sz w:val="32"/>
                <w:szCs w:val="32"/>
              </w:rPr>
            </w:pPr>
          </w:p>
        </w:tc>
      </w:tr>
    </w:tbl>
    <w:p>
      <w:pPr>
        <w:autoSpaceDE w:val="0"/>
        <w:autoSpaceDN w:val="0"/>
        <w:adjustRightInd w:val="0"/>
        <w:spacing w:line="360" w:lineRule="auto"/>
        <w:ind w:right="215"/>
        <w:rPr>
          <w:rFonts w:hAnsi="宋体" w:cs="宋体"/>
          <w:b/>
          <w:color w:val="auto"/>
          <w:sz w:val="32"/>
          <w:szCs w:val="32"/>
        </w:rPr>
      </w:pPr>
    </w:p>
    <w:p>
      <w:pPr>
        <w:autoSpaceDE w:val="0"/>
        <w:autoSpaceDN w:val="0"/>
        <w:adjustRightInd w:val="0"/>
        <w:spacing w:line="360" w:lineRule="auto"/>
        <w:ind w:right="215" w:firstLine="2560" w:firstLineChars="800"/>
        <w:rPr>
          <w:rFonts w:hAnsi="宋体" w:cs="宋体"/>
          <w:b/>
          <w:color w:val="auto"/>
          <w:sz w:val="32"/>
          <w:szCs w:val="32"/>
        </w:rPr>
      </w:pPr>
    </w:p>
    <w:p>
      <w:pPr>
        <w:autoSpaceDE w:val="0"/>
        <w:autoSpaceDN w:val="0"/>
        <w:adjustRightInd w:val="0"/>
        <w:spacing w:line="360" w:lineRule="auto"/>
        <w:ind w:right="215" w:firstLine="2560" w:firstLineChars="800"/>
        <w:rPr>
          <w:rFonts w:hAnsi="宋体" w:cs="宋体"/>
          <w:b/>
          <w:color w:val="auto"/>
          <w:sz w:val="32"/>
          <w:szCs w:val="32"/>
        </w:rPr>
      </w:pPr>
    </w:p>
    <w:p>
      <w:pPr>
        <w:rPr>
          <w:rFonts w:hint="eastAsia" w:hAnsi="宋体" w:cs="宋体"/>
          <w:b/>
          <w:color w:val="auto"/>
          <w:sz w:val="32"/>
          <w:szCs w:val="32"/>
        </w:rPr>
      </w:pPr>
      <w:r>
        <w:rPr>
          <w:rFonts w:hint="eastAsia" w:hAnsi="宋体" w:cs="宋体"/>
          <w:b/>
          <w:color w:val="auto"/>
          <w:sz w:val="32"/>
          <w:szCs w:val="32"/>
        </w:rPr>
        <w:br w:type="page"/>
      </w:r>
    </w:p>
    <w:p>
      <w:pPr>
        <w:autoSpaceDE w:val="0"/>
        <w:autoSpaceDN w:val="0"/>
        <w:adjustRightInd w:val="0"/>
        <w:spacing w:line="360" w:lineRule="auto"/>
        <w:ind w:right="215"/>
        <w:jc w:val="center"/>
        <w:rPr>
          <w:rFonts w:hAnsi="宋体" w:cs="宋体"/>
          <w:b/>
          <w:color w:val="auto"/>
          <w:sz w:val="32"/>
        </w:rPr>
      </w:pPr>
      <w:r>
        <w:rPr>
          <w:rFonts w:hint="eastAsia" w:hAnsi="宋体" w:cs="宋体"/>
          <w:b/>
          <w:color w:val="auto"/>
          <w:sz w:val="32"/>
          <w:szCs w:val="32"/>
        </w:rPr>
        <w:t>十、其它材料</w:t>
      </w:r>
    </w:p>
    <w:p>
      <w:pPr>
        <w:tabs>
          <w:tab w:val="center" w:pos="4739"/>
        </w:tabs>
        <w:jc w:val="center"/>
        <w:rPr>
          <w:rFonts w:hAnsi="宋体" w:cs="宋体"/>
          <w:b/>
          <w:bCs/>
          <w:color w:val="auto"/>
          <w:sz w:val="28"/>
          <w:szCs w:val="28"/>
        </w:rPr>
      </w:pPr>
      <w:r>
        <w:rPr>
          <w:rFonts w:hint="eastAsia" w:hAnsi="宋体" w:cs="宋体"/>
          <w:b/>
          <w:bCs/>
          <w:color w:val="auto"/>
          <w:sz w:val="28"/>
          <w:szCs w:val="28"/>
        </w:rPr>
        <w:t>投标人认为须附的其他材料，格式可自行编制。</w:t>
      </w:r>
    </w:p>
    <w:p>
      <w:pPr>
        <w:autoSpaceDE w:val="0"/>
        <w:autoSpaceDN w:val="0"/>
        <w:adjustRightInd w:val="0"/>
        <w:spacing w:line="360" w:lineRule="auto"/>
        <w:ind w:right="215"/>
        <w:jc w:val="center"/>
        <w:rPr>
          <w:rFonts w:hAnsi="宋体" w:cs="宋体"/>
          <w:b/>
          <w:color w:val="auto"/>
          <w:sz w:val="32"/>
        </w:rPr>
      </w:pPr>
    </w:p>
    <w:p>
      <w:pPr>
        <w:autoSpaceDE w:val="0"/>
        <w:autoSpaceDN w:val="0"/>
        <w:adjustRightInd w:val="0"/>
        <w:spacing w:line="360" w:lineRule="auto"/>
        <w:ind w:right="215"/>
        <w:jc w:val="center"/>
        <w:rPr>
          <w:rFonts w:hAnsi="宋体" w:cs="宋体"/>
          <w:b/>
          <w:color w:val="auto"/>
          <w:sz w:val="32"/>
        </w:rPr>
      </w:pPr>
    </w:p>
    <w:p>
      <w:pPr>
        <w:autoSpaceDE w:val="0"/>
        <w:autoSpaceDN w:val="0"/>
        <w:adjustRightInd w:val="0"/>
        <w:spacing w:line="360" w:lineRule="auto"/>
        <w:ind w:right="215"/>
        <w:jc w:val="center"/>
        <w:rPr>
          <w:rFonts w:hAnsi="宋体" w:cs="宋体"/>
          <w:b/>
          <w:color w:val="auto"/>
          <w:sz w:val="32"/>
        </w:rPr>
      </w:pPr>
    </w:p>
    <w:p>
      <w:pPr>
        <w:autoSpaceDE w:val="0"/>
        <w:autoSpaceDN w:val="0"/>
        <w:adjustRightInd w:val="0"/>
        <w:spacing w:line="360" w:lineRule="auto"/>
        <w:ind w:right="215"/>
        <w:jc w:val="center"/>
        <w:rPr>
          <w:rFonts w:hAnsi="宋体" w:cs="宋体"/>
          <w:b/>
          <w:color w:val="auto"/>
          <w:sz w:val="32"/>
        </w:rPr>
      </w:pPr>
    </w:p>
    <w:p>
      <w:pPr>
        <w:autoSpaceDE w:val="0"/>
        <w:autoSpaceDN w:val="0"/>
        <w:adjustRightInd w:val="0"/>
        <w:spacing w:line="360" w:lineRule="auto"/>
        <w:ind w:right="215"/>
        <w:rPr>
          <w:rFonts w:hAnsi="宋体" w:cs="宋体"/>
          <w:b/>
          <w:color w:val="auto"/>
          <w:sz w:val="32"/>
        </w:rPr>
      </w:pPr>
    </w:p>
    <w:p>
      <w:pPr>
        <w:autoSpaceDE w:val="0"/>
        <w:autoSpaceDN w:val="0"/>
        <w:adjustRightInd w:val="0"/>
        <w:spacing w:line="360" w:lineRule="auto"/>
        <w:ind w:right="215"/>
        <w:jc w:val="center"/>
        <w:rPr>
          <w:rFonts w:hAnsi="宋体" w:cs="宋体"/>
          <w:b/>
          <w:color w:val="auto"/>
          <w:sz w:val="32"/>
        </w:rPr>
      </w:pPr>
    </w:p>
    <w:p>
      <w:pPr>
        <w:tabs>
          <w:tab w:val="center" w:pos="4739"/>
        </w:tabs>
        <w:ind w:left="180"/>
        <w:jc w:val="center"/>
        <w:rPr>
          <w:rFonts w:hAnsi="宋体" w:cs="宋体"/>
          <w:b/>
          <w:color w:val="auto"/>
          <w:sz w:val="32"/>
        </w:rPr>
      </w:pPr>
      <w:r>
        <w:rPr>
          <w:rFonts w:hint="eastAsia" w:hAnsi="宋体" w:cs="宋体"/>
          <w:b/>
          <w:color w:val="auto"/>
          <w:sz w:val="32"/>
        </w:rPr>
        <w:t>　</w:t>
      </w:r>
    </w:p>
    <w:p>
      <w:pPr>
        <w:autoSpaceDE w:val="0"/>
        <w:autoSpaceDN w:val="0"/>
        <w:adjustRightInd w:val="0"/>
        <w:jc w:val="center"/>
        <w:rPr>
          <w:rFonts w:hint="eastAsia" w:hAnsi="宋体" w:cs="宋体"/>
          <w:b/>
          <w:color w:val="auto"/>
          <w:sz w:val="36"/>
          <w:szCs w:val="36"/>
        </w:rPr>
      </w:pPr>
      <w:r>
        <w:rPr>
          <w:rFonts w:hint="eastAsia" w:hAnsi="宋体" w:cs="宋体"/>
          <w:b/>
          <w:color w:val="auto"/>
          <w:sz w:val="36"/>
          <w:szCs w:val="36"/>
        </w:rPr>
        <w:t>　</w:t>
      </w:r>
    </w:p>
    <w:p>
      <w:pPr>
        <w:rPr>
          <w:rFonts w:hint="eastAsia" w:hAnsi="宋体" w:cs="宋体"/>
          <w:b/>
          <w:color w:val="auto"/>
          <w:sz w:val="36"/>
          <w:szCs w:val="36"/>
        </w:rPr>
      </w:pPr>
      <w:r>
        <w:rPr>
          <w:rFonts w:hint="eastAsia" w:hAnsi="宋体" w:cs="宋体"/>
          <w:b/>
          <w:color w:val="auto"/>
          <w:sz w:val="36"/>
          <w:szCs w:val="36"/>
        </w:rPr>
        <w:br w:type="page"/>
      </w:r>
    </w:p>
    <w:p>
      <w:pPr>
        <w:autoSpaceDE w:val="0"/>
        <w:autoSpaceDN w:val="0"/>
        <w:adjustRightInd w:val="0"/>
        <w:jc w:val="center"/>
        <w:rPr>
          <w:rFonts w:hAnsi="宋体" w:cs="宋体"/>
          <w:b/>
          <w:color w:val="auto"/>
          <w:spacing w:val="60"/>
          <w:sz w:val="52"/>
          <w:szCs w:val="52"/>
          <w:u w:val="single"/>
        </w:rPr>
      </w:pPr>
      <w:r>
        <w:rPr>
          <w:rFonts w:hint="eastAsia" w:hAnsi="宋体" w:cs="宋体"/>
          <w:b/>
          <w:color w:val="auto"/>
          <w:spacing w:val="60"/>
          <w:sz w:val="52"/>
          <w:szCs w:val="52"/>
          <w:u w:val="single"/>
        </w:rPr>
        <w:t xml:space="preserve">      （工程名称）</w:t>
      </w:r>
    </w:p>
    <w:p>
      <w:pPr>
        <w:autoSpaceDE w:val="0"/>
        <w:autoSpaceDN w:val="0"/>
        <w:adjustRightInd w:val="0"/>
        <w:jc w:val="center"/>
        <w:rPr>
          <w:rFonts w:hAnsi="宋体" w:cs="宋体"/>
          <w:color w:val="auto"/>
          <w:sz w:val="36"/>
          <w:szCs w:val="36"/>
        </w:rPr>
      </w:pPr>
    </w:p>
    <w:p>
      <w:pPr>
        <w:autoSpaceDE w:val="0"/>
        <w:autoSpaceDN w:val="0"/>
        <w:adjustRightInd w:val="0"/>
        <w:jc w:val="center"/>
        <w:rPr>
          <w:rFonts w:hAnsi="宋体" w:cs="宋体"/>
          <w:color w:val="auto"/>
          <w:sz w:val="36"/>
          <w:szCs w:val="36"/>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jc w:val="center"/>
        <w:rPr>
          <w:rFonts w:hAnsi="宋体" w:cs="宋体"/>
          <w:b/>
          <w:color w:val="auto"/>
          <w:sz w:val="72"/>
          <w:szCs w:val="72"/>
        </w:rPr>
      </w:pPr>
      <w:r>
        <w:rPr>
          <w:rFonts w:hint="eastAsia" w:hAnsi="宋体" w:cs="宋体"/>
          <w:b/>
          <w:color w:val="auto"/>
          <w:sz w:val="72"/>
          <w:szCs w:val="72"/>
        </w:rPr>
        <w:t>投 标 文 件</w:t>
      </w:r>
    </w:p>
    <w:p>
      <w:pPr>
        <w:tabs>
          <w:tab w:val="center" w:pos="4739"/>
        </w:tabs>
        <w:ind w:left="180"/>
        <w:rPr>
          <w:rFonts w:hAnsi="宋体" w:cs="宋体"/>
          <w:color w:val="auto"/>
          <w:sz w:val="24"/>
        </w:rPr>
      </w:pPr>
    </w:p>
    <w:p>
      <w:pPr>
        <w:tabs>
          <w:tab w:val="center" w:pos="4739"/>
        </w:tabs>
        <w:ind w:left="180"/>
        <w:jc w:val="center"/>
        <w:rPr>
          <w:rFonts w:hAnsi="宋体" w:cs="宋体"/>
          <w:b/>
          <w:color w:val="auto"/>
          <w:sz w:val="32"/>
          <w:szCs w:val="32"/>
        </w:rPr>
      </w:pPr>
      <w:r>
        <w:rPr>
          <w:rFonts w:hint="eastAsia" w:hAnsi="宋体" w:cs="宋体"/>
          <w:b/>
          <w:color w:val="auto"/>
          <w:sz w:val="32"/>
          <w:szCs w:val="32"/>
        </w:rPr>
        <w:t>（技术标）</w:t>
      </w:r>
    </w:p>
    <w:p>
      <w:pPr>
        <w:tabs>
          <w:tab w:val="center" w:pos="4739"/>
        </w:tabs>
        <w:ind w:left="180"/>
        <w:rPr>
          <w:rFonts w:hAnsi="宋体" w:cs="宋体"/>
          <w:b/>
          <w:color w:val="auto"/>
          <w:sz w:val="32"/>
          <w:szCs w:val="32"/>
        </w:rPr>
      </w:pPr>
      <w:r>
        <w:rPr>
          <w:rFonts w:hint="eastAsia" w:hAnsi="宋体" w:cs="宋体"/>
          <w:b/>
          <w:color w:val="auto"/>
          <w:sz w:val="32"/>
          <w:szCs w:val="32"/>
        </w:rPr>
        <w:t xml:space="preserve">               项目编号：</w:t>
      </w: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jc w:val="center"/>
        <w:rPr>
          <w:rFonts w:hAnsi="宋体" w:cs="宋体"/>
          <w:b/>
          <w:color w:val="auto"/>
          <w:sz w:val="32"/>
        </w:rPr>
      </w:pPr>
      <w:r>
        <w:rPr>
          <w:rFonts w:hint="eastAsia" w:hAnsi="宋体" w:cs="宋体"/>
          <w:b/>
          <w:color w:val="auto"/>
          <w:sz w:val="32"/>
        </w:rPr>
        <w:t>投标人:(盖单位章)</w:t>
      </w:r>
    </w:p>
    <w:p>
      <w:pPr>
        <w:tabs>
          <w:tab w:val="center" w:pos="4739"/>
        </w:tabs>
        <w:ind w:left="180"/>
        <w:jc w:val="center"/>
        <w:rPr>
          <w:rFonts w:hAnsi="宋体" w:cs="宋体"/>
          <w:b/>
          <w:color w:val="auto"/>
          <w:sz w:val="32"/>
        </w:rPr>
      </w:pPr>
    </w:p>
    <w:p>
      <w:pPr>
        <w:tabs>
          <w:tab w:val="center" w:pos="4739"/>
        </w:tabs>
        <w:ind w:left="180"/>
        <w:jc w:val="center"/>
        <w:rPr>
          <w:rFonts w:hAnsi="宋体" w:cs="宋体"/>
          <w:b/>
          <w:color w:val="auto"/>
          <w:sz w:val="32"/>
        </w:rPr>
      </w:pPr>
      <w:r>
        <w:rPr>
          <w:rFonts w:hint="eastAsia" w:hAnsi="宋体" w:cs="宋体"/>
          <w:b/>
          <w:color w:val="auto"/>
          <w:sz w:val="32"/>
        </w:rPr>
        <w:t>法定代表人或其委托代理人:(签字)</w:t>
      </w:r>
    </w:p>
    <w:p>
      <w:pPr>
        <w:tabs>
          <w:tab w:val="center" w:pos="4739"/>
        </w:tabs>
        <w:ind w:left="180"/>
        <w:jc w:val="center"/>
        <w:rPr>
          <w:rFonts w:hAnsi="宋体" w:cs="宋体"/>
          <w:b/>
          <w:color w:val="auto"/>
          <w:sz w:val="32"/>
        </w:rPr>
      </w:pPr>
    </w:p>
    <w:p>
      <w:pPr>
        <w:tabs>
          <w:tab w:val="center" w:pos="4739"/>
        </w:tabs>
        <w:ind w:left="180"/>
        <w:jc w:val="center"/>
        <w:rPr>
          <w:rFonts w:hAnsi="宋体" w:cs="宋体"/>
          <w:b/>
          <w:color w:val="auto"/>
          <w:sz w:val="32"/>
        </w:rPr>
      </w:pPr>
      <w:r>
        <w:rPr>
          <w:rFonts w:hint="eastAsia" w:hAnsi="宋体" w:cs="宋体"/>
          <w:b/>
          <w:color w:val="auto"/>
          <w:sz w:val="32"/>
        </w:rPr>
        <w:t>年  月  日</w:t>
      </w:r>
    </w:p>
    <w:p>
      <w:pPr>
        <w:autoSpaceDE w:val="0"/>
        <w:autoSpaceDN w:val="0"/>
        <w:spacing w:line="540" w:lineRule="exact"/>
        <w:jc w:val="center"/>
        <w:rPr>
          <w:rFonts w:hAnsi="宋体" w:cs="宋体"/>
          <w:b/>
          <w:color w:val="auto"/>
          <w:sz w:val="44"/>
          <w:szCs w:val="44"/>
        </w:rPr>
      </w:pPr>
      <w:r>
        <w:rPr>
          <w:rFonts w:hint="eastAsia" w:hAnsi="宋体" w:cs="宋体"/>
          <w:b/>
          <w:color w:val="auto"/>
          <w:sz w:val="36"/>
          <w:szCs w:val="36"/>
        </w:rPr>
        <w:br w:type="page"/>
      </w:r>
      <w:r>
        <w:rPr>
          <w:rFonts w:hint="eastAsia" w:hAnsi="宋体" w:cs="宋体"/>
          <w:b/>
          <w:color w:val="auto"/>
          <w:sz w:val="44"/>
          <w:szCs w:val="44"/>
        </w:rPr>
        <w:t>目  录</w:t>
      </w:r>
    </w:p>
    <w:p>
      <w:pPr>
        <w:autoSpaceDE w:val="0"/>
        <w:autoSpaceDN w:val="0"/>
        <w:spacing w:line="540" w:lineRule="exact"/>
        <w:jc w:val="left"/>
        <w:rPr>
          <w:rFonts w:hAnsi="宋体" w:cs="宋体"/>
          <w:b/>
          <w:color w:val="auto"/>
          <w:sz w:val="26"/>
          <w:szCs w:val="26"/>
        </w:rPr>
      </w:pPr>
    </w:p>
    <w:p>
      <w:pPr>
        <w:tabs>
          <w:tab w:val="center" w:pos="4739"/>
        </w:tabs>
        <w:ind w:left="180"/>
        <w:rPr>
          <w:rFonts w:hAnsi="宋体" w:cs="宋体"/>
          <w:b/>
          <w:bCs/>
          <w:color w:val="auto"/>
          <w:sz w:val="26"/>
          <w:szCs w:val="26"/>
        </w:rPr>
      </w:pPr>
      <w:r>
        <w:rPr>
          <w:rFonts w:hint="eastAsia" w:hAnsi="宋体" w:cs="宋体"/>
          <w:b/>
          <w:bCs/>
          <w:color w:val="auto"/>
          <w:sz w:val="26"/>
          <w:szCs w:val="26"/>
        </w:rPr>
        <w:t>（1）内容完整性</w:t>
      </w:r>
    </w:p>
    <w:p>
      <w:pPr>
        <w:tabs>
          <w:tab w:val="center" w:pos="4739"/>
        </w:tabs>
        <w:ind w:left="180"/>
        <w:rPr>
          <w:rFonts w:hAnsi="宋体" w:cs="宋体"/>
          <w:b/>
          <w:bCs/>
          <w:color w:val="auto"/>
          <w:sz w:val="26"/>
          <w:szCs w:val="26"/>
        </w:rPr>
      </w:pPr>
      <w:r>
        <w:rPr>
          <w:rFonts w:hint="eastAsia" w:hAnsi="宋体" w:cs="宋体"/>
          <w:b/>
          <w:bCs/>
          <w:color w:val="auto"/>
          <w:sz w:val="26"/>
          <w:szCs w:val="26"/>
        </w:rPr>
        <w:t>（2）主要施工方案与技术措施</w:t>
      </w:r>
    </w:p>
    <w:p>
      <w:pPr>
        <w:tabs>
          <w:tab w:val="center" w:pos="4739"/>
        </w:tabs>
        <w:ind w:left="180"/>
        <w:rPr>
          <w:rFonts w:hAnsi="宋体" w:cs="宋体"/>
          <w:b/>
          <w:bCs/>
          <w:color w:val="auto"/>
          <w:sz w:val="26"/>
          <w:szCs w:val="26"/>
        </w:rPr>
      </w:pPr>
      <w:r>
        <w:rPr>
          <w:rFonts w:hint="eastAsia" w:hAnsi="宋体" w:cs="宋体"/>
          <w:b/>
          <w:bCs/>
          <w:color w:val="auto"/>
          <w:sz w:val="26"/>
          <w:szCs w:val="26"/>
        </w:rPr>
        <w:t>（3）质量管理体系与措施</w:t>
      </w:r>
    </w:p>
    <w:p>
      <w:pPr>
        <w:tabs>
          <w:tab w:val="center" w:pos="4739"/>
        </w:tabs>
        <w:ind w:left="180"/>
        <w:rPr>
          <w:rFonts w:hAnsi="宋体" w:cs="宋体"/>
          <w:b/>
          <w:bCs/>
          <w:color w:val="auto"/>
          <w:sz w:val="26"/>
          <w:szCs w:val="26"/>
        </w:rPr>
      </w:pPr>
      <w:r>
        <w:rPr>
          <w:rFonts w:hint="eastAsia" w:hAnsi="宋体" w:cs="宋体"/>
          <w:b/>
          <w:bCs/>
          <w:color w:val="auto"/>
          <w:sz w:val="26"/>
          <w:szCs w:val="26"/>
        </w:rPr>
        <w:t>（4）安全管理体系与措施</w:t>
      </w:r>
    </w:p>
    <w:p>
      <w:pPr>
        <w:tabs>
          <w:tab w:val="center" w:pos="4739"/>
        </w:tabs>
        <w:ind w:left="180"/>
        <w:rPr>
          <w:rFonts w:hAnsi="宋体" w:cs="宋体"/>
          <w:b/>
          <w:bCs/>
          <w:color w:val="auto"/>
          <w:sz w:val="26"/>
          <w:szCs w:val="26"/>
        </w:rPr>
      </w:pPr>
      <w:r>
        <w:rPr>
          <w:rFonts w:hint="eastAsia" w:hAnsi="宋体" w:cs="宋体"/>
          <w:b/>
          <w:bCs/>
          <w:color w:val="auto"/>
          <w:sz w:val="26"/>
          <w:szCs w:val="26"/>
        </w:rPr>
        <w:t>（5）文明施工、环境保护管理体系及施工现场扬尘治理措施</w:t>
      </w:r>
    </w:p>
    <w:p>
      <w:pPr>
        <w:tabs>
          <w:tab w:val="center" w:pos="4739"/>
        </w:tabs>
        <w:ind w:left="180"/>
        <w:rPr>
          <w:rFonts w:hAnsi="宋体" w:cs="宋体"/>
          <w:b/>
          <w:bCs/>
          <w:color w:val="auto"/>
          <w:sz w:val="26"/>
          <w:szCs w:val="26"/>
        </w:rPr>
      </w:pPr>
      <w:r>
        <w:rPr>
          <w:rFonts w:hint="eastAsia" w:hAnsi="宋体" w:cs="宋体"/>
          <w:b/>
          <w:bCs/>
          <w:color w:val="auto"/>
          <w:sz w:val="26"/>
          <w:szCs w:val="26"/>
        </w:rPr>
        <w:t>（6）工期保证措施</w:t>
      </w:r>
    </w:p>
    <w:p>
      <w:pPr>
        <w:tabs>
          <w:tab w:val="center" w:pos="4739"/>
        </w:tabs>
        <w:ind w:left="180"/>
        <w:rPr>
          <w:rFonts w:hAnsi="宋体" w:cs="宋体"/>
          <w:b/>
          <w:bCs/>
          <w:color w:val="auto"/>
          <w:sz w:val="26"/>
          <w:szCs w:val="26"/>
        </w:rPr>
      </w:pPr>
      <w:r>
        <w:rPr>
          <w:rFonts w:hint="eastAsia" w:hAnsi="宋体" w:cs="宋体"/>
          <w:b/>
          <w:bCs/>
          <w:color w:val="auto"/>
          <w:sz w:val="26"/>
          <w:szCs w:val="26"/>
        </w:rPr>
        <w:t>（7）拟投入资源配备计划</w:t>
      </w:r>
    </w:p>
    <w:p>
      <w:pPr>
        <w:tabs>
          <w:tab w:val="center" w:pos="4739"/>
        </w:tabs>
        <w:ind w:left="180"/>
        <w:rPr>
          <w:rFonts w:hAnsi="宋体" w:cs="宋体"/>
          <w:b/>
          <w:bCs/>
          <w:color w:val="auto"/>
          <w:sz w:val="26"/>
          <w:szCs w:val="26"/>
        </w:rPr>
      </w:pPr>
      <w:r>
        <w:rPr>
          <w:rFonts w:hint="eastAsia" w:hAnsi="宋体" w:cs="宋体"/>
          <w:b/>
          <w:bCs/>
          <w:color w:val="auto"/>
          <w:sz w:val="26"/>
          <w:szCs w:val="26"/>
        </w:rPr>
        <w:t>（8）施工进度表和网络计划图</w:t>
      </w:r>
    </w:p>
    <w:p>
      <w:pPr>
        <w:tabs>
          <w:tab w:val="center" w:pos="4739"/>
        </w:tabs>
        <w:ind w:left="180"/>
        <w:rPr>
          <w:rFonts w:hAnsi="宋体" w:cs="宋体"/>
          <w:b/>
          <w:bCs/>
          <w:color w:val="auto"/>
          <w:sz w:val="26"/>
          <w:szCs w:val="26"/>
        </w:rPr>
      </w:pPr>
      <w:r>
        <w:rPr>
          <w:rFonts w:hint="eastAsia" w:hAnsi="宋体" w:cs="宋体"/>
          <w:b/>
          <w:bCs/>
          <w:color w:val="auto"/>
          <w:sz w:val="26"/>
          <w:szCs w:val="26"/>
        </w:rPr>
        <w:t>（9）施工总平面图布置</w:t>
      </w:r>
    </w:p>
    <w:p>
      <w:pPr>
        <w:tabs>
          <w:tab w:val="center" w:pos="4739"/>
        </w:tabs>
        <w:ind w:left="180"/>
        <w:rPr>
          <w:rFonts w:hAnsi="宋体" w:cs="宋体"/>
          <w:b/>
          <w:bCs/>
          <w:color w:val="auto"/>
          <w:sz w:val="26"/>
          <w:szCs w:val="26"/>
        </w:rPr>
      </w:pPr>
      <w:r>
        <w:rPr>
          <w:rFonts w:hint="eastAsia" w:hAnsi="宋体" w:cs="宋体"/>
          <w:b/>
          <w:bCs/>
          <w:color w:val="auto"/>
          <w:sz w:val="26"/>
          <w:szCs w:val="26"/>
        </w:rPr>
        <w:t>（10）技术创新的应用实施措施</w:t>
      </w:r>
    </w:p>
    <w:p>
      <w:pPr>
        <w:tabs>
          <w:tab w:val="center" w:pos="4739"/>
        </w:tabs>
        <w:ind w:left="180"/>
        <w:rPr>
          <w:rFonts w:hAnsi="宋体" w:cs="宋体"/>
          <w:b/>
          <w:bCs/>
          <w:color w:val="auto"/>
          <w:sz w:val="26"/>
          <w:szCs w:val="26"/>
        </w:rPr>
      </w:pPr>
      <w:r>
        <w:rPr>
          <w:rFonts w:hint="eastAsia" w:hAnsi="宋体" w:cs="宋体"/>
          <w:b/>
          <w:bCs/>
          <w:color w:val="auto"/>
          <w:sz w:val="26"/>
          <w:szCs w:val="26"/>
        </w:rPr>
        <w:t>（11）采用新工艺、新技术、新设备、新材料、BIM等的程度</w:t>
      </w:r>
    </w:p>
    <w:p>
      <w:pPr>
        <w:tabs>
          <w:tab w:val="center" w:pos="4739"/>
        </w:tabs>
        <w:ind w:left="180"/>
        <w:rPr>
          <w:rFonts w:hAnsi="宋体" w:cs="宋体"/>
          <w:b/>
          <w:bCs/>
          <w:color w:val="auto"/>
          <w:sz w:val="26"/>
          <w:szCs w:val="26"/>
        </w:rPr>
      </w:pPr>
      <w:r>
        <w:rPr>
          <w:rFonts w:hint="eastAsia" w:hAnsi="宋体" w:cs="宋体"/>
          <w:b/>
          <w:bCs/>
          <w:color w:val="auto"/>
          <w:sz w:val="26"/>
          <w:szCs w:val="26"/>
        </w:rPr>
        <w:t>（12）施工现场实施信息化监控和数据处理</w:t>
      </w:r>
    </w:p>
    <w:p>
      <w:pPr>
        <w:tabs>
          <w:tab w:val="left" w:pos="7130"/>
        </w:tabs>
        <w:autoSpaceDE w:val="0"/>
        <w:autoSpaceDN w:val="0"/>
        <w:spacing w:line="540" w:lineRule="exact"/>
        <w:ind w:firstLine="130" w:firstLineChars="50"/>
        <w:jc w:val="left"/>
        <w:rPr>
          <w:rFonts w:hint="eastAsia" w:hAnsi="宋体" w:cs="宋体" w:eastAsiaTheme="minorEastAsia"/>
          <w:b/>
          <w:color w:val="auto"/>
          <w:sz w:val="26"/>
          <w:szCs w:val="26"/>
          <w:lang w:eastAsia="zh-CN"/>
        </w:rPr>
      </w:pPr>
      <w:r>
        <w:rPr>
          <w:rFonts w:hint="eastAsia" w:hAnsi="宋体" w:cs="宋体"/>
          <w:b/>
          <w:bCs/>
          <w:color w:val="auto"/>
          <w:sz w:val="26"/>
          <w:szCs w:val="26"/>
        </w:rPr>
        <w:t>（13）风险管理措施</w:t>
      </w:r>
      <w:r>
        <w:rPr>
          <w:rFonts w:hint="eastAsia" w:hAnsi="宋体" w:cs="宋体"/>
          <w:b/>
          <w:bCs/>
          <w:color w:val="auto"/>
          <w:sz w:val="26"/>
          <w:szCs w:val="26"/>
          <w:lang w:eastAsia="zh-CN"/>
        </w:rPr>
        <w:tab/>
      </w:r>
    </w:p>
    <w:p>
      <w:pPr>
        <w:autoSpaceDE w:val="0"/>
        <w:autoSpaceDN w:val="0"/>
        <w:spacing w:line="540" w:lineRule="exact"/>
        <w:ind w:firstLine="520" w:firstLineChars="200"/>
        <w:jc w:val="left"/>
        <w:rPr>
          <w:rFonts w:hAnsi="宋体" w:cs="宋体"/>
          <w:b/>
          <w:color w:val="auto"/>
          <w:sz w:val="26"/>
          <w:szCs w:val="26"/>
        </w:rPr>
      </w:pPr>
    </w:p>
    <w:p>
      <w:pPr>
        <w:autoSpaceDE w:val="0"/>
        <w:autoSpaceDN w:val="0"/>
        <w:spacing w:line="540" w:lineRule="exact"/>
        <w:ind w:firstLine="520" w:firstLineChars="200"/>
        <w:jc w:val="left"/>
        <w:rPr>
          <w:rFonts w:hAnsi="宋体" w:cs="宋体"/>
          <w:b/>
          <w:color w:val="auto"/>
          <w:sz w:val="26"/>
          <w:szCs w:val="26"/>
        </w:rPr>
      </w:pPr>
    </w:p>
    <w:sectPr>
      <w:footerReference r:id="rId11" w:type="first"/>
      <w:headerReference r:id="rId9" w:type="default"/>
      <w:footerReference r:id="rId10" w:type="default"/>
      <w:pgSz w:w="11906" w:h="16838"/>
      <w:pgMar w:top="1304" w:right="1134" w:bottom="1304" w:left="1134" w:header="851" w:footer="992" w:gutter="0"/>
      <w:pgNumType w:fmt="decimal"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4" w:space="0"/>
      </w:pBdr>
      <w:ind w:right="36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57785" cy="147955"/>
              <wp:effectExtent l="0" t="0" r="0" b="0"/>
              <wp:wrapNone/>
              <wp:docPr id="2" name="文本框 5"/>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pPr>
                            <w:snapToGrid w:val="0"/>
                            <w:rPr>
                              <w:sz w:val="18"/>
                            </w:rPr>
                          </w:pPr>
                          <w:r>
                            <w:rPr>
                              <w:rFonts w:hint="eastAsia"/>
                              <w:sz w:val="18"/>
                            </w:rPr>
                            <w:t>1</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1.65pt;width:4.55pt;mso-position-horizontal:center;mso-position-horizontal-relative:margin;mso-wrap-style:none;z-index:251656192;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UTtW31AAAAAIBAAAPAAAAAAAAAAEAIAAAACIAAABkcnMvZG93bnJldi54bWxQ&#10;SwECFAAUAAAACACHTuJAd6QviMIBAABgAwAADgAAAAAAAAABACAAAAAjAQAAZHJzL2Uyb0RvYy54&#10;bWxQSwUGAAAAAAYABgBZAQAAVwUAAAAA&#10;">
              <v:fill on="f" focussize="0,0"/>
              <v:stroke on="f" weight="1.25pt"/>
              <v:imagedata o:title=""/>
              <o:lock v:ext="edit" aspectratio="f"/>
              <v:textbox inset="0mm,0mm,0mm,0mm" style="mso-fit-shape-to-text:t;">
                <w:txbxContent>
                  <w:p>
                    <w:pPr>
                      <w:snapToGrid w:val="0"/>
                      <w:rPr>
                        <w:sz w:val="18"/>
                      </w:rPr>
                    </w:pPr>
                    <w:r>
                      <w:rPr>
                        <w:rFonts w:hint="eastAsia"/>
                        <w:sz w:val="18"/>
                      </w:rPr>
                      <w:t>1</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ADX7O+vAEAAGMDAAAOAAAAAAAAAAEAIAAAACIBAABkcnMvZTJvRG9jLnhtbFBLBQYA&#10;AAAABgAGAFkBAABQ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4" w:space="0"/>
      </w:pBdr>
      <w:ind w:right="36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4" w:space="0"/>
      </w:pBdr>
      <w:ind w:right="360"/>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Text Box 4"/>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6S1c33gEAAMMDAAAOAAAAAAAA&#10;AAEAIAAAAB4BAABkcnMvZTJvRG9jLnhtbFBLBQYAAAAABgAGAFkBAABuBQ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ascii="华文新魏" w:hAnsi="华文新魏" w:eastAsia="华文新魏" w:cs="华文新魏"/>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ind w:firstLine="402" w:firstLineChars="200"/>
      <w:jc w:val="left"/>
    </w:pPr>
    <w:r>
      <w:rPr>
        <w:rFonts w:hint="eastAsia" w:hAnsi="宋体" w:cs="宋体"/>
        <w:b/>
        <w:sz w:val="20"/>
        <w:szCs w:val="22"/>
        <w:lang w:eastAsia="zh-CN"/>
      </w:rPr>
      <w:t>新兴街道办事处星海粮机家属院等30个老旧小区改造提升工程</w:t>
    </w:r>
    <w:r>
      <w:rPr>
        <w:rFonts w:hint="eastAsia" w:hAnsi="宋体" w:cs="宋体"/>
        <w:b/>
        <w:sz w:val="20"/>
        <w:szCs w:val="22"/>
      </w:rPr>
      <w:t xml:space="preserve">              </w:t>
    </w:r>
    <w:r>
      <w:rPr>
        <w:rFonts w:hint="eastAsia" w:hAnsi="宋体" w:cs="宋体"/>
        <w:b/>
        <w:sz w:val="20"/>
        <w:szCs w:val="22"/>
        <w:lang w:val="en-US" w:eastAsia="zh-CN"/>
      </w:rPr>
      <w:t xml:space="preserve">     </w:t>
    </w:r>
    <w:r>
      <w:rPr>
        <w:rFonts w:hint="eastAsia" w:hAnsi="宋体" w:cs="宋体"/>
        <w:b/>
        <w:sz w:val="20"/>
        <w:szCs w:val="22"/>
      </w:rPr>
      <w:t xml:space="preserve"> </w:t>
    </w:r>
    <w:r>
      <w:rPr>
        <w:rFonts w:hint="eastAsia" w:hAnsi="宋体" w:cs="宋体"/>
        <w:b/>
        <w:sz w:val="20"/>
      </w:rPr>
      <w:t xml:space="preserve">    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hAnsi="宋体" w:cs="宋体"/>
        <w:b/>
        <w:sz w:val="20"/>
        <w:szCs w:val="22"/>
      </w:rPr>
    </w:pPr>
    <w:r>
      <w:rPr>
        <w:rFonts w:hint="eastAsia" w:hAnsi="宋体" w:cs="宋体"/>
        <w:b/>
        <w:sz w:val="20"/>
        <w:szCs w:val="22"/>
        <w:lang w:eastAsia="zh-CN"/>
      </w:rPr>
      <w:t>许昌市中心医院新院区垃圾及被服系统工程</w:t>
    </w:r>
    <w:r>
      <w:rPr>
        <w:rFonts w:hint="eastAsia" w:hAnsi="宋体" w:cs="宋体"/>
        <w:b/>
        <w:sz w:val="20"/>
        <w:szCs w:val="22"/>
      </w:rPr>
      <w:t xml:space="preserve">      </w:t>
    </w:r>
    <w:r>
      <w:rPr>
        <w:rFonts w:hint="eastAsia" w:hAnsi="宋体" w:cs="宋体"/>
        <w:b/>
        <w:sz w:val="20"/>
      </w:rPr>
      <w:t xml:space="preserve">          </w:t>
    </w:r>
    <w:r>
      <w:rPr>
        <w:rFonts w:hint="eastAsia" w:hAnsi="宋体" w:cs="宋体"/>
        <w:b/>
        <w:sz w:val="20"/>
        <w:lang w:val="en-US" w:eastAsia="zh-CN"/>
      </w:rPr>
      <w:t xml:space="preserve">              </w:t>
    </w:r>
    <w:r>
      <w:rPr>
        <w:rFonts w:hint="eastAsia" w:hAnsi="宋体" w:cs="宋体"/>
        <w:b/>
        <w:sz w:val="20"/>
      </w:rPr>
      <w:t xml:space="preserve"> </w:t>
    </w:r>
    <w:r>
      <w:rPr>
        <w:rFonts w:hint="eastAsia" w:hAnsi="宋体" w:cs="宋体"/>
        <w:b/>
        <w:sz w:val="20"/>
        <w:lang w:val="en-US" w:eastAsia="zh-CN"/>
      </w:rPr>
      <w:t xml:space="preserve">        </w:t>
    </w:r>
    <w:r>
      <w:rPr>
        <w:rFonts w:hint="eastAsia" w:hAnsi="宋体" w:cs="宋体"/>
        <w:b/>
        <w:sz w:val="20"/>
      </w:rPr>
      <w:t xml:space="preserve"> </w:t>
    </w:r>
    <w:r>
      <w:rPr>
        <w:rFonts w:hint="eastAsia" w:hAnsi="宋体" w:cs="宋体"/>
        <w:b/>
        <w:sz w:val="20"/>
        <w:lang w:val="en-US" w:eastAsia="zh-CN"/>
      </w:rPr>
      <w:t xml:space="preserve">        </w:t>
    </w:r>
    <w:r>
      <w:rPr>
        <w:rFonts w:hint="eastAsia" w:hAnsi="宋体" w:cs="宋体"/>
        <w:b/>
        <w:sz w:val="20"/>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pPr>
    <w:r>
      <w:rPr>
        <w:rFonts w:hint="eastAsia" w:hAnsi="宋体" w:cs="宋体"/>
        <w:b/>
        <w:sz w:val="20"/>
        <w:szCs w:val="22"/>
        <w:lang w:eastAsia="zh-CN"/>
      </w:rPr>
      <w:t>许昌市中心医院新院区垃圾及被服系统工程</w:t>
    </w:r>
    <w:r>
      <w:rPr>
        <w:rFonts w:hint="eastAsia" w:hAnsi="宋体" w:cs="宋体"/>
        <w:b/>
        <w:sz w:val="20"/>
        <w:szCs w:val="22"/>
      </w:rPr>
      <w:t xml:space="preserve">      </w:t>
    </w:r>
    <w:r>
      <w:rPr>
        <w:rFonts w:hint="eastAsia" w:hAnsi="宋体" w:cs="宋体"/>
        <w:b/>
        <w:sz w:val="20"/>
      </w:rPr>
      <w:t xml:space="preserve">          </w:t>
    </w:r>
    <w:r>
      <w:rPr>
        <w:rFonts w:hint="eastAsia" w:hAnsi="宋体" w:cs="宋体"/>
        <w:b/>
        <w:sz w:val="20"/>
        <w:lang w:val="en-US" w:eastAsia="zh-CN"/>
      </w:rPr>
      <w:t xml:space="preserve">                 </w:t>
    </w:r>
    <w:r>
      <w:rPr>
        <w:rFonts w:hint="eastAsia" w:hAnsi="宋体" w:cs="宋体"/>
        <w:b/>
        <w:sz w:val="20"/>
      </w:rPr>
      <w:t xml:space="preserve"> </w:t>
    </w:r>
    <w:r>
      <w:rPr>
        <w:rFonts w:hint="eastAsia" w:hAnsi="宋体" w:cs="宋体"/>
        <w:b/>
        <w:sz w:val="20"/>
        <w:lang w:val="en-US" w:eastAsia="zh-CN"/>
      </w:rPr>
      <w:t xml:space="preserve">        </w:t>
    </w:r>
    <w:r>
      <w:rPr>
        <w:rFonts w:hint="eastAsia" w:hAnsi="宋体" w:cs="宋体"/>
        <w:b/>
        <w:sz w:val="20"/>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FE8975"/>
    <w:multiLevelType w:val="singleLevel"/>
    <w:tmpl w:val="DBFE8975"/>
    <w:lvl w:ilvl="0" w:tentative="0">
      <w:start w:val="1"/>
      <w:numFmt w:val="decimal"/>
      <w:suff w:val="nothing"/>
      <w:lvlText w:val="%1、"/>
      <w:lvlJc w:val="left"/>
    </w:lvl>
  </w:abstractNum>
  <w:abstractNum w:abstractNumId="1">
    <w:nsid w:val="F77C70D3"/>
    <w:multiLevelType w:val="singleLevel"/>
    <w:tmpl w:val="F77C70D3"/>
    <w:lvl w:ilvl="0" w:tentative="0">
      <w:start w:val="1"/>
      <w:numFmt w:val="chineseCounting"/>
      <w:suff w:val="space"/>
      <w:lvlText w:val="第%1章"/>
      <w:lvlJc w:val="left"/>
      <w:rPr>
        <w:rFonts w:hint="eastAsia"/>
      </w:rPr>
    </w:lvl>
  </w:abstractNum>
  <w:abstractNum w:abstractNumId="2">
    <w:nsid w:val="FD4F209C"/>
    <w:multiLevelType w:val="singleLevel"/>
    <w:tmpl w:val="FD4F209C"/>
    <w:lvl w:ilvl="0" w:tentative="0">
      <w:start w:val="1"/>
      <w:numFmt w:val="decimal"/>
      <w:lvlText w:val="%1."/>
      <w:lvlJc w:val="left"/>
      <w:pPr>
        <w:tabs>
          <w:tab w:val="left" w:pos="312"/>
        </w:tabs>
      </w:pPr>
    </w:lvl>
  </w:abstractNum>
  <w:abstractNum w:abstractNumId="3">
    <w:nsid w:val="FDCC338E"/>
    <w:multiLevelType w:val="singleLevel"/>
    <w:tmpl w:val="FDCC338E"/>
    <w:lvl w:ilvl="0" w:tentative="0">
      <w:start w:val="1"/>
      <w:numFmt w:val="decimal"/>
      <w:suff w:val="nothing"/>
      <w:lvlText w:val="%1、"/>
      <w:lvlJc w:val="left"/>
    </w:lvl>
  </w:abstractNum>
  <w:abstractNum w:abstractNumId="4">
    <w:nsid w:val="3B654A40"/>
    <w:multiLevelType w:val="singleLevel"/>
    <w:tmpl w:val="3B654A40"/>
    <w:lvl w:ilvl="0" w:tentative="0">
      <w:start w:val="12"/>
      <w:numFmt w:val="decimal"/>
      <w:suff w:val="nothing"/>
      <w:lvlText w:val="%1、"/>
      <w:lvlJc w:val="left"/>
    </w:lvl>
  </w:abstractNum>
  <w:abstractNum w:abstractNumId="5">
    <w:nsid w:val="576405E1"/>
    <w:multiLevelType w:val="singleLevel"/>
    <w:tmpl w:val="576405E1"/>
    <w:lvl w:ilvl="0" w:tentative="0">
      <w:start w:val="2"/>
      <w:numFmt w:val="decimal"/>
      <w:suff w:val="nothing"/>
      <w:lvlText w:val="%1、"/>
      <w:lvlJc w:val="left"/>
    </w:lvl>
  </w:abstractNum>
  <w:abstractNum w:abstractNumId="6">
    <w:nsid w:val="576406D4"/>
    <w:multiLevelType w:val="singleLevel"/>
    <w:tmpl w:val="576406D4"/>
    <w:lvl w:ilvl="0" w:tentative="0">
      <w:start w:val="4"/>
      <w:numFmt w:val="decimal"/>
      <w:suff w:val="nothing"/>
      <w:lvlText w:val="%1、"/>
      <w:lvlJc w:val="left"/>
    </w:lvl>
  </w:abstractNum>
  <w:abstractNum w:abstractNumId="7">
    <w:nsid w:val="598ADA60"/>
    <w:multiLevelType w:val="multilevel"/>
    <w:tmpl w:val="598ADA60"/>
    <w:lvl w:ilvl="0" w:tentative="0">
      <w:start w:val="3"/>
      <w:numFmt w:val="decimal"/>
      <w:suff w:val="nothing"/>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8">
    <w:nsid w:val="5A31E9E0"/>
    <w:multiLevelType w:val="singleLevel"/>
    <w:tmpl w:val="5A31E9E0"/>
    <w:lvl w:ilvl="0" w:tentative="0">
      <w:start w:val="9"/>
      <w:numFmt w:val="chineseCounting"/>
      <w:suff w:val="nothing"/>
      <w:lvlText w:val="%1、"/>
      <w:lvlJc w:val="left"/>
    </w:lvl>
  </w:abstractNum>
  <w:num w:numId="1">
    <w:abstractNumId w:val="1"/>
  </w:num>
  <w:num w:numId="2">
    <w:abstractNumId w:val="2"/>
  </w:num>
  <w:num w:numId="3">
    <w:abstractNumId w:val="7"/>
  </w:num>
  <w:num w:numId="4">
    <w:abstractNumId w:val="3"/>
  </w:num>
  <w:num w:numId="5">
    <w:abstractNumId w:val="4"/>
  </w:num>
  <w:num w:numId="6">
    <w:abstractNumId w:val="5"/>
  </w:num>
  <w:num w:numId="7">
    <w:abstractNumId w:val="6"/>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4820C8"/>
    <w:rsid w:val="0000067D"/>
    <w:rsid w:val="00001673"/>
    <w:rsid w:val="00011AFD"/>
    <w:rsid w:val="000310D4"/>
    <w:rsid w:val="000406C7"/>
    <w:rsid w:val="00040B20"/>
    <w:rsid w:val="000432ED"/>
    <w:rsid w:val="0006136C"/>
    <w:rsid w:val="00063995"/>
    <w:rsid w:val="000661B4"/>
    <w:rsid w:val="00067D44"/>
    <w:rsid w:val="0007083C"/>
    <w:rsid w:val="00071018"/>
    <w:rsid w:val="000738EE"/>
    <w:rsid w:val="0007755C"/>
    <w:rsid w:val="000914B6"/>
    <w:rsid w:val="00095A17"/>
    <w:rsid w:val="000A2055"/>
    <w:rsid w:val="000A4B94"/>
    <w:rsid w:val="000A4E4D"/>
    <w:rsid w:val="000A674C"/>
    <w:rsid w:val="000A6F5F"/>
    <w:rsid w:val="000B2183"/>
    <w:rsid w:val="000B4A65"/>
    <w:rsid w:val="000B71DA"/>
    <w:rsid w:val="000C40D4"/>
    <w:rsid w:val="000E5DE8"/>
    <w:rsid w:val="000F1517"/>
    <w:rsid w:val="000F3E50"/>
    <w:rsid w:val="000F459D"/>
    <w:rsid w:val="000F66D9"/>
    <w:rsid w:val="000F6F95"/>
    <w:rsid w:val="00101007"/>
    <w:rsid w:val="001015B8"/>
    <w:rsid w:val="00106D22"/>
    <w:rsid w:val="00112BE9"/>
    <w:rsid w:val="001149D8"/>
    <w:rsid w:val="001158A0"/>
    <w:rsid w:val="0011611C"/>
    <w:rsid w:val="00122548"/>
    <w:rsid w:val="00123585"/>
    <w:rsid w:val="00124BEC"/>
    <w:rsid w:val="00124C0C"/>
    <w:rsid w:val="00132FA7"/>
    <w:rsid w:val="00134584"/>
    <w:rsid w:val="001459AF"/>
    <w:rsid w:val="001465CD"/>
    <w:rsid w:val="00147A04"/>
    <w:rsid w:val="001506C7"/>
    <w:rsid w:val="00153D65"/>
    <w:rsid w:val="00153F56"/>
    <w:rsid w:val="00160BF4"/>
    <w:rsid w:val="00177A3D"/>
    <w:rsid w:val="00184B91"/>
    <w:rsid w:val="00190CA3"/>
    <w:rsid w:val="00195F13"/>
    <w:rsid w:val="001A07E8"/>
    <w:rsid w:val="001A5985"/>
    <w:rsid w:val="001B3FB5"/>
    <w:rsid w:val="001B62B8"/>
    <w:rsid w:val="001C04BA"/>
    <w:rsid w:val="001C0F6B"/>
    <w:rsid w:val="001C3CCC"/>
    <w:rsid w:val="001D1431"/>
    <w:rsid w:val="001D32A6"/>
    <w:rsid w:val="001D6C4E"/>
    <w:rsid w:val="001E11B5"/>
    <w:rsid w:val="001E25B9"/>
    <w:rsid w:val="001F2568"/>
    <w:rsid w:val="001F344E"/>
    <w:rsid w:val="001F5720"/>
    <w:rsid w:val="0020445D"/>
    <w:rsid w:val="00205103"/>
    <w:rsid w:val="002063D3"/>
    <w:rsid w:val="002120C1"/>
    <w:rsid w:val="00216D61"/>
    <w:rsid w:val="00231D52"/>
    <w:rsid w:val="002405FF"/>
    <w:rsid w:val="002415A9"/>
    <w:rsid w:val="00246121"/>
    <w:rsid w:val="002533D3"/>
    <w:rsid w:val="0025539F"/>
    <w:rsid w:val="00256937"/>
    <w:rsid w:val="002639F8"/>
    <w:rsid w:val="002751ED"/>
    <w:rsid w:val="00276551"/>
    <w:rsid w:val="00286727"/>
    <w:rsid w:val="00291ED0"/>
    <w:rsid w:val="00294330"/>
    <w:rsid w:val="00294ACF"/>
    <w:rsid w:val="00296B80"/>
    <w:rsid w:val="002A696E"/>
    <w:rsid w:val="002B19C4"/>
    <w:rsid w:val="002B535B"/>
    <w:rsid w:val="002B616B"/>
    <w:rsid w:val="002C2C47"/>
    <w:rsid w:val="002C47CC"/>
    <w:rsid w:val="002C5BF9"/>
    <w:rsid w:val="002C619D"/>
    <w:rsid w:val="002C61C6"/>
    <w:rsid w:val="002D33A7"/>
    <w:rsid w:val="002E24EB"/>
    <w:rsid w:val="002E2FFB"/>
    <w:rsid w:val="002F3CC3"/>
    <w:rsid w:val="00305A9A"/>
    <w:rsid w:val="003113B9"/>
    <w:rsid w:val="0031627C"/>
    <w:rsid w:val="00336A88"/>
    <w:rsid w:val="00360DF3"/>
    <w:rsid w:val="003702A0"/>
    <w:rsid w:val="00373A7F"/>
    <w:rsid w:val="00373DA5"/>
    <w:rsid w:val="003A717A"/>
    <w:rsid w:val="003B1B4C"/>
    <w:rsid w:val="003B534F"/>
    <w:rsid w:val="003C299D"/>
    <w:rsid w:val="003C4002"/>
    <w:rsid w:val="003C52CD"/>
    <w:rsid w:val="003E3408"/>
    <w:rsid w:val="00402F24"/>
    <w:rsid w:val="00406024"/>
    <w:rsid w:val="00425696"/>
    <w:rsid w:val="00434393"/>
    <w:rsid w:val="004362EF"/>
    <w:rsid w:val="004444E6"/>
    <w:rsid w:val="00470530"/>
    <w:rsid w:val="00472957"/>
    <w:rsid w:val="004772C5"/>
    <w:rsid w:val="004778A3"/>
    <w:rsid w:val="004805B6"/>
    <w:rsid w:val="00482950"/>
    <w:rsid w:val="00490AB2"/>
    <w:rsid w:val="00494200"/>
    <w:rsid w:val="00497426"/>
    <w:rsid w:val="00497C4B"/>
    <w:rsid w:val="004A1BCA"/>
    <w:rsid w:val="004A3F62"/>
    <w:rsid w:val="004B37FB"/>
    <w:rsid w:val="004B67A5"/>
    <w:rsid w:val="004B7AB0"/>
    <w:rsid w:val="004D7B9B"/>
    <w:rsid w:val="004D7CED"/>
    <w:rsid w:val="004F4CCA"/>
    <w:rsid w:val="004F4E8D"/>
    <w:rsid w:val="004F5208"/>
    <w:rsid w:val="004F5DC5"/>
    <w:rsid w:val="00500738"/>
    <w:rsid w:val="0050085D"/>
    <w:rsid w:val="005011F5"/>
    <w:rsid w:val="005222FE"/>
    <w:rsid w:val="00524065"/>
    <w:rsid w:val="005247DE"/>
    <w:rsid w:val="005307F3"/>
    <w:rsid w:val="00530F44"/>
    <w:rsid w:val="00547524"/>
    <w:rsid w:val="00547C3E"/>
    <w:rsid w:val="00554DC3"/>
    <w:rsid w:val="00554DD9"/>
    <w:rsid w:val="0056324E"/>
    <w:rsid w:val="005634D0"/>
    <w:rsid w:val="0056672A"/>
    <w:rsid w:val="00573B36"/>
    <w:rsid w:val="00574078"/>
    <w:rsid w:val="005B1192"/>
    <w:rsid w:val="005B2481"/>
    <w:rsid w:val="005B3A76"/>
    <w:rsid w:val="005B4082"/>
    <w:rsid w:val="005B546A"/>
    <w:rsid w:val="005B6890"/>
    <w:rsid w:val="005C3C27"/>
    <w:rsid w:val="005D27A6"/>
    <w:rsid w:val="005D2E92"/>
    <w:rsid w:val="005D3872"/>
    <w:rsid w:val="005D5A7A"/>
    <w:rsid w:val="005E1FF1"/>
    <w:rsid w:val="005F0110"/>
    <w:rsid w:val="005F15C0"/>
    <w:rsid w:val="005F2873"/>
    <w:rsid w:val="0061290A"/>
    <w:rsid w:val="0061481C"/>
    <w:rsid w:val="00615E17"/>
    <w:rsid w:val="00621E76"/>
    <w:rsid w:val="00623935"/>
    <w:rsid w:val="006259AD"/>
    <w:rsid w:val="00631E65"/>
    <w:rsid w:val="00634E07"/>
    <w:rsid w:val="006370B3"/>
    <w:rsid w:val="00647EAD"/>
    <w:rsid w:val="00650C20"/>
    <w:rsid w:val="00661362"/>
    <w:rsid w:val="00682561"/>
    <w:rsid w:val="00682ECD"/>
    <w:rsid w:val="00686A49"/>
    <w:rsid w:val="00687258"/>
    <w:rsid w:val="00694DE0"/>
    <w:rsid w:val="006B072C"/>
    <w:rsid w:val="006B0E39"/>
    <w:rsid w:val="006B651C"/>
    <w:rsid w:val="006B7778"/>
    <w:rsid w:val="006C1CE6"/>
    <w:rsid w:val="006C3964"/>
    <w:rsid w:val="006C4C28"/>
    <w:rsid w:val="006C5CC9"/>
    <w:rsid w:val="006D04E7"/>
    <w:rsid w:val="006D5D6D"/>
    <w:rsid w:val="006D682C"/>
    <w:rsid w:val="006E08B6"/>
    <w:rsid w:val="006E0BDF"/>
    <w:rsid w:val="006F2988"/>
    <w:rsid w:val="006F5693"/>
    <w:rsid w:val="0070276D"/>
    <w:rsid w:val="00710FBA"/>
    <w:rsid w:val="007122BF"/>
    <w:rsid w:val="00716101"/>
    <w:rsid w:val="00720D43"/>
    <w:rsid w:val="00721059"/>
    <w:rsid w:val="00721C55"/>
    <w:rsid w:val="00721C57"/>
    <w:rsid w:val="007318DC"/>
    <w:rsid w:val="007321D3"/>
    <w:rsid w:val="007346A4"/>
    <w:rsid w:val="0073567B"/>
    <w:rsid w:val="007434F5"/>
    <w:rsid w:val="00760CF3"/>
    <w:rsid w:val="00767AEE"/>
    <w:rsid w:val="00772E5C"/>
    <w:rsid w:val="00776137"/>
    <w:rsid w:val="007812E7"/>
    <w:rsid w:val="00783829"/>
    <w:rsid w:val="00784CA7"/>
    <w:rsid w:val="00790DBC"/>
    <w:rsid w:val="00791B2A"/>
    <w:rsid w:val="00792C2C"/>
    <w:rsid w:val="007A0D6B"/>
    <w:rsid w:val="007A4F4D"/>
    <w:rsid w:val="007B6D1A"/>
    <w:rsid w:val="007C0EAF"/>
    <w:rsid w:val="007C1FB6"/>
    <w:rsid w:val="007C203F"/>
    <w:rsid w:val="007C7EA5"/>
    <w:rsid w:val="007D3C1B"/>
    <w:rsid w:val="007D3DA1"/>
    <w:rsid w:val="007E1335"/>
    <w:rsid w:val="007E5D3B"/>
    <w:rsid w:val="007E6EC1"/>
    <w:rsid w:val="00803D85"/>
    <w:rsid w:val="00807369"/>
    <w:rsid w:val="0082371C"/>
    <w:rsid w:val="008240FF"/>
    <w:rsid w:val="00833204"/>
    <w:rsid w:val="0084381F"/>
    <w:rsid w:val="00855C63"/>
    <w:rsid w:val="00855E8A"/>
    <w:rsid w:val="00856E3A"/>
    <w:rsid w:val="008612AE"/>
    <w:rsid w:val="00882E9E"/>
    <w:rsid w:val="00883A3F"/>
    <w:rsid w:val="00892C13"/>
    <w:rsid w:val="00895A9D"/>
    <w:rsid w:val="0089640F"/>
    <w:rsid w:val="008A1F5B"/>
    <w:rsid w:val="008B43EE"/>
    <w:rsid w:val="008B4D63"/>
    <w:rsid w:val="008B4F00"/>
    <w:rsid w:val="008B6065"/>
    <w:rsid w:val="008D074E"/>
    <w:rsid w:val="008D08A5"/>
    <w:rsid w:val="008D2093"/>
    <w:rsid w:val="008D76D7"/>
    <w:rsid w:val="008E22D2"/>
    <w:rsid w:val="008E36E7"/>
    <w:rsid w:val="008E6287"/>
    <w:rsid w:val="008E640B"/>
    <w:rsid w:val="008E6A24"/>
    <w:rsid w:val="008F6D84"/>
    <w:rsid w:val="0090127E"/>
    <w:rsid w:val="00902390"/>
    <w:rsid w:val="00906C63"/>
    <w:rsid w:val="00911639"/>
    <w:rsid w:val="0091472B"/>
    <w:rsid w:val="00914CB9"/>
    <w:rsid w:val="009305D9"/>
    <w:rsid w:val="00942073"/>
    <w:rsid w:val="009425BA"/>
    <w:rsid w:val="009456DA"/>
    <w:rsid w:val="00950BCC"/>
    <w:rsid w:val="00951F3B"/>
    <w:rsid w:val="0095421D"/>
    <w:rsid w:val="0095656E"/>
    <w:rsid w:val="00957C23"/>
    <w:rsid w:val="009611E7"/>
    <w:rsid w:val="00964592"/>
    <w:rsid w:val="009725E8"/>
    <w:rsid w:val="009746CD"/>
    <w:rsid w:val="00975C1F"/>
    <w:rsid w:val="00994109"/>
    <w:rsid w:val="009A0CD6"/>
    <w:rsid w:val="009A5E0F"/>
    <w:rsid w:val="009B403B"/>
    <w:rsid w:val="009D186C"/>
    <w:rsid w:val="009D4DFC"/>
    <w:rsid w:val="009D593E"/>
    <w:rsid w:val="009E56BE"/>
    <w:rsid w:val="009F17F3"/>
    <w:rsid w:val="009F3A01"/>
    <w:rsid w:val="009F5B98"/>
    <w:rsid w:val="009F77FF"/>
    <w:rsid w:val="00A016E5"/>
    <w:rsid w:val="00A04DA3"/>
    <w:rsid w:val="00A07EB2"/>
    <w:rsid w:val="00A11AEA"/>
    <w:rsid w:val="00A11B8C"/>
    <w:rsid w:val="00A13861"/>
    <w:rsid w:val="00A15A7E"/>
    <w:rsid w:val="00A24767"/>
    <w:rsid w:val="00A25601"/>
    <w:rsid w:val="00A335BB"/>
    <w:rsid w:val="00A34834"/>
    <w:rsid w:val="00A35D4B"/>
    <w:rsid w:val="00A36D07"/>
    <w:rsid w:val="00A410F4"/>
    <w:rsid w:val="00A41AEE"/>
    <w:rsid w:val="00A422F6"/>
    <w:rsid w:val="00A52FAF"/>
    <w:rsid w:val="00A72F81"/>
    <w:rsid w:val="00A7544A"/>
    <w:rsid w:val="00A83B8D"/>
    <w:rsid w:val="00A870C7"/>
    <w:rsid w:val="00A948AA"/>
    <w:rsid w:val="00AA5292"/>
    <w:rsid w:val="00AC03DE"/>
    <w:rsid w:val="00AD075B"/>
    <w:rsid w:val="00AD20C5"/>
    <w:rsid w:val="00AD2461"/>
    <w:rsid w:val="00AD3C74"/>
    <w:rsid w:val="00AD79EB"/>
    <w:rsid w:val="00AE07B7"/>
    <w:rsid w:val="00AE1046"/>
    <w:rsid w:val="00AE1A2D"/>
    <w:rsid w:val="00AF1136"/>
    <w:rsid w:val="00AF1A3A"/>
    <w:rsid w:val="00AF431D"/>
    <w:rsid w:val="00B1556F"/>
    <w:rsid w:val="00B22804"/>
    <w:rsid w:val="00B2280C"/>
    <w:rsid w:val="00B23CFE"/>
    <w:rsid w:val="00B258EF"/>
    <w:rsid w:val="00B31840"/>
    <w:rsid w:val="00B325AC"/>
    <w:rsid w:val="00B335B8"/>
    <w:rsid w:val="00B354CE"/>
    <w:rsid w:val="00B37DBE"/>
    <w:rsid w:val="00B41467"/>
    <w:rsid w:val="00B5742F"/>
    <w:rsid w:val="00B63108"/>
    <w:rsid w:val="00B66F77"/>
    <w:rsid w:val="00B67A93"/>
    <w:rsid w:val="00B80677"/>
    <w:rsid w:val="00B87486"/>
    <w:rsid w:val="00BA2172"/>
    <w:rsid w:val="00BA2B8A"/>
    <w:rsid w:val="00BB360C"/>
    <w:rsid w:val="00BC1F1F"/>
    <w:rsid w:val="00BC5B90"/>
    <w:rsid w:val="00BC7377"/>
    <w:rsid w:val="00BD42CF"/>
    <w:rsid w:val="00BD4350"/>
    <w:rsid w:val="00BD5AF5"/>
    <w:rsid w:val="00BE0598"/>
    <w:rsid w:val="00BE228A"/>
    <w:rsid w:val="00BE3BAD"/>
    <w:rsid w:val="00BE788E"/>
    <w:rsid w:val="00BE795E"/>
    <w:rsid w:val="00BF4F30"/>
    <w:rsid w:val="00C13921"/>
    <w:rsid w:val="00C13FD8"/>
    <w:rsid w:val="00C26BCD"/>
    <w:rsid w:val="00C27E4E"/>
    <w:rsid w:val="00C43D25"/>
    <w:rsid w:val="00C44342"/>
    <w:rsid w:val="00C521BD"/>
    <w:rsid w:val="00C527C3"/>
    <w:rsid w:val="00C57288"/>
    <w:rsid w:val="00C6145A"/>
    <w:rsid w:val="00C627AD"/>
    <w:rsid w:val="00C63C42"/>
    <w:rsid w:val="00C64A67"/>
    <w:rsid w:val="00C66149"/>
    <w:rsid w:val="00C669B1"/>
    <w:rsid w:val="00C70C78"/>
    <w:rsid w:val="00C70EB7"/>
    <w:rsid w:val="00C81278"/>
    <w:rsid w:val="00C82019"/>
    <w:rsid w:val="00C90355"/>
    <w:rsid w:val="00C92076"/>
    <w:rsid w:val="00C948DC"/>
    <w:rsid w:val="00CA2F93"/>
    <w:rsid w:val="00CB37C0"/>
    <w:rsid w:val="00CC4693"/>
    <w:rsid w:val="00CC5433"/>
    <w:rsid w:val="00CC64E7"/>
    <w:rsid w:val="00CC7AEE"/>
    <w:rsid w:val="00CD3D80"/>
    <w:rsid w:val="00CE106D"/>
    <w:rsid w:val="00CE1F11"/>
    <w:rsid w:val="00CF1BCA"/>
    <w:rsid w:val="00CF52F7"/>
    <w:rsid w:val="00CF5735"/>
    <w:rsid w:val="00D0555A"/>
    <w:rsid w:val="00D05BAA"/>
    <w:rsid w:val="00D14155"/>
    <w:rsid w:val="00D36BF8"/>
    <w:rsid w:val="00D55744"/>
    <w:rsid w:val="00D70280"/>
    <w:rsid w:val="00D77007"/>
    <w:rsid w:val="00D91EF8"/>
    <w:rsid w:val="00DA4771"/>
    <w:rsid w:val="00DA4DE0"/>
    <w:rsid w:val="00DB135E"/>
    <w:rsid w:val="00DB1D76"/>
    <w:rsid w:val="00DB7688"/>
    <w:rsid w:val="00DC5756"/>
    <w:rsid w:val="00DC7C57"/>
    <w:rsid w:val="00DD68BE"/>
    <w:rsid w:val="00DE5EE8"/>
    <w:rsid w:val="00DF0B8E"/>
    <w:rsid w:val="00DF203A"/>
    <w:rsid w:val="00DF5F4A"/>
    <w:rsid w:val="00DF67C1"/>
    <w:rsid w:val="00DF722C"/>
    <w:rsid w:val="00E05C9F"/>
    <w:rsid w:val="00E12124"/>
    <w:rsid w:val="00E31005"/>
    <w:rsid w:val="00E4008C"/>
    <w:rsid w:val="00E5156C"/>
    <w:rsid w:val="00E52957"/>
    <w:rsid w:val="00E52DAF"/>
    <w:rsid w:val="00E54195"/>
    <w:rsid w:val="00E60D2F"/>
    <w:rsid w:val="00E65D14"/>
    <w:rsid w:val="00E65D2F"/>
    <w:rsid w:val="00E65E03"/>
    <w:rsid w:val="00E72BFC"/>
    <w:rsid w:val="00E76153"/>
    <w:rsid w:val="00E920FB"/>
    <w:rsid w:val="00E931E4"/>
    <w:rsid w:val="00E948B3"/>
    <w:rsid w:val="00E9545E"/>
    <w:rsid w:val="00EA209F"/>
    <w:rsid w:val="00EA6BA4"/>
    <w:rsid w:val="00EA7812"/>
    <w:rsid w:val="00EB1ECD"/>
    <w:rsid w:val="00EB4EE3"/>
    <w:rsid w:val="00EB7A53"/>
    <w:rsid w:val="00EC29DA"/>
    <w:rsid w:val="00EC55D2"/>
    <w:rsid w:val="00ED2F60"/>
    <w:rsid w:val="00ED5480"/>
    <w:rsid w:val="00EE0A33"/>
    <w:rsid w:val="00EE1A90"/>
    <w:rsid w:val="00EE604E"/>
    <w:rsid w:val="00EF567C"/>
    <w:rsid w:val="00EF6448"/>
    <w:rsid w:val="00EF6724"/>
    <w:rsid w:val="00EF7D94"/>
    <w:rsid w:val="00F05A23"/>
    <w:rsid w:val="00F11597"/>
    <w:rsid w:val="00F14C24"/>
    <w:rsid w:val="00F21EAE"/>
    <w:rsid w:val="00F23030"/>
    <w:rsid w:val="00F244BB"/>
    <w:rsid w:val="00F415B1"/>
    <w:rsid w:val="00F41F18"/>
    <w:rsid w:val="00F45404"/>
    <w:rsid w:val="00F51DBA"/>
    <w:rsid w:val="00F52F97"/>
    <w:rsid w:val="00F53D4A"/>
    <w:rsid w:val="00F57C03"/>
    <w:rsid w:val="00F65359"/>
    <w:rsid w:val="00F65C07"/>
    <w:rsid w:val="00F67A2C"/>
    <w:rsid w:val="00F80A81"/>
    <w:rsid w:val="00F83385"/>
    <w:rsid w:val="00F844C2"/>
    <w:rsid w:val="00F8516B"/>
    <w:rsid w:val="00F9449A"/>
    <w:rsid w:val="00F95ABF"/>
    <w:rsid w:val="00F95E08"/>
    <w:rsid w:val="00FD27E3"/>
    <w:rsid w:val="00FD5B29"/>
    <w:rsid w:val="00FE4A3E"/>
    <w:rsid w:val="00FF0E62"/>
    <w:rsid w:val="01112F3D"/>
    <w:rsid w:val="01296399"/>
    <w:rsid w:val="01466785"/>
    <w:rsid w:val="01DB434E"/>
    <w:rsid w:val="025A1A0E"/>
    <w:rsid w:val="02A04584"/>
    <w:rsid w:val="02C860F0"/>
    <w:rsid w:val="03C64BA8"/>
    <w:rsid w:val="040D29A4"/>
    <w:rsid w:val="04812143"/>
    <w:rsid w:val="04FB744C"/>
    <w:rsid w:val="05642590"/>
    <w:rsid w:val="05AA6B49"/>
    <w:rsid w:val="05B347DC"/>
    <w:rsid w:val="05EB3303"/>
    <w:rsid w:val="06065D7D"/>
    <w:rsid w:val="06067496"/>
    <w:rsid w:val="06E835F7"/>
    <w:rsid w:val="073A295C"/>
    <w:rsid w:val="07761B05"/>
    <w:rsid w:val="078E4D89"/>
    <w:rsid w:val="07E778CA"/>
    <w:rsid w:val="086A7535"/>
    <w:rsid w:val="08CA67DF"/>
    <w:rsid w:val="08D407B8"/>
    <w:rsid w:val="08F576CB"/>
    <w:rsid w:val="09837D7B"/>
    <w:rsid w:val="09867B08"/>
    <w:rsid w:val="09D37448"/>
    <w:rsid w:val="0A4866D0"/>
    <w:rsid w:val="0A8E6F0E"/>
    <w:rsid w:val="0A9A38CE"/>
    <w:rsid w:val="0B0010DA"/>
    <w:rsid w:val="0B2A2409"/>
    <w:rsid w:val="0B4C6956"/>
    <w:rsid w:val="0BAC12EB"/>
    <w:rsid w:val="0C5E1509"/>
    <w:rsid w:val="0CAF118D"/>
    <w:rsid w:val="0CB358E6"/>
    <w:rsid w:val="0D8116DE"/>
    <w:rsid w:val="0DCD3824"/>
    <w:rsid w:val="0E274A96"/>
    <w:rsid w:val="0E4D3374"/>
    <w:rsid w:val="0EB217EF"/>
    <w:rsid w:val="0EE01DB6"/>
    <w:rsid w:val="0F3930AA"/>
    <w:rsid w:val="0FDD387F"/>
    <w:rsid w:val="0FE557E4"/>
    <w:rsid w:val="10085E52"/>
    <w:rsid w:val="101E2E67"/>
    <w:rsid w:val="107B517D"/>
    <w:rsid w:val="112D7F6B"/>
    <w:rsid w:val="11B445AB"/>
    <w:rsid w:val="12DC6D2A"/>
    <w:rsid w:val="131A230F"/>
    <w:rsid w:val="13431562"/>
    <w:rsid w:val="13CC49C6"/>
    <w:rsid w:val="14D972B5"/>
    <w:rsid w:val="14EC08FF"/>
    <w:rsid w:val="14EF6134"/>
    <w:rsid w:val="151E2293"/>
    <w:rsid w:val="15380BEF"/>
    <w:rsid w:val="159D079D"/>
    <w:rsid w:val="15AC6033"/>
    <w:rsid w:val="162D0E37"/>
    <w:rsid w:val="16D0236E"/>
    <w:rsid w:val="170E5D25"/>
    <w:rsid w:val="17255CB2"/>
    <w:rsid w:val="1769612C"/>
    <w:rsid w:val="176C0E13"/>
    <w:rsid w:val="17AD7150"/>
    <w:rsid w:val="18055F7B"/>
    <w:rsid w:val="18AF071A"/>
    <w:rsid w:val="18B570B8"/>
    <w:rsid w:val="19D93A83"/>
    <w:rsid w:val="19FB2ABF"/>
    <w:rsid w:val="1A2770D6"/>
    <w:rsid w:val="1A4A4075"/>
    <w:rsid w:val="1A6627AB"/>
    <w:rsid w:val="1A8C3E4C"/>
    <w:rsid w:val="1AC14286"/>
    <w:rsid w:val="1ADA0CB9"/>
    <w:rsid w:val="1B4E4B0F"/>
    <w:rsid w:val="1C063260"/>
    <w:rsid w:val="1CE276BD"/>
    <w:rsid w:val="1CED7C90"/>
    <w:rsid w:val="1D004958"/>
    <w:rsid w:val="1D726CFF"/>
    <w:rsid w:val="1D7C2590"/>
    <w:rsid w:val="1D8C4F85"/>
    <w:rsid w:val="1DCA590C"/>
    <w:rsid w:val="1E074C94"/>
    <w:rsid w:val="1E16372A"/>
    <w:rsid w:val="1EDD2786"/>
    <w:rsid w:val="1EF43A3F"/>
    <w:rsid w:val="1F1B4CF1"/>
    <w:rsid w:val="1F482338"/>
    <w:rsid w:val="1F88272F"/>
    <w:rsid w:val="1F9E1FB6"/>
    <w:rsid w:val="1FDF6652"/>
    <w:rsid w:val="203866A1"/>
    <w:rsid w:val="21000E20"/>
    <w:rsid w:val="2119095A"/>
    <w:rsid w:val="21334A34"/>
    <w:rsid w:val="213B1B09"/>
    <w:rsid w:val="21421D01"/>
    <w:rsid w:val="215A5425"/>
    <w:rsid w:val="220075A0"/>
    <w:rsid w:val="22333519"/>
    <w:rsid w:val="22630686"/>
    <w:rsid w:val="22F50FD7"/>
    <w:rsid w:val="23381A93"/>
    <w:rsid w:val="23433854"/>
    <w:rsid w:val="238F41BA"/>
    <w:rsid w:val="23FC3BA0"/>
    <w:rsid w:val="24BF0361"/>
    <w:rsid w:val="2550626B"/>
    <w:rsid w:val="259D6F19"/>
    <w:rsid w:val="25F53AD2"/>
    <w:rsid w:val="26166079"/>
    <w:rsid w:val="26671E36"/>
    <w:rsid w:val="269A77C3"/>
    <w:rsid w:val="269D2D47"/>
    <w:rsid w:val="26AC047F"/>
    <w:rsid w:val="27211478"/>
    <w:rsid w:val="27A77A87"/>
    <w:rsid w:val="27FD27F9"/>
    <w:rsid w:val="280D5608"/>
    <w:rsid w:val="282C6749"/>
    <w:rsid w:val="28AE3B9B"/>
    <w:rsid w:val="28C01D96"/>
    <w:rsid w:val="29406B29"/>
    <w:rsid w:val="2982426F"/>
    <w:rsid w:val="2A097FC2"/>
    <w:rsid w:val="2A943EE1"/>
    <w:rsid w:val="2A9E39C8"/>
    <w:rsid w:val="2AB95941"/>
    <w:rsid w:val="2ABC6414"/>
    <w:rsid w:val="2AE9335A"/>
    <w:rsid w:val="2B0D183E"/>
    <w:rsid w:val="2B596081"/>
    <w:rsid w:val="2C2C36C8"/>
    <w:rsid w:val="2D2C6D7A"/>
    <w:rsid w:val="2D5E4752"/>
    <w:rsid w:val="2DEF4A1F"/>
    <w:rsid w:val="2EC71D6C"/>
    <w:rsid w:val="2EC724EA"/>
    <w:rsid w:val="2F3A012D"/>
    <w:rsid w:val="2F3A5557"/>
    <w:rsid w:val="2FA834D6"/>
    <w:rsid w:val="2FFD3C00"/>
    <w:rsid w:val="308E51E5"/>
    <w:rsid w:val="30D23E37"/>
    <w:rsid w:val="30E64908"/>
    <w:rsid w:val="30F03510"/>
    <w:rsid w:val="31444AC7"/>
    <w:rsid w:val="31597AAB"/>
    <w:rsid w:val="32123567"/>
    <w:rsid w:val="322E5F7A"/>
    <w:rsid w:val="32D53070"/>
    <w:rsid w:val="32FE4E32"/>
    <w:rsid w:val="33030B8E"/>
    <w:rsid w:val="3427237C"/>
    <w:rsid w:val="343C7DB6"/>
    <w:rsid w:val="34D868AC"/>
    <w:rsid w:val="34F062D8"/>
    <w:rsid w:val="35067288"/>
    <w:rsid w:val="35254EA4"/>
    <w:rsid w:val="35715A25"/>
    <w:rsid w:val="358E19EB"/>
    <w:rsid w:val="35DC23A2"/>
    <w:rsid w:val="362914FD"/>
    <w:rsid w:val="364756A4"/>
    <w:rsid w:val="375271E8"/>
    <w:rsid w:val="37A22B01"/>
    <w:rsid w:val="37B71904"/>
    <w:rsid w:val="38C45223"/>
    <w:rsid w:val="3945175B"/>
    <w:rsid w:val="39D40903"/>
    <w:rsid w:val="3A4207D4"/>
    <w:rsid w:val="3A4279DB"/>
    <w:rsid w:val="3A4820C8"/>
    <w:rsid w:val="3A4C2479"/>
    <w:rsid w:val="3AB42BB8"/>
    <w:rsid w:val="3ABD6B0D"/>
    <w:rsid w:val="3AC65B7A"/>
    <w:rsid w:val="3AD31876"/>
    <w:rsid w:val="3AEB3E85"/>
    <w:rsid w:val="3C0D4C66"/>
    <w:rsid w:val="3C526FDA"/>
    <w:rsid w:val="3C6D367A"/>
    <w:rsid w:val="3D1C0C06"/>
    <w:rsid w:val="3D46112F"/>
    <w:rsid w:val="3D836A92"/>
    <w:rsid w:val="3D96408D"/>
    <w:rsid w:val="3DF2784E"/>
    <w:rsid w:val="3E052E0D"/>
    <w:rsid w:val="3E0C767D"/>
    <w:rsid w:val="3E442F41"/>
    <w:rsid w:val="3EDE5F9D"/>
    <w:rsid w:val="3EFA3892"/>
    <w:rsid w:val="3F557D77"/>
    <w:rsid w:val="3F653ECD"/>
    <w:rsid w:val="403673F1"/>
    <w:rsid w:val="40B1193E"/>
    <w:rsid w:val="40C22C34"/>
    <w:rsid w:val="40EF27CC"/>
    <w:rsid w:val="41631544"/>
    <w:rsid w:val="416A19DA"/>
    <w:rsid w:val="41A24648"/>
    <w:rsid w:val="424171E6"/>
    <w:rsid w:val="42B750E0"/>
    <w:rsid w:val="42E171A3"/>
    <w:rsid w:val="43332EC1"/>
    <w:rsid w:val="43493C9C"/>
    <w:rsid w:val="43BF40EB"/>
    <w:rsid w:val="443D6565"/>
    <w:rsid w:val="44524125"/>
    <w:rsid w:val="44887932"/>
    <w:rsid w:val="44F43DB1"/>
    <w:rsid w:val="45072902"/>
    <w:rsid w:val="45C149C9"/>
    <w:rsid w:val="46066264"/>
    <w:rsid w:val="4608522B"/>
    <w:rsid w:val="46170712"/>
    <w:rsid w:val="46384E93"/>
    <w:rsid w:val="46500C05"/>
    <w:rsid w:val="46B63082"/>
    <w:rsid w:val="46C97F82"/>
    <w:rsid w:val="476A20C4"/>
    <w:rsid w:val="47B86560"/>
    <w:rsid w:val="47E21ADF"/>
    <w:rsid w:val="484701C1"/>
    <w:rsid w:val="491A22ED"/>
    <w:rsid w:val="497732D5"/>
    <w:rsid w:val="4A056F8C"/>
    <w:rsid w:val="4A900F8A"/>
    <w:rsid w:val="4AE77737"/>
    <w:rsid w:val="4BA40F7D"/>
    <w:rsid w:val="4BBF64DA"/>
    <w:rsid w:val="4C536B94"/>
    <w:rsid w:val="4CD561E7"/>
    <w:rsid w:val="4CEF3CF8"/>
    <w:rsid w:val="4DAB0C60"/>
    <w:rsid w:val="4DCE54A8"/>
    <w:rsid w:val="4E1B15A0"/>
    <w:rsid w:val="4E3D4C29"/>
    <w:rsid w:val="4E7C0EB5"/>
    <w:rsid w:val="4E841886"/>
    <w:rsid w:val="4E9B5CF9"/>
    <w:rsid w:val="50786AB7"/>
    <w:rsid w:val="50BD4F6D"/>
    <w:rsid w:val="50C72290"/>
    <w:rsid w:val="50D168E9"/>
    <w:rsid w:val="51025EEC"/>
    <w:rsid w:val="51144CFF"/>
    <w:rsid w:val="51773CFC"/>
    <w:rsid w:val="517E5486"/>
    <w:rsid w:val="51DD2613"/>
    <w:rsid w:val="51E83600"/>
    <w:rsid w:val="5224328C"/>
    <w:rsid w:val="525C2B2E"/>
    <w:rsid w:val="52CB4273"/>
    <w:rsid w:val="52EB0325"/>
    <w:rsid w:val="53212B3E"/>
    <w:rsid w:val="53880246"/>
    <w:rsid w:val="54555293"/>
    <w:rsid w:val="54666F12"/>
    <w:rsid w:val="550075EE"/>
    <w:rsid w:val="554B55F7"/>
    <w:rsid w:val="559558C2"/>
    <w:rsid w:val="55A24CFC"/>
    <w:rsid w:val="55E52F43"/>
    <w:rsid w:val="566A5FED"/>
    <w:rsid w:val="56AA5974"/>
    <w:rsid w:val="56BD391A"/>
    <w:rsid w:val="56E35A9C"/>
    <w:rsid w:val="57491893"/>
    <w:rsid w:val="57635C62"/>
    <w:rsid w:val="57A17D29"/>
    <w:rsid w:val="57BD5F4C"/>
    <w:rsid w:val="590B293D"/>
    <w:rsid w:val="59120F59"/>
    <w:rsid w:val="591D3BA7"/>
    <w:rsid w:val="596E7B6E"/>
    <w:rsid w:val="59782F27"/>
    <w:rsid w:val="59811E2B"/>
    <w:rsid w:val="59FB7936"/>
    <w:rsid w:val="5A17058A"/>
    <w:rsid w:val="5A71064D"/>
    <w:rsid w:val="5AA9798C"/>
    <w:rsid w:val="5AC61789"/>
    <w:rsid w:val="5B244A5A"/>
    <w:rsid w:val="5B621989"/>
    <w:rsid w:val="5B74382F"/>
    <w:rsid w:val="5B9F02C2"/>
    <w:rsid w:val="5BB155B5"/>
    <w:rsid w:val="5BE4087D"/>
    <w:rsid w:val="5C0A6275"/>
    <w:rsid w:val="5C0A7A23"/>
    <w:rsid w:val="5C155265"/>
    <w:rsid w:val="5C443819"/>
    <w:rsid w:val="5C691376"/>
    <w:rsid w:val="5C7134DE"/>
    <w:rsid w:val="5CA2660A"/>
    <w:rsid w:val="5CAF735A"/>
    <w:rsid w:val="5D5F2178"/>
    <w:rsid w:val="5DF56B24"/>
    <w:rsid w:val="5E210806"/>
    <w:rsid w:val="5E352002"/>
    <w:rsid w:val="5EEA40F1"/>
    <w:rsid w:val="5F1C7AED"/>
    <w:rsid w:val="5F4108D7"/>
    <w:rsid w:val="5F90413A"/>
    <w:rsid w:val="60565855"/>
    <w:rsid w:val="60E077A1"/>
    <w:rsid w:val="60F56473"/>
    <w:rsid w:val="60F86FD4"/>
    <w:rsid w:val="60FA209D"/>
    <w:rsid w:val="61013386"/>
    <w:rsid w:val="610A4B5F"/>
    <w:rsid w:val="613A7931"/>
    <w:rsid w:val="615A3AA1"/>
    <w:rsid w:val="616E4CF3"/>
    <w:rsid w:val="61ED3E3C"/>
    <w:rsid w:val="62527E7A"/>
    <w:rsid w:val="633B3EAB"/>
    <w:rsid w:val="63A33640"/>
    <w:rsid w:val="647916AF"/>
    <w:rsid w:val="64B31810"/>
    <w:rsid w:val="64F80BF4"/>
    <w:rsid w:val="650D1C96"/>
    <w:rsid w:val="6518479E"/>
    <w:rsid w:val="653B086C"/>
    <w:rsid w:val="655D1994"/>
    <w:rsid w:val="65853E6F"/>
    <w:rsid w:val="65BD7CCD"/>
    <w:rsid w:val="6625595A"/>
    <w:rsid w:val="6642520A"/>
    <w:rsid w:val="66641EFF"/>
    <w:rsid w:val="66882038"/>
    <w:rsid w:val="66CC144B"/>
    <w:rsid w:val="67236075"/>
    <w:rsid w:val="67457E5B"/>
    <w:rsid w:val="67494A83"/>
    <w:rsid w:val="683C1079"/>
    <w:rsid w:val="684434D6"/>
    <w:rsid w:val="688641BC"/>
    <w:rsid w:val="689274D6"/>
    <w:rsid w:val="68DE3494"/>
    <w:rsid w:val="690A571F"/>
    <w:rsid w:val="69303D64"/>
    <w:rsid w:val="69785076"/>
    <w:rsid w:val="69FA48EF"/>
    <w:rsid w:val="69FF03FD"/>
    <w:rsid w:val="6A3503B8"/>
    <w:rsid w:val="6AB32E4C"/>
    <w:rsid w:val="6AB665F5"/>
    <w:rsid w:val="6C965D84"/>
    <w:rsid w:val="6D1C2A81"/>
    <w:rsid w:val="6D2E73B1"/>
    <w:rsid w:val="6D9646AE"/>
    <w:rsid w:val="6D9D6608"/>
    <w:rsid w:val="6DA43112"/>
    <w:rsid w:val="6DF112B2"/>
    <w:rsid w:val="6E547362"/>
    <w:rsid w:val="6ED73563"/>
    <w:rsid w:val="6F617EDD"/>
    <w:rsid w:val="6FA96611"/>
    <w:rsid w:val="70883803"/>
    <w:rsid w:val="71A14AE0"/>
    <w:rsid w:val="71EB3F0D"/>
    <w:rsid w:val="71FD2073"/>
    <w:rsid w:val="722A4C35"/>
    <w:rsid w:val="722B73C1"/>
    <w:rsid w:val="72F15351"/>
    <w:rsid w:val="73AC73AC"/>
    <w:rsid w:val="73EA125E"/>
    <w:rsid w:val="742A7635"/>
    <w:rsid w:val="74440B37"/>
    <w:rsid w:val="74656CAB"/>
    <w:rsid w:val="749123F0"/>
    <w:rsid w:val="74935809"/>
    <w:rsid w:val="74D81C6F"/>
    <w:rsid w:val="74FF5FC2"/>
    <w:rsid w:val="750528EF"/>
    <w:rsid w:val="756D24B8"/>
    <w:rsid w:val="75D50470"/>
    <w:rsid w:val="76173E55"/>
    <w:rsid w:val="76731A9E"/>
    <w:rsid w:val="769910A6"/>
    <w:rsid w:val="77236433"/>
    <w:rsid w:val="773B0D0D"/>
    <w:rsid w:val="779526F4"/>
    <w:rsid w:val="77CA4249"/>
    <w:rsid w:val="77EF6746"/>
    <w:rsid w:val="77F86573"/>
    <w:rsid w:val="781A7F4C"/>
    <w:rsid w:val="78412583"/>
    <w:rsid w:val="7855496E"/>
    <w:rsid w:val="78960AF9"/>
    <w:rsid w:val="78B00CC9"/>
    <w:rsid w:val="78D47E87"/>
    <w:rsid w:val="790B458F"/>
    <w:rsid w:val="79601343"/>
    <w:rsid w:val="79A1156A"/>
    <w:rsid w:val="79A5544F"/>
    <w:rsid w:val="79C6269C"/>
    <w:rsid w:val="79FD79F1"/>
    <w:rsid w:val="7A765E5A"/>
    <w:rsid w:val="7AA8084B"/>
    <w:rsid w:val="7AA8546C"/>
    <w:rsid w:val="7ABD0011"/>
    <w:rsid w:val="7B010A1E"/>
    <w:rsid w:val="7B521D5B"/>
    <w:rsid w:val="7B5A74E2"/>
    <w:rsid w:val="7B6D1EB3"/>
    <w:rsid w:val="7B743A54"/>
    <w:rsid w:val="7B853AC8"/>
    <w:rsid w:val="7BD53B97"/>
    <w:rsid w:val="7BD61710"/>
    <w:rsid w:val="7C063C41"/>
    <w:rsid w:val="7C0A667E"/>
    <w:rsid w:val="7C5E37E6"/>
    <w:rsid w:val="7CC75F70"/>
    <w:rsid w:val="7CE01843"/>
    <w:rsid w:val="7DD27DE1"/>
    <w:rsid w:val="7DE75C47"/>
    <w:rsid w:val="7E117E8D"/>
    <w:rsid w:val="7EAD4621"/>
    <w:rsid w:val="7EBE4303"/>
    <w:rsid w:val="7EE57458"/>
    <w:rsid w:val="7F0707C4"/>
    <w:rsid w:val="7F436895"/>
    <w:rsid w:val="7F590637"/>
    <w:rsid w:val="7F5E717B"/>
    <w:rsid w:val="7F78421F"/>
    <w:rsid w:val="7FDD2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4">
    <w:name w:val="heading 1"/>
    <w:basedOn w:val="1"/>
    <w:next w:val="1"/>
    <w:qFormat/>
    <w:uiPriority w:val="99"/>
    <w:pPr>
      <w:keepNext/>
      <w:keepLines/>
      <w:spacing w:line="576" w:lineRule="auto"/>
      <w:outlineLvl w:val="0"/>
    </w:pPr>
    <w:rPr>
      <w:rFonts w:ascii="仿宋_GB2312" w:cs="Times New Roman"/>
      <w:b/>
      <w:bCs/>
      <w:kern w:val="44"/>
      <w:sz w:val="44"/>
      <w:szCs w:val="44"/>
    </w:rPr>
  </w:style>
  <w:style w:type="paragraph" w:styleId="5">
    <w:name w:val="heading 2"/>
    <w:basedOn w:val="1"/>
    <w:next w:val="1"/>
    <w:link w:val="32"/>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unhideWhenUsed/>
    <w:qFormat/>
    <w:uiPriority w:val="0"/>
    <w:pPr>
      <w:keepNext/>
      <w:keepLines/>
      <w:spacing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style>
  <w:style w:type="paragraph" w:styleId="7">
    <w:name w:val="Body Text Indent"/>
    <w:basedOn w:val="1"/>
    <w:qFormat/>
    <w:uiPriority w:val="0"/>
    <w:pPr>
      <w:spacing w:after="120"/>
      <w:ind w:left="420" w:leftChars="200"/>
    </w:pPr>
  </w:style>
  <w:style w:type="paragraph" w:styleId="8">
    <w:name w:val="Balloon Text"/>
    <w:basedOn w:val="1"/>
    <w:link w:val="33"/>
    <w:qFormat/>
    <w:uiPriority w:val="0"/>
    <w:rPr>
      <w:sz w:val="18"/>
      <w:szCs w:val="18"/>
    </w:rPr>
  </w:style>
  <w:style w:type="paragraph" w:styleId="9">
    <w:name w:val="footer"/>
    <w:basedOn w:val="1"/>
    <w:qFormat/>
    <w:uiPriority w:val="0"/>
    <w:pPr>
      <w:tabs>
        <w:tab w:val="center" w:pos="4153"/>
        <w:tab w:val="right" w:pos="8306"/>
      </w:tabs>
      <w:snapToGrid w:val="0"/>
      <w:jc w:val="left"/>
    </w:pPr>
    <w:rPr>
      <w:rFonts w:ascii="Times New Roman"/>
      <w:kern w:val="2"/>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Autospacing="1" w:afterAutospacing="1"/>
      <w:jc w:val="left"/>
    </w:pPr>
    <w:rPr>
      <w:rFonts w:hAnsi="宋体" w:cs="宋体"/>
      <w:sz w:val="24"/>
    </w:rPr>
  </w:style>
  <w:style w:type="paragraph" w:styleId="12">
    <w:name w:val="Body Text First Indent 2"/>
    <w:basedOn w:val="7"/>
    <w:next w:val="1"/>
    <w:qFormat/>
    <w:uiPriority w:val="99"/>
    <w:pPr>
      <w:ind w:firstLine="420" w:firstLineChars="200"/>
    </w:pPr>
  </w:style>
  <w:style w:type="table" w:styleId="14">
    <w:name w:val="Table Grid"/>
    <w:basedOn w:val="13"/>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character" w:styleId="17">
    <w:name w:val="FollowedHyperlink"/>
    <w:basedOn w:val="15"/>
    <w:qFormat/>
    <w:uiPriority w:val="0"/>
    <w:rPr>
      <w:color w:val="000000"/>
      <w:u w:val="none"/>
    </w:rPr>
  </w:style>
  <w:style w:type="character" w:styleId="18">
    <w:name w:val="Emphasis"/>
    <w:basedOn w:val="15"/>
    <w:qFormat/>
    <w:uiPriority w:val="0"/>
  </w:style>
  <w:style w:type="character" w:styleId="19">
    <w:name w:val="Hyperlink"/>
    <w:basedOn w:val="15"/>
    <w:qFormat/>
    <w:uiPriority w:val="0"/>
    <w:rPr>
      <w:color w:val="000000"/>
      <w:u w:val="none"/>
    </w:rPr>
  </w:style>
  <w:style w:type="paragraph" w:customStyle="1" w:styleId="20">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21">
    <w:name w:val="样式 标题 3 + (中文) 黑体 小四 非加粗 段前: 7.8 磅 段后: 0 磅 行距: 固定值 20 磅"/>
    <w:basedOn w:val="6"/>
    <w:qFormat/>
    <w:uiPriority w:val="0"/>
    <w:pPr>
      <w:spacing w:line="400" w:lineRule="exact"/>
    </w:pPr>
    <w:rPr>
      <w:rFonts w:eastAsia="黑体" w:cs="宋体"/>
      <w:b w:val="0"/>
      <w:bCs w:val="0"/>
      <w:sz w:val="24"/>
      <w:szCs w:val="20"/>
    </w:rPr>
  </w:style>
  <w:style w:type="character" w:customStyle="1" w:styleId="22">
    <w:name w:val="red"/>
    <w:basedOn w:val="15"/>
    <w:qFormat/>
    <w:uiPriority w:val="0"/>
    <w:rPr>
      <w:color w:val="FF0000"/>
      <w:sz w:val="18"/>
      <w:szCs w:val="18"/>
    </w:rPr>
  </w:style>
  <w:style w:type="character" w:customStyle="1" w:styleId="23">
    <w:name w:val="red1"/>
    <w:basedOn w:val="15"/>
    <w:qFormat/>
    <w:uiPriority w:val="0"/>
    <w:rPr>
      <w:color w:val="FF0000"/>
      <w:sz w:val="18"/>
      <w:szCs w:val="18"/>
    </w:rPr>
  </w:style>
  <w:style w:type="character" w:customStyle="1" w:styleId="24">
    <w:name w:val="red2"/>
    <w:basedOn w:val="15"/>
    <w:qFormat/>
    <w:uiPriority w:val="0"/>
    <w:rPr>
      <w:color w:val="CC0000"/>
    </w:rPr>
  </w:style>
  <w:style w:type="character" w:customStyle="1" w:styleId="25">
    <w:name w:val="red3"/>
    <w:basedOn w:val="15"/>
    <w:qFormat/>
    <w:uiPriority w:val="0"/>
    <w:rPr>
      <w:color w:val="FF0000"/>
    </w:rPr>
  </w:style>
  <w:style w:type="character" w:customStyle="1" w:styleId="26">
    <w:name w:val="hover25"/>
    <w:basedOn w:val="15"/>
    <w:qFormat/>
    <w:uiPriority w:val="0"/>
  </w:style>
  <w:style w:type="character" w:customStyle="1" w:styleId="27">
    <w:name w:val="green"/>
    <w:basedOn w:val="15"/>
    <w:qFormat/>
    <w:uiPriority w:val="0"/>
    <w:rPr>
      <w:color w:val="66AE00"/>
      <w:sz w:val="18"/>
      <w:szCs w:val="18"/>
    </w:rPr>
  </w:style>
  <w:style w:type="character" w:customStyle="1" w:styleId="28">
    <w:name w:val="green1"/>
    <w:basedOn w:val="15"/>
    <w:qFormat/>
    <w:uiPriority w:val="0"/>
    <w:rPr>
      <w:color w:val="66AE00"/>
      <w:sz w:val="18"/>
      <w:szCs w:val="18"/>
    </w:rPr>
  </w:style>
  <w:style w:type="character" w:customStyle="1" w:styleId="29">
    <w:name w:val="blue"/>
    <w:basedOn w:val="15"/>
    <w:qFormat/>
    <w:uiPriority w:val="0"/>
    <w:rPr>
      <w:color w:val="0371C6"/>
      <w:sz w:val="21"/>
      <w:szCs w:val="21"/>
    </w:rPr>
  </w:style>
  <w:style w:type="character" w:customStyle="1" w:styleId="30">
    <w:name w:val="gb-jt"/>
    <w:basedOn w:val="15"/>
    <w:qFormat/>
    <w:uiPriority w:val="0"/>
  </w:style>
  <w:style w:type="character" w:customStyle="1" w:styleId="31">
    <w:name w:val="right"/>
    <w:basedOn w:val="15"/>
    <w:qFormat/>
    <w:uiPriority w:val="0"/>
    <w:rPr>
      <w:color w:val="999999"/>
      <w:sz w:val="18"/>
      <w:szCs w:val="18"/>
    </w:rPr>
  </w:style>
  <w:style w:type="character" w:customStyle="1" w:styleId="32">
    <w:name w:val="标题 2 Char"/>
    <w:basedOn w:val="15"/>
    <w:link w:val="5"/>
    <w:semiHidden/>
    <w:qFormat/>
    <w:uiPriority w:val="0"/>
    <w:rPr>
      <w:rFonts w:asciiTheme="majorHAnsi" w:hAnsiTheme="majorHAnsi" w:eastAsiaTheme="majorEastAsia" w:cstheme="majorBidi"/>
      <w:b/>
      <w:bCs/>
      <w:sz w:val="32"/>
      <w:szCs w:val="32"/>
    </w:rPr>
  </w:style>
  <w:style w:type="character" w:customStyle="1" w:styleId="33">
    <w:name w:val="批注框文本 Char"/>
    <w:basedOn w:val="15"/>
    <w:link w:val="8"/>
    <w:qFormat/>
    <w:uiPriority w:val="0"/>
    <w:rPr>
      <w:rFonts w:ascii="宋体" w:hAnsiTheme="minorHAnsi" w:eastAsiaTheme="minorEastAsia" w:cstheme="minorBidi"/>
      <w:sz w:val="18"/>
      <w:szCs w:val="18"/>
    </w:rPr>
  </w:style>
  <w:style w:type="paragraph" w:customStyle="1" w:styleId="34">
    <w:name w:val="列出段落1"/>
    <w:basedOn w:val="1"/>
    <w:unhideWhenUsed/>
    <w:qFormat/>
    <w:uiPriority w:val="99"/>
    <w:pPr>
      <w:ind w:firstLine="420" w:firstLineChars="200"/>
    </w:pPr>
  </w:style>
  <w:style w:type="character" w:customStyle="1" w:styleId="35">
    <w:name w:val="p0 Char"/>
    <w:link w:val="36"/>
    <w:qFormat/>
    <w:uiPriority w:val="0"/>
  </w:style>
  <w:style w:type="paragraph" w:customStyle="1" w:styleId="36">
    <w:name w:val="p0"/>
    <w:basedOn w:val="1"/>
    <w:link w:val="35"/>
    <w:qFormat/>
    <w:uiPriority w:val="0"/>
    <w:pPr>
      <w:widowControl/>
      <w:spacing w:line="365" w:lineRule="atLeast"/>
      <w:ind w:left="1"/>
    </w:pPr>
    <w:rPr>
      <w:rFonts w:ascii="Times New Roman" w:hAnsi="Times New Roman" w:eastAsia="宋体" w:cs="Times New Roman"/>
      <w:sz w:val="20"/>
      <w:szCs w:val="20"/>
    </w:rPr>
  </w:style>
  <w:style w:type="paragraph" w:customStyle="1" w:styleId="37">
    <w:name w:val="样式 样式 左侧:  2 字符 + 左侧:  0.85 厘米 首行缩进:  2 字符1"/>
    <w:basedOn w:val="1"/>
    <w:qFormat/>
    <w:uiPriority w:val="0"/>
    <w:pPr>
      <w:ind w:left="482" w:firstLine="200" w:firstLineChars="200"/>
    </w:pPr>
    <w:rPr>
      <w:rFonts w:ascii="Times New Roman"/>
      <w:kern w:val="2"/>
      <w:sz w:val="21"/>
    </w:rPr>
  </w:style>
  <w:style w:type="character" w:customStyle="1" w:styleId="38">
    <w:name w:val="hover24"/>
    <w:basedOn w:val="15"/>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60</Pages>
  <Words>30784</Words>
  <Characters>5025</Characters>
  <Lines>41</Lines>
  <Paragraphs>71</Paragraphs>
  <TotalTime>0</TotalTime>
  <ScaleCrop>false</ScaleCrop>
  <LinksUpToDate>false</LinksUpToDate>
  <CharactersWithSpaces>35738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2020-02-28T00:56:00Z</dcterms:created>
  <dc:creator>Administrator</dc:creator>
  <cp:lastModifiedBy>北方的狼</cp:lastModifiedBy>
  <cp:lastPrinted>2020-04-27T08:36:00Z</cp:lastPrinted>
  <dcterms:modified xsi:type="dcterms:W3CDTF">2020-04-28T01:47:35Z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