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autoSpaceDE w:val="0"/>
        <w:autoSpaceDN w:val="0"/>
        <w:adjustRightInd w:val="0"/>
        <w:jc w:val="center"/>
        <w:rPr>
          <w:rFonts w:hAnsi="宋体" w:cs="宋体"/>
          <w:b/>
          <w:sz w:val="48"/>
          <w:szCs w:val="48"/>
        </w:rPr>
      </w:pPr>
      <w:r>
        <w:rPr>
          <w:rFonts w:hint="eastAsia" w:hAnsi="宋体" w:cs="宋体"/>
          <w:b/>
          <w:sz w:val="48"/>
          <w:szCs w:val="48"/>
        </w:rPr>
        <w:t>许昌市魏都区灞陵街道办事处</w:t>
      </w:r>
    </w:p>
    <w:p>
      <w:pPr>
        <w:autoSpaceDE w:val="0"/>
        <w:autoSpaceDN w:val="0"/>
        <w:adjustRightInd w:val="0"/>
        <w:jc w:val="center"/>
        <w:rPr>
          <w:rFonts w:hAnsi="宋体" w:cs="宋体"/>
          <w:b/>
          <w:sz w:val="48"/>
          <w:szCs w:val="48"/>
        </w:rPr>
      </w:pPr>
      <w:r>
        <w:rPr>
          <w:rFonts w:hint="eastAsia" w:hAnsi="宋体" w:cs="宋体"/>
          <w:b/>
          <w:sz w:val="48"/>
          <w:szCs w:val="48"/>
        </w:rPr>
        <w:t>“许昌市老旧小区“四改一增”老街道改造提升项目吴庄社区道路建设工程”</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pStyle w:val="2"/>
        <w:ind w:firstLine="340"/>
      </w:pPr>
    </w:p>
    <w:p>
      <w:pPr>
        <w:autoSpaceDE w:val="0"/>
        <w:autoSpaceDN w:val="0"/>
        <w:adjustRightInd w:val="0"/>
        <w:jc w:val="center"/>
        <w:rPr>
          <w:rFonts w:hint="default" w:hAnsi="宋体" w:cs="宋体" w:eastAsiaTheme="minorEastAsia"/>
          <w:b/>
          <w:sz w:val="32"/>
          <w:szCs w:val="32"/>
          <w:lang w:val="en-US" w:eastAsia="zh-CN"/>
        </w:rPr>
      </w:pPr>
      <w:r>
        <w:rPr>
          <w:rFonts w:hint="eastAsia" w:hAnsi="宋体" w:cs="宋体"/>
          <w:b/>
          <w:sz w:val="32"/>
          <w:szCs w:val="32"/>
        </w:rPr>
        <w:t>项目编号：XCGC-F2020</w:t>
      </w:r>
      <w:r>
        <w:rPr>
          <w:rFonts w:hint="eastAsia" w:hAnsi="宋体" w:cs="宋体"/>
          <w:b/>
          <w:sz w:val="32"/>
          <w:szCs w:val="32"/>
          <w:lang w:val="en-US" w:eastAsia="zh-CN"/>
        </w:rPr>
        <w:t>094</w:t>
      </w:r>
    </w:p>
    <w:p>
      <w:pPr>
        <w:pStyle w:val="2"/>
        <w:ind w:firstLine="340"/>
        <w:jc w:val="center"/>
        <w:rPr>
          <w:rFonts w:hAnsi="宋体" w:cs="黑体"/>
          <w:sz w:val="44"/>
          <w:szCs w:val="44"/>
        </w:rPr>
      </w:pPr>
      <w:r>
        <w:rPr>
          <w:rFonts w:hint="eastAsia"/>
          <w:color w:val="000000" w:themeColor="text1"/>
        </w:rPr>
        <w:t>不见面开标</w:t>
      </w:r>
    </w:p>
    <w:p>
      <w:pPr>
        <w:pStyle w:val="2"/>
        <w:ind w:firstLine="0" w:firstLineChars="0"/>
        <w:jc w:val="center"/>
      </w:pPr>
      <w:r>
        <w:rPr>
          <w:rFonts w:hint="eastAsia"/>
        </w:rPr>
        <w:drawing>
          <wp:inline distT="0" distB="0" distL="114300" distR="114300">
            <wp:extent cx="2054860" cy="2002790"/>
            <wp:effectExtent l="0" t="0" r="2540" b="1651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a:stretch>
                      <a:fillRect/>
                    </a:stretch>
                  </pic:blipFill>
                  <pic:spPr>
                    <a:xfrm>
                      <a:off x="0" y="0"/>
                      <a:ext cx="2054860" cy="2002790"/>
                    </a:xfrm>
                    <a:prstGeom prst="rect">
                      <a:avLst/>
                    </a:prstGeom>
                  </pic:spPr>
                </pic:pic>
              </a:graphicData>
            </a:graphic>
          </wp:inline>
        </w:drawing>
      </w: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pPr>
      <w:r>
        <w:rPr>
          <w:rFonts w:hint="eastAsia" w:hAnsi="宋体" w:cs="宋体"/>
          <w:b/>
          <w:sz w:val="32"/>
          <w:szCs w:val="32"/>
        </w:rPr>
        <w:t>招标单位：许昌市魏都区灞陵街道办事处</w:t>
      </w:r>
    </w:p>
    <w:p>
      <w:pPr>
        <w:jc w:val="center"/>
        <w:rPr>
          <w:rFonts w:hAnsi="宋体" w:cs="宋体"/>
          <w:b/>
          <w:sz w:val="32"/>
          <w:szCs w:val="32"/>
          <w:u w:val="single"/>
        </w:rPr>
      </w:pPr>
      <w:r>
        <w:rPr>
          <w:rFonts w:hint="eastAsia" w:hAnsi="宋体" w:cs="宋体"/>
          <w:b/>
          <w:sz w:val="32"/>
          <w:szCs w:val="32"/>
        </w:rPr>
        <w:t>代理机构：北京东方华太工程咨询有限公司</w:t>
      </w:r>
    </w:p>
    <w:p>
      <w:pPr>
        <w:jc w:val="center"/>
        <w:rPr>
          <w:rFonts w:hAnsi="宋体" w:cs="黑体"/>
          <w:b/>
          <w:sz w:val="32"/>
          <w:szCs w:val="32"/>
        </w:rPr>
      </w:pPr>
      <w:r>
        <w:rPr>
          <w:rFonts w:hint="eastAsia" w:hAnsi="宋体" w:cs="黑体"/>
          <w:b/>
          <w:sz w:val="32"/>
          <w:szCs w:val="32"/>
        </w:rPr>
        <w:t>二〇二〇年四月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p>
    <w:p>
      <w:pPr>
        <w:tabs>
          <w:tab w:val="left" w:pos="3185"/>
          <w:tab w:val="center" w:pos="5452"/>
        </w:tabs>
        <w:snapToGrid w:val="0"/>
        <w:spacing w:beforeLines="50"/>
        <w:jc w:val="center"/>
        <w:rPr>
          <w:rFonts w:hAnsi="宋体" w:cs="黑体"/>
          <w:b/>
          <w:sz w:val="36"/>
          <w:szCs w:val="36"/>
        </w:rPr>
      </w:pPr>
      <w:bookmarkStart w:id="82" w:name="_GoBack"/>
      <w:r>
        <w:rPr>
          <w:rFonts w:hint="eastAsia" w:hAnsi="宋体" w:cs="黑体"/>
          <w:b/>
          <w:sz w:val="36"/>
          <w:szCs w:val="36"/>
        </w:rPr>
        <w:t>XCGC-F2020</w:t>
      </w:r>
      <w:r>
        <w:rPr>
          <w:rFonts w:hint="eastAsia" w:hAnsi="宋体" w:cs="黑体"/>
          <w:b/>
          <w:sz w:val="36"/>
          <w:szCs w:val="36"/>
          <w:lang w:val="en-US" w:eastAsia="zh-CN"/>
        </w:rPr>
        <w:t>094</w:t>
      </w:r>
      <w:r>
        <w:rPr>
          <w:rFonts w:hint="eastAsia" w:hAnsi="宋体" w:cs="黑体"/>
          <w:b/>
          <w:sz w:val="36"/>
          <w:szCs w:val="36"/>
        </w:rPr>
        <w:t xml:space="preserve">  许昌市魏都区灞陵街道办事处</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“许昌市老旧小区“四改一增”老街道改造提升项目吴庄社区道路建设工程”（不见面开标）招标公告</w:t>
      </w:r>
    </w:p>
    <w:p>
      <w:pPr>
        <w:widowControl/>
        <w:numPr>
          <w:ilvl w:val="0"/>
          <w:numId w:val="2"/>
        </w:numPr>
        <w:spacing w:line="312" w:lineRule="auto"/>
        <w:rPr>
          <w:rFonts w:hAnsi="宋体"/>
          <w:b/>
          <w:sz w:val="24"/>
        </w:rPr>
      </w:pPr>
      <w:r>
        <w:rPr>
          <w:rFonts w:hint="eastAsia" w:hAnsi="宋体"/>
          <w:b/>
          <w:sz w:val="24"/>
        </w:rPr>
        <w:t>招标条件</w:t>
      </w:r>
    </w:p>
    <w:p>
      <w:pPr>
        <w:widowControl/>
        <w:spacing w:line="312" w:lineRule="auto"/>
        <w:ind w:firstLine="480" w:firstLineChars="200"/>
        <w:rPr>
          <w:rFonts w:hAnsi="宋体"/>
          <w:sz w:val="24"/>
          <w:szCs w:val="24"/>
        </w:rPr>
      </w:pPr>
      <w:r>
        <w:rPr>
          <w:rFonts w:hint="eastAsia" w:hAnsi="宋体"/>
          <w:sz w:val="24"/>
        </w:rPr>
        <w:t>许昌市老旧小区“四改一增”老街道改造提升项目吴庄社区道路建设工程，已由许昌市魏都区发展和改革委员会以许魏发改【2020】19号文批准建设，建设资金已落实。招标人为许昌市魏都区灞陵街道办事处，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Theme="minorEastAsia"/>
          <w:sz w:val="24"/>
          <w:szCs w:val="24"/>
          <w:lang w:val="en-US" w:eastAsia="zh-CN"/>
        </w:rPr>
      </w:pPr>
      <w:r>
        <w:rPr>
          <w:rFonts w:hint="eastAsia" w:hAnsi="宋体"/>
          <w:sz w:val="24"/>
        </w:rPr>
        <w:t xml:space="preserve">    2.1项目编号</w:t>
      </w:r>
      <w:r>
        <w:rPr>
          <w:rFonts w:hint="eastAsia" w:hAnsi="宋体"/>
          <w:sz w:val="24"/>
          <w:szCs w:val="24"/>
        </w:rPr>
        <w:t>：XCGC-F2020</w:t>
      </w:r>
      <w:r>
        <w:rPr>
          <w:rFonts w:hint="eastAsia" w:hAnsi="宋体"/>
          <w:sz w:val="24"/>
          <w:szCs w:val="24"/>
          <w:lang w:val="en-US" w:eastAsia="zh-CN"/>
        </w:rPr>
        <w:t>094</w:t>
      </w:r>
    </w:p>
    <w:p>
      <w:pPr>
        <w:widowControl/>
        <w:spacing w:line="312" w:lineRule="auto"/>
        <w:ind w:firstLine="480" w:firstLineChars="200"/>
        <w:rPr>
          <w:rFonts w:hAnsi="宋体"/>
          <w:sz w:val="24"/>
        </w:rPr>
      </w:pPr>
      <w:r>
        <w:rPr>
          <w:rFonts w:hint="eastAsia" w:hAnsi="宋体"/>
          <w:sz w:val="24"/>
        </w:rPr>
        <w:t>2.2项目建设地点：本项目位于许昌市魏都区。</w:t>
      </w:r>
    </w:p>
    <w:p>
      <w:pPr>
        <w:widowControl/>
        <w:spacing w:line="312" w:lineRule="auto"/>
        <w:ind w:firstLine="480" w:firstLineChars="200"/>
        <w:rPr>
          <w:rFonts w:hAnsi="宋体"/>
          <w:sz w:val="24"/>
        </w:rPr>
      </w:pPr>
      <w:r>
        <w:rPr>
          <w:rFonts w:hint="eastAsia" w:hAnsi="宋体"/>
          <w:sz w:val="24"/>
        </w:rPr>
        <w:t>2.3工程概况：</w:t>
      </w:r>
      <w:r>
        <w:rPr>
          <w:rFonts w:hint="eastAsia" w:hAnsi="宋体" w:cs="宋体"/>
          <w:sz w:val="24"/>
          <w:szCs w:val="28"/>
        </w:rPr>
        <w:t>项目位于许昌市魏都区，本项目主要包括混凝土路面的拆除及恢复，植草护坡、道路两侧立面整治及新增单臂LED太阳能路灯照明工程等</w:t>
      </w:r>
      <w:r>
        <w:rPr>
          <w:rFonts w:hint="eastAsia" w:hAnsi="宋体"/>
          <w:sz w:val="24"/>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2.5标段划分：本工程共设一个标段。</w:t>
      </w:r>
    </w:p>
    <w:p>
      <w:pPr>
        <w:spacing w:line="360" w:lineRule="auto"/>
        <w:ind w:firstLine="480"/>
        <w:rPr>
          <w:rFonts w:hAnsi="宋体"/>
          <w:sz w:val="24"/>
        </w:rPr>
      </w:pPr>
      <w:r>
        <w:rPr>
          <w:rFonts w:hint="eastAsia" w:hAnsi="宋体"/>
          <w:sz w:val="24"/>
        </w:rPr>
        <w:t>2.6招标控制价:434413.81元。</w:t>
      </w:r>
    </w:p>
    <w:p>
      <w:pPr>
        <w:widowControl/>
        <w:spacing w:line="300" w:lineRule="auto"/>
        <w:ind w:firstLine="480"/>
        <w:rPr>
          <w:rFonts w:hAnsi="宋体"/>
          <w:sz w:val="24"/>
        </w:rPr>
      </w:pPr>
      <w:r>
        <w:rPr>
          <w:rFonts w:hint="eastAsia" w:hAnsi="宋体"/>
          <w:sz w:val="24"/>
        </w:rPr>
        <w:t>2.7计划工</w:t>
      </w:r>
      <w:r>
        <w:rPr>
          <w:rFonts w:hint="eastAsia" w:hAnsi="宋体" w:eastAsia="宋体" w:cs="Times New Roman"/>
          <w:sz w:val="24"/>
          <w:szCs w:val="24"/>
        </w:rPr>
        <w:t>期：30日历天。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1"/>
        <w:spacing w:beforeAutospacing="0" w:afterAutospacing="0" w:line="360" w:lineRule="auto"/>
        <w:ind w:firstLine="480" w:firstLineChars="200"/>
        <w:contextualSpacing/>
        <w:jc w:val="both"/>
        <w:rPr>
          <w:rFonts w:cs="Times New Roman"/>
          <w:szCs w:val="24"/>
        </w:rPr>
      </w:pPr>
      <w:r>
        <w:rPr>
          <w:rFonts w:hint="eastAsia" w:cs="Times New Roman"/>
          <w:szCs w:val="24"/>
        </w:rPr>
        <w:t>3.1投标人须具有市政公用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11"/>
        <w:spacing w:beforeAutospacing="0" w:afterAutospacing="0" w:line="360" w:lineRule="auto"/>
        <w:ind w:firstLine="480" w:firstLineChars="200"/>
        <w:contextualSpacing/>
        <w:jc w:val="both"/>
        <w:rPr>
          <w:rFonts w:cs="Times New Roman"/>
          <w:szCs w:val="24"/>
        </w:rPr>
      </w:pPr>
      <w:r>
        <w:rPr>
          <w:rFonts w:hint="eastAsia" w:cs="Times New Roman"/>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Autospacing="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11"/>
        <w:spacing w:beforeAutospacing="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 xml:space="preserve"> 300 </w:t>
      </w:r>
      <w:r>
        <w:rPr>
          <w:rFonts w:hint="eastAsia" w:hAnsi="宋体"/>
          <w:bCs/>
          <w:color w:val="000000" w:themeColor="text1"/>
          <w:sz w:val="24"/>
        </w:rPr>
        <w:t>元，投标人于开标结束后转账至支付宝账户：13703741655（转账时请注明项目编号、标段及公司名称）。</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rPr>
        <w:t>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sz w:val="24"/>
        </w:rPr>
      </w:pPr>
      <w:r>
        <w:rPr>
          <w:rFonts w:hint="eastAsia" w:hAnsi="宋体"/>
          <w:bCs/>
          <w:sz w:val="24"/>
        </w:rPr>
        <w:t>6.2 投标截止时间及开标时间：2020年</w:t>
      </w:r>
      <w:r>
        <w:rPr>
          <w:rFonts w:hint="eastAsia" w:hAnsi="宋体"/>
          <w:bCs/>
          <w:sz w:val="24"/>
          <w:lang w:val="en-US" w:eastAsia="zh-CN"/>
        </w:rPr>
        <w:t>5</w:t>
      </w:r>
      <w:r>
        <w:rPr>
          <w:rFonts w:hint="eastAsia" w:hAnsi="宋体"/>
          <w:bCs/>
          <w:sz w:val="24"/>
        </w:rPr>
        <w:t xml:space="preserve"> 月</w:t>
      </w:r>
      <w:r>
        <w:rPr>
          <w:rFonts w:hint="eastAsia" w:hAnsi="宋体"/>
          <w:bCs/>
          <w:sz w:val="24"/>
          <w:lang w:val="en-US" w:eastAsia="zh-CN"/>
        </w:rPr>
        <w:t>21</w:t>
      </w:r>
      <w:r>
        <w:rPr>
          <w:rFonts w:hint="eastAsia" w:hAnsi="宋体"/>
          <w:bCs/>
          <w:sz w:val="24"/>
        </w:rPr>
        <w:t xml:space="preserve"> 日8时30分。</w:t>
      </w:r>
    </w:p>
    <w:p>
      <w:pPr>
        <w:widowControl/>
        <w:spacing w:line="360" w:lineRule="auto"/>
        <w:ind w:firstLine="480" w:firstLineChars="200"/>
        <w:rPr>
          <w:rFonts w:hAnsi="宋体"/>
          <w:bCs/>
          <w:color w:val="FF0000"/>
          <w:sz w:val="24"/>
        </w:rPr>
      </w:pPr>
      <w:r>
        <w:rPr>
          <w:rFonts w:hint="eastAsia" w:hAnsi="宋体"/>
          <w:bCs/>
          <w:sz w:val="24"/>
        </w:rPr>
        <w:t>6.3招标人（代理机构）线上开标地点：许昌市公共资源交易中心（龙兴路与竹林路交汇处创业服务中心C 座）三楼开标</w:t>
      </w:r>
      <w:r>
        <w:rPr>
          <w:rFonts w:hint="eastAsia" w:hAnsi="宋体"/>
          <w:bCs/>
          <w:sz w:val="24"/>
          <w:lang w:val="en-US" w:eastAsia="zh-CN"/>
        </w:rPr>
        <w:t>四</w:t>
      </w:r>
      <w:r>
        <w:rPr>
          <w:rFonts w:hint="eastAsia" w:hAnsi="宋体"/>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招 标 人：许昌市魏都区灞陵街道办事处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地    址：许昌市魏都区许继大道</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人：朱先生</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联系电话：18839937589</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rPr>
        <w:t>北京东方华太工程咨询有限公司</w:t>
      </w:r>
    </w:p>
    <w:p>
      <w:pPr>
        <w:widowControl/>
        <w:spacing w:line="560" w:lineRule="exact"/>
        <w:rPr>
          <w:rFonts w:hAnsi="宋体"/>
          <w:color w:val="000000" w:themeColor="text1"/>
          <w:sz w:val="24"/>
        </w:rPr>
      </w:pPr>
      <w:r>
        <w:rPr>
          <w:rFonts w:hint="eastAsia" w:hAnsi="宋体"/>
          <w:color w:val="000000" w:themeColor="text1"/>
          <w:sz w:val="24"/>
        </w:rPr>
        <w:t xml:space="preserve">  地    址：许昌市万象春天1号楼</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人：陈女士</w:t>
      </w:r>
    </w:p>
    <w:p>
      <w:pPr>
        <w:widowControl/>
        <w:spacing w:line="560" w:lineRule="exact"/>
        <w:ind w:firstLine="240" w:firstLineChars="100"/>
        <w:rPr>
          <w:rFonts w:hAnsi="宋体" w:cs="宋体"/>
          <w:color w:val="000000" w:themeColor="text1"/>
          <w:sz w:val="24"/>
          <w:szCs w:val="24"/>
        </w:rPr>
      </w:pPr>
      <w:r>
        <w:rPr>
          <w:rFonts w:hint="eastAsia" w:hAnsi="宋体"/>
          <w:color w:val="000000" w:themeColor="text1"/>
          <w:sz w:val="24"/>
        </w:rPr>
        <w:t>联系电话：13703741655</w:t>
      </w:r>
    </w:p>
    <w:p>
      <w:pPr>
        <w:spacing w:line="440" w:lineRule="exact"/>
        <w:rPr>
          <w:rFonts w:hAnsi="宋体"/>
          <w:b/>
          <w:color w:val="000000" w:themeColor="text1"/>
          <w:sz w:val="28"/>
          <w:szCs w:val="28"/>
        </w:rPr>
      </w:pPr>
    </w:p>
    <w:p>
      <w:pPr>
        <w:spacing w:line="560" w:lineRule="exact"/>
        <w:ind w:firstLine="240" w:firstLineChars="100"/>
        <w:jc w:val="right"/>
        <w:rPr>
          <w:rFonts w:hAnsi="宋体" w:cs="宋体"/>
          <w:color w:val="000000" w:themeColor="text1"/>
          <w:sz w:val="24"/>
          <w:szCs w:val="24"/>
        </w:rPr>
      </w:pPr>
      <w:r>
        <w:rPr>
          <w:rFonts w:hint="eastAsia" w:hAnsi="宋体" w:cs="宋体"/>
          <w:color w:val="000000" w:themeColor="text1"/>
          <w:sz w:val="24"/>
        </w:rPr>
        <w:t>许昌市魏都区灞陵街道办事处</w:t>
      </w:r>
    </w:p>
    <w:p>
      <w:pPr>
        <w:spacing w:line="560" w:lineRule="exact"/>
        <w:ind w:firstLine="240" w:firstLineChars="100"/>
        <w:jc w:val="right"/>
        <w:rPr>
          <w:rFonts w:hAnsi="宋体" w:cs="宋体"/>
          <w:color w:val="FF0000"/>
          <w:sz w:val="24"/>
          <w:szCs w:val="24"/>
        </w:rPr>
      </w:pPr>
      <w:r>
        <w:rPr>
          <w:rFonts w:hint="eastAsia" w:hAnsi="宋体" w:cs="宋体"/>
          <w:sz w:val="24"/>
          <w:szCs w:val="24"/>
        </w:rPr>
        <w:t>2020年4月</w:t>
      </w:r>
      <w:r>
        <w:rPr>
          <w:rFonts w:hint="eastAsia" w:hAnsi="宋体" w:cs="宋体"/>
          <w:sz w:val="24"/>
          <w:szCs w:val="24"/>
          <w:lang w:val="en-US" w:eastAsia="zh-CN"/>
        </w:rPr>
        <w:t>26</w:t>
      </w:r>
      <w:r>
        <w:rPr>
          <w:rFonts w:hint="eastAsia" w:hAnsi="宋体" w:cs="宋体"/>
          <w:sz w:val="24"/>
          <w:szCs w:val="24"/>
        </w:rPr>
        <w:t>日</w:t>
      </w:r>
    </w:p>
    <w:bookmarkEnd w:id="82"/>
    <w:p>
      <w:pPr>
        <w:rPr>
          <w:rFonts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4.1.2提交后再次登录</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 标 人：许昌市魏都区灞陵街道办事处　</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地    址：许昌市魏都区许继大道</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 系 人：朱先生</w:t>
            </w:r>
          </w:p>
          <w:p>
            <w:pPr>
              <w:autoSpaceDE w:val="0"/>
              <w:autoSpaceDN w:val="0"/>
              <w:adjustRightInd w:val="0"/>
              <w:spacing w:line="420" w:lineRule="exact"/>
              <w:jc w:val="left"/>
              <w:rPr>
                <w:rFonts w:hAnsi="宋体" w:eastAsia="宋体" w:cs="宋体"/>
                <w:color w:val="000000" w:themeColor="text1"/>
                <w:sz w:val="24"/>
                <w:szCs w:val="24"/>
              </w:rPr>
            </w:pPr>
            <w:r>
              <w:rPr>
                <w:rFonts w:hint="eastAsia" w:hAnsi="宋体" w:eastAsia="宋体" w:cs="宋体"/>
                <w:color w:val="000000" w:themeColor="text1"/>
                <w:sz w:val="24"/>
              </w:rPr>
              <w:t>联系电话：18839937589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招标代理机构名称：北京东方华太工程咨询有限公司</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地    址：许昌市万象春天1号楼</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 系 人：陈女士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Ansi="宋体" w:cs="宋体"/>
                <w:b/>
                <w:color w:val="000000" w:themeColor="text1"/>
                <w:sz w:val="30"/>
                <w:szCs w:val="30"/>
              </w:rPr>
            </w:pPr>
            <w:r>
              <w:rPr>
                <w:rFonts w:hint="eastAsia" w:hAnsi="宋体" w:cs="宋体"/>
                <w:sz w:val="24"/>
                <w:szCs w:val="28"/>
              </w:rPr>
              <w:t>许昌市老旧小区“四改一增”老街道改造提升项目吴庄社区道路建设工程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2020年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21</w:t>
            </w:r>
            <w:r>
              <w:rPr>
                <w:rFonts w:hint="eastAsia" w:hAnsi="宋体" w:cs="宋体"/>
                <w:sz w:val="24"/>
                <w:szCs w:val="24"/>
              </w:rPr>
              <w:t xml:space="preserve"> 日8时30分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_Hlk424659721"/>
            <w:bookmarkStart w:id="4" w:name="OLE_LINK3"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金额：捌仟伍佰元整</w:t>
            </w:r>
            <w:r>
              <w:rPr>
                <w:rFonts w:hint="eastAsia" w:hAnsi="宋体" w:cs="仿宋_GB2312"/>
                <w:b/>
                <w:bCs/>
                <w:sz w:val="24"/>
              </w:rPr>
              <w:t>（￥8500元）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sz w:val="24"/>
              </w:rPr>
              <w:t>再次</w:t>
            </w:r>
            <w:r>
              <w:rPr>
                <w:rFonts w:hint="eastAsia" w:hAnsi="宋体" w:cs="宋体"/>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sz w:val="24"/>
                <w:lang w:val="zh-CN"/>
              </w:rPr>
              <w:t>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rPr>
              <w:t>即本项目投保保证金</w:t>
            </w:r>
            <w:r>
              <w:rPr>
                <w:rFonts w:hint="eastAsia" w:hAnsi="宋体" w:cs="宋体"/>
                <w:color w:val="000000" w:themeColor="text1"/>
                <w:sz w:val="24"/>
                <w:lang w:val="zh-CN"/>
              </w:rPr>
              <w:t>“许昌</w:t>
            </w:r>
            <w:r>
              <w:rPr>
                <w:rFonts w:hint="eastAsia" w:hAnsi="宋体" w:cs="宋体"/>
                <w:sz w:val="24"/>
                <w:lang w:val="zh-CN"/>
              </w:rPr>
              <w:t>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cs="仿宋_GB2312"/>
                <w:sz w:val="24"/>
              </w:rPr>
              <w:t>近年，指2016、2017、2018年或2017、2018、2019年。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cs="仿宋_GB2312"/>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sz w:val="24"/>
                <w:szCs w:val="24"/>
              </w:rPr>
              <w:t>C 座）三楼开标</w:t>
            </w:r>
            <w:r>
              <w:rPr>
                <w:rFonts w:hint="eastAsia" w:hAnsi="宋体" w:cs="宋体"/>
                <w:sz w:val="24"/>
                <w:szCs w:val="24"/>
                <w:lang w:val="en-US" w:eastAsia="zh-CN"/>
              </w:rPr>
              <w:t>四</w:t>
            </w:r>
            <w:r>
              <w:rPr>
                <w:rFonts w:hint="eastAsia" w:hAnsi="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Ansi="宋体"/>
                <w:sz w:val="24"/>
              </w:rPr>
            </w:pPr>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4"/>
              </w:rPr>
            </w:pPr>
            <w:r>
              <w:rPr>
                <w:rFonts w:hint="eastAsia" w:hAnsi="宋体" w:cs="TimesNewRomanPSMT"/>
                <w:sz w:val="24"/>
              </w:rPr>
              <w:t>指2017年1月1日以来承接过的市政公用工程建设项目。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b/>
                <w:bCs/>
                <w:sz w:val="24"/>
              </w:rPr>
            </w:pPr>
            <w:r>
              <w:rPr>
                <w:rFonts w:hint="eastAsia" w:hAnsi="宋体" w:cs="宋体"/>
                <w:b/>
                <w:bCs/>
                <w:sz w:val="24"/>
              </w:rPr>
              <w:t>大写：肆拾叁万肆仟肆佰壹拾叁元捌角壹分</w:t>
            </w:r>
          </w:p>
          <w:p>
            <w:pPr>
              <w:keepNext/>
              <w:spacing w:line="276" w:lineRule="auto"/>
              <w:rPr>
                <w:b/>
                <w:bCs/>
              </w:rPr>
            </w:pPr>
            <w:r>
              <w:rPr>
                <w:rFonts w:hint="eastAsia" w:hAnsi="宋体" w:cs="宋体"/>
                <w:b/>
                <w:bCs/>
                <w:sz w:val="24"/>
              </w:rPr>
              <w:t>小写：434413.81元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sz w:val="24"/>
              </w:rPr>
              <w:t>人采用银行转账方式提交投标保证金的，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44974503"/>
      <w:bookmarkStart w:id="7" w:name="_Toc152045535"/>
      <w:bookmarkStart w:id="8" w:name="_Toc179632552"/>
      <w:bookmarkStart w:id="9" w:name="_Toc152042311"/>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52045536"/>
      <w:bookmarkStart w:id="11" w:name="_Toc179632553"/>
      <w:bookmarkStart w:id="12" w:name="_Toc152042312"/>
      <w:bookmarkStart w:id="13" w:name="_Toc144974504"/>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79632554"/>
      <w:bookmarkStart w:id="17" w:name="_Toc152045537"/>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5538"/>
      <w:bookmarkStart w:id="19" w:name="_Toc144974506"/>
      <w:bookmarkStart w:id="20" w:name="_Toc152042314"/>
      <w:bookmarkStart w:id="21" w:name="_Toc179632555"/>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44974514"/>
      <w:bookmarkStart w:id="30" w:name="_Toc152042322"/>
      <w:bookmarkStart w:id="31" w:name="_Toc152045546"/>
      <w:bookmarkStart w:id="32" w:name="_Toc17963256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sz w:val="24"/>
        </w:rPr>
        <w:t>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投标保证金提交：按《投标人须知前附表》3.4.2条规定。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rPr>
        <w:t>提交</w:t>
      </w:r>
      <w:r>
        <w:rPr>
          <w:rFonts w:hint="eastAsia" w:ascii="新宋体" w:hAnsi="新宋体" w:eastAsia="新宋体" w:cs="仿宋_GB2312"/>
          <w:color w:val="000000" w:themeColor="text1"/>
          <w:sz w:val="24"/>
          <w:lang w:val="zh-CN"/>
        </w:rPr>
        <w:t>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rPr>
        <w:t>规定</w:t>
      </w:r>
      <w:r>
        <w:rPr>
          <w:rFonts w:hint="eastAsia" w:ascii="新宋体" w:hAnsi="新宋体" w:eastAsia="新宋体" w:cs="仿宋_GB2312"/>
          <w:color w:val="000000" w:themeColor="text1"/>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3.5.1 </w:t>
      </w:r>
      <w:r>
        <w:rPr>
          <w:rFonts w:hint="eastAsia" w:hAnsi="宋体" w:cs="宋体"/>
          <w:sz w:val="24"/>
          <w:lang w:val="zh-CN"/>
        </w:rPr>
        <w:t>“投标人基本情况表”应附投标人营业执照副本、资质证书副本和安全生产许可证等材料的原件扫描件</w:t>
      </w:r>
      <w:r>
        <w:rPr>
          <w:rFonts w:hint="eastAsia" w:hAnsi="宋体" w:cs="宋体"/>
          <w:sz w:val="24"/>
        </w:rPr>
        <w:t>。</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3.5.2 </w:t>
      </w:r>
      <w:r>
        <w:rPr>
          <w:rFonts w:hint="eastAsia" w:hAnsi="宋体" w:cs="宋体"/>
          <w:sz w:val="24"/>
          <w:lang w:val="zh-CN"/>
        </w:rPr>
        <w:t>“近年财务状况表”应附经会计师事务所或审计机构审计的财务会计报表，包括资产负债表、现金流量表、利润表等的原件扫描件，具体年份要求见投标人须知前附表。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Ansi="宋体" w:cs="宋体"/>
          <w:b/>
          <w:bCs/>
          <w:color w:val="000000" w:themeColor="text1"/>
          <w:sz w:val="24"/>
        </w:rPr>
      </w:pPr>
      <w:r>
        <w:rPr>
          <w:rFonts w:hint="eastAsia" w:hAnsi="宋体" w:cs="宋体"/>
          <w:b/>
          <w:bCs/>
          <w:color w:val="000000" w:themeColor="text1"/>
          <w:sz w:val="24"/>
        </w:rPr>
        <w:t>注：具体评审内容依据第三章评标办法。</w:t>
      </w:r>
    </w:p>
    <w:p>
      <w:pPr>
        <w:autoSpaceDE w:val="0"/>
        <w:autoSpaceDN w:val="0"/>
        <w:jc w:val="left"/>
        <w:rPr>
          <w:rFonts w:hAnsi="宋体" w:cs="宋体"/>
          <w:b/>
          <w:color w:val="000000" w:themeColor="text1"/>
          <w:sz w:val="24"/>
        </w:rPr>
      </w:pPr>
      <w:r>
        <w:rPr>
          <w:rFonts w:hint="eastAsia" w:hAnsi="宋体" w:cs="宋体"/>
          <w:b/>
          <w:color w:val="000000" w:themeColor="text1"/>
          <w:sz w:val="24"/>
        </w:rPr>
        <w:t xml:space="preserve">3.6 </w:t>
      </w:r>
      <w:bookmarkStart w:id="37" w:name="_Toc152045553"/>
      <w:bookmarkStart w:id="38" w:name="_Toc152042329"/>
      <w:bookmarkStart w:id="39" w:name="_Toc144974521"/>
      <w:bookmarkStart w:id="40" w:name="_Toc17963257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Ansi="宋体"/>
          <w:sz w:val="24"/>
        </w:rPr>
      </w:pPr>
      <w:bookmarkStart w:id="45" w:name="_Toc283559970"/>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Ansi="宋体"/>
          <w:sz w:val="24"/>
        </w:rPr>
      </w:pPr>
      <w:r>
        <w:rPr>
          <w:rFonts w:hint="eastAsia" w:hAnsi="宋体"/>
          <w:sz w:val="24"/>
        </w:rPr>
        <w:t>（6）招标人（代理机构）签章并上传《开标记录表》，不见面开标活动结束。</w:t>
      </w:r>
    </w:p>
    <w:p>
      <w:pPr>
        <w:pStyle w:val="20"/>
        <w:spacing w:line="440" w:lineRule="exact"/>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2345"/>
      <w:bookmarkStart w:id="53" w:name="_Toc152045569"/>
      <w:bookmarkStart w:id="54" w:name="_Toc179632587"/>
      <w:bookmarkStart w:id="55" w:name="_Toc14497453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投标文件是否对招标文件的实质性要求和条件作出响</w:t>
      </w:r>
      <w:r>
        <w:rPr>
          <w:rFonts w:hint="eastAsia" w:ascii="新宋体" w:hAnsi="新宋体" w:eastAsia="新宋体" w:cs="宋体"/>
          <w:bCs/>
          <w:sz w:val="24"/>
        </w:rPr>
        <w:t>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pStyle w:val="37"/>
        <w:numPr>
          <w:ilvl w:val="0"/>
          <w:numId w:val="5"/>
        </w:numPr>
        <w:snapToGrid w:val="0"/>
        <w:spacing w:line="360" w:lineRule="auto"/>
        <w:ind w:firstLineChars="0"/>
        <w:rPr>
          <w:rFonts w:hint="eastAsia" w:hAnsi="宋体" w:cs="宋体"/>
          <w:b/>
          <w:sz w:val="24"/>
        </w:rPr>
      </w:pPr>
      <w:r>
        <w:rPr>
          <w:rFonts w:hint="eastAsia" w:hAnsi="宋体" w:cs="宋体"/>
          <w:b/>
          <w:sz w:val="24"/>
        </w:rPr>
        <w:t>技术标（25分）</w:t>
      </w:r>
    </w:p>
    <w:tbl>
      <w:tblPr>
        <w:tblStyle w:val="1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vAlign w:val="center"/>
          </w:tcPr>
          <w:p>
            <w:pPr>
              <w:jc w:val="center"/>
              <w:rPr>
                <w:rFonts w:ascii="新宋体" w:hAnsi="新宋体" w:eastAsia="新宋体"/>
                <w:b/>
                <w:sz w:val="24"/>
              </w:rPr>
            </w:pPr>
            <w:r>
              <w:rPr>
                <w:rFonts w:hint="eastAsia" w:ascii="新宋体" w:hAnsi="新宋体" w:eastAsia="新宋体"/>
                <w:b/>
                <w:sz w:val="24"/>
              </w:rPr>
              <w:t>序号</w:t>
            </w:r>
          </w:p>
        </w:tc>
        <w:tc>
          <w:tcPr>
            <w:tcW w:w="1123" w:type="dxa"/>
            <w:vAlign w:val="center"/>
          </w:tcPr>
          <w:p>
            <w:pPr>
              <w:jc w:val="center"/>
              <w:rPr>
                <w:rFonts w:ascii="新宋体" w:hAnsi="新宋体" w:eastAsia="新宋体"/>
                <w:b/>
                <w:sz w:val="24"/>
              </w:rPr>
            </w:pPr>
            <w:r>
              <w:rPr>
                <w:rFonts w:hint="eastAsia" w:ascii="新宋体" w:hAnsi="新宋体" w:eastAsia="新宋体"/>
                <w:b/>
                <w:sz w:val="24"/>
              </w:rPr>
              <w:t>内容</w:t>
            </w:r>
          </w:p>
        </w:tc>
        <w:tc>
          <w:tcPr>
            <w:tcW w:w="980" w:type="dxa"/>
            <w:vAlign w:val="center"/>
          </w:tcPr>
          <w:p>
            <w:pPr>
              <w:jc w:val="center"/>
              <w:rPr>
                <w:rFonts w:ascii="新宋体" w:hAnsi="新宋体" w:eastAsia="新宋体"/>
                <w:b/>
                <w:sz w:val="24"/>
              </w:rPr>
            </w:pPr>
            <w:r>
              <w:rPr>
                <w:rFonts w:hint="eastAsia" w:ascii="新宋体" w:hAnsi="新宋体" w:eastAsia="新宋体"/>
                <w:b/>
                <w:sz w:val="24"/>
              </w:rPr>
              <w:t>分值</w:t>
            </w:r>
          </w:p>
        </w:tc>
        <w:tc>
          <w:tcPr>
            <w:tcW w:w="5344" w:type="dxa"/>
            <w:vAlign w:val="center"/>
          </w:tcPr>
          <w:p>
            <w:pPr>
              <w:jc w:val="center"/>
              <w:rPr>
                <w:rFonts w:ascii="新宋体" w:hAnsi="新宋体" w:eastAsia="新宋体"/>
                <w:b/>
                <w:sz w:val="24"/>
              </w:rPr>
            </w:pPr>
            <w:r>
              <w:rPr>
                <w:rFonts w:hint="eastAsia" w:ascii="新宋体" w:hAnsi="新宋体" w:eastAsia="新宋体"/>
                <w:b/>
                <w:sz w:val="24"/>
              </w:rPr>
              <w:t>评审标准</w:t>
            </w:r>
          </w:p>
        </w:tc>
        <w:tc>
          <w:tcPr>
            <w:tcW w:w="1241" w:type="dxa"/>
            <w:vAlign w:val="center"/>
          </w:tcPr>
          <w:p>
            <w:pPr>
              <w:jc w:val="center"/>
              <w:rPr>
                <w:rFonts w:ascii="新宋体" w:hAnsi="新宋体" w:eastAsia="新宋体"/>
                <w:b/>
                <w:sz w:val="24"/>
              </w:rPr>
            </w:pPr>
            <w:r>
              <w:rPr>
                <w:rFonts w:hint="eastAsia" w:ascii="新宋体" w:hAnsi="新宋体" w:eastAsia="新宋体"/>
                <w:b/>
                <w:sz w:val="24"/>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1</w:t>
            </w:r>
          </w:p>
        </w:tc>
        <w:tc>
          <w:tcPr>
            <w:tcW w:w="1123" w:type="dxa"/>
            <w:vMerge w:val="restart"/>
            <w:vAlign w:val="center"/>
          </w:tcPr>
          <w:p>
            <w:pPr>
              <w:jc w:val="center"/>
              <w:rPr>
                <w:rFonts w:ascii="新宋体" w:hAnsi="新宋体" w:eastAsia="新宋体"/>
                <w:bCs/>
                <w:sz w:val="24"/>
              </w:rPr>
            </w:pPr>
            <w:r>
              <w:rPr>
                <w:rFonts w:hint="eastAsia" w:ascii="新宋体" w:hAnsi="新宋体" w:eastAsia="新宋体"/>
                <w:bCs/>
                <w:sz w:val="24"/>
              </w:rPr>
              <w:t>内容完整性</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0-0.5</w:t>
            </w:r>
            <w:r>
              <w:rPr>
                <w:rFonts w:hint="eastAsia" w:ascii="新宋体" w:hAnsi="新宋体" w:eastAsia="新宋体"/>
                <w:bCs/>
                <w:sz w:val="24"/>
              </w:rPr>
              <w:t>分</w:t>
            </w:r>
          </w:p>
        </w:tc>
        <w:tc>
          <w:tcPr>
            <w:tcW w:w="5344" w:type="dxa"/>
            <w:vAlign w:val="center"/>
          </w:tcPr>
          <w:p>
            <w:pPr>
              <w:jc w:val="center"/>
              <w:rPr>
                <w:rFonts w:ascii="新宋体" w:hAnsi="新宋体" w:eastAsia="新宋体"/>
                <w:bCs/>
                <w:sz w:val="24"/>
              </w:rPr>
            </w:pPr>
            <w:r>
              <w:rPr>
                <w:rFonts w:hint="eastAsia" w:ascii="新宋体" w:hAnsi="新宋体" w:eastAsia="新宋体"/>
                <w:bCs/>
                <w:sz w:val="24"/>
              </w:rPr>
              <w:t>技术标的主要内容具有完整性，符合招标文件的要求。</w:t>
            </w:r>
          </w:p>
        </w:tc>
        <w:tc>
          <w:tcPr>
            <w:tcW w:w="1241" w:type="dxa"/>
            <w:vAlign w:val="center"/>
          </w:tcPr>
          <w:p>
            <w:pPr>
              <w:jc w:val="center"/>
              <w:rPr>
                <w:rFonts w:ascii="新宋体" w:hAnsi="新宋体" w:eastAsia="新宋体"/>
                <w:bCs/>
                <w:sz w:val="24"/>
              </w:rPr>
            </w:pPr>
            <w:r>
              <w:rPr>
                <w:rFonts w:ascii="新宋体" w:hAnsi="新宋体" w:eastAsia="新宋体"/>
                <w:bCs/>
                <w:sz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jc w:val="center"/>
              <w:rPr>
                <w:rFonts w:ascii="新宋体" w:hAnsi="新宋体" w:eastAsia="新宋体"/>
                <w:bCs/>
                <w:sz w:val="24"/>
              </w:rPr>
            </w:pPr>
            <w:r>
              <w:rPr>
                <w:rFonts w:hint="eastAsia" w:ascii="新宋体" w:hAnsi="新宋体" w:eastAsia="新宋体"/>
                <w:bCs/>
                <w:sz w:val="24"/>
              </w:rPr>
              <w:t>技术标不符合招标文件要求。</w:t>
            </w:r>
          </w:p>
        </w:tc>
        <w:tc>
          <w:tcPr>
            <w:tcW w:w="1241" w:type="dxa"/>
            <w:vAlign w:val="center"/>
          </w:tcPr>
          <w:p>
            <w:pPr>
              <w:jc w:val="center"/>
              <w:rPr>
                <w:rFonts w:ascii="新宋体" w:hAnsi="新宋体" w:eastAsia="新宋体"/>
                <w:bCs/>
                <w:sz w:val="24"/>
              </w:rPr>
            </w:pPr>
            <w:r>
              <w:rPr>
                <w:rFonts w:ascii="新宋体" w:hAnsi="新宋体" w:eastAsia="新宋体"/>
                <w:bCs/>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2</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主要施工方案与技术措施</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 xml:space="preserve"> 1-3</w:t>
            </w:r>
            <w:r>
              <w:rPr>
                <w:rFonts w:hint="eastAsia" w:ascii="新宋体" w:hAnsi="新宋体" w:eastAsia="新宋体"/>
                <w:bCs/>
                <w:sz w:val="24"/>
              </w:rPr>
              <w:t>分</w:t>
            </w:r>
          </w:p>
        </w:tc>
        <w:tc>
          <w:tcPr>
            <w:tcW w:w="5344" w:type="dxa"/>
            <w:vAlign w:val="center"/>
          </w:tcPr>
          <w:p>
            <w:pPr>
              <w:rPr>
                <w:rFonts w:ascii="新宋体" w:hAnsi="新宋体" w:eastAsia="新宋体"/>
                <w:bCs/>
                <w:sz w:val="24"/>
              </w:rPr>
            </w:pPr>
            <w:r>
              <w:rPr>
                <w:rFonts w:hint="eastAsia" w:ascii="新宋体" w:hAnsi="新宋体" w:eastAsia="新宋体"/>
                <w:bCs/>
                <w:sz w:val="24"/>
              </w:rPr>
              <w:t>施工方案（含工程特点、施工重点与难点及绿色施工）总体安排合理，运用先进、合理的施工工艺、施工机械；对施工难点有先进和合理的建议。</w:t>
            </w:r>
          </w:p>
        </w:tc>
        <w:tc>
          <w:tcPr>
            <w:tcW w:w="1241" w:type="dxa"/>
            <w:vAlign w:val="center"/>
          </w:tcPr>
          <w:p>
            <w:pPr>
              <w:jc w:val="center"/>
              <w:rPr>
                <w:rFonts w:ascii="新宋体" w:hAnsi="新宋体" w:eastAsia="新宋体"/>
                <w:bCs/>
                <w:sz w:val="24"/>
              </w:rPr>
            </w:pPr>
            <w:r>
              <w:rPr>
                <w:rFonts w:ascii="新宋体" w:hAnsi="新宋体" w:eastAsia="新宋体"/>
                <w:bCs/>
                <w:sz w:val="24"/>
              </w:rPr>
              <w:t>2</w:t>
            </w:r>
            <w:r>
              <w:rPr>
                <w:rFonts w:hint="eastAsia" w:ascii="新宋体" w:hAnsi="新宋体" w:eastAsia="新宋体"/>
                <w:bCs/>
                <w:sz w:val="24"/>
              </w:rPr>
              <w:t>＜得分</w:t>
            </w:r>
            <w:r>
              <w:rPr>
                <w:rFonts w:ascii="新宋体" w:hAnsi="新宋体" w:eastAsia="新宋体"/>
                <w:bCs/>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rPr>
                <w:rFonts w:ascii="新宋体" w:hAnsi="新宋体" w:eastAsia="新宋体"/>
                <w:bCs/>
                <w:sz w:val="24"/>
              </w:rPr>
            </w:pPr>
            <w:r>
              <w:rPr>
                <w:rFonts w:hint="eastAsia" w:ascii="新宋体" w:hAnsi="新宋体" w:eastAsia="新宋体"/>
                <w:bCs/>
                <w:sz w:val="24"/>
              </w:rPr>
              <w:t>施工方案（含工程特点、施工重点与难点及绿色施工）总体安排合理，施工工艺、施工机械合理、可行；对施工难点有合理的建议。</w:t>
            </w:r>
          </w:p>
        </w:tc>
        <w:tc>
          <w:tcPr>
            <w:tcW w:w="1241" w:type="dxa"/>
            <w:vAlign w:val="center"/>
          </w:tcPr>
          <w:p>
            <w:pPr>
              <w:jc w:val="center"/>
              <w:rPr>
                <w:rFonts w:ascii="新宋体" w:hAnsi="新宋体" w:eastAsia="新宋体"/>
                <w:bCs/>
                <w:sz w:val="24"/>
              </w:rPr>
            </w:pPr>
            <w:r>
              <w:rPr>
                <w:rFonts w:ascii="新宋体" w:hAnsi="新宋体" w:eastAsia="新宋体"/>
                <w:bCs/>
                <w:sz w:val="24"/>
              </w:rPr>
              <w:t xml:space="preserve"> 1≤</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3</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质量管理体系与措施</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1-2</w:t>
            </w:r>
            <w:r>
              <w:rPr>
                <w:rFonts w:hint="eastAsia" w:ascii="新宋体" w:hAnsi="新宋体" w:eastAsia="新宋体"/>
                <w:bCs/>
                <w:sz w:val="24"/>
              </w:rPr>
              <w:t>分</w:t>
            </w:r>
          </w:p>
        </w:tc>
        <w:tc>
          <w:tcPr>
            <w:tcW w:w="5344" w:type="dxa"/>
            <w:vAlign w:val="center"/>
          </w:tcPr>
          <w:p>
            <w:pPr>
              <w:spacing w:line="360" w:lineRule="exact"/>
              <w:rPr>
                <w:rFonts w:ascii="新宋体" w:hAnsi="新宋体" w:eastAsia="新宋体"/>
                <w:bCs/>
                <w:sz w:val="24"/>
              </w:rPr>
            </w:pPr>
            <w:r>
              <w:rPr>
                <w:rFonts w:hint="eastAsia" w:ascii="新宋体" w:hAnsi="新宋体" w:eastAsia="新宋体"/>
                <w:bCs/>
                <w:sz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vAlign w:val="center"/>
          </w:tcPr>
          <w:p>
            <w:pPr>
              <w:jc w:val="center"/>
              <w:rPr>
                <w:rFonts w:ascii="新宋体" w:hAnsi="新宋体" w:eastAsia="新宋体"/>
                <w:bCs/>
                <w:sz w:val="24"/>
              </w:rPr>
            </w:pPr>
            <w:r>
              <w:rPr>
                <w:rFonts w:ascii="新宋体" w:hAnsi="新宋体" w:eastAsia="新宋体"/>
                <w:bCs/>
                <w:sz w:val="24"/>
              </w:rPr>
              <w:t>1.5</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60" w:lineRule="exact"/>
              <w:rPr>
                <w:rFonts w:ascii="新宋体" w:hAnsi="新宋体" w:eastAsia="新宋体"/>
                <w:bCs/>
                <w:sz w:val="24"/>
              </w:rPr>
            </w:pPr>
            <w:r>
              <w:rPr>
                <w:rFonts w:hint="eastAsia" w:ascii="新宋体" w:hAnsi="新宋体" w:eastAsia="新宋体"/>
                <w:bCs/>
                <w:sz w:val="24"/>
              </w:rPr>
              <w:t>组织机构形式基本合理，指挥系统、质量监控系统、联络协调系统，具体措施可行。主体结构质量保证措施经济、安全、基本可行。主体结构、装饰装修符合工程建设强制性标准，不得偷工减料。</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4</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安全管理体系与措施</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 xml:space="preserve"> 1-2</w:t>
            </w:r>
            <w:r>
              <w:rPr>
                <w:rFonts w:hint="eastAsia" w:ascii="新宋体" w:hAnsi="新宋体" w:eastAsia="新宋体"/>
                <w:bCs/>
                <w:sz w:val="24"/>
              </w:rPr>
              <w:t>分</w:t>
            </w:r>
          </w:p>
        </w:tc>
        <w:tc>
          <w:tcPr>
            <w:tcW w:w="5344" w:type="dxa"/>
            <w:vAlign w:val="center"/>
          </w:tcPr>
          <w:p>
            <w:pPr>
              <w:spacing w:line="360" w:lineRule="exact"/>
              <w:rPr>
                <w:rFonts w:ascii="新宋体" w:hAnsi="新宋体" w:eastAsia="新宋体"/>
                <w:bCs/>
                <w:sz w:val="24"/>
              </w:rPr>
            </w:pPr>
            <w:r>
              <w:rPr>
                <w:rFonts w:hint="eastAsia" w:ascii="新宋体" w:hAnsi="新宋体" w:eastAsia="新宋体"/>
                <w:bCs/>
                <w:sz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vAlign w:val="center"/>
          </w:tcPr>
          <w:p>
            <w:pPr>
              <w:jc w:val="center"/>
              <w:rPr>
                <w:rFonts w:ascii="新宋体" w:hAnsi="新宋体" w:eastAsia="新宋体"/>
                <w:bCs/>
                <w:sz w:val="24"/>
              </w:rPr>
            </w:pPr>
            <w:r>
              <w:rPr>
                <w:rFonts w:ascii="新宋体" w:hAnsi="新宋体" w:eastAsia="新宋体"/>
                <w:bCs/>
                <w:sz w:val="24"/>
              </w:rPr>
              <w:t>1.5</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62"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40" w:lineRule="exact"/>
              <w:rPr>
                <w:rFonts w:ascii="新宋体" w:hAnsi="新宋体" w:eastAsia="新宋体"/>
                <w:bCs/>
                <w:sz w:val="24"/>
              </w:rPr>
            </w:pPr>
            <w:r>
              <w:rPr>
                <w:rFonts w:hint="eastAsia" w:ascii="新宋体" w:hAnsi="新宋体" w:eastAsia="新宋体"/>
                <w:bCs/>
                <w:sz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5</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文明施工、环境保护管理体系及施工现场扬尘治理措施</w:t>
            </w:r>
            <w:r>
              <w:rPr>
                <w:rFonts w:ascii="新宋体" w:hAnsi="新宋体" w:eastAsia="新宋体"/>
                <w:bCs/>
                <w:sz w:val="24"/>
              </w:rPr>
              <w:t xml:space="preserve">  </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1-3</w:t>
            </w:r>
            <w:r>
              <w:rPr>
                <w:rFonts w:hint="eastAsia" w:ascii="新宋体" w:hAnsi="新宋体" w:eastAsia="新宋体"/>
                <w:bCs/>
                <w:sz w:val="24"/>
              </w:rPr>
              <w:t>分</w:t>
            </w: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新宋体" w:hAnsi="新宋体" w:eastAsia="新宋体"/>
                <w:bCs/>
                <w:sz w:val="24"/>
              </w:rPr>
              <w:t>DBJ41/174</w:t>
            </w:r>
            <w:r>
              <w:rPr>
                <w:rFonts w:hint="eastAsia" w:ascii="新宋体" w:hAnsi="新宋体" w:eastAsia="新宋体"/>
                <w:bCs/>
                <w:sz w:val="24"/>
              </w:rPr>
              <w:t>）的规定，防治方案科学、先进。</w:t>
            </w:r>
          </w:p>
        </w:tc>
        <w:tc>
          <w:tcPr>
            <w:tcW w:w="1241" w:type="dxa"/>
            <w:vAlign w:val="center"/>
          </w:tcPr>
          <w:p>
            <w:pPr>
              <w:jc w:val="center"/>
              <w:rPr>
                <w:rFonts w:ascii="新宋体" w:hAnsi="新宋体" w:eastAsia="新宋体"/>
                <w:bCs/>
                <w:sz w:val="24"/>
              </w:rPr>
            </w:pPr>
            <w:r>
              <w:rPr>
                <w:rFonts w:ascii="新宋体" w:hAnsi="新宋体" w:eastAsia="新宋体"/>
                <w:bCs/>
                <w:sz w:val="24"/>
              </w:rPr>
              <w:t>2</w:t>
            </w:r>
            <w:r>
              <w:rPr>
                <w:rFonts w:hint="eastAsia" w:ascii="新宋体" w:hAnsi="新宋体" w:eastAsia="新宋体"/>
                <w:bCs/>
                <w:sz w:val="24"/>
              </w:rPr>
              <w:t>＜得分</w:t>
            </w:r>
            <w:r>
              <w:rPr>
                <w:rFonts w:ascii="新宋体" w:hAnsi="新宋体" w:eastAsia="新宋体"/>
                <w:bCs/>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新宋体" w:hAnsi="新宋体" w:eastAsia="新宋体"/>
                <w:bCs/>
                <w:sz w:val="24"/>
              </w:rPr>
              <w:t>DBJ41/174</w:t>
            </w:r>
            <w:r>
              <w:rPr>
                <w:rFonts w:hint="eastAsia" w:ascii="新宋体" w:hAnsi="新宋体" w:eastAsia="新宋体"/>
                <w:bCs/>
                <w:sz w:val="24"/>
              </w:rPr>
              <w:t>）的规定，有防治方案。</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6</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工期保证措施</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1-2</w:t>
            </w:r>
            <w:r>
              <w:rPr>
                <w:rFonts w:hint="eastAsia" w:ascii="新宋体" w:hAnsi="新宋体" w:eastAsia="新宋体"/>
                <w:bCs/>
                <w:sz w:val="24"/>
              </w:rPr>
              <w:t>分</w:t>
            </w: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工期承诺满足招标文件要求，工期保证措施合理且有针对性，有具体的违约责任承诺。</w:t>
            </w:r>
          </w:p>
        </w:tc>
        <w:tc>
          <w:tcPr>
            <w:tcW w:w="1241" w:type="dxa"/>
            <w:vAlign w:val="center"/>
          </w:tcPr>
          <w:p>
            <w:pPr>
              <w:jc w:val="center"/>
              <w:rPr>
                <w:rFonts w:ascii="新宋体" w:hAnsi="新宋体" w:eastAsia="新宋体"/>
                <w:bCs/>
                <w:sz w:val="24"/>
              </w:rPr>
            </w:pPr>
            <w:r>
              <w:rPr>
                <w:rFonts w:ascii="新宋体" w:hAnsi="新宋体" w:eastAsia="新宋体"/>
                <w:bCs/>
                <w:sz w:val="24"/>
              </w:rPr>
              <w:t>1.5</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工期承诺满足招标文件要求，工期保证措施基本合理，有具体的违约责任承诺。</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7</w:t>
            </w:r>
          </w:p>
        </w:tc>
        <w:tc>
          <w:tcPr>
            <w:tcW w:w="1123" w:type="dxa"/>
            <w:vMerge w:val="restart"/>
            <w:vAlign w:val="center"/>
          </w:tcPr>
          <w:p>
            <w:pPr>
              <w:jc w:val="center"/>
              <w:rPr>
                <w:rFonts w:ascii="新宋体" w:hAnsi="新宋体" w:eastAsia="新宋体"/>
                <w:bCs/>
                <w:sz w:val="24"/>
              </w:rPr>
            </w:pPr>
            <w:r>
              <w:rPr>
                <w:rFonts w:hint="eastAsia" w:ascii="新宋体" w:hAnsi="新宋体" w:eastAsia="新宋体"/>
                <w:bCs/>
                <w:sz w:val="24"/>
              </w:rPr>
              <w:t>拟投入资源配备计划</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0.5-2</w:t>
            </w:r>
            <w:r>
              <w:rPr>
                <w:rFonts w:hint="eastAsia" w:ascii="新宋体" w:hAnsi="新宋体" w:eastAsia="新宋体"/>
                <w:bCs/>
                <w:sz w:val="24"/>
              </w:rPr>
              <w:t>分</w:t>
            </w:r>
          </w:p>
        </w:tc>
        <w:tc>
          <w:tcPr>
            <w:tcW w:w="5344" w:type="dxa"/>
            <w:vAlign w:val="center"/>
          </w:tcPr>
          <w:p>
            <w:pPr>
              <w:spacing w:line="300" w:lineRule="exact"/>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机械：投入计划与进度计划呼应，采用先进机械设备且配置合理、先进，满足安全技术规范和施工进度需要；</w:t>
            </w:r>
            <w:r>
              <w:rPr>
                <w:rFonts w:ascii="新宋体" w:hAnsi="新宋体" w:eastAsia="新宋体"/>
                <w:bCs/>
                <w:sz w:val="24"/>
              </w:rPr>
              <w:t>PC</w:t>
            </w:r>
            <w:r>
              <w:rPr>
                <w:rFonts w:hint="eastAsia" w:ascii="新宋体" w:hAnsi="新宋体" w:eastAsia="新宋体"/>
                <w:bCs/>
                <w:sz w:val="24"/>
              </w:rPr>
              <w:t>构件运输、安装设备满足施工要求；</w:t>
            </w:r>
          </w:p>
          <w:p>
            <w:pPr>
              <w:spacing w:line="300" w:lineRule="exact"/>
              <w:rPr>
                <w:rFonts w:ascii="新宋体" w:hAnsi="新宋体" w:eastAsia="新宋体"/>
                <w:bCs/>
                <w:sz w:val="24"/>
              </w:rPr>
            </w:pPr>
            <w:r>
              <w:rPr>
                <w:rFonts w:ascii="新宋体" w:hAnsi="新宋体" w:eastAsia="新宋体"/>
                <w:bCs/>
                <w:sz w:val="24"/>
              </w:rPr>
              <w:t>2.</w:t>
            </w:r>
            <w:r>
              <w:rPr>
                <w:rFonts w:hint="eastAsia" w:ascii="新宋体" w:hAnsi="新宋体" w:eastAsia="新宋体"/>
                <w:bCs/>
                <w:sz w:val="24"/>
              </w:rPr>
              <w:t>劳动力：投入计划与进度计划呼应，较好满足施工需要，调配投入计划合理、准确；</w:t>
            </w:r>
          </w:p>
          <w:p>
            <w:pPr>
              <w:spacing w:line="300" w:lineRule="exact"/>
              <w:rPr>
                <w:rFonts w:ascii="新宋体" w:hAnsi="新宋体" w:eastAsia="新宋体"/>
                <w:bCs/>
                <w:sz w:val="24"/>
              </w:rPr>
            </w:pPr>
            <w:r>
              <w:rPr>
                <w:rFonts w:ascii="新宋体" w:hAnsi="新宋体" w:eastAsia="新宋体"/>
                <w:bCs/>
                <w:sz w:val="24"/>
              </w:rPr>
              <w:t>3.</w:t>
            </w:r>
            <w:r>
              <w:rPr>
                <w:rFonts w:hint="eastAsia" w:ascii="新宋体" w:hAnsi="新宋体" w:eastAsia="新宋体"/>
                <w:bCs/>
                <w:sz w:val="24"/>
              </w:rPr>
              <w:t>主要物资计划：主要物资（含</w:t>
            </w:r>
            <w:r>
              <w:rPr>
                <w:rFonts w:ascii="新宋体" w:hAnsi="新宋体" w:eastAsia="新宋体"/>
                <w:bCs/>
                <w:sz w:val="24"/>
              </w:rPr>
              <w:t>PC</w:t>
            </w:r>
            <w:r>
              <w:rPr>
                <w:rFonts w:hint="eastAsia" w:ascii="新宋体" w:hAnsi="新宋体" w:eastAsia="新宋体"/>
                <w:bCs/>
                <w:sz w:val="24"/>
              </w:rPr>
              <w:t>构件的供应需求）投入计划与进度计划呼应，较好满足施工需要，调配投入计划合理、准确。</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00" w:lineRule="exact"/>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机械：投入计划与进度计划呼应，机械设备配置基本合理，满足安全技术规范和施工进度需要；</w:t>
            </w:r>
          </w:p>
          <w:p>
            <w:pPr>
              <w:spacing w:line="300" w:lineRule="exact"/>
              <w:rPr>
                <w:rFonts w:ascii="新宋体" w:hAnsi="新宋体" w:eastAsia="新宋体"/>
                <w:bCs/>
                <w:sz w:val="24"/>
              </w:rPr>
            </w:pPr>
            <w:r>
              <w:rPr>
                <w:rFonts w:ascii="新宋体" w:hAnsi="新宋体" w:eastAsia="新宋体"/>
                <w:bCs/>
                <w:sz w:val="24"/>
              </w:rPr>
              <w:t>2.</w:t>
            </w:r>
            <w:r>
              <w:rPr>
                <w:rFonts w:hint="eastAsia" w:ascii="新宋体" w:hAnsi="新宋体" w:eastAsia="新宋体"/>
                <w:bCs/>
                <w:sz w:val="24"/>
              </w:rPr>
              <w:t>劳动力：投入计划与进度计划呼应，基本满足施工需要，调配投入计划基本合理；</w:t>
            </w:r>
          </w:p>
          <w:p>
            <w:pPr>
              <w:spacing w:line="300" w:lineRule="exact"/>
              <w:rPr>
                <w:rFonts w:ascii="新宋体" w:hAnsi="新宋体" w:eastAsia="新宋体"/>
                <w:bCs/>
                <w:sz w:val="24"/>
              </w:rPr>
            </w:pPr>
            <w:r>
              <w:rPr>
                <w:rFonts w:ascii="新宋体" w:hAnsi="新宋体" w:eastAsia="新宋体"/>
                <w:bCs/>
                <w:sz w:val="24"/>
              </w:rPr>
              <w:t>3.</w:t>
            </w:r>
            <w:r>
              <w:rPr>
                <w:rFonts w:hint="eastAsia" w:ascii="新宋体" w:hAnsi="新宋体" w:eastAsia="新宋体"/>
                <w:bCs/>
                <w:sz w:val="24"/>
              </w:rPr>
              <w:t>主要物资计划：主要物资（含</w:t>
            </w:r>
            <w:r>
              <w:rPr>
                <w:rFonts w:ascii="新宋体" w:hAnsi="新宋体" w:eastAsia="新宋体"/>
                <w:bCs/>
                <w:sz w:val="24"/>
              </w:rPr>
              <w:t>PC</w:t>
            </w:r>
            <w:r>
              <w:rPr>
                <w:rFonts w:hint="eastAsia" w:ascii="新宋体" w:hAnsi="新宋体" w:eastAsia="新宋体"/>
                <w:bCs/>
                <w:sz w:val="24"/>
              </w:rPr>
              <w:t>构件的供应需求）投入计划与进度计划呼应，基本满足施工需要，调配投入计划基本合理。</w:t>
            </w:r>
          </w:p>
        </w:tc>
        <w:tc>
          <w:tcPr>
            <w:tcW w:w="1241" w:type="dxa"/>
            <w:vAlign w:val="center"/>
          </w:tcPr>
          <w:p>
            <w:pPr>
              <w:jc w:val="center"/>
              <w:rPr>
                <w:rFonts w:ascii="新宋体" w:hAnsi="新宋体" w:eastAsia="新宋体"/>
                <w:bCs/>
                <w:sz w:val="24"/>
              </w:rPr>
            </w:pPr>
            <w:r>
              <w:rPr>
                <w:rFonts w:ascii="新宋体" w:hAnsi="新宋体" w:eastAsia="新宋体"/>
                <w:bCs/>
                <w:sz w:val="24"/>
              </w:rPr>
              <w:t>0.5≤</w:t>
            </w:r>
            <w:r>
              <w:rPr>
                <w:rFonts w:hint="eastAsia" w:ascii="新宋体" w:hAnsi="新宋体" w:eastAsia="新宋体"/>
                <w:bCs/>
                <w:sz w:val="24"/>
              </w:rPr>
              <w:t>得分</w:t>
            </w:r>
            <w:r>
              <w:rPr>
                <w:rFonts w:ascii="新宋体" w:hAnsi="新宋体" w:eastAsia="新宋体"/>
                <w:bCs/>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8</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施工进度表与网络计划图</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0.5-2</w:t>
            </w:r>
            <w:r>
              <w:rPr>
                <w:rFonts w:hint="eastAsia" w:ascii="新宋体" w:hAnsi="新宋体" w:eastAsia="新宋体"/>
                <w:bCs/>
                <w:sz w:val="24"/>
              </w:rPr>
              <w:t>分</w:t>
            </w: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关键线路清晰、准确、完整、计划编制合理、可行、满足招标文件对工期的要求。</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关键线路基本准确，计划编制基本可行。</w:t>
            </w:r>
          </w:p>
        </w:tc>
        <w:tc>
          <w:tcPr>
            <w:tcW w:w="1241" w:type="dxa"/>
            <w:vAlign w:val="center"/>
          </w:tcPr>
          <w:p>
            <w:pPr>
              <w:jc w:val="center"/>
              <w:rPr>
                <w:rFonts w:ascii="新宋体" w:hAnsi="新宋体" w:eastAsia="新宋体"/>
                <w:bCs/>
                <w:sz w:val="24"/>
              </w:rPr>
            </w:pPr>
            <w:r>
              <w:rPr>
                <w:rFonts w:ascii="新宋体" w:hAnsi="新宋体" w:eastAsia="新宋体"/>
                <w:bCs/>
                <w:sz w:val="24"/>
              </w:rPr>
              <w:t>0.5≤</w:t>
            </w:r>
            <w:r>
              <w:rPr>
                <w:rFonts w:hint="eastAsia" w:ascii="新宋体" w:hAnsi="新宋体" w:eastAsia="新宋体"/>
                <w:bCs/>
                <w:sz w:val="24"/>
              </w:rPr>
              <w:t>得分</w:t>
            </w:r>
            <w:r>
              <w:rPr>
                <w:rFonts w:ascii="新宋体" w:hAnsi="新宋体" w:eastAsia="新宋体"/>
                <w:bCs/>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9</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施工总平面图布置</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0.5-1</w:t>
            </w:r>
            <w:r>
              <w:rPr>
                <w:rFonts w:hint="eastAsia" w:ascii="新宋体" w:hAnsi="新宋体" w:eastAsia="新宋体"/>
                <w:bCs/>
                <w:sz w:val="24"/>
              </w:rPr>
              <w:t>分</w:t>
            </w: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总体布置有针对性、合理、能较好满足施工需要，符合安全、文明施工要求；材料堆放有序。</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总体布置基本合理、基本满足施工需要。</w:t>
            </w:r>
          </w:p>
        </w:tc>
        <w:tc>
          <w:tcPr>
            <w:tcW w:w="1241" w:type="dxa"/>
            <w:vAlign w:val="center"/>
          </w:tcPr>
          <w:p>
            <w:pPr>
              <w:jc w:val="center"/>
              <w:rPr>
                <w:rFonts w:ascii="新宋体" w:hAnsi="新宋体" w:eastAsia="新宋体"/>
                <w:bCs/>
                <w:sz w:val="24"/>
              </w:rPr>
            </w:pPr>
            <w:r>
              <w:rPr>
                <w:rFonts w:ascii="新宋体" w:hAnsi="新宋体" w:eastAsia="新宋体"/>
                <w:bCs/>
                <w:sz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10</w:t>
            </w:r>
          </w:p>
        </w:tc>
        <w:tc>
          <w:tcPr>
            <w:tcW w:w="1123" w:type="dxa"/>
            <w:vMerge w:val="restart"/>
            <w:vAlign w:val="center"/>
          </w:tcPr>
          <w:p>
            <w:pPr>
              <w:jc w:val="left"/>
              <w:rPr>
                <w:rFonts w:ascii="新宋体" w:hAnsi="新宋体" w:eastAsia="新宋体"/>
                <w:bCs/>
                <w:sz w:val="24"/>
              </w:rPr>
            </w:pPr>
            <w:r>
              <w:rPr>
                <w:rFonts w:hint="eastAsia" w:ascii="新宋体" w:hAnsi="新宋体" w:eastAsia="新宋体"/>
                <w:bCs/>
                <w:sz w:val="24"/>
              </w:rPr>
              <w:t>技术创新的应用实施措施</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1-2</w:t>
            </w:r>
            <w:r>
              <w:rPr>
                <w:rFonts w:hint="eastAsia" w:ascii="新宋体" w:hAnsi="新宋体" w:eastAsia="新宋体"/>
                <w:bCs/>
                <w:sz w:val="24"/>
              </w:rPr>
              <w:t>分</w:t>
            </w: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w:t>
            </w:r>
            <w:r>
              <w:rPr>
                <w:rFonts w:ascii="新宋体" w:hAnsi="新宋体" w:eastAsia="新宋体"/>
                <w:bCs/>
                <w:sz w:val="24"/>
              </w:rPr>
              <w:t>1</w:t>
            </w:r>
            <w:r>
              <w:rPr>
                <w:rFonts w:hint="eastAsia" w:ascii="新宋体" w:hAnsi="新宋体" w:eastAsia="新宋体"/>
                <w:bCs/>
                <w:sz w:val="24"/>
              </w:rPr>
              <w:t>）节能减排、（</w:t>
            </w:r>
            <w:r>
              <w:rPr>
                <w:rFonts w:ascii="新宋体" w:hAnsi="新宋体" w:eastAsia="新宋体"/>
                <w:bCs/>
                <w:sz w:val="24"/>
              </w:rPr>
              <w:t>2</w:t>
            </w:r>
            <w:r>
              <w:rPr>
                <w:rFonts w:hint="eastAsia" w:ascii="新宋体" w:hAnsi="新宋体" w:eastAsia="新宋体"/>
                <w:bCs/>
                <w:sz w:val="24"/>
              </w:rPr>
              <w:t>）绿色施工、（</w:t>
            </w:r>
            <w:r>
              <w:rPr>
                <w:rFonts w:ascii="新宋体" w:hAnsi="新宋体" w:eastAsia="新宋体"/>
                <w:bCs/>
                <w:sz w:val="24"/>
              </w:rPr>
              <w:t>3</w:t>
            </w:r>
            <w:r>
              <w:rPr>
                <w:rFonts w:hint="eastAsia" w:ascii="新宋体" w:hAnsi="新宋体" w:eastAsia="新宋体"/>
                <w:bCs/>
                <w:sz w:val="24"/>
              </w:rPr>
              <w:t>）工艺创新、（</w:t>
            </w:r>
            <w:r>
              <w:rPr>
                <w:rFonts w:ascii="新宋体" w:hAnsi="新宋体" w:eastAsia="新宋体"/>
                <w:bCs/>
                <w:sz w:val="24"/>
              </w:rPr>
              <w:t>4</w:t>
            </w:r>
            <w:r>
              <w:rPr>
                <w:rFonts w:hint="eastAsia" w:ascii="新宋体" w:hAnsi="新宋体" w:eastAsia="新宋体"/>
                <w:bCs/>
                <w:sz w:val="24"/>
              </w:rPr>
              <w:t>）装配式建筑等技术创新的应用实施措施符合工程情况，具有针对性、可行性、经济适用性。</w:t>
            </w:r>
          </w:p>
        </w:tc>
        <w:tc>
          <w:tcPr>
            <w:tcW w:w="1241" w:type="dxa"/>
            <w:vAlign w:val="center"/>
          </w:tcPr>
          <w:p>
            <w:pPr>
              <w:jc w:val="center"/>
              <w:rPr>
                <w:rFonts w:ascii="新宋体" w:hAnsi="新宋体" w:eastAsia="新宋体"/>
                <w:bCs/>
                <w:sz w:val="24"/>
              </w:rPr>
            </w:pPr>
            <w:r>
              <w:rPr>
                <w:rFonts w:ascii="新宋体" w:hAnsi="新宋体" w:eastAsia="新宋体"/>
                <w:bCs/>
                <w:sz w:val="24"/>
              </w:rPr>
              <w:t>1.5</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spacing w:line="300" w:lineRule="exact"/>
              <w:rPr>
                <w:rFonts w:ascii="新宋体" w:hAnsi="新宋体" w:eastAsia="新宋体"/>
                <w:bCs/>
                <w:sz w:val="24"/>
              </w:rPr>
            </w:pPr>
            <w:r>
              <w:rPr>
                <w:rFonts w:hint="eastAsia" w:ascii="新宋体" w:hAnsi="新宋体" w:eastAsia="新宋体"/>
                <w:bCs/>
                <w:sz w:val="24"/>
              </w:rPr>
              <w:t>（</w:t>
            </w:r>
            <w:r>
              <w:rPr>
                <w:rFonts w:ascii="新宋体" w:hAnsi="新宋体" w:eastAsia="新宋体"/>
                <w:bCs/>
                <w:sz w:val="24"/>
              </w:rPr>
              <w:t>1</w:t>
            </w:r>
            <w:r>
              <w:rPr>
                <w:rFonts w:hint="eastAsia" w:ascii="新宋体" w:hAnsi="新宋体" w:eastAsia="新宋体"/>
                <w:bCs/>
                <w:sz w:val="24"/>
              </w:rPr>
              <w:t>）节能减排、（</w:t>
            </w:r>
            <w:r>
              <w:rPr>
                <w:rFonts w:ascii="新宋体" w:hAnsi="新宋体" w:eastAsia="新宋体"/>
                <w:bCs/>
                <w:sz w:val="24"/>
              </w:rPr>
              <w:t>2</w:t>
            </w:r>
            <w:r>
              <w:rPr>
                <w:rFonts w:hint="eastAsia" w:ascii="新宋体" w:hAnsi="新宋体" w:eastAsia="新宋体"/>
                <w:bCs/>
                <w:sz w:val="24"/>
              </w:rPr>
              <w:t>）绿色施工、（</w:t>
            </w:r>
            <w:r>
              <w:rPr>
                <w:rFonts w:ascii="新宋体" w:hAnsi="新宋体" w:eastAsia="新宋体"/>
                <w:bCs/>
                <w:sz w:val="24"/>
              </w:rPr>
              <w:t>3</w:t>
            </w:r>
            <w:r>
              <w:rPr>
                <w:rFonts w:hint="eastAsia" w:ascii="新宋体" w:hAnsi="新宋体" w:eastAsia="新宋体"/>
                <w:bCs/>
                <w:sz w:val="24"/>
              </w:rPr>
              <w:t>）工艺创新、（</w:t>
            </w:r>
            <w:r>
              <w:rPr>
                <w:rFonts w:ascii="新宋体" w:hAnsi="新宋体" w:eastAsia="新宋体"/>
                <w:bCs/>
                <w:sz w:val="24"/>
              </w:rPr>
              <w:t>4</w:t>
            </w:r>
            <w:r>
              <w:rPr>
                <w:rFonts w:hint="eastAsia" w:ascii="新宋体" w:hAnsi="新宋体" w:eastAsia="新宋体"/>
                <w:bCs/>
                <w:sz w:val="24"/>
              </w:rPr>
              <w:t>）装配式建筑等技术创新的应用实施措施基本符合工程情况，具有针对性。</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11</w:t>
            </w:r>
          </w:p>
        </w:tc>
        <w:tc>
          <w:tcPr>
            <w:tcW w:w="1123" w:type="dxa"/>
            <w:vMerge w:val="restart"/>
            <w:vAlign w:val="center"/>
          </w:tcPr>
          <w:p>
            <w:pPr>
              <w:jc w:val="center"/>
              <w:rPr>
                <w:rFonts w:ascii="新宋体" w:hAnsi="新宋体" w:eastAsia="新宋体"/>
                <w:bCs/>
                <w:sz w:val="24"/>
              </w:rPr>
            </w:pPr>
            <w:r>
              <w:rPr>
                <w:rFonts w:hint="eastAsia" w:ascii="新宋体" w:hAnsi="新宋体" w:eastAsia="新宋体"/>
                <w:bCs/>
                <w:sz w:val="24"/>
              </w:rPr>
              <w:t>采用新工艺、新技术、新设备、新材料、</w:t>
            </w:r>
            <w:r>
              <w:rPr>
                <w:rFonts w:ascii="新宋体" w:hAnsi="新宋体" w:eastAsia="新宋体"/>
                <w:bCs/>
                <w:sz w:val="24"/>
              </w:rPr>
              <w:t>BIM</w:t>
            </w:r>
            <w:r>
              <w:rPr>
                <w:rFonts w:hint="eastAsia" w:ascii="新宋体" w:hAnsi="新宋体" w:eastAsia="新宋体"/>
                <w:bCs/>
                <w:sz w:val="24"/>
              </w:rPr>
              <w:t>等的程度</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1-2</w:t>
            </w:r>
            <w:r>
              <w:rPr>
                <w:rFonts w:hint="eastAsia" w:ascii="新宋体" w:hAnsi="新宋体" w:eastAsia="新宋体"/>
                <w:bCs/>
                <w:sz w:val="24"/>
              </w:rPr>
              <w:t>分</w:t>
            </w:r>
          </w:p>
        </w:tc>
        <w:tc>
          <w:tcPr>
            <w:tcW w:w="5344" w:type="dxa"/>
            <w:vAlign w:val="center"/>
          </w:tcPr>
          <w:p>
            <w:pPr>
              <w:rPr>
                <w:rFonts w:ascii="新宋体" w:hAnsi="新宋体" w:eastAsia="新宋体"/>
                <w:bCs/>
                <w:sz w:val="24"/>
              </w:rPr>
            </w:pPr>
            <w:r>
              <w:rPr>
                <w:rFonts w:hint="eastAsia" w:ascii="新宋体" w:hAnsi="新宋体" w:eastAsia="新宋体"/>
                <w:bCs/>
                <w:sz w:val="24"/>
              </w:rPr>
              <w:t>采用新工艺、新技术、新设备、新材料、</w:t>
            </w:r>
            <w:r>
              <w:rPr>
                <w:rFonts w:ascii="新宋体" w:hAnsi="新宋体" w:eastAsia="新宋体"/>
                <w:bCs/>
                <w:sz w:val="24"/>
              </w:rPr>
              <w:t>BIM</w:t>
            </w:r>
            <w:r>
              <w:rPr>
                <w:rFonts w:hint="eastAsia" w:ascii="新宋体" w:hAnsi="新宋体" w:eastAsia="新宋体"/>
                <w:bCs/>
                <w:sz w:val="24"/>
              </w:rPr>
              <w:t>等的程度满足设计要求，符合施工需要和相应技术标准等规定，经济适用。</w:t>
            </w:r>
          </w:p>
        </w:tc>
        <w:tc>
          <w:tcPr>
            <w:tcW w:w="1241" w:type="dxa"/>
            <w:vAlign w:val="center"/>
          </w:tcPr>
          <w:p>
            <w:pPr>
              <w:jc w:val="center"/>
              <w:rPr>
                <w:rFonts w:ascii="新宋体" w:hAnsi="新宋体" w:eastAsia="新宋体"/>
                <w:bCs/>
                <w:sz w:val="24"/>
              </w:rPr>
            </w:pPr>
            <w:r>
              <w:rPr>
                <w:rFonts w:ascii="新宋体" w:hAnsi="新宋体" w:eastAsia="新宋体"/>
                <w:bCs/>
                <w:sz w:val="24"/>
              </w:rPr>
              <w:t>1.5≤</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rPr>
                <w:rFonts w:ascii="新宋体" w:hAnsi="新宋体" w:eastAsia="新宋体"/>
                <w:bCs/>
                <w:sz w:val="24"/>
              </w:rPr>
            </w:pPr>
            <w:r>
              <w:rPr>
                <w:rFonts w:hint="eastAsia" w:ascii="新宋体" w:hAnsi="新宋体" w:eastAsia="新宋体"/>
                <w:bCs/>
                <w:sz w:val="24"/>
              </w:rPr>
              <w:t>采用新工艺、新技术、新设备、新材料、</w:t>
            </w:r>
            <w:r>
              <w:rPr>
                <w:rFonts w:ascii="新宋体" w:hAnsi="新宋体" w:eastAsia="新宋体"/>
                <w:bCs/>
                <w:sz w:val="24"/>
              </w:rPr>
              <w:t>BIM</w:t>
            </w:r>
            <w:r>
              <w:rPr>
                <w:rFonts w:hint="eastAsia" w:ascii="新宋体" w:hAnsi="新宋体" w:eastAsia="新宋体"/>
                <w:bCs/>
                <w:sz w:val="24"/>
              </w:rPr>
              <w:t>等的程度满足设计要求，</w:t>
            </w:r>
            <w:r>
              <w:rPr>
                <w:rFonts w:ascii="新宋体" w:hAnsi="新宋体" w:eastAsia="新宋体"/>
                <w:bCs/>
                <w:sz w:val="24"/>
              </w:rPr>
              <w:t xml:space="preserve"> </w:t>
            </w:r>
            <w:r>
              <w:rPr>
                <w:rFonts w:hint="eastAsia" w:ascii="新宋体" w:hAnsi="新宋体" w:eastAsia="新宋体"/>
                <w:bCs/>
                <w:sz w:val="24"/>
              </w:rPr>
              <w:t>基本符合施工要求和相应技术标准等规定。</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12</w:t>
            </w:r>
          </w:p>
        </w:tc>
        <w:tc>
          <w:tcPr>
            <w:tcW w:w="1123" w:type="dxa"/>
            <w:vMerge w:val="restart"/>
            <w:vAlign w:val="center"/>
          </w:tcPr>
          <w:p>
            <w:pPr>
              <w:jc w:val="center"/>
              <w:rPr>
                <w:rFonts w:ascii="新宋体" w:hAnsi="新宋体" w:eastAsia="新宋体"/>
                <w:bCs/>
                <w:sz w:val="24"/>
              </w:rPr>
            </w:pPr>
            <w:r>
              <w:rPr>
                <w:rFonts w:hint="eastAsia" w:ascii="新宋体" w:hAnsi="新宋体" w:eastAsia="新宋体"/>
                <w:bCs/>
                <w:sz w:val="24"/>
              </w:rPr>
              <w:t>施工现场实施信息化监控和数据处理</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0.5-1.5</w:t>
            </w:r>
            <w:r>
              <w:rPr>
                <w:rFonts w:hint="eastAsia" w:ascii="新宋体" w:hAnsi="新宋体" w:eastAsia="新宋体"/>
                <w:bCs/>
                <w:sz w:val="24"/>
              </w:rPr>
              <w:t>分</w:t>
            </w:r>
          </w:p>
        </w:tc>
        <w:tc>
          <w:tcPr>
            <w:tcW w:w="5344" w:type="dxa"/>
            <w:vAlign w:val="center"/>
          </w:tcPr>
          <w:p>
            <w:pPr>
              <w:rPr>
                <w:rFonts w:ascii="新宋体" w:hAnsi="新宋体" w:eastAsia="新宋体"/>
                <w:bCs/>
                <w:sz w:val="24"/>
              </w:rPr>
            </w:pPr>
            <w:r>
              <w:rPr>
                <w:rFonts w:hint="eastAsia" w:ascii="新宋体" w:hAnsi="新宋体" w:eastAsia="新宋体"/>
                <w:bCs/>
                <w:sz w:val="24"/>
              </w:rPr>
              <w:t>施工现场实施信息化监控和数据处理系统布置合理，满足需要。</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rPr>
                <w:rFonts w:ascii="新宋体" w:hAnsi="新宋体" w:eastAsia="新宋体"/>
                <w:bCs/>
                <w:sz w:val="24"/>
              </w:rPr>
            </w:pPr>
            <w:r>
              <w:rPr>
                <w:rFonts w:hint="eastAsia" w:ascii="新宋体" w:hAnsi="新宋体" w:eastAsia="新宋体"/>
                <w:bCs/>
                <w:sz w:val="24"/>
              </w:rPr>
              <w:t>施工现场实施信息化监控和数据处理系统布置基本符合需要。</w:t>
            </w:r>
          </w:p>
        </w:tc>
        <w:tc>
          <w:tcPr>
            <w:tcW w:w="1241" w:type="dxa"/>
            <w:vAlign w:val="center"/>
          </w:tcPr>
          <w:p>
            <w:pPr>
              <w:jc w:val="center"/>
              <w:rPr>
                <w:rFonts w:ascii="新宋体" w:hAnsi="新宋体" w:eastAsia="新宋体"/>
                <w:bCs/>
                <w:sz w:val="24"/>
              </w:rPr>
            </w:pPr>
            <w:r>
              <w:rPr>
                <w:rFonts w:ascii="新宋体" w:hAnsi="新宋体" w:eastAsia="新宋体"/>
                <w:bCs/>
                <w:sz w:val="24"/>
              </w:rPr>
              <w:t>0.5</w:t>
            </w:r>
            <w:r>
              <w:rPr>
                <w:rFonts w:hint="eastAsia" w:ascii="新宋体" w:hAnsi="新宋体" w:eastAsia="新宋体"/>
                <w:bCs/>
                <w:sz w:val="24"/>
              </w:rPr>
              <w:t>＜得分</w:t>
            </w:r>
            <w:r>
              <w:rPr>
                <w:rFonts w:ascii="新宋体" w:hAnsi="新宋体" w:eastAsia="新宋体"/>
                <w:bCs/>
                <w:sz w:val="24"/>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ascii="新宋体" w:hAnsi="新宋体" w:eastAsia="新宋体"/>
                <w:bCs/>
                <w:sz w:val="24"/>
              </w:rPr>
            </w:pPr>
            <w:r>
              <w:rPr>
                <w:rFonts w:ascii="新宋体" w:hAnsi="新宋体" w:eastAsia="新宋体"/>
                <w:bCs/>
                <w:sz w:val="24"/>
              </w:rPr>
              <w:t>13</w:t>
            </w:r>
          </w:p>
        </w:tc>
        <w:tc>
          <w:tcPr>
            <w:tcW w:w="1123" w:type="dxa"/>
            <w:vMerge w:val="restart"/>
            <w:vAlign w:val="center"/>
          </w:tcPr>
          <w:p>
            <w:pPr>
              <w:jc w:val="center"/>
              <w:rPr>
                <w:rFonts w:ascii="新宋体" w:hAnsi="新宋体" w:eastAsia="新宋体"/>
                <w:bCs/>
                <w:sz w:val="24"/>
              </w:rPr>
            </w:pPr>
            <w:r>
              <w:rPr>
                <w:rFonts w:hint="eastAsia" w:ascii="新宋体" w:hAnsi="新宋体" w:eastAsia="新宋体"/>
                <w:bCs/>
                <w:sz w:val="24"/>
              </w:rPr>
              <w:t>风险管理措施</w:t>
            </w:r>
          </w:p>
        </w:tc>
        <w:tc>
          <w:tcPr>
            <w:tcW w:w="980" w:type="dxa"/>
            <w:vMerge w:val="restart"/>
            <w:vAlign w:val="center"/>
          </w:tcPr>
          <w:p>
            <w:pPr>
              <w:jc w:val="center"/>
              <w:rPr>
                <w:rFonts w:ascii="新宋体" w:hAnsi="新宋体" w:eastAsia="新宋体"/>
                <w:bCs/>
                <w:sz w:val="24"/>
              </w:rPr>
            </w:pPr>
            <w:r>
              <w:rPr>
                <w:rFonts w:ascii="新宋体" w:hAnsi="新宋体" w:eastAsia="新宋体"/>
                <w:bCs/>
                <w:sz w:val="24"/>
              </w:rPr>
              <w:t>1-2</w:t>
            </w:r>
            <w:r>
              <w:rPr>
                <w:rFonts w:hint="eastAsia" w:ascii="新宋体" w:hAnsi="新宋体" w:eastAsia="新宋体"/>
                <w:bCs/>
                <w:sz w:val="24"/>
              </w:rPr>
              <w:t>分</w:t>
            </w:r>
          </w:p>
        </w:tc>
        <w:tc>
          <w:tcPr>
            <w:tcW w:w="5344" w:type="dxa"/>
            <w:vAlign w:val="center"/>
          </w:tcPr>
          <w:p>
            <w:pPr>
              <w:rPr>
                <w:rFonts w:ascii="新宋体" w:hAnsi="新宋体" w:eastAsia="新宋体"/>
                <w:bCs/>
                <w:sz w:val="24"/>
              </w:rPr>
            </w:pPr>
            <w:r>
              <w:rPr>
                <w:rFonts w:hint="eastAsia" w:ascii="新宋体" w:hAnsi="新宋体" w:eastAsia="新宋体"/>
                <w:bCs/>
                <w:sz w:val="24"/>
              </w:rPr>
              <w:t>风险防控管理措施齐全，风险预控符合规范要求，风险控制要点定位准确，各阶段风险控制及应急措施得力。</w:t>
            </w:r>
          </w:p>
        </w:tc>
        <w:tc>
          <w:tcPr>
            <w:tcW w:w="1241" w:type="dxa"/>
            <w:vAlign w:val="center"/>
          </w:tcPr>
          <w:p>
            <w:pPr>
              <w:jc w:val="center"/>
              <w:rPr>
                <w:rFonts w:ascii="新宋体" w:hAnsi="新宋体" w:eastAsia="新宋体"/>
                <w:bCs/>
                <w:sz w:val="24"/>
              </w:rPr>
            </w:pPr>
            <w:r>
              <w:rPr>
                <w:rFonts w:ascii="新宋体" w:hAnsi="新宋体" w:eastAsia="新宋体"/>
                <w:bCs/>
                <w:sz w:val="24"/>
              </w:rPr>
              <w:t>1.5</w:t>
            </w:r>
            <w:r>
              <w:rPr>
                <w:rFonts w:hint="eastAsia" w:ascii="新宋体" w:hAnsi="新宋体" w:eastAsia="新宋体"/>
                <w:bCs/>
                <w:sz w:val="24"/>
              </w:rPr>
              <w:t>＜得分</w:t>
            </w:r>
            <w:r>
              <w:rPr>
                <w:rFonts w:ascii="新宋体" w:hAnsi="新宋体" w:eastAsia="新宋体"/>
                <w:bCs/>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vAlign w:val="center"/>
          </w:tcPr>
          <w:p>
            <w:pPr>
              <w:jc w:val="left"/>
              <w:rPr>
                <w:rFonts w:ascii="新宋体" w:hAnsi="新宋体" w:eastAsia="新宋体"/>
                <w:bCs/>
                <w:sz w:val="24"/>
              </w:rPr>
            </w:pPr>
          </w:p>
        </w:tc>
        <w:tc>
          <w:tcPr>
            <w:tcW w:w="1123" w:type="dxa"/>
            <w:vMerge w:val="continue"/>
            <w:vAlign w:val="center"/>
          </w:tcPr>
          <w:p>
            <w:pPr>
              <w:jc w:val="left"/>
              <w:rPr>
                <w:rFonts w:ascii="新宋体" w:hAnsi="新宋体" w:eastAsia="新宋体"/>
                <w:bCs/>
                <w:sz w:val="24"/>
              </w:rPr>
            </w:pPr>
          </w:p>
        </w:tc>
        <w:tc>
          <w:tcPr>
            <w:tcW w:w="980" w:type="dxa"/>
            <w:vMerge w:val="continue"/>
            <w:vAlign w:val="center"/>
          </w:tcPr>
          <w:p>
            <w:pPr>
              <w:jc w:val="left"/>
              <w:rPr>
                <w:rFonts w:ascii="新宋体" w:hAnsi="新宋体" w:eastAsia="新宋体"/>
                <w:bCs/>
                <w:sz w:val="24"/>
              </w:rPr>
            </w:pPr>
          </w:p>
        </w:tc>
        <w:tc>
          <w:tcPr>
            <w:tcW w:w="5344" w:type="dxa"/>
            <w:vAlign w:val="center"/>
          </w:tcPr>
          <w:p>
            <w:pPr>
              <w:rPr>
                <w:rFonts w:ascii="新宋体" w:hAnsi="新宋体" w:eastAsia="新宋体"/>
                <w:bCs/>
                <w:sz w:val="24"/>
              </w:rPr>
            </w:pPr>
            <w:r>
              <w:rPr>
                <w:rFonts w:hint="eastAsia" w:ascii="新宋体" w:hAnsi="新宋体" w:eastAsia="新宋体"/>
                <w:bCs/>
                <w:sz w:val="24"/>
              </w:rPr>
              <w:t>风险防控管理措施基本齐全，风险预控符合规范要求，风险控制要点定位基本准确，有各阶段风险控制及应急措施。</w:t>
            </w:r>
          </w:p>
        </w:tc>
        <w:tc>
          <w:tcPr>
            <w:tcW w:w="1241" w:type="dxa"/>
            <w:vAlign w:val="center"/>
          </w:tcPr>
          <w:p>
            <w:pPr>
              <w:jc w:val="center"/>
              <w:rPr>
                <w:rFonts w:ascii="新宋体" w:hAnsi="新宋体" w:eastAsia="新宋体"/>
                <w:bCs/>
                <w:sz w:val="24"/>
              </w:rPr>
            </w:pPr>
            <w:r>
              <w:rPr>
                <w:rFonts w:ascii="新宋体" w:hAnsi="新宋体" w:eastAsia="新宋体"/>
                <w:bCs/>
                <w:sz w:val="24"/>
              </w:rPr>
              <w:t>1≤</w:t>
            </w:r>
            <w:r>
              <w:rPr>
                <w:rFonts w:hint="eastAsia" w:ascii="新宋体" w:hAnsi="新宋体" w:eastAsia="新宋体"/>
                <w:bCs/>
                <w:sz w:val="24"/>
              </w:rPr>
              <w:t>得分</w:t>
            </w:r>
            <w:r>
              <w:rPr>
                <w:rFonts w:ascii="新宋体" w:hAnsi="新宋体" w:eastAsia="新宋体"/>
                <w:bCs/>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vAlign w:val="center"/>
          </w:tcPr>
          <w:p>
            <w:pPr>
              <w:jc w:val="center"/>
              <w:rPr>
                <w:rFonts w:ascii="新宋体" w:hAnsi="新宋体" w:eastAsia="新宋体"/>
                <w:bCs/>
                <w:sz w:val="24"/>
              </w:rPr>
            </w:pPr>
            <w:r>
              <w:rPr>
                <w:rFonts w:hint="eastAsia" w:ascii="新宋体" w:hAnsi="新宋体" w:eastAsia="新宋体"/>
                <w:bCs/>
                <w:sz w:val="24"/>
              </w:rPr>
              <w:t>合计</w:t>
            </w:r>
          </w:p>
        </w:tc>
        <w:tc>
          <w:tcPr>
            <w:tcW w:w="980" w:type="dxa"/>
            <w:vAlign w:val="center"/>
          </w:tcPr>
          <w:p>
            <w:pPr>
              <w:jc w:val="center"/>
              <w:rPr>
                <w:rFonts w:ascii="新宋体" w:hAnsi="新宋体" w:eastAsia="新宋体"/>
                <w:bCs/>
                <w:sz w:val="24"/>
              </w:rPr>
            </w:pPr>
            <w:r>
              <w:rPr>
                <w:rFonts w:ascii="新宋体" w:hAnsi="新宋体" w:eastAsia="新宋体"/>
                <w:bCs/>
                <w:sz w:val="24"/>
              </w:rPr>
              <w:t>10-25</w:t>
            </w:r>
            <w:r>
              <w:rPr>
                <w:rFonts w:hint="eastAsia" w:ascii="新宋体" w:hAnsi="新宋体" w:eastAsia="新宋体"/>
                <w:bCs/>
                <w:sz w:val="24"/>
              </w:rPr>
              <w:t>分</w:t>
            </w:r>
          </w:p>
        </w:tc>
        <w:tc>
          <w:tcPr>
            <w:tcW w:w="5344" w:type="dxa"/>
            <w:vAlign w:val="center"/>
          </w:tcPr>
          <w:p>
            <w:pPr>
              <w:rPr>
                <w:rFonts w:ascii="新宋体" w:hAnsi="新宋体" w:eastAsia="新宋体"/>
                <w:bCs/>
                <w:sz w:val="24"/>
              </w:rPr>
            </w:pPr>
          </w:p>
        </w:tc>
        <w:tc>
          <w:tcPr>
            <w:tcW w:w="1241" w:type="dxa"/>
            <w:vAlign w:val="center"/>
          </w:tcPr>
          <w:p>
            <w:pPr>
              <w:jc w:val="center"/>
              <w:rPr>
                <w:rFonts w:ascii="新宋体" w:hAnsi="新宋体" w:eastAsia="新宋体"/>
                <w:bCs/>
                <w:sz w:val="24"/>
              </w:rPr>
            </w:pPr>
            <w:r>
              <w:rPr>
                <w:rFonts w:ascii="新宋体" w:hAnsi="新宋体" w:eastAsia="新宋体"/>
                <w:bCs/>
                <w:sz w:val="24"/>
              </w:rPr>
              <w:t>10≤</w:t>
            </w:r>
            <w:r>
              <w:rPr>
                <w:rFonts w:hint="eastAsia" w:ascii="新宋体" w:hAnsi="新宋体" w:eastAsia="新宋体"/>
                <w:bCs/>
                <w:sz w:val="24"/>
              </w:rPr>
              <w:t>得分</w:t>
            </w:r>
            <w:r>
              <w:rPr>
                <w:rFonts w:ascii="新宋体" w:hAnsi="新宋体" w:eastAsia="新宋体"/>
                <w:bCs/>
                <w:sz w:val="24"/>
              </w:rPr>
              <w:t>≤25</w:t>
            </w:r>
          </w:p>
        </w:tc>
      </w:tr>
    </w:tbl>
    <w:p>
      <w:pPr>
        <w:snapToGrid w:val="0"/>
        <w:spacing w:line="360" w:lineRule="auto"/>
        <w:rPr>
          <w:rFonts w:hAnsi="宋体" w:cs="宋体"/>
          <w:sz w:val="24"/>
          <w:szCs w:val="24"/>
        </w:rPr>
      </w:pPr>
      <w:r>
        <w:rPr>
          <w:rFonts w:hint="eastAsia" w:hAnsi="宋体" w:cs="宋体"/>
          <w:sz w:val="24"/>
          <w:szCs w:val="24"/>
        </w:rPr>
        <w:t xml:space="preserve"> 以上项目若有缺项，该项为0分。</w:t>
      </w:r>
    </w:p>
    <w:p>
      <w:pPr>
        <w:snapToGrid w:val="0"/>
        <w:spacing w:line="360" w:lineRule="auto"/>
        <w:jc w:val="left"/>
        <w:rPr>
          <w:rFonts w:hAnsi="宋体" w:cs="宋体"/>
          <w:b/>
          <w:bCs/>
          <w:sz w:val="24"/>
          <w:szCs w:val="24"/>
        </w:rPr>
      </w:pPr>
      <w:bookmarkStart w:id="68" w:name="_Toc270931534"/>
      <w:bookmarkStart w:id="69" w:name="_Toc273546398"/>
      <w:bookmarkStart w:id="70" w:name="_Toc272833453"/>
      <w:bookmarkStart w:id="71" w:name="_Toc295572535"/>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2"/>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6"/>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7"/>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序号</w:t>
            </w:r>
          </w:p>
        </w:tc>
        <w:tc>
          <w:tcPr>
            <w:tcW w:w="2096"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项目</w:t>
            </w:r>
          </w:p>
        </w:tc>
        <w:tc>
          <w:tcPr>
            <w:tcW w:w="4992"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评审标准</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1</w:t>
            </w:r>
          </w:p>
        </w:tc>
        <w:tc>
          <w:tcPr>
            <w:tcW w:w="2096" w:type="dxa"/>
            <w:vAlign w:val="center"/>
          </w:tcPr>
          <w:p>
            <w:pPr>
              <w:jc w:val="center"/>
              <w:rPr>
                <w:rFonts w:asciiTheme="minorEastAsia" w:hAnsiTheme="minorEastAsia"/>
                <w:kern w:val="2"/>
                <w:sz w:val="24"/>
                <w:szCs w:val="24"/>
              </w:rPr>
            </w:pPr>
            <w:r>
              <w:rPr>
                <w:rFonts w:hint="eastAsia" w:asciiTheme="minorEastAsia" w:hAnsiTheme="minorEastAsia"/>
                <w:kern w:val="2"/>
                <w:sz w:val="24"/>
                <w:szCs w:val="24"/>
              </w:rPr>
              <w:t>企业业绩</w:t>
            </w:r>
          </w:p>
        </w:tc>
        <w:tc>
          <w:tcPr>
            <w:tcW w:w="4992" w:type="dxa"/>
            <w:vAlign w:val="center"/>
          </w:tcPr>
          <w:p>
            <w:pPr>
              <w:jc w:val="left"/>
              <w:rPr>
                <w:rFonts w:asciiTheme="minorEastAsia" w:hAnsiTheme="minorEastAsia"/>
                <w:kern w:val="2"/>
                <w:sz w:val="24"/>
                <w:szCs w:val="24"/>
              </w:rPr>
            </w:pPr>
            <w:r>
              <w:rPr>
                <w:rFonts w:hint="eastAsia" w:asciiTheme="minorEastAsia" w:hAnsiTheme="minorEastAsia"/>
                <w:kern w:val="2"/>
                <w:sz w:val="24"/>
                <w:szCs w:val="24"/>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kern w:val="2"/>
                <w:sz w:val="24"/>
                <w:szCs w:val="24"/>
              </w:rPr>
            </w:pPr>
            <w:r>
              <w:rPr>
                <w:rFonts w:hint="eastAsia" w:asciiTheme="minorEastAsia" w:hAnsiTheme="minorEastAsia"/>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2</w:t>
            </w:r>
          </w:p>
        </w:tc>
        <w:tc>
          <w:tcPr>
            <w:tcW w:w="2096" w:type="dxa"/>
            <w:vAlign w:val="center"/>
          </w:tcPr>
          <w:p>
            <w:pPr>
              <w:jc w:val="center"/>
              <w:rPr>
                <w:rFonts w:asciiTheme="minorEastAsia" w:hAnsiTheme="minorEastAsia"/>
                <w:kern w:val="2"/>
                <w:sz w:val="24"/>
                <w:szCs w:val="24"/>
              </w:rPr>
            </w:pPr>
            <w:r>
              <w:rPr>
                <w:rFonts w:hint="eastAsia" w:asciiTheme="minorEastAsia" w:hAnsiTheme="minorEastAsia"/>
                <w:kern w:val="2"/>
                <w:sz w:val="24"/>
                <w:szCs w:val="24"/>
              </w:rPr>
              <w:t>项目负责人业绩</w:t>
            </w:r>
          </w:p>
        </w:tc>
        <w:tc>
          <w:tcPr>
            <w:tcW w:w="4992" w:type="dxa"/>
            <w:vAlign w:val="center"/>
          </w:tcPr>
          <w:p>
            <w:pPr>
              <w:jc w:val="left"/>
              <w:rPr>
                <w:rFonts w:asciiTheme="minorEastAsia" w:hAnsiTheme="minorEastAsia"/>
                <w:kern w:val="2"/>
                <w:sz w:val="24"/>
                <w:szCs w:val="24"/>
              </w:rPr>
            </w:pPr>
            <w:r>
              <w:rPr>
                <w:rFonts w:hint="eastAsia" w:asciiTheme="minorEastAsia" w:hAnsiTheme="minorEastAsia"/>
                <w:kern w:val="2"/>
                <w:sz w:val="24"/>
                <w:szCs w:val="24"/>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kern w:val="2"/>
                <w:sz w:val="24"/>
                <w:szCs w:val="24"/>
              </w:rPr>
            </w:pPr>
            <w:r>
              <w:rPr>
                <w:rFonts w:hint="eastAsia" w:asciiTheme="minorEastAsia" w:hAnsiTheme="minorEastAsia"/>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3</w:t>
            </w:r>
          </w:p>
        </w:tc>
        <w:tc>
          <w:tcPr>
            <w:tcW w:w="2096" w:type="dxa"/>
            <w:vMerge w:val="restart"/>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优惠承诺</w:t>
            </w: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优惠承诺应是书面的符合工程实际情况，确保依法依规，优惠合理，详实可行。</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color w:val="000000" w:themeColor="text1"/>
                <w:kern w:val="2"/>
                <w:sz w:val="24"/>
                <w:szCs w:val="24"/>
              </w:rPr>
            </w:pPr>
          </w:p>
        </w:tc>
        <w:tc>
          <w:tcPr>
            <w:tcW w:w="2096" w:type="dxa"/>
            <w:vMerge w:val="continue"/>
            <w:vAlign w:val="center"/>
          </w:tcPr>
          <w:p>
            <w:pPr>
              <w:jc w:val="left"/>
              <w:rPr>
                <w:rFonts w:asciiTheme="minorEastAsia" w:hAnsiTheme="minorEastAsia"/>
                <w:color w:val="000000" w:themeColor="text1"/>
                <w:kern w:val="2"/>
                <w:sz w:val="24"/>
                <w:szCs w:val="24"/>
              </w:rPr>
            </w:pP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优惠承诺符合工程实际情况，确保依法依规，优惠基本合理，基本详实可行。</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4</w:t>
            </w:r>
          </w:p>
        </w:tc>
        <w:tc>
          <w:tcPr>
            <w:tcW w:w="2096" w:type="dxa"/>
            <w:vMerge w:val="restart"/>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履职尽责承诺</w:t>
            </w: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color w:val="000000" w:themeColor="text1"/>
                <w:kern w:val="2"/>
                <w:sz w:val="24"/>
                <w:szCs w:val="24"/>
              </w:rPr>
            </w:pPr>
          </w:p>
        </w:tc>
        <w:tc>
          <w:tcPr>
            <w:tcW w:w="2096" w:type="dxa"/>
            <w:vMerge w:val="continue"/>
            <w:vAlign w:val="center"/>
          </w:tcPr>
          <w:p>
            <w:pPr>
              <w:jc w:val="left"/>
              <w:rPr>
                <w:rFonts w:asciiTheme="minorEastAsia" w:hAnsiTheme="minorEastAsia"/>
                <w:color w:val="000000" w:themeColor="text1"/>
                <w:kern w:val="2"/>
                <w:sz w:val="24"/>
                <w:szCs w:val="24"/>
              </w:rPr>
            </w:pP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5</w:t>
            </w:r>
          </w:p>
        </w:tc>
        <w:tc>
          <w:tcPr>
            <w:tcW w:w="2096" w:type="dxa"/>
            <w:vAlign w:val="center"/>
          </w:tcPr>
          <w:p>
            <w:pPr>
              <w:ind w:firstLine="480" w:firstLineChars="200"/>
              <w:jc w:val="left"/>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企业信用（含纳税诚信）</w:t>
            </w: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1、提供企业所在地税务主管部门出具的纳税情况证明，纳税情况良好得2分；或国家税务总局网站的纳税信用评价信息截图，评价结果为B级及以上得2分。</w:t>
            </w:r>
          </w:p>
          <w:p>
            <w:pPr>
              <w:spacing w:line="300" w:lineRule="exact"/>
              <w:rPr>
                <w:rFonts w:asciiTheme="minorEastAsia" w:hAnsiTheme="minorEastAsia"/>
                <w:kern w:val="2"/>
                <w:sz w:val="24"/>
                <w:szCs w:val="24"/>
              </w:rPr>
            </w:pPr>
            <w:r>
              <w:rPr>
                <w:rFonts w:hint="eastAsia" w:asciiTheme="minorEastAsia" w:hAnsiTheme="minorEastAsia"/>
                <w:kern w:val="2"/>
                <w:sz w:val="24"/>
                <w:szCs w:val="24"/>
              </w:rPr>
              <w:t>2、企业连续三年在质量或安全方面获得过地省级建设行政主管部门颁发的诚信先进或先进企业的，得2分。（以有效期内的证书原件扫描件和网页公示为准）</w:t>
            </w:r>
          </w:p>
        </w:tc>
        <w:tc>
          <w:tcPr>
            <w:tcW w:w="1529" w:type="dxa"/>
            <w:vAlign w:val="center"/>
          </w:tcPr>
          <w:p>
            <w:pPr>
              <w:spacing w:line="300" w:lineRule="exact"/>
              <w:jc w:val="center"/>
              <w:rPr>
                <w:rFonts w:asciiTheme="minorEastAsia" w:hAnsiTheme="minorEastAsia"/>
                <w:kern w:val="2"/>
                <w:sz w:val="24"/>
                <w:szCs w:val="24"/>
              </w:rPr>
            </w:pPr>
            <w:r>
              <w:rPr>
                <w:rFonts w:hint="eastAsia" w:asciiTheme="minorEastAsia" w:hAnsiTheme="minorEastAsia"/>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6</w:t>
            </w:r>
          </w:p>
        </w:tc>
        <w:tc>
          <w:tcPr>
            <w:tcW w:w="2096" w:type="dxa"/>
            <w:vAlign w:val="center"/>
          </w:tcPr>
          <w:p>
            <w:pPr>
              <w:jc w:val="left"/>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项目负责人信用</w:t>
            </w: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7</w:t>
            </w:r>
          </w:p>
        </w:tc>
        <w:tc>
          <w:tcPr>
            <w:tcW w:w="2096"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招标人意见</w:t>
            </w:r>
          </w:p>
        </w:tc>
        <w:tc>
          <w:tcPr>
            <w:tcW w:w="4992" w:type="dxa"/>
            <w:vAlign w:val="center"/>
          </w:tcPr>
          <w:p>
            <w:pPr>
              <w:spacing w:line="300" w:lineRule="exact"/>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各投标人得分均按2分计算</w:t>
            </w:r>
          </w:p>
        </w:tc>
        <w:tc>
          <w:tcPr>
            <w:tcW w:w="1529"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以上各项评审内容缺项不得分</w:t>
            </w:r>
          </w:p>
        </w:tc>
      </w:tr>
    </w:tbl>
    <w:p>
      <w:pPr>
        <w:snapToGrid w:val="0"/>
        <w:spacing w:line="420" w:lineRule="exact"/>
        <w:ind w:firstLine="480"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0" w:firstLineChars="400"/>
        <w:rPr>
          <w:rFonts w:hAnsi="宋体" w:cs="宋体"/>
          <w:b/>
          <w:bCs/>
          <w:sz w:val="24"/>
        </w:rPr>
      </w:pPr>
      <w:r>
        <w:rPr>
          <w:rFonts w:hint="eastAsia" w:hAnsi="宋体" w:cs="宋体"/>
          <w:b/>
          <w:bCs/>
          <w:sz w:val="24"/>
        </w:rPr>
        <w:t>2）类似工程：指2017年1月1日以来承接过的市政公用工程建设项目；</w:t>
      </w:r>
    </w:p>
    <w:p>
      <w:pPr>
        <w:snapToGrid w:val="0"/>
        <w:spacing w:line="420" w:lineRule="exact"/>
        <w:ind w:firstLine="960" w:firstLineChars="400"/>
        <w:rPr>
          <w:rFonts w:hAnsi="宋体" w:cs="宋体"/>
          <w:b/>
          <w:bCs/>
          <w:sz w:val="24"/>
        </w:rPr>
      </w:pPr>
      <w:r>
        <w:rPr>
          <w:rFonts w:hint="eastAsia" w:hAnsi="宋体" w:cs="宋体"/>
          <w:b/>
          <w:bCs/>
          <w:sz w:val="24"/>
        </w:rPr>
        <w:t>3）业绩合同以合同签订日期为准，获奖证书以发证日期为准；</w:t>
      </w:r>
    </w:p>
    <w:p>
      <w:pPr>
        <w:snapToGrid w:val="0"/>
        <w:spacing w:line="420" w:lineRule="exact"/>
        <w:ind w:firstLine="960" w:firstLineChars="400"/>
        <w:rPr>
          <w:rFonts w:hAnsi="宋体" w:cs="宋体"/>
          <w:b/>
          <w:bCs/>
          <w:sz w:val="24"/>
        </w:rPr>
      </w:pPr>
      <w:r>
        <w:rPr>
          <w:rFonts w:hint="eastAsia" w:hAnsi="宋体" w:cs="宋体"/>
          <w:b/>
          <w:bCs/>
          <w:sz w:val="24"/>
        </w:rPr>
        <w:t>4）企业业绩和建造师业绩不可累计使用。</w:t>
      </w:r>
    </w:p>
    <w:p>
      <w:pPr>
        <w:snapToGrid w:val="0"/>
        <w:spacing w:line="420" w:lineRule="exact"/>
        <w:ind w:firstLine="240" w:firstLineChars="100"/>
        <w:rPr>
          <w:rFonts w:hAnsi="宋体" w:cs="宋体"/>
          <w:b/>
          <w:bCs/>
          <w:sz w:val="24"/>
        </w:rPr>
      </w:pPr>
      <w:r>
        <w:rPr>
          <w:rFonts w:hint="eastAsia" w:hAnsi="宋体" w:cs="宋体"/>
          <w:b/>
          <w:bCs/>
          <w:sz w:val="24"/>
        </w:rPr>
        <w:t>（四）投标人综合得分按下列公式计算：</w:t>
      </w:r>
    </w:p>
    <w:p>
      <w:pPr>
        <w:snapToGrid w:val="0"/>
        <w:spacing w:line="420" w:lineRule="exact"/>
        <w:ind w:firstLine="960" w:firstLineChars="400"/>
        <w:rPr>
          <w:rFonts w:hAnsi="宋体" w:cs="宋体"/>
          <w:b/>
          <w:bCs/>
          <w:sz w:val="24"/>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rPr>
      </w:pPr>
      <w:r>
        <w:rPr>
          <w:rFonts w:hint="eastAsia" w:hAnsi="宋体" w:cs="宋体"/>
          <w:b/>
          <w:bCs/>
          <w:sz w:val="24"/>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rPr>
          <w:rFonts w:hAnsi="宋体" w:cs="宋体"/>
          <w:color w:val="000000" w:themeColor="text1"/>
          <w:spacing w:val="-3"/>
          <w:sz w:val="24"/>
        </w:rPr>
      </w:pPr>
    </w:p>
    <w:p>
      <w:pPr>
        <w:rPr>
          <w:rFonts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rPr>
          <w:rFonts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2）施工图纸及图纸答疑。</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3)《建设工程工程量清单计价规范》GB50500-2013、《河南省房屋建筑与装饰工程预算定额》（2016）、《河南省市政工程预算定额》（2016）、《河南省通用安装工程预算定额》（2016）</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4)价格指数按定额站发布的2019年第六期及2019年12月份价格指数调整。</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5）税金依据豫建办标函【2019】年139号文调整，按9%计取。</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6）材料价按《许昌工程造价信息》2019年第6期及2019年12月份主材价，并结合调查当地市场价。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rPr>
          <w:rFonts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rPr>
          <w:rFonts w:hAnsi="宋体" w:cs="黑体"/>
          <w:b/>
          <w:sz w:val="44"/>
          <w:szCs w:val="44"/>
        </w:rPr>
      </w:pPr>
      <w:bookmarkStart w:id="78" w:name="_Toc250616672"/>
      <w:bookmarkStart w:id="79" w:name="_Toc271787730"/>
      <w:r>
        <w:rPr>
          <w:rFonts w:hint="eastAsia"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hint="eastAsia" w:ascii="黑体" w:hAnsi="新宋体" w:eastAsia="黑体" w:cs="黑体"/>
          <w:sz w:val="28"/>
          <w:szCs w:val="28"/>
        </w:rPr>
      </w:pPr>
    </w:p>
    <w:p>
      <w:pPr>
        <w:pStyle w:val="2"/>
        <w:ind w:firstLine="340"/>
        <w:rPr>
          <w:rFonts w:hint="eastAsia"/>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bCs/>
          <w:sz w:val="24"/>
        </w:rPr>
      </w:pPr>
      <w:r>
        <w:rPr>
          <w:rFonts w:hint="eastAsia" w:hAnsi="宋体" w:cs="宋体"/>
          <w:bCs/>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hint="eastAsia"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spacing w:line="360" w:lineRule="auto"/>
        <w:ind w:left="237" w:leftChars="70" w:firstLine="98" w:firstLineChars="41"/>
        <w:rPr>
          <w:sz w:val="24"/>
        </w:rPr>
      </w:pPr>
      <w:r>
        <w:rPr>
          <w:rFonts w:hint="eastAsia"/>
          <w:sz w:val="24"/>
        </w:rPr>
        <w:t>附提交凭证：</w:t>
      </w:r>
    </w:p>
    <w:p>
      <w:pPr>
        <w:spacing w:line="360" w:lineRule="auto"/>
        <w:ind w:left="237" w:leftChars="70" w:firstLine="98" w:firstLineChars="41"/>
        <w:rPr>
          <w:sz w:val="24"/>
          <w:lang w:val="zh-CN"/>
        </w:rPr>
      </w:pPr>
      <w:r>
        <w:rPr>
          <w:rFonts w:hint="eastAsia"/>
          <w:sz w:val="24"/>
          <w:lang w:val="zh-CN"/>
        </w:rPr>
        <w:t>银行转帐、银行电汇方式的，于截止时间前通过投标人基本账户将款项一次足额递交、成功绑定，以收款人到账时间为准，在途资金无效。</w:t>
      </w:r>
      <w:r>
        <w:rPr>
          <w:rFonts w:hint="eastAsia"/>
          <w:sz w:val="24"/>
        </w:rPr>
        <w:t>附本项目本标段</w:t>
      </w:r>
      <w:r>
        <w:rPr>
          <w:rFonts w:hint="eastAsia"/>
          <w:sz w:val="24"/>
          <w:lang w:val="zh-CN"/>
        </w:rPr>
        <w:t>“许昌公共资源交易中心保证金缴纳回执”。</w:t>
      </w:r>
    </w:p>
    <w:p>
      <w:pPr>
        <w:spacing w:line="360" w:lineRule="auto"/>
        <w:ind w:left="237" w:leftChars="70" w:firstLine="98" w:firstLineChars="41"/>
        <w:rPr>
          <w:sz w:val="24"/>
        </w:rPr>
      </w:pPr>
      <w:r>
        <w:rPr>
          <w:rFonts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sz w:val="24"/>
        </w:rPr>
        <w:t>真实</w:t>
      </w:r>
      <w:r>
        <w:rPr>
          <w:rFonts w:hint="eastAsia"/>
          <w:sz w:val="24"/>
          <w:lang w:val="zh-CN"/>
        </w:rPr>
        <w:t>合法的银行保函原件扫描件，否则视为未按</w:t>
      </w:r>
      <w:r>
        <w:rPr>
          <w:rFonts w:hint="eastAsia"/>
          <w:sz w:val="24"/>
        </w:rPr>
        <w:t>规定提交</w:t>
      </w:r>
      <w:r>
        <w:rPr>
          <w:rFonts w:hint="eastAsia"/>
          <w:sz w:val="24"/>
          <w:lang w:val="zh-CN"/>
        </w:rPr>
        <w:t>。</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0" w:usb3="00000000" w:csb0="0000019F" w:csb1="00000000"/>
  </w:font>
  <w:font w:name="华文新魏">
    <w:panose1 w:val="02010800040101010101"/>
    <w:charset w:val="86"/>
    <w:family w:val="auto"/>
    <w:pitch w:val="default"/>
    <w:sig w:usb0="00000001" w:usb1="080F0000" w:usb2="00000000" w:usb3="00000000" w:csb0="00040000" w:csb1="00000000"/>
  </w:font>
  <w:font w:name="MS Mincho">
    <w:altName w:val="Times New Roman"/>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58240;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rPr>
      <w:t>许昌市老旧小区“四改一增”老街道改造提升项目（二标段）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2C1A1DC9"/>
    <w:multiLevelType w:val="multilevel"/>
    <w:tmpl w:val="2C1A1DC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265D"/>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C7CDA"/>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1CB1"/>
    <w:rsid w:val="005C3C27"/>
    <w:rsid w:val="005D27A6"/>
    <w:rsid w:val="005D2E92"/>
    <w:rsid w:val="005D3872"/>
    <w:rsid w:val="005D5A7A"/>
    <w:rsid w:val="005E1FF1"/>
    <w:rsid w:val="005F0110"/>
    <w:rsid w:val="005F15C0"/>
    <w:rsid w:val="005F2873"/>
    <w:rsid w:val="00602410"/>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E79E6"/>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43DD0"/>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7F52F4"/>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1637"/>
    <w:rsid w:val="00B63108"/>
    <w:rsid w:val="00B66F77"/>
    <w:rsid w:val="00B67A93"/>
    <w:rsid w:val="00B80677"/>
    <w:rsid w:val="00B87486"/>
    <w:rsid w:val="00BA2172"/>
    <w:rsid w:val="00BA2B8A"/>
    <w:rsid w:val="00BB360C"/>
    <w:rsid w:val="00BC1F1F"/>
    <w:rsid w:val="00BC5B90"/>
    <w:rsid w:val="00BC7377"/>
    <w:rsid w:val="00BD408A"/>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36F6"/>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C58EC"/>
    <w:rsid w:val="00FD27E3"/>
    <w:rsid w:val="00FD5B29"/>
    <w:rsid w:val="00FE4A3E"/>
    <w:rsid w:val="00FF0E62"/>
    <w:rsid w:val="01BF259C"/>
    <w:rsid w:val="01D9636A"/>
    <w:rsid w:val="01DB434E"/>
    <w:rsid w:val="022568D2"/>
    <w:rsid w:val="025A1A0E"/>
    <w:rsid w:val="02982699"/>
    <w:rsid w:val="03443284"/>
    <w:rsid w:val="037A5895"/>
    <w:rsid w:val="037B5FB7"/>
    <w:rsid w:val="0396146E"/>
    <w:rsid w:val="03B64D1B"/>
    <w:rsid w:val="04657E28"/>
    <w:rsid w:val="05B347DC"/>
    <w:rsid w:val="05F023F4"/>
    <w:rsid w:val="06A319F2"/>
    <w:rsid w:val="06D77F4C"/>
    <w:rsid w:val="06E835F7"/>
    <w:rsid w:val="07E778CA"/>
    <w:rsid w:val="083E7DEF"/>
    <w:rsid w:val="08CA67DF"/>
    <w:rsid w:val="08F576CB"/>
    <w:rsid w:val="099204C5"/>
    <w:rsid w:val="09C23D7B"/>
    <w:rsid w:val="09E54FC6"/>
    <w:rsid w:val="09FB6392"/>
    <w:rsid w:val="0A2C11D2"/>
    <w:rsid w:val="0A4866D0"/>
    <w:rsid w:val="0A8E6F0E"/>
    <w:rsid w:val="0A9A38CE"/>
    <w:rsid w:val="0AC560B7"/>
    <w:rsid w:val="0AF91144"/>
    <w:rsid w:val="0B0010DA"/>
    <w:rsid w:val="0B4C6956"/>
    <w:rsid w:val="0BAC12EB"/>
    <w:rsid w:val="0C48120A"/>
    <w:rsid w:val="0C9C2DFA"/>
    <w:rsid w:val="0CF42ED6"/>
    <w:rsid w:val="0D684BD9"/>
    <w:rsid w:val="0D8116DE"/>
    <w:rsid w:val="0E274A96"/>
    <w:rsid w:val="0E4D3374"/>
    <w:rsid w:val="0EB217EF"/>
    <w:rsid w:val="0F346C34"/>
    <w:rsid w:val="0F3930AA"/>
    <w:rsid w:val="0F4336A5"/>
    <w:rsid w:val="0FDD387F"/>
    <w:rsid w:val="0FE557E4"/>
    <w:rsid w:val="10085E52"/>
    <w:rsid w:val="10367EDD"/>
    <w:rsid w:val="11C03509"/>
    <w:rsid w:val="125E0DCF"/>
    <w:rsid w:val="13462B3C"/>
    <w:rsid w:val="13617FED"/>
    <w:rsid w:val="13CC49C6"/>
    <w:rsid w:val="13D3187F"/>
    <w:rsid w:val="140A220A"/>
    <w:rsid w:val="14D972B5"/>
    <w:rsid w:val="14EC08FF"/>
    <w:rsid w:val="151E2293"/>
    <w:rsid w:val="15AC6033"/>
    <w:rsid w:val="1687121A"/>
    <w:rsid w:val="1769612C"/>
    <w:rsid w:val="176C0E13"/>
    <w:rsid w:val="17E17737"/>
    <w:rsid w:val="180364FE"/>
    <w:rsid w:val="180D643B"/>
    <w:rsid w:val="181C0030"/>
    <w:rsid w:val="193E24C2"/>
    <w:rsid w:val="196F5642"/>
    <w:rsid w:val="19CB5023"/>
    <w:rsid w:val="1A3E5C30"/>
    <w:rsid w:val="1A6627AB"/>
    <w:rsid w:val="1A8C3E4C"/>
    <w:rsid w:val="1AC14286"/>
    <w:rsid w:val="1ADA0CB9"/>
    <w:rsid w:val="1B375CC7"/>
    <w:rsid w:val="1B7114B9"/>
    <w:rsid w:val="1B914F86"/>
    <w:rsid w:val="1BAB7B48"/>
    <w:rsid w:val="1BB93B7F"/>
    <w:rsid w:val="1C063260"/>
    <w:rsid w:val="1C323209"/>
    <w:rsid w:val="1C5468CF"/>
    <w:rsid w:val="1C5C545D"/>
    <w:rsid w:val="1CCA08E6"/>
    <w:rsid w:val="1CE276BD"/>
    <w:rsid w:val="1D004958"/>
    <w:rsid w:val="1D726CFF"/>
    <w:rsid w:val="1F36461B"/>
    <w:rsid w:val="20096575"/>
    <w:rsid w:val="203866A1"/>
    <w:rsid w:val="20D2065F"/>
    <w:rsid w:val="2119095A"/>
    <w:rsid w:val="21421D01"/>
    <w:rsid w:val="214D455B"/>
    <w:rsid w:val="21650C03"/>
    <w:rsid w:val="220075A0"/>
    <w:rsid w:val="2216665C"/>
    <w:rsid w:val="223C45FC"/>
    <w:rsid w:val="22CF75D2"/>
    <w:rsid w:val="22F50FD7"/>
    <w:rsid w:val="230B6224"/>
    <w:rsid w:val="238F41BA"/>
    <w:rsid w:val="23935369"/>
    <w:rsid w:val="24077B40"/>
    <w:rsid w:val="248B595E"/>
    <w:rsid w:val="24C00D00"/>
    <w:rsid w:val="24CB7F92"/>
    <w:rsid w:val="26166079"/>
    <w:rsid w:val="269D2D47"/>
    <w:rsid w:val="26AC047F"/>
    <w:rsid w:val="27553823"/>
    <w:rsid w:val="27745D40"/>
    <w:rsid w:val="27887287"/>
    <w:rsid w:val="27FB0896"/>
    <w:rsid w:val="27FD27F9"/>
    <w:rsid w:val="280D5608"/>
    <w:rsid w:val="282C6749"/>
    <w:rsid w:val="28636C8D"/>
    <w:rsid w:val="28C01D96"/>
    <w:rsid w:val="28E37A01"/>
    <w:rsid w:val="29032041"/>
    <w:rsid w:val="29B1514E"/>
    <w:rsid w:val="29BB312F"/>
    <w:rsid w:val="2A2A5A74"/>
    <w:rsid w:val="2A39386A"/>
    <w:rsid w:val="2A8D10CD"/>
    <w:rsid w:val="2A9304A3"/>
    <w:rsid w:val="2AB95941"/>
    <w:rsid w:val="2ABC6414"/>
    <w:rsid w:val="2BA62F45"/>
    <w:rsid w:val="2C13615F"/>
    <w:rsid w:val="2D05226D"/>
    <w:rsid w:val="2D0D19FB"/>
    <w:rsid w:val="2D1C76DE"/>
    <w:rsid w:val="2D2C6D7A"/>
    <w:rsid w:val="2DEF4A1F"/>
    <w:rsid w:val="2E5A7D24"/>
    <w:rsid w:val="2EAA05B9"/>
    <w:rsid w:val="2F3A012D"/>
    <w:rsid w:val="2FFD3C00"/>
    <w:rsid w:val="301E66A1"/>
    <w:rsid w:val="30584FED"/>
    <w:rsid w:val="308D6BFC"/>
    <w:rsid w:val="30D23E37"/>
    <w:rsid w:val="30E64908"/>
    <w:rsid w:val="30F03510"/>
    <w:rsid w:val="310C6E47"/>
    <w:rsid w:val="31107A12"/>
    <w:rsid w:val="329B38E7"/>
    <w:rsid w:val="32A16FD7"/>
    <w:rsid w:val="32D25FD6"/>
    <w:rsid w:val="32D53070"/>
    <w:rsid w:val="331A1734"/>
    <w:rsid w:val="3364062A"/>
    <w:rsid w:val="3385468D"/>
    <w:rsid w:val="338E149F"/>
    <w:rsid w:val="3427237C"/>
    <w:rsid w:val="34373627"/>
    <w:rsid w:val="343A67B3"/>
    <w:rsid w:val="343C7DB6"/>
    <w:rsid w:val="34E76CB3"/>
    <w:rsid w:val="35022AA8"/>
    <w:rsid w:val="35254EA4"/>
    <w:rsid w:val="353365AE"/>
    <w:rsid w:val="354A0EC6"/>
    <w:rsid w:val="358E19EB"/>
    <w:rsid w:val="35DC23A2"/>
    <w:rsid w:val="35DF586F"/>
    <w:rsid w:val="35FF6A55"/>
    <w:rsid w:val="365D41DE"/>
    <w:rsid w:val="36A92F64"/>
    <w:rsid w:val="3745068C"/>
    <w:rsid w:val="374F10C7"/>
    <w:rsid w:val="37507D5A"/>
    <w:rsid w:val="375271E8"/>
    <w:rsid w:val="377B1375"/>
    <w:rsid w:val="37946F21"/>
    <w:rsid w:val="37B71904"/>
    <w:rsid w:val="37C9451D"/>
    <w:rsid w:val="383752BE"/>
    <w:rsid w:val="385F136C"/>
    <w:rsid w:val="3945175B"/>
    <w:rsid w:val="397E68FF"/>
    <w:rsid w:val="39D40903"/>
    <w:rsid w:val="3A4820C8"/>
    <w:rsid w:val="3A4C2479"/>
    <w:rsid w:val="3B0B10B9"/>
    <w:rsid w:val="3B815A10"/>
    <w:rsid w:val="3C16016E"/>
    <w:rsid w:val="3C526FDA"/>
    <w:rsid w:val="3DB04457"/>
    <w:rsid w:val="3E052E0D"/>
    <w:rsid w:val="3E0C767D"/>
    <w:rsid w:val="3E1E0E05"/>
    <w:rsid w:val="3E9964E1"/>
    <w:rsid w:val="3ED53834"/>
    <w:rsid w:val="3EDE5F9D"/>
    <w:rsid w:val="3F557D77"/>
    <w:rsid w:val="3F653ECD"/>
    <w:rsid w:val="3F8C2381"/>
    <w:rsid w:val="40A568DC"/>
    <w:rsid w:val="40B1193E"/>
    <w:rsid w:val="40EE2889"/>
    <w:rsid w:val="40EF27CC"/>
    <w:rsid w:val="41A24648"/>
    <w:rsid w:val="420A75A0"/>
    <w:rsid w:val="425B572F"/>
    <w:rsid w:val="429D12F7"/>
    <w:rsid w:val="42B750E0"/>
    <w:rsid w:val="42E171A3"/>
    <w:rsid w:val="430B3E6A"/>
    <w:rsid w:val="43167EC7"/>
    <w:rsid w:val="435E710E"/>
    <w:rsid w:val="436B24EA"/>
    <w:rsid w:val="43B11B9F"/>
    <w:rsid w:val="43C46536"/>
    <w:rsid w:val="44096FB0"/>
    <w:rsid w:val="442D77B3"/>
    <w:rsid w:val="446C7B46"/>
    <w:rsid w:val="44DA3BD7"/>
    <w:rsid w:val="458B0721"/>
    <w:rsid w:val="45C149C9"/>
    <w:rsid w:val="460436E2"/>
    <w:rsid w:val="46066264"/>
    <w:rsid w:val="4608522B"/>
    <w:rsid w:val="46170712"/>
    <w:rsid w:val="46443EE1"/>
    <w:rsid w:val="46C97F82"/>
    <w:rsid w:val="476A20C4"/>
    <w:rsid w:val="477255F8"/>
    <w:rsid w:val="48007D5F"/>
    <w:rsid w:val="48CC452F"/>
    <w:rsid w:val="48FD3339"/>
    <w:rsid w:val="49121B2A"/>
    <w:rsid w:val="49665897"/>
    <w:rsid w:val="49F633FB"/>
    <w:rsid w:val="4ABC5B1A"/>
    <w:rsid w:val="4AF26B63"/>
    <w:rsid w:val="4B265AE9"/>
    <w:rsid w:val="4B2769FC"/>
    <w:rsid w:val="4B4B7866"/>
    <w:rsid w:val="4BAA7223"/>
    <w:rsid w:val="4C060AC0"/>
    <w:rsid w:val="4C0B249A"/>
    <w:rsid w:val="4C42285C"/>
    <w:rsid w:val="4C536B94"/>
    <w:rsid w:val="4C7E03B3"/>
    <w:rsid w:val="4CBC7A04"/>
    <w:rsid w:val="4CBD1010"/>
    <w:rsid w:val="4CE03A9E"/>
    <w:rsid w:val="4CEF3CF8"/>
    <w:rsid w:val="4D855B94"/>
    <w:rsid w:val="4DF956E2"/>
    <w:rsid w:val="4E1B15A0"/>
    <w:rsid w:val="4E410D80"/>
    <w:rsid w:val="4E841886"/>
    <w:rsid w:val="4E95746F"/>
    <w:rsid w:val="4EAB2FE4"/>
    <w:rsid w:val="4F3C2EC0"/>
    <w:rsid w:val="4F9417D0"/>
    <w:rsid w:val="4FA202B8"/>
    <w:rsid w:val="4FE3080F"/>
    <w:rsid w:val="50C525B5"/>
    <w:rsid w:val="50D76579"/>
    <w:rsid w:val="51025EEC"/>
    <w:rsid w:val="515E2B9F"/>
    <w:rsid w:val="516C77AE"/>
    <w:rsid w:val="51773CFC"/>
    <w:rsid w:val="520E371E"/>
    <w:rsid w:val="525C2B2E"/>
    <w:rsid w:val="526F03D2"/>
    <w:rsid w:val="52B90AAA"/>
    <w:rsid w:val="52C842B3"/>
    <w:rsid w:val="52CB4273"/>
    <w:rsid w:val="53113D08"/>
    <w:rsid w:val="53A57B3A"/>
    <w:rsid w:val="545B1018"/>
    <w:rsid w:val="5506659C"/>
    <w:rsid w:val="554B55F7"/>
    <w:rsid w:val="557E6DB5"/>
    <w:rsid w:val="559558C2"/>
    <w:rsid w:val="55E16B86"/>
    <w:rsid w:val="566A5FED"/>
    <w:rsid w:val="56741959"/>
    <w:rsid w:val="56BD391A"/>
    <w:rsid w:val="56E35A9C"/>
    <w:rsid w:val="57BD09D9"/>
    <w:rsid w:val="57E549B9"/>
    <w:rsid w:val="582D748B"/>
    <w:rsid w:val="59120F59"/>
    <w:rsid w:val="591D3BA7"/>
    <w:rsid w:val="594304CC"/>
    <w:rsid w:val="596E7B6E"/>
    <w:rsid w:val="59DB4CF7"/>
    <w:rsid w:val="5A646FE0"/>
    <w:rsid w:val="5AA9798C"/>
    <w:rsid w:val="5ACB4F32"/>
    <w:rsid w:val="5B244A5A"/>
    <w:rsid w:val="5B621989"/>
    <w:rsid w:val="5B74382F"/>
    <w:rsid w:val="5B7A17F7"/>
    <w:rsid w:val="5C041860"/>
    <w:rsid w:val="5C0F67F0"/>
    <w:rsid w:val="5C6519B0"/>
    <w:rsid w:val="5C691376"/>
    <w:rsid w:val="5C7134DE"/>
    <w:rsid w:val="5CAF735A"/>
    <w:rsid w:val="5D120080"/>
    <w:rsid w:val="5D84420B"/>
    <w:rsid w:val="5D8C5F24"/>
    <w:rsid w:val="5E352002"/>
    <w:rsid w:val="5F1C7AED"/>
    <w:rsid w:val="5F5473EC"/>
    <w:rsid w:val="5F90413A"/>
    <w:rsid w:val="60221384"/>
    <w:rsid w:val="60565855"/>
    <w:rsid w:val="60D14736"/>
    <w:rsid w:val="60F56473"/>
    <w:rsid w:val="60F86FD4"/>
    <w:rsid w:val="60FC4ED6"/>
    <w:rsid w:val="610A4B5F"/>
    <w:rsid w:val="616E4CF3"/>
    <w:rsid w:val="617D0F75"/>
    <w:rsid w:val="61CE2308"/>
    <w:rsid w:val="61ED3E3C"/>
    <w:rsid w:val="61F146AB"/>
    <w:rsid w:val="623404EF"/>
    <w:rsid w:val="633109A6"/>
    <w:rsid w:val="633B3EAB"/>
    <w:rsid w:val="636E0D9F"/>
    <w:rsid w:val="638A2F77"/>
    <w:rsid w:val="63EB2E1A"/>
    <w:rsid w:val="6424370A"/>
    <w:rsid w:val="647916AF"/>
    <w:rsid w:val="64B31810"/>
    <w:rsid w:val="650D1C96"/>
    <w:rsid w:val="6518479E"/>
    <w:rsid w:val="65366889"/>
    <w:rsid w:val="65853E6F"/>
    <w:rsid w:val="65C72285"/>
    <w:rsid w:val="661373EE"/>
    <w:rsid w:val="6642520A"/>
    <w:rsid w:val="66882038"/>
    <w:rsid w:val="66CC144B"/>
    <w:rsid w:val="66E81D1F"/>
    <w:rsid w:val="67180C86"/>
    <w:rsid w:val="67236075"/>
    <w:rsid w:val="673E471E"/>
    <w:rsid w:val="67457E5B"/>
    <w:rsid w:val="675B0BD4"/>
    <w:rsid w:val="67DA4D23"/>
    <w:rsid w:val="68100710"/>
    <w:rsid w:val="688641BC"/>
    <w:rsid w:val="689441B4"/>
    <w:rsid w:val="689B1484"/>
    <w:rsid w:val="691D0A8B"/>
    <w:rsid w:val="69FA48EF"/>
    <w:rsid w:val="6A290EB0"/>
    <w:rsid w:val="6AB32E4C"/>
    <w:rsid w:val="6B5108C1"/>
    <w:rsid w:val="6BB56E66"/>
    <w:rsid w:val="6C846EB2"/>
    <w:rsid w:val="6C965D84"/>
    <w:rsid w:val="6D024247"/>
    <w:rsid w:val="6D866737"/>
    <w:rsid w:val="6DEC255B"/>
    <w:rsid w:val="6F0B65A9"/>
    <w:rsid w:val="6FA96611"/>
    <w:rsid w:val="700A390C"/>
    <w:rsid w:val="70175898"/>
    <w:rsid w:val="704D339B"/>
    <w:rsid w:val="707A3A00"/>
    <w:rsid w:val="709344DD"/>
    <w:rsid w:val="70A22455"/>
    <w:rsid w:val="70EE186B"/>
    <w:rsid w:val="7125593A"/>
    <w:rsid w:val="715C3BCF"/>
    <w:rsid w:val="71756B22"/>
    <w:rsid w:val="718D58F4"/>
    <w:rsid w:val="71A6399A"/>
    <w:rsid w:val="71CE2C89"/>
    <w:rsid w:val="71EB3F0D"/>
    <w:rsid w:val="72167219"/>
    <w:rsid w:val="729D128B"/>
    <w:rsid w:val="72F15351"/>
    <w:rsid w:val="73776FCA"/>
    <w:rsid w:val="73AC73AC"/>
    <w:rsid w:val="742A7635"/>
    <w:rsid w:val="749123F0"/>
    <w:rsid w:val="74AA1E57"/>
    <w:rsid w:val="74FF5FC2"/>
    <w:rsid w:val="757E47B8"/>
    <w:rsid w:val="759E55CF"/>
    <w:rsid w:val="76173E55"/>
    <w:rsid w:val="76731A9E"/>
    <w:rsid w:val="76E82780"/>
    <w:rsid w:val="770F1F4C"/>
    <w:rsid w:val="773B0D0D"/>
    <w:rsid w:val="77CA4249"/>
    <w:rsid w:val="78412583"/>
    <w:rsid w:val="7855496E"/>
    <w:rsid w:val="78AC6688"/>
    <w:rsid w:val="78B9568E"/>
    <w:rsid w:val="79217B58"/>
    <w:rsid w:val="79442A0C"/>
    <w:rsid w:val="79A1156A"/>
    <w:rsid w:val="79A5544F"/>
    <w:rsid w:val="79AA053B"/>
    <w:rsid w:val="79C6269C"/>
    <w:rsid w:val="7A722146"/>
    <w:rsid w:val="7AA8546C"/>
    <w:rsid w:val="7ABD0011"/>
    <w:rsid w:val="7B521D5B"/>
    <w:rsid w:val="7B5A74E2"/>
    <w:rsid w:val="7B626F8B"/>
    <w:rsid w:val="7B6D1EB3"/>
    <w:rsid w:val="7B853AC8"/>
    <w:rsid w:val="7C5E37E6"/>
    <w:rsid w:val="7CBD2FE9"/>
    <w:rsid w:val="7CE6293F"/>
    <w:rsid w:val="7DD81E64"/>
    <w:rsid w:val="7E1171B1"/>
    <w:rsid w:val="7E650A67"/>
    <w:rsid w:val="7EBE4303"/>
    <w:rsid w:val="7EFF32F9"/>
    <w:rsid w:val="7F0707C4"/>
    <w:rsid w:val="7F436895"/>
    <w:rsid w:val="7F590637"/>
    <w:rsid w:val="7F78421F"/>
    <w:rsid w:val="7F7A14FF"/>
    <w:rsid w:val="7FD31FB7"/>
    <w:rsid w:val="7FEF005E"/>
    <w:rsid w:val="7FFA0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32622</Words>
  <Characters>5601</Characters>
  <Lines>46</Lines>
  <Paragraphs>76</Paragraphs>
  <TotalTime>32</TotalTime>
  <ScaleCrop>false</ScaleCrop>
  <LinksUpToDate>false</LinksUpToDate>
  <CharactersWithSpaces>38147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北京东方华太工程咨询有限公司:张琳</cp:lastModifiedBy>
  <cp:lastPrinted>2020-03-31T10:01:00Z</cp:lastPrinted>
  <dcterms:modified xsi:type="dcterms:W3CDTF">2020-04-26T09:41:09Z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