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一高学生餐厅空调采购项目</w:t>
      </w:r>
    </w:p>
    <w:p>
      <w:pPr>
        <w:ind w:firstLine="1320" w:firstLineChars="300"/>
        <w:jc w:val="center"/>
        <w:rPr>
          <w:rFonts w:hint="eastAsia" w:ascii="黑体" w:hAnsi="黑体" w:eastAsia="黑体" w:cs="黑体"/>
          <w:b w:val="0"/>
          <w:bCs w:val="0"/>
          <w:sz w:val="44"/>
          <w:szCs w:val="44"/>
        </w:rPr>
      </w:pPr>
    </w:p>
    <w:p>
      <w:pPr>
        <w:ind w:firstLine="2409" w:firstLineChars="500"/>
        <w:rPr>
          <w:rFonts w:hint="eastAsia" w:ascii="黑体" w:hAnsi="黑体" w:eastAsia="黑体" w:cs="黑体"/>
          <w:b/>
          <w:bCs/>
          <w:sz w:val="48"/>
          <w:szCs w:val="48"/>
        </w:rPr>
      </w:pPr>
    </w:p>
    <w:p>
      <w:pPr>
        <w:pStyle w:val="22"/>
        <w:rPr>
          <w:rFonts w:hint="eastAsia" w:ascii="黑体" w:hAnsi="黑体" w:eastAsia="黑体" w:cs="黑体"/>
          <w:b/>
          <w:bCs/>
          <w:sz w:val="48"/>
          <w:szCs w:val="48"/>
        </w:rPr>
      </w:pPr>
    </w:p>
    <w:p>
      <w:pPr>
        <w:pStyle w:val="22"/>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20077</w:t>
      </w:r>
    </w:p>
    <w:p>
      <w:pPr>
        <w:ind w:firstLine="1080" w:firstLineChars="3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禹州市第一高级中学</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eastAsia="zh-CN"/>
        </w:rPr>
      </w:pPr>
      <w:r>
        <w:rPr>
          <w:rFonts w:hint="eastAsia"/>
          <w:b/>
          <w:bCs/>
          <w:sz w:val="32"/>
          <w:szCs w:val="32"/>
        </w:rPr>
        <w:t>禹州市</w:t>
      </w:r>
      <w:r>
        <w:rPr>
          <w:rFonts w:hint="eastAsia"/>
          <w:b/>
          <w:bCs/>
          <w:sz w:val="32"/>
          <w:szCs w:val="32"/>
          <w:lang w:eastAsia="zh-CN"/>
        </w:rPr>
        <w:t>一高学生餐厅空调采购项目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第一高级中学</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禹州市一高学生餐厅空调采购项目”进行竞争性谈判</w:t>
      </w:r>
      <w:r>
        <w:rPr>
          <w:rFonts w:hint="eastAsia" w:ascii="新宋体" w:hAnsi="新宋体" w:eastAsia="新宋体" w:cs="新宋体"/>
          <w:sz w:val="24"/>
          <w:szCs w:val="24"/>
        </w:rPr>
        <w:t>，欢迎合格的投标人前来投标。</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第一高级中学</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2、项目名称：禹州</w:t>
      </w:r>
      <w:r>
        <w:rPr>
          <w:rFonts w:hint="eastAsia" w:ascii="新宋体" w:hAnsi="新宋体" w:eastAsia="新宋体" w:cs="新宋体"/>
          <w:sz w:val="24"/>
          <w:szCs w:val="24"/>
          <w:lang w:eastAsia="zh-CN"/>
        </w:rPr>
        <w:t>市</w:t>
      </w:r>
      <w:r>
        <w:rPr>
          <w:rFonts w:hint="eastAsia" w:ascii="新宋体" w:hAnsi="新宋体" w:eastAsia="新宋体" w:cs="新宋体"/>
          <w:sz w:val="24"/>
          <w:szCs w:val="24"/>
        </w:rPr>
        <w:t>一高学生餐厅空调采购项目</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20077</w:t>
      </w:r>
      <w:r>
        <w:rPr>
          <w:rFonts w:hint="eastAsia" w:ascii="新宋体" w:hAnsi="新宋体" w:eastAsia="新宋体" w:cs="新宋体"/>
          <w:sz w:val="24"/>
          <w:szCs w:val="24"/>
        </w:rPr>
        <w:tab/>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柜式空调</w:t>
      </w:r>
      <w:r>
        <w:rPr>
          <w:rFonts w:hint="eastAsia" w:ascii="新宋体" w:hAnsi="新宋体" w:eastAsia="新宋体" w:cs="新宋体"/>
          <w:sz w:val="24"/>
          <w:szCs w:val="24"/>
          <w:lang w:val="en-US" w:eastAsia="zh-CN"/>
        </w:rPr>
        <w:t xml:space="preserve">  35台</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80</w:t>
      </w:r>
      <w:r>
        <w:rPr>
          <w:rFonts w:hint="eastAsia" w:ascii="新宋体" w:hAnsi="新宋体" w:eastAsia="新宋体" w:cs="新宋体"/>
          <w:sz w:val="24"/>
          <w:szCs w:val="24"/>
        </w:rPr>
        <w:t>万元</w:t>
      </w:r>
    </w:p>
    <w:p>
      <w:pPr>
        <w:spacing w:line="44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6、最高限价：80万元</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eastAsia="zh-CN"/>
        </w:rPr>
        <w:t>；</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spacing w:line="440" w:lineRule="exact"/>
        <w:ind w:firstLine="482" w:firstLineChars="200"/>
        <w:jc w:val="left"/>
        <w:rPr>
          <w:rFonts w:hint="eastAsia" w:ascii="新宋体" w:hAnsi="新宋体" w:eastAsia="新宋体" w:cs="新宋体"/>
          <w:b/>
          <w:bCs/>
          <w:sz w:val="24"/>
          <w:szCs w:val="24"/>
        </w:rPr>
      </w:pPr>
      <w:bookmarkStart w:id="81" w:name="_GoBack"/>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bookmarkEnd w:id="81"/>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"禹州一高级学生餐厅空调采购项目"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"http://ggzy.xuchang.gov.cn"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http://ggzy.xuchang.gov.cn</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 xml:space="preserve">年 </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 9：00  </w:t>
      </w:r>
      <w:r>
        <w:rPr>
          <w:rFonts w:hint="eastAsia" w:ascii="新宋体" w:hAnsi="新宋体" w:eastAsia="新宋体" w:cs="新宋体"/>
          <w:sz w:val="24"/>
          <w:szCs w:val="24"/>
        </w:rPr>
        <w:t>（北京时间），逾期送达或不符合规定的投标文件不予接受。</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六、本次</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公告同时在《中国政府采购网》、《河南省政府采购网》、《全国公共资源交易平台（河南省·许昌市）》发布等。</w:t>
      </w:r>
    </w:p>
    <w:p>
      <w:pPr>
        <w:spacing w:line="440" w:lineRule="exac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侯女士</w:t>
      </w:r>
      <w:r>
        <w:rPr>
          <w:rFonts w:hint="eastAsia" w:ascii="新宋体" w:hAnsi="新宋体" w:eastAsia="新宋体" w:cs="新宋体"/>
          <w:sz w:val="24"/>
          <w:szCs w:val="24"/>
        </w:rPr>
        <w:t xml:space="preserve">    联系电话：0374-2077111</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采购单位：禹州市</w:t>
      </w:r>
      <w:r>
        <w:rPr>
          <w:rFonts w:hint="eastAsia" w:ascii="新宋体" w:hAnsi="新宋体" w:eastAsia="新宋体" w:cs="新宋体"/>
          <w:sz w:val="24"/>
          <w:szCs w:val="24"/>
          <w:lang w:eastAsia="zh-CN"/>
        </w:rPr>
        <w:t>第一高级中学</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禹州市振兴路</w:t>
      </w:r>
      <w:r>
        <w:rPr>
          <w:rFonts w:hint="eastAsia" w:ascii="新宋体" w:hAnsi="新宋体" w:eastAsia="新宋体" w:cs="新宋体"/>
          <w:sz w:val="24"/>
          <w:szCs w:val="24"/>
          <w:lang w:val="en-US" w:eastAsia="zh-CN"/>
        </w:rPr>
        <w:t>39号</w:t>
      </w:r>
    </w:p>
    <w:p>
      <w:pPr>
        <w:spacing w:line="440" w:lineRule="exact"/>
        <w:ind w:firstLine="480" w:firstLineChars="20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王先生</w:t>
      </w:r>
      <w:r>
        <w:rPr>
          <w:rFonts w:hint="eastAsia" w:ascii="新宋体" w:hAnsi="新宋体" w:eastAsia="新宋体" w:cs="新宋体"/>
          <w:sz w:val="24"/>
          <w:szCs w:val="24"/>
        </w:rPr>
        <w:t xml:space="preserve">  联系电话：</w:t>
      </w:r>
      <w:r>
        <w:rPr>
          <w:rFonts w:hint="eastAsia" w:ascii="新宋体" w:hAnsi="新宋体" w:eastAsia="新宋体" w:cs="新宋体"/>
          <w:sz w:val="24"/>
          <w:szCs w:val="24"/>
          <w:lang w:val="en-US" w:eastAsia="zh-CN"/>
        </w:rPr>
        <w:t>13839037602</w:t>
      </w:r>
    </w:p>
    <w:p>
      <w:pPr>
        <w:spacing w:line="440" w:lineRule="exact"/>
        <w:ind w:firstLine="480" w:firstLineChars="200"/>
        <w:jc w:val="left"/>
        <w:rPr>
          <w:rFonts w:hint="eastAsia" w:ascii="新宋体" w:hAnsi="新宋体" w:eastAsia="新宋体" w:cs="新宋体"/>
          <w:sz w:val="24"/>
          <w:szCs w:val="24"/>
          <w:lang w:val="en-US" w:eastAsia="zh-CN"/>
        </w:rPr>
      </w:pP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rPr>
          <w:rFonts w:hint="eastAsia"/>
        </w:rPr>
      </w:pP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本项目为全流程电子化交易项目，请认真阅读谈判文件，并注意以下事项。</w:t>
      </w:r>
    </w:p>
    <w:p>
      <w:pPr>
        <w:pStyle w:val="2"/>
        <w:rPr>
          <w:rFonts w:hint="eastAsia"/>
        </w:rPr>
      </w:pPr>
    </w:p>
    <w:p>
      <w:pPr>
        <w:tabs>
          <w:tab w:val="left" w:pos="7095"/>
        </w:tabs>
        <w:spacing w:line="360" w:lineRule="auto"/>
        <w:ind w:firstLine="422" w:firstLineChars="200"/>
        <w:contextualSpacing/>
        <w:rPr>
          <w:rFonts w:hint="eastAsia" w:ascii="新宋体" w:hAnsi="新宋体" w:eastAsia="新宋体" w:cs="新宋体"/>
          <w:b/>
          <w:color w:val="000000"/>
          <w:szCs w:val="21"/>
        </w:rPr>
      </w:pPr>
      <w:r>
        <w:rPr>
          <w:rFonts w:hint="eastAsia" w:ascii="新宋体" w:hAnsi="新宋体" w:eastAsia="新宋体" w:cs="新宋体"/>
          <w:b/>
          <w:color w:val="000000"/>
          <w:szCs w:val="21"/>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int="eastAsia" w:ascii="新宋体" w:hAnsi="新宋体" w:eastAsia="新宋体" w:cs="新宋体"/>
          <w:b/>
          <w:color w:val="000000"/>
          <w:szCs w:val="21"/>
        </w:rPr>
      </w:pPr>
      <w:r>
        <w:rPr>
          <w:rFonts w:hint="eastAsia" w:ascii="新宋体" w:hAnsi="新宋体" w:eastAsia="新宋体" w:cs="新宋体"/>
          <w:b/>
          <w:color w:val="000000"/>
          <w:szCs w:val="21"/>
        </w:rPr>
        <w:t>2.电子文件下载、制作、提交期间和谈判响应文件递交（</w:t>
      </w:r>
      <w:r>
        <w:rPr>
          <w:rFonts w:hint="eastAsia" w:ascii="新宋体" w:hAnsi="新宋体" w:eastAsia="新宋体" w:cs="新宋体"/>
          <w:szCs w:val="21"/>
        </w:rPr>
        <w:t>电子响应文件的解密</w:t>
      </w:r>
      <w:r>
        <w:rPr>
          <w:rFonts w:hint="eastAsia" w:ascii="新宋体" w:hAnsi="新宋体" w:eastAsia="新宋体" w:cs="新宋体"/>
          <w:b/>
          <w:color w:val="000000"/>
          <w:szCs w:val="21"/>
        </w:rPr>
        <w:t>）环节，供应商须使用CA数字证书（证书须在有效期内）。</w:t>
      </w:r>
    </w:p>
    <w:p>
      <w:pPr>
        <w:tabs>
          <w:tab w:val="left" w:pos="7095"/>
        </w:tabs>
        <w:spacing w:line="360" w:lineRule="auto"/>
        <w:ind w:firstLine="422" w:firstLineChars="200"/>
        <w:contextualSpacing/>
        <w:rPr>
          <w:rFonts w:hint="eastAsia" w:ascii="新宋体" w:hAnsi="新宋体" w:eastAsia="新宋体" w:cs="新宋体"/>
          <w:b/>
          <w:color w:val="000000"/>
          <w:szCs w:val="21"/>
        </w:rPr>
      </w:pPr>
      <w:r>
        <w:rPr>
          <w:rFonts w:hint="eastAsia" w:ascii="新宋体" w:hAnsi="新宋体" w:eastAsia="新宋体" w:cs="新宋体"/>
          <w:b/>
          <w:color w:val="000000"/>
          <w:szCs w:val="21"/>
        </w:rPr>
        <w:t>3.电子响应文件的制作</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供应商登录《全国公共资源交易平台(河南省▪许昌市)》公共资源交易系统（</w:t>
      </w:r>
      <w:r>
        <w:rPr>
          <w:rFonts w:hint="eastAsia" w:ascii="新宋体" w:hAnsi="新宋体" w:eastAsia="新宋体" w:cs="新宋体"/>
        </w:rPr>
        <w:fldChar w:fldCharType="begin"/>
      </w:r>
      <w:r>
        <w:rPr>
          <w:rFonts w:hint="eastAsia" w:ascii="新宋体" w:hAnsi="新宋体" w:eastAsia="新宋体" w:cs="新宋体"/>
        </w:rPr>
        <w:instrText xml:space="preserve"> HYPERLINK "http://221.14.6.70:8088/ggzy/" </w:instrText>
      </w:r>
      <w:r>
        <w:rPr>
          <w:rFonts w:hint="eastAsia" w:ascii="新宋体" w:hAnsi="新宋体" w:eastAsia="新宋体" w:cs="新宋体"/>
        </w:rPr>
        <w:fldChar w:fldCharType="separate"/>
      </w:r>
      <w:r>
        <w:rPr>
          <w:rStyle w:val="29"/>
          <w:rFonts w:hint="eastAsia" w:ascii="新宋体" w:hAnsi="新宋体" w:eastAsia="新宋体" w:cs="新宋体"/>
          <w:sz w:val="24"/>
          <w:szCs w:val="24"/>
        </w:rPr>
        <w:t>http://221.14.6.70:8088/ggzy/</w:t>
      </w:r>
      <w:r>
        <w:rPr>
          <w:rStyle w:val="29"/>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4.加密电子响应文件的提交</w:t>
      </w:r>
    </w:p>
    <w:p>
      <w:pPr>
        <w:tabs>
          <w:tab w:val="left" w:pos="7095"/>
        </w:tabs>
        <w:spacing w:line="360" w:lineRule="auto"/>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4.1加密电子响应文件应在谈判文件规定的谈判响应截止时间（谈判时间）之前成功提交至《全国公共资源交易平台(河南省▪许昌市)》公共资源交易系统（</w:t>
      </w:r>
      <w:r>
        <w:rPr>
          <w:rFonts w:hint="eastAsia" w:ascii="新宋体" w:hAnsi="新宋体" w:eastAsia="新宋体" w:cs="新宋体"/>
        </w:rPr>
        <w:fldChar w:fldCharType="begin"/>
      </w:r>
      <w:r>
        <w:rPr>
          <w:rFonts w:hint="eastAsia" w:ascii="新宋体" w:hAnsi="新宋体" w:eastAsia="新宋体" w:cs="新宋体"/>
        </w:rPr>
        <w:instrText xml:space="preserve"> HYPERLINK "http://221.14.6.70:8088/ggzy/" </w:instrText>
      </w:r>
      <w:r>
        <w:rPr>
          <w:rFonts w:hint="eastAsia" w:ascii="新宋体" w:hAnsi="新宋体" w:eastAsia="新宋体" w:cs="新宋体"/>
        </w:rPr>
        <w:fldChar w:fldCharType="separate"/>
      </w:r>
      <w:r>
        <w:rPr>
          <w:rStyle w:val="29"/>
          <w:rFonts w:hint="eastAsia" w:ascii="新宋体" w:hAnsi="新宋体" w:eastAsia="新宋体" w:cs="新宋体"/>
          <w:sz w:val="24"/>
          <w:szCs w:val="24"/>
        </w:rPr>
        <w:t>http://221.14.6.70:8088/ggzy/</w:t>
      </w:r>
      <w:r>
        <w:rPr>
          <w:rStyle w:val="29"/>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4.3 加密电子响应文件成功提交后，供应商应打印“投标文件提交回执单”供谈判响应文件递交现场备查。</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5.评审依据</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5.1采用全流程电子化交易评审时，谈判小组以电子响应文件为依据评审。</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5.2全流程电子化交易如因系统异常情况无法完成，将以人工方式进行。谈判小组以纸质响应文件为依据评审。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482" w:firstLineChars="200"/>
        <w:rPr>
          <w:rFonts w:hint="eastAsia" w:ascii="新宋体" w:hAnsi="新宋体" w:eastAsia="新宋体" w:cs="新宋体"/>
          <w:sz w:val="24"/>
          <w:szCs w:val="24"/>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numPr>
          <w:ilvl w:val="0"/>
          <w:numId w:val="0"/>
        </w:numPr>
        <w:spacing w:line="520" w:lineRule="exact"/>
        <w:ind w:firstLine="720" w:firstLineChars="300"/>
        <w:rPr>
          <w:rFonts w:hint="eastAsia"/>
          <w:lang w:eastAsia="zh-CN"/>
        </w:rPr>
      </w:pPr>
      <w:r>
        <w:rPr>
          <w:rFonts w:hint="eastAsia" w:ascii="新宋体" w:hAnsi="新宋体" w:eastAsia="新宋体" w:cs="新宋体"/>
          <w:sz w:val="24"/>
          <w:szCs w:val="24"/>
          <w:lang w:eastAsia="zh-CN"/>
        </w:rPr>
        <w:t>本项目为了完善我校基础教育设施，提升学校办学特色，提高教育教学质量，为学生提供一个舒适的就餐环境的需要。</w:t>
      </w:r>
    </w:p>
    <w:p>
      <w:pPr>
        <w:numPr>
          <w:ilvl w:val="0"/>
          <w:numId w:val="5"/>
        </w:numPr>
        <w:spacing w:line="520" w:lineRule="exact"/>
        <w:ind w:firstLine="482" w:firstLineChars="200"/>
        <w:rPr>
          <w:rFonts w:hint="eastAsia" w:ascii="新宋体" w:hAnsi="新宋体" w:eastAsia="新宋体" w:cs="新宋体"/>
          <w:b/>
          <w:bCs/>
          <w:color w:val="000000" w:themeColor="text1"/>
          <w:sz w:val="24"/>
          <w:szCs w:val="24"/>
          <w:lang w:val="en-US" w:eastAsia="zh-CN"/>
        </w:rPr>
      </w:pPr>
      <w:r>
        <w:rPr>
          <w:rFonts w:hint="eastAsia" w:ascii="新宋体" w:hAnsi="新宋体" w:eastAsia="新宋体" w:cs="新宋体"/>
          <w:b/>
          <w:bCs/>
          <w:color w:val="000000" w:themeColor="text1"/>
          <w:sz w:val="24"/>
          <w:szCs w:val="24"/>
          <w:lang w:val="en-US" w:eastAsia="zh-CN"/>
        </w:rPr>
        <w:t>采购清单：</w:t>
      </w:r>
    </w:p>
    <w:p>
      <w:pPr>
        <w:pStyle w:val="2"/>
        <w:numPr>
          <w:numId w:val="0"/>
        </w:numPr>
        <w:rPr>
          <w:rFonts w:hint="eastAsia"/>
          <w:lang w:val="en-US" w:eastAsia="zh-CN"/>
        </w:rPr>
      </w:pPr>
    </w:p>
    <w:p>
      <w:pPr>
        <w:pStyle w:val="2"/>
        <w:numPr>
          <w:ilvl w:val="0"/>
          <w:numId w:val="0"/>
        </w:numPr>
        <w:ind w:firstLine="482" w:firstLineChars="200"/>
        <w:rPr>
          <w:rFonts w:hint="eastAsia"/>
          <w:b/>
          <w:bCs/>
          <w:sz w:val="24"/>
          <w:szCs w:val="24"/>
          <w:lang w:eastAsia="zh-CN"/>
        </w:rPr>
      </w:pPr>
      <w:r>
        <w:rPr>
          <w:rFonts w:hint="eastAsia"/>
          <w:b/>
          <w:bCs/>
          <w:sz w:val="24"/>
          <w:szCs w:val="24"/>
          <w:lang w:eastAsia="zh-CN"/>
        </w:rPr>
        <w:t>（一）空调设备清单</w:t>
      </w:r>
    </w:p>
    <w:p>
      <w:pPr>
        <w:pStyle w:val="2"/>
        <w:numPr>
          <w:ilvl w:val="0"/>
          <w:numId w:val="0"/>
        </w:numPr>
        <w:ind w:firstLine="482" w:firstLineChars="200"/>
        <w:rPr>
          <w:rFonts w:hint="eastAsia"/>
          <w:b/>
          <w:bCs/>
          <w:sz w:val="24"/>
          <w:szCs w:val="24"/>
          <w:lang w:eastAsia="zh-CN"/>
        </w:rPr>
      </w:pPr>
    </w:p>
    <w:tbl>
      <w:tblPr>
        <w:tblStyle w:val="23"/>
        <w:tblW w:w="8957" w:type="dxa"/>
        <w:tblInd w:w="2" w:type="dxa"/>
        <w:tblLayout w:type="fixed"/>
        <w:tblCellMar>
          <w:top w:w="0" w:type="dxa"/>
          <w:left w:w="0" w:type="dxa"/>
          <w:bottom w:w="0" w:type="dxa"/>
          <w:right w:w="0" w:type="dxa"/>
        </w:tblCellMar>
      </w:tblPr>
      <w:tblGrid>
        <w:gridCol w:w="702"/>
        <w:gridCol w:w="977"/>
        <w:gridCol w:w="5613"/>
        <w:gridCol w:w="750"/>
        <w:gridCol w:w="915"/>
      </w:tblGrid>
      <w:tr>
        <w:tblPrEx>
          <w:tblCellMar>
            <w:top w:w="0" w:type="dxa"/>
            <w:left w:w="0" w:type="dxa"/>
            <w:bottom w:w="0" w:type="dxa"/>
            <w:right w:w="0" w:type="dxa"/>
          </w:tblCellMar>
        </w:tblPrEx>
        <w:trPr>
          <w:trHeight w:val="663" w:hRule="atLeast"/>
        </w:trPr>
        <w:tc>
          <w:tcPr>
            <w:tcW w:w="7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序序号</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货物</w:t>
            </w:r>
          </w:p>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名称</w:t>
            </w:r>
          </w:p>
        </w:tc>
        <w:tc>
          <w:tcPr>
            <w:tcW w:w="5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技术规格及主要参数</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单位</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数量</w:t>
            </w:r>
          </w:p>
        </w:tc>
      </w:tr>
      <w:tr>
        <w:tblPrEx>
          <w:tblCellMar>
            <w:top w:w="0" w:type="dxa"/>
            <w:left w:w="0" w:type="dxa"/>
            <w:bottom w:w="0" w:type="dxa"/>
            <w:right w:w="0" w:type="dxa"/>
          </w:tblCellMar>
        </w:tblPrEx>
        <w:trPr>
          <w:trHeight w:val="7277" w:hRule="atLeast"/>
        </w:trPr>
        <w:tc>
          <w:tcPr>
            <w:tcW w:w="7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1</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十匹</w:t>
            </w:r>
          </w:p>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柜机</w:t>
            </w:r>
          </w:p>
        </w:tc>
        <w:tc>
          <w:tcPr>
            <w:tcW w:w="5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电源规格：380伏</w:t>
            </w:r>
          </w:p>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★额定制冷量：≥26000W</w:t>
            </w:r>
          </w:p>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★额定制热量：≥28000W</w:t>
            </w:r>
          </w:p>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★额定制冷功率：≤10600W</w:t>
            </w:r>
          </w:p>
          <w:p>
            <w:pPr>
              <w:numPr>
                <w:ilvl w:val="0"/>
                <w:numId w:val="0"/>
              </w:numPr>
              <w:spacing w:line="520" w:lineRule="exact"/>
              <w:ind w:left="718" w:leftChars="342" w:firstLine="0" w:firstLineChars="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★额定制热功率：≤10700W</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eastAsia="zh-CN"/>
              </w:rPr>
              <w:t>★室内机噪音：≤63dB</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eastAsia="zh-CN"/>
              </w:rPr>
              <w:t>★室外机噪音：≤67dB</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eastAsia="zh-CN"/>
              </w:rPr>
              <w:t>★循环风量：≥4000m3/h</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eastAsia="zh-CN"/>
              </w:rPr>
              <w:t>★电辅加热功率：≤6000W</w:t>
            </w:r>
          </w:p>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注：以上加★项须提供含规格参数的产品彩页及能效检测报告，提供厂家查询网址链接。</w:t>
            </w:r>
          </w:p>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 xml:space="preserve">提供产品厂家质量管理体系认证、环境管理体系认证、职业健康管理体系认证证书 </w:t>
            </w:r>
          </w:p>
        </w:tc>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 xml:space="preserve"> 台</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 xml:space="preserve">  35</w:t>
            </w:r>
          </w:p>
        </w:tc>
      </w:tr>
    </w:tbl>
    <w:p>
      <w:pPr>
        <w:numPr>
          <w:ilvl w:val="0"/>
          <w:numId w:val="6"/>
        </w:numPr>
        <w:spacing w:line="520" w:lineRule="exact"/>
        <w:ind w:firstLine="241" w:firstLineChars="100"/>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辅材参数清单</w:t>
      </w:r>
    </w:p>
    <w:p>
      <w:pPr>
        <w:pStyle w:val="2"/>
        <w:numPr>
          <w:numId w:val="0"/>
        </w:numPr>
        <w:rPr>
          <w:rFonts w:hint="eastAsia"/>
          <w:lang w:eastAsia="zh-CN"/>
        </w:rPr>
      </w:pPr>
    </w:p>
    <w:tbl>
      <w:tblPr>
        <w:tblStyle w:val="23"/>
        <w:tblW w:w="9077" w:type="dxa"/>
        <w:tblInd w:w="-106" w:type="dxa"/>
        <w:tblLayout w:type="autofit"/>
        <w:tblCellMar>
          <w:top w:w="0" w:type="dxa"/>
          <w:left w:w="108" w:type="dxa"/>
          <w:bottom w:w="0" w:type="dxa"/>
          <w:right w:w="108" w:type="dxa"/>
        </w:tblCellMar>
      </w:tblPr>
      <w:tblGrid>
        <w:gridCol w:w="966"/>
        <w:gridCol w:w="1734"/>
        <w:gridCol w:w="2555"/>
        <w:gridCol w:w="1080"/>
        <w:gridCol w:w="1086"/>
        <w:gridCol w:w="1656"/>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序号</w:t>
            </w:r>
          </w:p>
        </w:tc>
        <w:tc>
          <w:tcPr>
            <w:tcW w:w="1999"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辅材</w:t>
            </w:r>
          </w:p>
        </w:tc>
        <w:tc>
          <w:tcPr>
            <w:tcW w:w="2661"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型号</w:t>
            </w:r>
          </w:p>
        </w:tc>
        <w:tc>
          <w:tcPr>
            <w:tcW w:w="1080"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数量</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单位</w:t>
            </w:r>
          </w:p>
        </w:tc>
        <w:tc>
          <w:tcPr>
            <w:tcW w:w="1557"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技术参数</w:t>
            </w:r>
          </w:p>
        </w:tc>
      </w:tr>
      <w:tr>
        <w:tblPrEx>
          <w:tblCellMar>
            <w:top w:w="0" w:type="dxa"/>
            <w:left w:w="108" w:type="dxa"/>
            <w:bottom w:w="0" w:type="dxa"/>
            <w:right w:w="108" w:type="dxa"/>
          </w:tblCellMar>
        </w:tblPrEx>
        <w:trPr>
          <w:trHeight w:val="851"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w:t>
            </w:r>
          </w:p>
        </w:tc>
        <w:tc>
          <w:tcPr>
            <w:tcW w:w="1999"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铜管</w:t>
            </w:r>
          </w:p>
        </w:tc>
        <w:tc>
          <w:tcPr>
            <w:tcW w:w="2661" w:type="dxa"/>
            <w:tcBorders>
              <w:top w:val="single" w:color="auto" w:sz="4" w:space="0"/>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室内外机连接冷媒铜管（含保温内外机电源及信号线）</w:t>
            </w:r>
          </w:p>
        </w:tc>
        <w:tc>
          <w:tcPr>
            <w:tcW w:w="1080"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420</w:t>
            </w:r>
          </w:p>
        </w:tc>
        <w:tc>
          <w:tcPr>
            <w:tcW w:w="1080"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米</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国标</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2</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电缆</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YJV3*10+2</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1960</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米</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YJV3*10+2</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3</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控制箱</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KZX1.28*80</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480" w:firstLineChars="2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5</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套</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KZX1.28*80</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主电源</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YJV4*70+1</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240" w:firstLineChars="1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120</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米</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YJV4*70+1</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5</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电缆</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YJV4*50+1</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240" w:firstLineChars="1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300</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米</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YJV4*50+1</w:t>
            </w:r>
          </w:p>
        </w:tc>
      </w:tr>
      <w:tr>
        <w:tblPrEx>
          <w:tblCellMar>
            <w:top w:w="0" w:type="dxa"/>
            <w:left w:w="108" w:type="dxa"/>
            <w:bottom w:w="0" w:type="dxa"/>
            <w:right w:w="108" w:type="dxa"/>
          </w:tblCellMar>
        </w:tblPrEx>
        <w:trPr>
          <w:trHeight w:val="62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6</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电缆</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YJV4*4+1</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240" w:firstLineChars="1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500</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米</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YJV4*4+1*2.5</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7</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空气开关</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NM1-100A断路器</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240" w:firstLineChars="1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35</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个</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NM1-100A</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8</w:t>
            </w:r>
          </w:p>
        </w:tc>
        <w:tc>
          <w:tcPr>
            <w:tcW w:w="1999" w:type="dxa"/>
            <w:tcBorders>
              <w:top w:val="single" w:color="auto" w:sz="4" w:space="0"/>
              <w:left w:val="nil"/>
              <w:bottom w:val="single" w:color="auto" w:sz="4" w:space="0"/>
              <w:right w:val="single" w:color="000000"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空气开关</w:t>
            </w:r>
          </w:p>
        </w:tc>
        <w:tc>
          <w:tcPr>
            <w:tcW w:w="2661"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NM1-400A断路</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240" w:firstLineChars="10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5</w:t>
            </w:r>
          </w:p>
        </w:tc>
        <w:tc>
          <w:tcPr>
            <w:tcW w:w="1080"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ind w:firstLine="720" w:firstLineChars="3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个</w:t>
            </w:r>
          </w:p>
        </w:tc>
        <w:tc>
          <w:tcPr>
            <w:tcW w:w="1557" w:type="dxa"/>
            <w:tcBorders>
              <w:top w:val="nil"/>
              <w:left w:val="nil"/>
              <w:bottom w:val="single" w:color="auto" w:sz="4" w:space="0"/>
              <w:right w:val="single" w:color="auto" w:sz="4" w:space="0"/>
            </w:tcBorders>
            <w:shd w:val="clear" w:color="000000" w:fill="FFFFFF"/>
            <w:vAlign w:val="center"/>
          </w:tcPr>
          <w:p>
            <w:pPr>
              <w:numPr>
                <w:ilvl w:val="0"/>
                <w:numId w:val="0"/>
              </w:numPr>
              <w:spacing w:line="520" w:lineRule="exact"/>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NM1-400A</w:t>
            </w:r>
          </w:p>
        </w:tc>
      </w:tr>
    </w:tbl>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备注：以上要求为最低要求，投标商不得低于此要求，否则为无效响应文件。</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3"/>
        <w:keepNext w:val="0"/>
        <w:keepLines w:val="0"/>
        <w:pageBreakBefore w:val="0"/>
        <w:numPr>
          <w:ilvl w:val="0"/>
          <w:numId w:val="0"/>
        </w:numPr>
        <w:kinsoku/>
        <w:overflowPunct/>
        <w:autoSpaceDN w:val="0"/>
        <w:bidi w:val="0"/>
        <w:snapToGrid w:val="0"/>
        <w:spacing w:line="360" w:lineRule="auto"/>
        <w:ind w:left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pStyle w:val="63"/>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leftChars="200"/>
        <w:textAlignment w:val="baseline"/>
        <w:rPr>
          <w:rFonts w:hint="eastAsia" w:ascii="新宋体" w:hAnsi="新宋体" w:eastAsia="新宋体" w:cs="新宋体"/>
          <w:sz w:val="24"/>
          <w:szCs w:val="24"/>
          <w:lang w:eastAsia="zh-CN"/>
        </w:rPr>
      </w:pPr>
      <w:r>
        <w:rPr>
          <w:rFonts w:hint="eastAsia" w:ascii="新宋体" w:hAnsi="新宋体" w:eastAsia="新宋体" w:cs="新宋体"/>
          <w:sz w:val="24"/>
          <w:szCs w:val="24"/>
        </w:rPr>
        <w:t>1、质保期要求：本项目的质量保证期不低于六年（自验收合格之日起算）</w:t>
      </w:r>
      <w:r>
        <w:rPr>
          <w:rFonts w:hint="eastAsia" w:ascii="新宋体" w:hAnsi="新宋体" w:eastAsia="新宋体" w:cs="新宋体"/>
          <w:sz w:val="24"/>
          <w:szCs w:val="24"/>
          <w:lang w:eastAsia="zh-CN"/>
        </w:rPr>
        <w:t>；</w:t>
      </w:r>
    </w:p>
    <w:p>
      <w:pPr>
        <w:pStyle w:val="63"/>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firstLine="480" w:firstLineChars="200"/>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服务要求：质保期内，维保维修服务方式均为投标人上门服务，由此产生的一切费用均由投标人承担。如出现非人为损坏问题在1个工作日内无法解决问题的，需提供同品牌规格型号的仪器备机服务，直到原设备修复，期间产生的费用由投标人承担。在质保期结束后，投标人应提供终身维修服务，发生的相关费用由采购人承担。</w:t>
      </w:r>
    </w:p>
    <w:p>
      <w:pPr>
        <w:keepNext w:val="0"/>
        <w:keepLines w:val="0"/>
        <w:pageBreakBefore w:val="0"/>
        <w:kinsoku/>
        <w:overflowPunct/>
        <w:bidi w:val="0"/>
        <w:spacing w:line="360" w:lineRule="auto"/>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keepNext w:val="0"/>
        <w:keepLines w:val="0"/>
        <w:pageBreakBefore w:val="0"/>
        <w:kinsoku/>
        <w:overflowPunct/>
        <w:bidi w:val="0"/>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widowControl/>
        <w:shd w:val="clear" w:color="auto" w:fill="FFFFFF"/>
        <w:spacing w:line="360" w:lineRule="auto"/>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widowControl/>
        <w:shd w:val="clear" w:color="auto" w:fill="FFFFFF"/>
        <w:spacing w:line="360" w:lineRule="auto"/>
        <w:ind w:firstLine="480" w:firstLineChars="200"/>
        <w:jc w:val="left"/>
        <w:rPr>
          <w:rFonts w:hint="eastAsia"/>
          <w:lang w:val="en-US" w:eastAsia="zh-CN"/>
        </w:rPr>
      </w:pPr>
      <w:r>
        <w:rPr>
          <w:rFonts w:hint="eastAsia" w:ascii="新宋体" w:hAnsi="新宋体" w:eastAsia="新宋体" w:cs="新宋体"/>
          <w:sz w:val="24"/>
          <w:szCs w:val="24"/>
          <w:lang w:val="en-US" w:eastAsia="zh-CN"/>
        </w:rPr>
        <w:t>2、投标文件中须有详细的实施（技术）方案，否则为无效投标。</w:t>
      </w:r>
    </w:p>
    <w:p>
      <w:pPr>
        <w:numPr>
          <w:ilvl w:val="0"/>
          <w:numId w:val="0"/>
        </w:numPr>
        <w:tabs>
          <w:tab w:val="left" w:pos="7095"/>
        </w:tabs>
        <w:spacing w:line="360" w:lineRule="auto"/>
        <w:ind w:firstLine="480" w:firstLineChars="200"/>
        <w:contextualSpacing/>
        <w:rPr>
          <w:rFonts w:hint="eastAsia"/>
          <w:lang w:val="en-US" w:eastAsia="zh-CN"/>
        </w:rPr>
      </w:pPr>
      <w:r>
        <w:rPr>
          <w:rFonts w:hint="eastAsia" w:ascii="新宋体" w:hAnsi="新宋体" w:eastAsia="新宋体" w:cs="新宋体"/>
          <w:sz w:val="24"/>
          <w:szCs w:val="24"/>
          <w:lang w:val="en-US" w:eastAsia="zh-CN"/>
        </w:rPr>
        <w:t>3、设备必须符合国家质量检测标准和本招标文件规定标准的全新正品现货，供货时提供随货物《产品合格证》及其它相关质量证明文件。</w:t>
      </w:r>
    </w:p>
    <w:p>
      <w:pPr>
        <w:widowControl/>
        <w:shd w:val="clear" w:color="auto" w:fill="FFFFFF"/>
        <w:spacing w:line="360" w:lineRule="auto"/>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4、投标人须明确维修点地址、负责人、联系人和联系电话，维修点具备什么样的维修能力等详细资料。</w:t>
      </w:r>
    </w:p>
    <w:p>
      <w:pPr>
        <w:widowControl/>
        <w:shd w:val="clear" w:color="auto" w:fill="FFFFFF"/>
        <w:spacing w:line="360" w:lineRule="auto"/>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5、投标商必须由法定代表人或其授权代表参加开标会议，随时接受评标委员会询问，并予作出书面解答。</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6、本项目为交钥匙工程（包括运输、安装调试、专业培训等一切费用）。由于乙方原因不按时交付使用，甲方将按合同金额每延期一天百分之一予以处罚。</w:t>
      </w:r>
    </w:p>
    <w:p>
      <w:pPr>
        <w:keepNext w:val="0"/>
        <w:keepLines w:val="0"/>
        <w:pageBreakBefore w:val="0"/>
        <w:widowControl/>
        <w:shd w:val="clear" w:color="auto" w:fill="FFFFFF"/>
        <w:kinsoku/>
        <w:overflowPunct/>
        <w:bidi w:val="0"/>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、付款方式：</w:t>
      </w: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财政支付</w:t>
      </w:r>
    </w:p>
    <w:p>
      <w:pPr>
        <w:keepNext w:val="0"/>
        <w:keepLines w:val="0"/>
        <w:pageBreakBefore w:val="0"/>
        <w:tabs>
          <w:tab w:val="left" w:pos="5963"/>
        </w:tabs>
        <w:kinsoku/>
        <w:overflowPunct/>
        <w:bidi w:val="0"/>
        <w:spacing w:line="360" w:lineRule="auto"/>
        <w:ind w:firstLine="2160" w:firstLineChars="9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以签订合同为准。</w:t>
      </w:r>
    </w:p>
    <w:p>
      <w:pPr>
        <w:tabs>
          <w:tab w:val="left" w:pos="5963"/>
        </w:tabs>
        <w:spacing w:line="420" w:lineRule="exact"/>
        <w:ind w:firstLine="480" w:firstLineChars="200"/>
        <w:rPr>
          <w:rFonts w:hint="eastAsia" w:ascii="新宋体" w:hAnsi="新宋体" w:eastAsia="新宋体" w:cs="新宋体"/>
          <w:sz w:val="24"/>
          <w:szCs w:val="24"/>
        </w:rPr>
      </w:pPr>
    </w:p>
    <w:p>
      <w:pPr>
        <w:numPr>
          <w:ilvl w:val="0"/>
          <w:numId w:val="0"/>
        </w:numPr>
        <w:autoSpaceDE w:val="0"/>
        <w:autoSpaceDN w:val="0"/>
        <w:adjustRightInd w:val="0"/>
        <w:ind w:firstLine="1928" w:firstLineChars="600"/>
        <w:jc w:val="both"/>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pStyle w:val="2"/>
        <w:rPr>
          <w:rFonts w:hint="eastAsia" w:cs="宋体" w:asciiTheme="majorEastAsia" w:hAnsiTheme="majorEastAsia" w:eastAsiaTheme="majorEastAsia"/>
          <w:b/>
          <w:kern w:val="0"/>
          <w:sz w:val="32"/>
          <w:szCs w:val="32"/>
          <w:lang w:val="en-US" w:eastAsia="zh-CN"/>
        </w:rPr>
      </w:pPr>
    </w:p>
    <w:p>
      <w:pPr>
        <w:numPr>
          <w:ilvl w:val="0"/>
          <w:numId w:val="0"/>
        </w:numPr>
        <w:autoSpaceDE w:val="0"/>
        <w:autoSpaceDN w:val="0"/>
        <w:adjustRightInd w:val="0"/>
        <w:ind w:left="642" w:leftChars="0" w:firstLine="1606" w:firstLineChars="500"/>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第三章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供应商须知前附表</w:t>
      </w:r>
    </w:p>
    <w:p>
      <w:pPr>
        <w:pStyle w:val="2"/>
        <w:numPr>
          <w:ilvl w:val="0"/>
          <w:numId w:val="0"/>
        </w:num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rPr>
            </w:pPr>
            <w:r>
              <w:rPr>
                <w:rFonts w:hint="eastAsia"/>
              </w:rPr>
              <w:t>项目名称：禹州市</w:t>
            </w:r>
            <w:r>
              <w:rPr>
                <w:rFonts w:hint="eastAsia"/>
                <w:lang w:eastAsia="zh-CN"/>
              </w:rPr>
              <w:t>一高学生餐厅空调采购项目</w:t>
            </w:r>
          </w:p>
          <w:p>
            <w:pPr>
              <w:autoSpaceDE w:val="0"/>
              <w:autoSpaceDN w:val="0"/>
              <w:adjustRightInd w:val="0"/>
              <w:spacing w:line="360" w:lineRule="auto"/>
              <w:jc w:val="left"/>
              <w:rPr>
                <w:rFonts w:hint="default"/>
                <w:lang w:val="en-US" w:eastAsia="zh-CN"/>
              </w:rPr>
            </w:pPr>
            <w:r>
              <w:rPr>
                <w:rFonts w:hint="eastAsia"/>
              </w:rPr>
              <w:t>项目编号：YZCG-T20</w:t>
            </w:r>
            <w:r>
              <w:rPr>
                <w:rFonts w:hint="eastAsia"/>
                <w:lang w:val="en-US" w:eastAsia="zh-CN"/>
              </w:rPr>
              <w:t>20077</w:t>
            </w:r>
          </w:p>
          <w:p>
            <w:pPr>
              <w:widowControl/>
              <w:shd w:val="clear" w:color="auto" w:fill="FFFFFF"/>
              <w:spacing w:line="360" w:lineRule="auto"/>
              <w:jc w:val="left"/>
              <w:rPr>
                <w:rFonts w:hint="eastAsia"/>
                <w:lang w:val="en-US" w:eastAsia="zh-CN"/>
              </w:rPr>
            </w:pPr>
            <w:r>
              <w:rPr>
                <w:rFonts w:hint="eastAsia"/>
                <w:lang w:eastAsia="zh-CN"/>
              </w:rPr>
              <w:t>交付日期：以</w:t>
            </w:r>
            <w:r>
              <w:rPr>
                <w:rFonts w:hint="eastAsia"/>
                <w:lang w:val="en-US" w:eastAsia="zh-CN"/>
              </w:rPr>
              <w:t>签订合同为准</w:t>
            </w:r>
          </w:p>
          <w:p>
            <w:pPr>
              <w:pStyle w:val="2"/>
              <w:ind w:left="0" w:leftChars="0" w:firstLine="0" w:firstLineChars="0"/>
              <w:rPr>
                <w:rFonts w:hint="eastAsia"/>
                <w:lang w:val="en-US" w:eastAsia="zh-CN"/>
              </w:rPr>
            </w:pPr>
            <w:r>
              <w:rPr>
                <w:rFonts w:hint="eastAsia"/>
                <w:lang w:val="en-US" w:eastAsia="zh-CN"/>
              </w:rPr>
              <w:t>交付地点：禹州市一高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rPr>
              <w:t>禹州市</w:t>
            </w:r>
            <w:r>
              <w:rPr>
                <w:rFonts w:hint="eastAsia"/>
                <w:lang w:eastAsia="zh-CN"/>
              </w:rPr>
              <w:t>第一高级中学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13839037602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val="0"/>
                <w:szCs w:val="21"/>
                <w:lang w:val="zh-CN"/>
              </w:rPr>
            </w:pPr>
            <w:r>
              <w:rPr>
                <w:rFonts w:hint="eastAsia" w:cs="宋体" w:asciiTheme="minorEastAsia" w:hAnsiTheme="minorEastAsia"/>
                <w:b/>
                <w:bCs w:val="0"/>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80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w:t>
            </w:r>
            <w:r>
              <w:rPr>
                <w:rFonts w:hint="eastAsia" w:cs="宋体" w:asciiTheme="minorEastAsia" w:hAnsiTheme="minorEastAsia"/>
                <w:bCs/>
                <w:szCs w:val="21"/>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5"/>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0" w:name="_Toc357868214"/>
      <w:bookmarkStart w:id="1" w:name="_Toc354922980"/>
      <w:bookmarkStart w:id="2" w:name="_Toc354404029"/>
      <w:bookmarkStart w:id="3" w:name="_Toc356744034"/>
      <w:bookmarkStart w:id="4" w:name="_Toc354923119"/>
      <w:bookmarkStart w:id="5" w:name="_Toc326060505"/>
      <w:bookmarkStart w:id="6" w:name="_Toc364457259"/>
      <w:bookmarkStart w:id="7" w:name="_Toc355649942"/>
      <w:bookmarkStart w:id="8" w:name="_Toc32927814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9" w:name="_Toc354923120"/>
      <w:bookmarkStart w:id="10" w:name="_Toc354404030"/>
      <w:bookmarkStart w:id="11" w:name="_Toc355649943"/>
      <w:bookmarkStart w:id="12" w:name="_Toc357868215"/>
      <w:bookmarkStart w:id="13" w:name="_Toc329278150"/>
      <w:bookmarkStart w:id="14" w:name="_Toc326060506"/>
      <w:bookmarkStart w:id="15" w:name="_Toc354922981"/>
      <w:bookmarkStart w:id="16" w:name="_Toc364457260"/>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1"/>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5"/>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18" w:name="_Toc354404031"/>
      <w:bookmarkStart w:id="19" w:name="_Toc356744036"/>
      <w:bookmarkStart w:id="20" w:name="_Toc354922982"/>
      <w:bookmarkStart w:id="21" w:name="_Toc355649944"/>
      <w:bookmarkStart w:id="22" w:name="_Toc354923121"/>
      <w:bookmarkStart w:id="23" w:name="_Toc364457261"/>
      <w:bookmarkStart w:id="24" w:name="_Toc326060507"/>
      <w:bookmarkStart w:id="25" w:name="_Toc357868216"/>
      <w:bookmarkStart w:id="26" w:name="_Toc32927815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27" w:name="_Toc364457262"/>
      <w:bookmarkStart w:id="28" w:name="_Toc326060508"/>
      <w:bookmarkStart w:id="29" w:name="_Toc355649945"/>
      <w:bookmarkStart w:id="30" w:name="_Toc354922983"/>
      <w:bookmarkStart w:id="31" w:name="_Toc354923122"/>
      <w:bookmarkStart w:id="32" w:name="_Toc356744037"/>
      <w:bookmarkStart w:id="33" w:name="_Toc354404032"/>
      <w:bookmarkStart w:id="34" w:name="_Toc329278152"/>
      <w:bookmarkStart w:id="35" w:name="_Toc35786821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6"/>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6" w:name="_Toc354922984"/>
      <w:bookmarkStart w:id="37" w:name="_Toc354923123"/>
      <w:bookmarkStart w:id="38" w:name="_Toc326060509"/>
      <w:bookmarkStart w:id="39" w:name="_Toc357868218"/>
      <w:bookmarkStart w:id="40" w:name="_Toc364457263"/>
      <w:bookmarkStart w:id="41" w:name="_Toc356744038"/>
      <w:bookmarkStart w:id="42" w:name="_Toc355649946"/>
      <w:bookmarkStart w:id="43" w:name="_Toc354404033"/>
      <w:bookmarkStart w:id="44" w:name="_Toc32927815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5" w:name="_Toc326060510"/>
      <w:bookmarkStart w:id="46" w:name="_Toc356744039"/>
      <w:bookmarkStart w:id="47" w:name="_Toc355649947"/>
      <w:bookmarkStart w:id="48" w:name="_Toc329278154"/>
      <w:bookmarkStart w:id="49" w:name="_Toc354404034"/>
      <w:bookmarkStart w:id="50" w:name="_Toc357868219"/>
      <w:bookmarkStart w:id="51" w:name="_Toc364457264"/>
      <w:bookmarkStart w:id="52" w:name="_Toc354923124"/>
      <w:bookmarkStart w:id="53" w:name="_Toc354922985"/>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7"/>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2"/>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4" w:name="_Toc364457265"/>
      <w:bookmarkStart w:id="55" w:name="_Toc354922986"/>
      <w:bookmarkStart w:id="56" w:name="_Toc329278155"/>
      <w:bookmarkStart w:id="57" w:name="_Toc354923125"/>
      <w:bookmarkStart w:id="58" w:name="_Toc357868220"/>
      <w:bookmarkStart w:id="59" w:name="_Toc356744040"/>
      <w:bookmarkStart w:id="60" w:name="_Toc354404035"/>
      <w:bookmarkStart w:id="61" w:name="_Toc326060511"/>
      <w:bookmarkStart w:id="62" w:name="_Toc355649948"/>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3" w:name="_Toc329278156"/>
      <w:bookmarkStart w:id="64" w:name="_Toc364457266"/>
      <w:bookmarkStart w:id="65" w:name="_Toc355649949"/>
      <w:bookmarkStart w:id="66" w:name="_Toc326060512"/>
      <w:bookmarkStart w:id="67" w:name="_Toc357868221"/>
      <w:bookmarkStart w:id="68" w:name="_Toc356744041"/>
      <w:bookmarkStart w:id="69" w:name="_Toc354404036"/>
      <w:bookmarkStart w:id="70" w:name="_Toc354923126"/>
      <w:bookmarkStart w:id="71" w:name="_Toc354922987"/>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9"/>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9"/>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2" w:name="_Toc326060513"/>
      <w:bookmarkStart w:id="73" w:name="_Toc354404037"/>
      <w:bookmarkStart w:id="74" w:name="_Toc354922988"/>
      <w:bookmarkStart w:id="75" w:name="_Toc355649950"/>
      <w:bookmarkStart w:id="76" w:name="_Toc329278157"/>
      <w:bookmarkStart w:id="77" w:name="_Toc357868222"/>
      <w:bookmarkStart w:id="78" w:name="_Toc354923127"/>
      <w:bookmarkStart w:id="79" w:name="_Toc364457267"/>
      <w:bookmarkStart w:id="80" w:name="_Toc356744042"/>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A60FC50C"/>
    <w:multiLevelType w:val="singleLevel"/>
    <w:tmpl w:val="A60FC50C"/>
    <w:lvl w:ilvl="0" w:tentative="0">
      <w:start w:val="2"/>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948F17F"/>
    <w:multiLevelType w:val="singleLevel"/>
    <w:tmpl w:val="0948F17F"/>
    <w:lvl w:ilvl="0" w:tentative="0">
      <w:start w:val="2"/>
      <w:numFmt w:val="chineseCounting"/>
      <w:suff w:val="nothing"/>
      <w:lvlText w:val="%1、"/>
      <w:lvlJc w:val="left"/>
      <w:rPr>
        <w:rFonts w:hint="eastAsia"/>
      </w:r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68E419E"/>
    <w:multiLevelType w:val="singleLevel"/>
    <w:tmpl w:val="468E419E"/>
    <w:lvl w:ilvl="0" w:tentative="0">
      <w:start w:val="3"/>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4"/>
  </w:num>
  <w:num w:numId="4">
    <w:abstractNumId w:val="2"/>
  </w:num>
  <w:num w:numId="5">
    <w:abstractNumId w:val="13"/>
  </w:num>
  <w:num w:numId="6">
    <w:abstractNumId w:val="1"/>
  </w:num>
  <w:num w:numId="7">
    <w:abstractNumId w:val="23"/>
  </w:num>
  <w:num w:numId="8">
    <w:abstractNumId w:val="20"/>
  </w:num>
  <w:num w:numId="9">
    <w:abstractNumId w:val="25"/>
  </w:num>
  <w:num w:numId="10">
    <w:abstractNumId w:val="18"/>
  </w:num>
  <w:num w:numId="11">
    <w:abstractNumId w:val="12"/>
  </w:num>
  <w:num w:numId="12">
    <w:abstractNumId w:val="19"/>
  </w:num>
  <w:num w:numId="13">
    <w:abstractNumId w:val="21"/>
  </w:num>
  <w:num w:numId="14">
    <w:abstractNumId w:val="28"/>
  </w:num>
  <w:num w:numId="15">
    <w:abstractNumId w:val="17"/>
  </w:num>
  <w:num w:numId="16">
    <w:abstractNumId w:val="14"/>
  </w:num>
  <w:num w:numId="17">
    <w:abstractNumId w:val="26"/>
  </w:num>
  <w:num w:numId="18">
    <w:abstractNumId w:val="11"/>
  </w:num>
  <w:num w:numId="19">
    <w:abstractNumId w:val="22"/>
  </w:num>
  <w:num w:numId="20">
    <w:abstractNumId w:val="16"/>
  </w:num>
  <w:num w:numId="21">
    <w:abstractNumId w:val="27"/>
  </w:num>
  <w:num w:numId="22">
    <w:abstractNumId w:val="29"/>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5E2B82"/>
    <w:rsid w:val="01873E33"/>
    <w:rsid w:val="01C861C5"/>
    <w:rsid w:val="02042EF4"/>
    <w:rsid w:val="02314E41"/>
    <w:rsid w:val="027D5641"/>
    <w:rsid w:val="028E485D"/>
    <w:rsid w:val="02BB5D2E"/>
    <w:rsid w:val="032C493C"/>
    <w:rsid w:val="03B6440A"/>
    <w:rsid w:val="04A6236A"/>
    <w:rsid w:val="04ED2911"/>
    <w:rsid w:val="053F5432"/>
    <w:rsid w:val="064E7C45"/>
    <w:rsid w:val="06F049E2"/>
    <w:rsid w:val="079C0E99"/>
    <w:rsid w:val="07BF5E31"/>
    <w:rsid w:val="07E822C7"/>
    <w:rsid w:val="07F96DEB"/>
    <w:rsid w:val="08D81C3A"/>
    <w:rsid w:val="08ED0258"/>
    <w:rsid w:val="08EF08AA"/>
    <w:rsid w:val="09097ED2"/>
    <w:rsid w:val="09611AE5"/>
    <w:rsid w:val="09B61E03"/>
    <w:rsid w:val="09E74862"/>
    <w:rsid w:val="0A1E34A8"/>
    <w:rsid w:val="0A335D9D"/>
    <w:rsid w:val="0A4B727F"/>
    <w:rsid w:val="0A5271DD"/>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CC47F7"/>
    <w:rsid w:val="12E50F51"/>
    <w:rsid w:val="13BF63D1"/>
    <w:rsid w:val="13FD3B91"/>
    <w:rsid w:val="14214638"/>
    <w:rsid w:val="143F6CA5"/>
    <w:rsid w:val="14527AE3"/>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10D26"/>
    <w:rsid w:val="1F457DEB"/>
    <w:rsid w:val="1F4F76D7"/>
    <w:rsid w:val="1F5E25BF"/>
    <w:rsid w:val="1FD55739"/>
    <w:rsid w:val="204C3CC9"/>
    <w:rsid w:val="20ED0E50"/>
    <w:rsid w:val="20FF154F"/>
    <w:rsid w:val="21724AA6"/>
    <w:rsid w:val="21DF17AC"/>
    <w:rsid w:val="220F7E93"/>
    <w:rsid w:val="22B643D4"/>
    <w:rsid w:val="2301785C"/>
    <w:rsid w:val="23177121"/>
    <w:rsid w:val="23820B7F"/>
    <w:rsid w:val="24326801"/>
    <w:rsid w:val="245106F3"/>
    <w:rsid w:val="2461458C"/>
    <w:rsid w:val="24655634"/>
    <w:rsid w:val="24AD6D38"/>
    <w:rsid w:val="24B32A61"/>
    <w:rsid w:val="24D83346"/>
    <w:rsid w:val="25720679"/>
    <w:rsid w:val="258B0188"/>
    <w:rsid w:val="25DF5154"/>
    <w:rsid w:val="265B42DF"/>
    <w:rsid w:val="27553E85"/>
    <w:rsid w:val="27A229B2"/>
    <w:rsid w:val="27B5253B"/>
    <w:rsid w:val="283E3CD3"/>
    <w:rsid w:val="288C6375"/>
    <w:rsid w:val="29D14A0E"/>
    <w:rsid w:val="2A4D4EEC"/>
    <w:rsid w:val="2B3F5F01"/>
    <w:rsid w:val="2C0B7CF9"/>
    <w:rsid w:val="2C2E4C48"/>
    <w:rsid w:val="2C377758"/>
    <w:rsid w:val="2D4F570F"/>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786381D"/>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CF5050D"/>
    <w:rsid w:val="3D96637E"/>
    <w:rsid w:val="3DC372EE"/>
    <w:rsid w:val="3DEC2498"/>
    <w:rsid w:val="3E4F494F"/>
    <w:rsid w:val="3ED82F46"/>
    <w:rsid w:val="3FAD3FCA"/>
    <w:rsid w:val="40BE3049"/>
    <w:rsid w:val="416D7FD7"/>
    <w:rsid w:val="422721F4"/>
    <w:rsid w:val="42547D8B"/>
    <w:rsid w:val="42B018DA"/>
    <w:rsid w:val="42F23437"/>
    <w:rsid w:val="430B4CE4"/>
    <w:rsid w:val="43663E29"/>
    <w:rsid w:val="43700BED"/>
    <w:rsid w:val="44052193"/>
    <w:rsid w:val="444769AF"/>
    <w:rsid w:val="44EA4606"/>
    <w:rsid w:val="45675D0C"/>
    <w:rsid w:val="458C667A"/>
    <w:rsid w:val="46366161"/>
    <w:rsid w:val="463E6D9A"/>
    <w:rsid w:val="46465AAA"/>
    <w:rsid w:val="467D2F1A"/>
    <w:rsid w:val="46CE1703"/>
    <w:rsid w:val="46DE0F76"/>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7B30FE"/>
    <w:rsid w:val="4ABE0F93"/>
    <w:rsid w:val="4CE713A1"/>
    <w:rsid w:val="4D005CCE"/>
    <w:rsid w:val="4D550000"/>
    <w:rsid w:val="4DE45808"/>
    <w:rsid w:val="4E9448CD"/>
    <w:rsid w:val="4F374C6E"/>
    <w:rsid w:val="4FF32A73"/>
    <w:rsid w:val="4FF65309"/>
    <w:rsid w:val="500C702E"/>
    <w:rsid w:val="50560813"/>
    <w:rsid w:val="505F0174"/>
    <w:rsid w:val="50A050A3"/>
    <w:rsid w:val="51352836"/>
    <w:rsid w:val="51A13899"/>
    <w:rsid w:val="51C24DCB"/>
    <w:rsid w:val="51F46E3D"/>
    <w:rsid w:val="520C2784"/>
    <w:rsid w:val="522315ED"/>
    <w:rsid w:val="52391561"/>
    <w:rsid w:val="52581E68"/>
    <w:rsid w:val="528771C6"/>
    <w:rsid w:val="531600B4"/>
    <w:rsid w:val="535A1FCB"/>
    <w:rsid w:val="536561B2"/>
    <w:rsid w:val="53FA012A"/>
    <w:rsid w:val="54150FD2"/>
    <w:rsid w:val="544C0545"/>
    <w:rsid w:val="548F7CC1"/>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834427"/>
    <w:rsid w:val="5BAE2A99"/>
    <w:rsid w:val="5BC20F3E"/>
    <w:rsid w:val="5C1717D9"/>
    <w:rsid w:val="5C1A7007"/>
    <w:rsid w:val="5C1E368A"/>
    <w:rsid w:val="5C20031E"/>
    <w:rsid w:val="5CB139A0"/>
    <w:rsid w:val="5CD938B8"/>
    <w:rsid w:val="5D280ACB"/>
    <w:rsid w:val="5D823D4C"/>
    <w:rsid w:val="5DA504AA"/>
    <w:rsid w:val="5DD54801"/>
    <w:rsid w:val="5E2B098A"/>
    <w:rsid w:val="5E8E5AC1"/>
    <w:rsid w:val="5E921C4D"/>
    <w:rsid w:val="5EE83EB0"/>
    <w:rsid w:val="5EFB17CA"/>
    <w:rsid w:val="5F4A434F"/>
    <w:rsid w:val="5F4C6AB1"/>
    <w:rsid w:val="6001186C"/>
    <w:rsid w:val="606E3CED"/>
    <w:rsid w:val="60D16749"/>
    <w:rsid w:val="60DB3FC7"/>
    <w:rsid w:val="61035D91"/>
    <w:rsid w:val="614E3A65"/>
    <w:rsid w:val="617D2E49"/>
    <w:rsid w:val="61994186"/>
    <w:rsid w:val="61BC4DC2"/>
    <w:rsid w:val="622368EE"/>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450A1E"/>
    <w:rsid w:val="69995CD6"/>
    <w:rsid w:val="69CA0494"/>
    <w:rsid w:val="69FB4D8B"/>
    <w:rsid w:val="6AC62746"/>
    <w:rsid w:val="6C2234CC"/>
    <w:rsid w:val="6D32159C"/>
    <w:rsid w:val="6D351CF7"/>
    <w:rsid w:val="6DB217D4"/>
    <w:rsid w:val="6E412611"/>
    <w:rsid w:val="6E9976D7"/>
    <w:rsid w:val="6EB746A7"/>
    <w:rsid w:val="6EF32B6E"/>
    <w:rsid w:val="6F13150B"/>
    <w:rsid w:val="6F34277B"/>
    <w:rsid w:val="6F6B3219"/>
    <w:rsid w:val="6F832092"/>
    <w:rsid w:val="6FE8143A"/>
    <w:rsid w:val="7039129F"/>
    <w:rsid w:val="704D75D1"/>
    <w:rsid w:val="70506DB5"/>
    <w:rsid w:val="7072440C"/>
    <w:rsid w:val="70764DB5"/>
    <w:rsid w:val="7092622D"/>
    <w:rsid w:val="70BB1864"/>
    <w:rsid w:val="71212C19"/>
    <w:rsid w:val="71CB356E"/>
    <w:rsid w:val="71EC2A56"/>
    <w:rsid w:val="72233563"/>
    <w:rsid w:val="72B127EC"/>
    <w:rsid w:val="737E090F"/>
    <w:rsid w:val="741756AE"/>
    <w:rsid w:val="741A563C"/>
    <w:rsid w:val="74E9222B"/>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BC164A4"/>
    <w:rsid w:val="7C1D0C87"/>
    <w:rsid w:val="7D0543E8"/>
    <w:rsid w:val="7D191B50"/>
    <w:rsid w:val="7D426DE3"/>
    <w:rsid w:val="7D640708"/>
    <w:rsid w:val="7D7A79B6"/>
    <w:rsid w:val="7D9930C3"/>
    <w:rsid w:val="7DE1586C"/>
    <w:rsid w:val="7E4C7A10"/>
    <w:rsid w:val="7E4D2297"/>
    <w:rsid w:val="7E583278"/>
    <w:rsid w:val="7EAF6B04"/>
    <w:rsid w:val="7EB52D4A"/>
    <w:rsid w:val="7EC43622"/>
    <w:rsid w:val="7ECA7D27"/>
    <w:rsid w:val="7EEC1A19"/>
    <w:rsid w:val="7EF735F0"/>
    <w:rsid w:val="7F0A2998"/>
    <w:rsid w:val="7F0B0D76"/>
    <w:rsid w:val="7F0D0AAC"/>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link w:val="36"/>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2"/>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99"/>
    <w:pPr>
      <w:spacing w:line="400" w:lineRule="exact"/>
    </w:pPr>
    <w:rPr>
      <w:sz w:val="24"/>
    </w:rPr>
  </w:style>
  <w:style w:type="character" w:customStyle="1" w:styleId="31">
    <w:name w:val="标题 1 Char"/>
    <w:basedOn w:val="25"/>
    <w:link w:val="3"/>
    <w:qFormat/>
    <w:uiPriority w:val="0"/>
    <w:rPr>
      <w:rFonts w:ascii="Calibri" w:hAnsi="Calibri" w:eastAsia="宋体" w:cs="Times New Roman"/>
      <w:b/>
      <w:bCs/>
      <w:kern w:val="44"/>
      <w:sz w:val="44"/>
      <w:szCs w:val="44"/>
    </w:rPr>
  </w:style>
  <w:style w:type="character" w:customStyle="1" w:styleId="32">
    <w:name w:val="标题 2 Char"/>
    <w:basedOn w:val="25"/>
    <w:link w:val="4"/>
    <w:qFormat/>
    <w:uiPriority w:val="0"/>
    <w:rPr>
      <w:rFonts w:ascii="Arial" w:hAnsi="Arial" w:eastAsia="黑体" w:cs="Times New Roman"/>
      <w:b/>
      <w:bCs/>
      <w:sz w:val="32"/>
      <w:szCs w:val="32"/>
    </w:rPr>
  </w:style>
  <w:style w:type="character" w:customStyle="1" w:styleId="33">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5"/>
    <w:link w:val="6"/>
    <w:qFormat/>
    <w:uiPriority w:val="0"/>
    <w:rPr>
      <w:rFonts w:ascii="Arial" w:hAnsi="Arial" w:eastAsia="黑体" w:cs="Times New Roman"/>
      <w:b/>
      <w:bCs/>
      <w:sz w:val="28"/>
      <w:szCs w:val="28"/>
    </w:rPr>
  </w:style>
  <w:style w:type="character" w:customStyle="1" w:styleId="35">
    <w:name w:val="正文文本 3 Char"/>
    <w:basedOn w:val="25"/>
    <w:link w:val="9"/>
    <w:qFormat/>
    <w:uiPriority w:val="0"/>
    <w:rPr>
      <w:rFonts w:ascii="Times New Roman" w:hAnsi="Times New Roman" w:eastAsia="宋体" w:cs="Times New Roman"/>
      <w:color w:val="FF0000"/>
      <w:sz w:val="24"/>
      <w:szCs w:val="24"/>
    </w:rPr>
  </w:style>
  <w:style w:type="character" w:customStyle="1" w:styleId="36">
    <w:name w:val="正文文本 Char"/>
    <w:basedOn w:val="25"/>
    <w:link w:val="10"/>
    <w:semiHidden/>
    <w:qFormat/>
    <w:uiPriority w:val="99"/>
  </w:style>
  <w:style w:type="character" w:customStyle="1" w:styleId="37">
    <w:name w:val="纯文本 Char"/>
    <w:basedOn w:val="25"/>
    <w:link w:val="14"/>
    <w:qFormat/>
    <w:uiPriority w:val="0"/>
    <w:rPr>
      <w:rFonts w:eastAsia="宋体"/>
      <w:sz w:val="24"/>
    </w:rPr>
  </w:style>
  <w:style w:type="character" w:customStyle="1" w:styleId="38">
    <w:name w:val="日期 Char"/>
    <w:basedOn w:val="25"/>
    <w:link w:val="15"/>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HTML 预设格式 Char"/>
    <w:basedOn w:val="25"/>
    <w:link w:val="20"/>
    <w:semiHidden/>
    <w:qFormat/>
    <w:uiPriority w:val="99"/>
    <w:rPr>
      <w:rFonts w:ascii="宋体" w:hAnsi="宋体" w:eastAsia="宋体" w:cs="宋体"/>
      <w:kern w:val="0"/>
      <w:sz w:val="24"/>
      <w:szCs w:val="24"/>
    </w:rPr>
  </w:style>
  <w:style w:type="character" w:customStyle="1" w:styleId="42">
    <w:name w:val="正文首行缩进 Char"/>
    <w:basedOn w:val="36"/>
    <w:link w:val="22"/>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纯文本1"/>
    <w:basedOn w:val="1"/>
    <w:qFormat/>
    <w:uiPriority w:val="0"/>
    <w:rPr>
      <w:rFonts w:ascii="宋体" w:hAnsi="Courier New"/>
      <w:kern w:val="0"/>
      <w:sz w:val="20"/>
      <w:szCs w:val="21"/>
    </w:rPr>
  </w:style>
  <w:style w:type="paragraph" w:customStyle="1" w:styleId="63">
    <w:name w:val="p0"/>
    <w:basedOn w:val="1"/>
    <w:qFormat/>
    <w:uiPriority w:val="0"/>
    <w:pPr>
      <w:widowControl/>
    </w:pPr>
    <w:rPr>
      <w:kern w:val="0"/>
    </w:rPr>
  </w:style>
  <w:style w:type="character" w:customStyle="1" w:styleId="64">
    <w:name w:val="font61"/>
    <w:basedOn w:val="25"/>
    <w:qFormat/>
    <w:uiPriority w:val="0"/>
    <w:rPr>
      <w:rFonts w:hint="eastAsia" w:ascii="宋体" w:hAnsi="宋体" w:eastAsia="宋体" w:cs="宋体"/>
      <w:color w:val="000000"/>
      <w:sz w:val="22"/>
      <w:szCs w:val="22"/>
      <w:u w:val="none"/>
    </w:rPr>
  </w:style>
  <w:style w:type="character" w:customStyle="1" w:styleId="65">
    <w:name w:val="font31"/>
    <w:basedOn w:val="25"/>
    <w:qFormat/>
    <w:uiPriority w:val="0"/>
    <w:rPr>
      <w:rFonts w:hint="eastAsia" w:ascii="仿宋_GB2312" w:eastAsia="仿宋_GB2312" w:cs="仿宋_GB2312"/>
      <w:color w:val="000000"/>
      <w:sz w:val="22"/>
      <w:szCs w:val="22"/>
      <w:u w:val="none"/>
    </w:rPr>
  </w:style>
  <w:style w:type="character" w:customStyle="1" w:styleId="66">
    <w:name w:val="font21"/>
    <w:basedOn w:val="25"/>
    <w:qFormat/>
    <w:uiPriority w:val="0"/>
    <w:rPr>
      <w:rFonts w:hint="eastAsia" w:ascii="宋体" w:hAnsi="宋体" w:eastAsia="宋体" w:cs="宋体"/>
      <w:color w:val="000000"/>
      <w:sz w:val="20"/>
      <w:szCs w:val="20"/>
      <w:u w:val="none"/>
    </w:rPr>
  </w:style>
  <w:style w:type="character" w:customStyle="1" w:styleId="67">
    <w:name w:val="font41"/>
    <w:basedOn w:val="25"/>
    <w:qFormat/>
    <w:uiPriority w:val="0"/>
    <w:rPr>
      <w:rFonts w:hint="eastAsia" w:ascii="仿宋_GB2312" w:eastAsia="仿宋_GB2312" w:cs="仿宋_GB2312"/>
      <w:color w:val="000000"/>
      <w:sz w:val="20"/>
      <w:szCs w:val="20"/>
      <w:u w:val="none"/>
    </w:rPr>
  </w:style>
  <w:style w:type="character" w:customStyle="1" w:styleId="68">
    <w:name w:val="font11"/>
    <w:basedOn w:val="25"/>
    <w:qFormat/>
    <w:uiPriority w:val="0"/>
    <w:rPr>
      <w:rFonts w:hint="eastAsia" w:ascii="宋体" w:hAnsi="宋体" w:eastAsia="宋体" w:cs="宋体"/>
      <w:i/>
      <w:color w:val="000000"/>
      <w:sz w:val="21"/>
      <w:szCs w:val="21"/>
      <w:u w:val="none"/>
    </w:rPr>
  </w:style>
  <w:style w:type="paragraph" w:styleId="69">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18</TotalTime>
  <ScaleCrop>false</ScaleCrop>
  <LinksUpToDate>false</LinksUpToDate>
  <CharactersWithSpaces>36069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2020-04-27T02:49:41Z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