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禹州市火龙镇人民政府楚相颍川侯陈轸</w:t>
      </w:r>
    </w:p>
    <w:p>
      <w:pPr>
        <w:jc w:val="center"/>
        <w:rPr>
          <w:rFonts w:hint="eastAsia" w:ascii="黑体" w:hAnsi="黑体" w:eastAsia="黑体" w:cs="黑体"/>
          <w:b/>
          <w:bCs/>
          <w:sz w:val="48"/>
          <w:szCs w:val="48"/>
        </w:rPr>
      </w:pPr>
      <w:r>
        <w:rPr>
          <w:rFonts w:hint="eastAsia" w:ascii="黑体" w:hAnsi="黑体" w:eastAsia="黑体" w:cs="黑体"/>
          <w:b/>
          <w:bCs/>
          <w:sz w:val="48"/>
          <w:szCs w:val="48"/>
          <w:lang w:val="en-US" w:eastAsia="zh-CN"/>
        </w:rPr>
        <w:t>文化广场人物石雕像采购项目</w:t>
      </w: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20066</w:t>
      </w:r>
    </w:p>
    <w:p>
      <w:pPr>
        <w:ind w:firstLine="1080" w:firstLineChars="3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w:t>
      </w:r>
      <w:r>
        <w:rPr>
          <w:rFonts w:hint="eastAsia" w:asciiTheme="majorEastAsia" w:hAnsiTheme="majorEastAsia" w:eastAsiaTheme="majorEastAsia" w:cstheme="majorEastAsia"/>
          <w:sz w:val="36"/>
          <w:szCs w:val="36"/>
          <w:lang w:val="en-US" w:eastAsia="zh-CN"/>
        </w:rPr>
        <w:t>火龙镇人民政府</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月</w:t>
      </w:r>
    </w:p>
    <w:p>
      <w:pPr>
        <w:pStyle w:val="2"/>
        <w:ind w:firstLine="340"/>
      </w:pPr>
    </w:p>
    <w:p>
      <w:pPr>
        <w:pStyle w:val="2"/>
        <w:ind w:firstLine="340"/>
      </w:pPr>
    </w:p>
    <w:p>
      <w:pPr>
        <w:pStyle w:val="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rPr>
          <w:rFonts w:hint="eastAsia" w:asciiTheme="majorEastAsia" w:hAnsiTheme="majorEastAsia" w:eastAsiaTheme="majorEastAsia" w:cstheme="majorEastAsia"/>
          <w:b/>
          <w:kern w:val="0"/>
          <w:sz w:val="32"/>
          <w:szCs w:val="32"/>
        </w:rPr>
      </w:pPr>
    </w:p>
    <w:p>
      <w:pPr>
        <w:pStyle w:val="2"/>
        <w:rPr>
          <w:rFonts w:hint="eastAsia" w:asciiTheme="majorEastAsia" w:hAnsiTheme="majorEastAsia" w:eastAsiaTheme="majorEastAsia" w:cs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val="en-US" w:eastAsia="zh-CN"/>
        </w:rPr>
      </w:pPr>
      <w:r>
        <w:rPr>
          <w:rFonts w:hint="eastAsia"/>
          <w:b/>
          <w:bCs/>
          <w:sz w:val="32"/>
          <w:szCs w:val="32"/>
          <w:lang w:val="en-US" w:eastAsia="zh-CN"/>
        </w:rPr>
        <w:t>禹州市火龙镇人民政府楚相颍川侯陈轸文化广场</w:t>
      </w:r>
    </w:p>
    <w:p>
      <w:pPr>
        <w:spacing w:line="600" w:lineRule="exact"/>
        <w:jc w:val="center"/>
        <w:rPr>
          <w:rFonts w:hint="eastAsia"/>
          <w:b/>
          <w:bCs/>
          <w:sz w:val="32"/>
          <w:szCs w:val="32"/>
          <w:lang w:val="en-US" w:eastAsia="zh-CN"/>
        </w:rPr>
      </w:pPr>
      <w:r>
        <w:rPr>
          <w:rFonts w:hint="eastAsia"/>
          <w:b/>
          <w:bCs/>
          <w:sz w:val="32"/>
          <w:szCs w:val="32"/>
          <w:lang w:val="en-US" w:eastAsia="zh-CN"/>
        </w:rPr>
        <w:t>人物石雕像采购项目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火龙镇人民政府</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禹州市火龙镇人民政府楚相颍川侯陈轸文化广场人物石雕像采购项目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火龙镇人民政府</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禹州市火龙镇人民政府楚相颍川侯陈轸文化广场人物石雕像采购项目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20066</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楚相颍川侯陈轸文化广场人物石雕像</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42.136538</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val="en-US"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以营业执照为准</w:t>
      </w:r>
      <w:r>
        <w:rPr>
          <w:rFonts w:hint="eastAsia" w:ascii="新宋体" w:hAnsi="新宋体" w:eastAsia="新宋体" w:cs="新宋体"/>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9 ：30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火龙镇人民政府</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火龙镇</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王先生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13837443212</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pStyle w:val="62"/>
        <w:numPr>
          <w:ilvl w:val="0"/>
          <w:numId w:val="0"/>
        </w:numPr>
        <w:autoSpaceDN w:val="0"/>
        <w:snapToGrid w:val="0"/>
        <w:spacing w:line="360" w:lineRule="auto"/>
        <w:ind w:firstLine="480" w:firstLineChars="200"/>
        <w:textAlignment w:val="baseline"/>
        <w:rPr>
          <w:rFonts w:hint="eastAsia" w:hAnsi="宋体"/>
          <w:color w:val="000000"/>
          <w:sz w:val="24"/>
          <w:szCs w:val="24"/>
          <w:lang w:val="en-US" w:eastAsia="zh-CN"/>
        </w:rPr>
      </w:pPr>
      <w:r>
        <w:rPr>
          <w:rFonts w:hint="eastAsia" w:ascii="新宋体" w:hAnsi="新宋体" w:eastAsia="新宋体" w:cs="新宋体"/>
          <w:kern w:val="2"/>
          <w:sz w:val="24"/>
          <w:szCs w:val="24"/>
          <w:lang w:val="en-US" w:eastAsia="zh-CN" w:bidi="ar-SA"/>
        </w:rPr>
        <w:t>陈轸人物石雕像的基础、石雕像的底座及石雕像的采购、安装，确保达到设计标准，质量合格。</w:t>
      </w:r>
    </w:p>
    <w:p>
      <w:pPr>
        <w:pStyle w:val="62"/>
        <w:autoSpaceDN w:val="0"/>
        <w:snapToGrid w:val="0"/>
        <w:spacing w:line="360" w:lineRule="auto"/>
        <w:textAlignment w:val="baseline"/>
        <w:rPr>
          <w:rFonts w:hint="default" w:ascii="新宋体" w:hAnsi="新宋体" w:eastAsia="新宋体" w:cs="新宋体"/>
          <w:b/>
          <w:bCs/>
          <w:color w:val="0000FF"/>
          <w:sz w:val="24"/>
          <w:szCs w:val="24"/>
          <w:lang w:val="en-US" w:eastAsia="zh-CN"/>
        </w:rPr>
      </w:pPr>
      <w:r>
        <w:rPr>
          <w:rFonts w:hint="eastAsia" w:ascii="新宋体" w:hAnsi="新宋体" w:eastAsia="新宋体" w:cs="新宋体"/>
          <w:b/>
          <w:bCs/>
          <w:color w:val="0000FF"/>
          <w:sz w:val="24"/>
          <w:szCs w:val="24"/>
          <w:lang w:val="en-US" w:eastAsia="zh-CN"/>
        </w:rPr>
        <w:t xml:space="preserve">   </w:t>
      </w:r>
      <w:r>
        <w:rPr>
          <w:rFonts w:hint="eastAsia" w:ascii="新宋体" w:hAnsi="新宋体" w:eastAsia="新宋体" w:cs="新宋体"/>
          <w:b/>
          <w:bCs/>
          <w:color w:val="000000" w:themeColor="text1"/>
          <w:sz w:val="24"/>
          <w:szCs w:val="24"/>
          <w:lang w:val="en-US" w:eastAsia="zh-CN"/>
        </w:rPr>
        <w:t xml:space="preserve">  二、采购清单：</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 内容：陈轸人物石雕像的基础、石雕像的底座及石雕像的采购、安装。</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（2）数量：一个</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（3）要求：高8米，宽3.5米,长3.5米成品芝麻灰花岗岩人物雕像和高4米，宽3.5米,长3.5米承台底座安装配套工程。</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详细参数：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货物名称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数量</w:t>
            </w:r>
          </w:p>
        </w:tc>
        <w:tc>
          <w:tcPr>
            <w:tcW w:w="1115" w:type="dxa"/>
            <w:tcBorders>
              <w:top w:val="single" w:color="auto" w:sz="4" w:space="0"/>
              <w:left w:val="single" w:color="auto" w:sz="4" w:space="0"/>
              <w:bottom w:val="single" w:color="auto" w:sz="4" w:space="0"/>
              <w:right w:val="single" w:color="auto" w:sz="4" w:space="0"/>
            </w:tcBorders>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陈轸人物雕像 </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（8×3.5×3.5）m，石材材质，成品芝麻灰花岗岩</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 座</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1 </w:t>
            </w:r>
          </w:p>
        </w:tc>
        <w:tc>
          <w:tcPr>
            <w:tcW w:w="1115" w:type="dxa"/>
            <w:tcBorders>
              <w:top w:val="single" w:color="auto" w:sz="4" w:space="0"/>
              <w:left w:val="single" w:color="auto" w:sz="4" w:space="0"/>
              <w:bottom w:val="single" w:color="auto" w:sz="4" w:space="0"/>
              <w:right w:val="single" w:color="auto" w:sz="4" w:space="0"/>
            </w:tcBorders>
            <w:vAlign w:val="center"/>
          </w:tcPr>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承台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（4×3.5×3.5）m,C30强度混凝土填充、HRB400以内现浇构件钢筋。</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 座</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 1</w:t>
            </w:r>
          </w:p>
        </w:tc>
        <w:tc>
          <w:tcPr>
            <w:tcW w:w="1115" w:type="dxa"/>
            <w:tcBorders>
              <w:top w:val="single" w:color="auto" w:sz="4" w:space="0"/>
              <w:left w:val="single" w:color="auto" w:sz="4" w:space="0"/>
              <w:bottom w:val="single" w:color="auto" w:sz="4" w:space="0"/>
              <w:right w:val="single" w:color="auto" w:sz="4" w:space="0"/>
            </w:tcBorders>
            <w:vAlign w:val="center"/>
          </w:tcPr>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 </w:t>
            </w:r>
          </w:p>
        </w:tc>
      </w:tr>
    </w:tbl>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执行国家相关标准。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1、强制性产品认证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2、信息安全产品强制性认证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如投标人所投产品被列入《信息安全产品强制性认证目录》，投标人不能提供出此目录范畴外的替代品并须在投标文件中提供：</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（1）中国信息安全认证中心官网(http://www.isccc.gov.cn/index.shtml)产品查询结果截图并加盖投标人公章；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（2）中国信息安全认证中心颁发的《中国国家信息安全产品认证证书》的原件扫描件(或图片)并加盖投标人公章。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注:仅需提供序号（1）~（2）其中之一即可。</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1、达到业主验收标准要求。</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kern w:val="2"/>
          <w:sz w:val="24"/>
          <w:szCs w:val="24"/>
          <w:lang w:val="en-US" w:eastAsia="zh-CN" w:bidi="ar-SA"/>
        </w:rPr>
        <w:t>2、交付时间以签订合同为准。</w:t>
      </w: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4</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财政支付。</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以合同为准。</w:t>
      </w:r>
    </w:p>
    <w:p>
      <w:pPr>
        <w:tabs>
          <w:tab w:val="left" w:pos="5963"/>
        </w:tabs>
        <w:spacing w:line="420" w:lineRule="exact"/>
        <w:ind w:firstLine="480" w:firstLineChars="200"/>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left="0" w:leftChars="0" w:firstLine="0" w:firstLineChars="0"/>
      </w:pPr>
    </w:p>
    <w:p>
      <w:pPr>
        <w:pStyle w:val="2"/>
        <w:ind w:left="0" w:leftChars="0" w:firstLine="0" w:firstLineChars="0"/>
      </w:pPr>
      <w:bookmarkStart w:id="81" w:name="_GoBack"/>
      <w:bookmarkEnd w:id="81"/>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w:t>
            </w:r>
            <w:r>
              <w:rPr>
                <w:rFonts w:hint="eastAsia"/>
                <w:lang w:val="en-US" w:eastAsia="zh-CN"/>
              </w:rPr>
              <w:t>禹州市火龙镇人民政府楚相颍川侯陈轸文化广场人物石雕像采购项目</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20066</w:t>
            </w:r>
          </w:p>
          <w:p>
            <w:pPr>
              <w:autoSpaceDE w:val="0"/>
              <w:autoSpaceDN w:val="0"/>
              <w:adjustRightInd w:val="0"/>
              <w:spacing w:line="360" w:lineRule="auto"/>
              <w:jc w:val="left"/>
              <w:rPr>
                <w:rFonts w:hint="eastAsia"/>
                <w:lang w:eastAsia="zh-CN"/>
              </w:rPr>
            </w:pPr>
            <w:r>
              <w:rPr>
                <w:rFonts w:hint="eastAsia"/>
                <w:lang w:eastAsia="zh-CN"/>
              </w:rPr>
              <w:t>交付（服务、完工）时间：以签订合同为准</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交付（服务、施工）地点：禹州市火龙镇老官陈村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火龙镇人民政府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王先生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13837443212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42.136538</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4"/>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1"/>
        </w:numPr>
        <w:autoSpaceDE w:val="0"/>
        <w:autoSpaceDN w:val="0"/>
        <w:spacing w:line="360" w:lineRule="auto"/>
        <w:ind w:firstLineChars="0"/>
        <w:contextualSpacing/>
        <w:rPr>
          <w:rFonts w:ascii="ˎ̥" w:hAnsi="ˎ̥"/>
          <w:vanish/>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26060505"/>
      <w:bookmarkStart w:id="1" w:name="_Toc356744034"/>
      <w:bookmarkStart w:id="2" w:name="_Toc357868214"/>
      <w:bookmarkStart w:id="3" w:name="_Toc354922980"/>
      <w:bookmarkStart w:id="4" w:name="_Toc329278149"/>
      <w:bookmarkStart w:id="5" w:name="_Toc364457259"/>
      <w:bookmarkStart w:id="6" w:name="_Toc354404029"/>
      <w:bookmarkStart w:id="7" w:name="_Toc354923119"/>
      <w:bookmarkStart w:id="8" w:name="_Toc355649942"/>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57868215"/>
      <w:bookmarkStart w:id="10" w:name="_Toc329278150"/>
      <w:bookmarkStart w:id="11" w:name="_Toc354404030"/>
      <w:bookmarkStart w:id="12" w:name="_Toc354923120"/>
      <w:bookmarkStart w:id="13" w:name="_Toc326060506"/>
      <w:bookmarkStart w:id="14" w:name="_Toc354922981"/>
      <w:bookmarkStart w:id="15" w:name="_Toc364457260"/>
      <w:bookmarkStart w:id="16" w:name="_Toc356744035"/>
      <w:bookmarkStart w:id="17" w:name="_Toc355649943"/>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55649944"/>
      <w:bookmarkStart w:id="19" w:name="_Toc329278151"/>
      <w:bookmarkStart w:id="20" w:name="_Toc354923121"/>
      <w:bookmarkStart w:id="21" w:name="_Toc354922982"/>
      <w:bookmarkStart w:id="22" w:name="_Toc356744036"/>
      <w:bookmarkStart w:id="23" w:name="_Toc354404031"/>
      <w:bookmarkStart w:id="24" w:name="_Toc326060507"/>
      <w:bookmarkStart w:id="25" w:name="_Toc357868216"/>
      <w:bookmarkStart w:id="26" w:name="_Toc36445726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54404032"/>
      <w:bookmarkStart w:id="28" w:name="_Toc326060508"/>
      <w:bookmarkStart w:id="29" w:name="_Toc357868217"/>
      <w:bookmarkStart w:id="30" w:name="_Toc354923122"/>
      <w:bookmarkStart w:id="31" w:name="_Toc355649945"/>
      <w:bookmarkStart w:id="32" w:name="_Toc329278152"/>
      <w:bookmarkStart w:id="33" w:name="_Toc356744037"/>
      <w:bookmarkStart w:id="34" w:name="_Toc354922983"/>
      <w:bookmarkStart w:id="35" w:name="_Toc364457262"/>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4"/>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29278153"/>
      <w:bookmarkStart w:id="37" w:name="_Toc326060509"/>
      <w:bookmarkStart w:id="38" w:name="_Toc357868218"/>
      <w:bookmarkStart w:id="39" w:name="_Toc354404033"/>
      <w:bookmarkStart w:id="40" w:name="_Toc364457263"/>
      <w:bookmarkStart w:id="41" w:name="_Toc354922984"/>
      <w:bookmarkStart w:id="42" w:name="_Toc354923123"/>
      <w:bookmarkStart w:id="43" w:name="_Toc355649946"/>
      <w:bookmarkStart w:id="44" w:name="_Toc356744038"/>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7868219"/>
      <w:bookmarkStart w:id="46" w:name="_Toc329278154"/>
      <w:bookmarkStart w:id="47" w:name="_Toc355649947"/>
      <w:bookmarkStart w:id="48" w:name="_Toc356744039"/>
      <w:bookmarkStart w:id="49" w:name="_Toc354923124"/>
      <w:bookmarkStart w:id="50" w:name="_Toc326060510"/>
      <w:bookmarkStart w:id="51" w:name="_Toc354922985"/>
      <w:bookmarkStart w:id="52" w:name="_Toc354404034"/>
      <w:bookmarkStart w:id="53" w:name="_Toc364457264"/>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54922986"/>
      <w:bookmarkStart w:id="55" w:name="_Toc329278155"/>
      <w:bookmarkStart w:id="56" w:name="_Toc356744040"/>
      <w:bookmarkStart w:id="57" w:name="_Toc326060511"/>
      <w:bookmarkStart w:id="58" w:name="_Toc354404035"/>
      <w:bookmarkStart w:id="59" w:name="_Toc355649948"/>
      <w:bookmarkStart w:id="60" w:name="_Toc364457265"/>
      <w:bookmarkStart w:id="61" w:name="_Toc354923125"/>
      <w:bookmarkStart w:id="62" w:name="_Toc357868220"/>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54923126"/>
      <w:bookmarkStart w:id="64" w:name="_Toc355649949"/>
      <w:bookmarkStart w:id="65" w:name="_Toc357868221"/>
      <w:bookmarkStart w:id="66" w:name="_Toc354922987"/>
      <w:bookmarkStart w:id="67" w:name="_Toc354404036"/>
      <w:bookmarkStart w:id="68" w:name="_Toc329278156"/>
      <w:bookmarkStart w:id="69" w:name="_Toc326060512"/>
      <w:bookmarkStart w:id="70" w:name="_Toc356744041"/>
      <w:bookmarkStart w:id="71" w:name="_Toc364457266"/>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7"/>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7"/>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26060513"/>
      <w:bookmarkStart w:id="73" w:name="_Toc357868222"/>
      <w:bookmarkStart w:id="74" w:name="_Toc329278157"/>
      <w:bookmarkStart w:id="75" w:name="_Toc354923127"/>
      <w:bookmarkStart w:id="76" w:name="_Toc355649950"/>
      <w:bookmarkStart w:id="77" w:name="_Toc364457267"/>
      <w:bookmarkStart w:id="78" w:name="_Toc356744042"/>
      <w:bookmarkStart w:id="79" w:name="_Toc354404037"/>
      <w:bookmarkStart w:id="80" w:name="_Toc354922988"/>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8E419E"/>
    <w:multiLevelType w:val="singleLevel"/>
    <w:tmpl w:val="468E419E"/>
    <w:lvl w:ilvl="0" w:tentative="0">
      <w:start w:val="3"/>
      <w:numFmt w:val="chineseCounting"/>
      <w:suff w:val="nothing"/>
      <w:lvlText w:val="%1、"/>
      <w:lvlJc w:val="left"/>
      <w:rPr>
        <w:rFonts w:hint="eastAsia"/>
      </w:rPr>
    </w:lvl>
  </w:abstractNum>
  <w:abstractNum w:abstractNumId="22">
    <w:nsid w:val="59F817E8"/>
    <w:multiLevelType w:val="singleLevel"/>
    <w:tmpl w:val="59F817E8"/>
    <w:lvl w:ilvl="0" w:tentative="0">
      <w:start w:val="1"/>
      <w:numFmt w:val="chineseCounting"/>
      <w:pStyle w:val="54"/>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1"/>
  </w:num>
  <w:num w:numId="6">
    <w:abstractNumId w:val="18"/>
  </w:num>
  <w:num w:numId="7">
    <w:abstractNumId w:val="23"/>
  </w:num>
  <w:num w:numId="8">
    <w:abstractNumId w:val="16"/>
  </w:num>
  <w:num w:numId="9">
    <w:abstractNumId w:val="11"/>
  </w:num>
  <w:num w:numId="10">
    <w:abstractNumId w:val="17"/>
  </w:num>
  <w:num w:numId="11">
    <w:abstractNumId w:val="19"/>
  </w:num>
  <w:num w:numId="12">
    <w:abstractNumId w:val="26"/>
  </w:num>
  <w:num w:numId="13">
    <w:abstractNumId w:val="15"/>
  </w:num>
  <w:num w:numId="14">
    <w:abstractNumId w:val="12"/>
  </w:num>
  <w:num w:numId="15">
    <w:abstractNumId w:val="24"/>
  </w:num>
  <w:num w:numId="16">
    <w:abstractNumId w:val="10"/>
  </w:num>
  <w:num w:numId="17">
    <w:abstractNumId w:val="20"/>
  </w:num>
  <w:num w:numId="18">
    <w:abstractNumId w:val="14"/>
  </w:num>
  <w:num w:numId="19">
    <w:abstractNumId w:val="25"/>
  </w:num>
  <w:num w:numId="20">
    <w:abstractNumId w:val="27"/>
  </w:num>
  <w:num w:numId="21">
    <w:abstractNumId w:val="0"/>
  </w:num>
  <w:num w:numId="22">
    <w:abstractNumId w:val="4"/>
  </w:num>
  <w:num w:numId="23">
    <w:abstractNumId w:val="8"/>
  </w:num>
  <w:num w:numId="24">
    <w:abstractNumId w:val="5"/>
  </w:num>
  <w:num w:numId="25">
    <w:abstractNumId w:val="7"/>
  </w:num>
  <w:num w:numId="26">
    <w:abstractNumId w:val="3"/>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7D5641"/>
    <w:rsid w:val="028E485D"/>
    <w:rsid w:val="02BB5D2E"/>
    <w:rsid w:val="032C493C"/>
    <w:rsid w:val="03B6440A"/>
    <w:rsid w:val="04A6236A"/>
    <w:rsid w:val="053F5432"/>
    <w:rsid w:val="064E7C45"/>
    <w:rsid w:val="06F049E2"/>
    <w:rsid w:val="07BF5E31"/>
    <w:rsid w:val="07F96DEB"/>
    <w:rsid w:val="08D81C3A"/>
    <w:rsid w:val="08ED0258"/>
    <w:rsid w:val="08EF08AA"/>
    <w:rsid w:val="08F3214C"/>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BF63D1"/>
    <w:rsid w:val="13FD3B91"/>
    <w:rsid w:val="14214638"/>
    <w:rsid w:val="143F6CA5"/>
    <w:rsid w:val="149819C8"/>
    <w:rsid w:val="14D058A3"/>
    <w:rsid w:val="15444E7F"/>
    <w:rsid w:val="15511A5E"/>
    <w:rsid w:val="15E8716E"/>
    <w:rsid w:val="15EE44D7"/>
    <w:rsid w:val="15F146D6"/>
    <w:rsid w:val="16B051B6"/>
    <w:rsid w:val="175E24E1"/>
    <w:rsid w:val="17B078B6"/>
    <w:rsid w:val="18C216D0"/>
    <w:rsid w:val="18F61CE6"/>
    <w:rsid w:val="195E6397"/>
    <w:rsid w:val="197B011F"/>
    <w:rsid w:val="198F1D07"/>
    <w:rsid w:val="19BD55EE"/>
    <w:rsid w:val="19DB09FD"/>
    <w:rsid w:val="1A50262B"/>
    <w:rsid w:val="1A6D388D"/>
    <w:rsid w:val="1A907281"/>
    <w:rsid w:val="1AE95642"/>
    <w:rsid w:val="1B1C3903"/>
    <w:rsid w:val="1B70335D"/>
    <w:rsid w:val="1B933962"/>
    <w:rsid w:val="1BC27E34"/>
    <w:rsid w:val="1C317F37"/>
    <w:rsid w:val="1C3312D7"/>
    <w:rsid w:val="1C527EEE"/>
    <w:rsid w:val="1CB36692"/>
    <w:rsid w:val="1CDC6503"/>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5FE5852"/>
    <w:rsid w:val="265B42DF"/>
    <w:rsid w:val="27553E85"/>
    <w:rsid w:val="27A229B2"/>
    <w:rsid w:val="27B5253B"/>
    <w:rsid w:val="283E3CD3"/>
    <w:rsid w:val="288C6375"/>
    <w:rsid w:val="29D14A0E"/>
    <w:rsid w:val="2A4D4EEC"/>
    <w:rsid w:val="2B3F5F01"/>
    <w:rsid w:val="2C0B7CF9"/>
    <w:rsid w:val="2C1F1C41"/>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1F30A72"/>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A2D481C"/>
    <w:rsid w:val="3B380893"/>
    <w:rsid w:val="3C175755"/>
    <w:rsid w:val="3C4D34DB"/>
    <w:rsid w:val="3C725167"/>
    <w:rsid w:val="3C9839FA"/>
    <w:rsid w:val="3CA6239E"/>
    <w:rsid w:val="3CB04E80"/>
    <w:rsid w:val="3CC67CD4"/>
    <w:rsid w:val="3D0D3D6F"/>
    <w:rsid w:val="3D96637E"/>
    <w:rsid w:val="3DC372EE"/>
    <w:rsid w:val="3DDF0224"/>
    <w:rsid w:val="3DEC2498"/>
    <w:rsid w:val="3E4F494F"/>
    <w:rsid w:val="3ED82F46"/>
    <w:rsid w:val="3FAD3FCA"/>
    <w:rsid w:val="40BE3049"/>
    <w:rsid w:val="416D7FD7"/>
    <w:rsid w:val="422721F4"/>
    <w:rsid w:val="42547D8B"/>
    <w:rsid w:val="42F23437"/>
    <w:rsid w:val="430B4CE4"/>
    <w:rsid w:val="43663E29"/>
    <w:rsid w:val="44052193"/>
    <w:rsid w:val="444769AF"/>
    <w:rsid w:val="44EA4606"/>
    <w:rsid w:val="45675D0C"/>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0C0E49"/>
    <w:rsid w:val="49574371"/>
    <w:rsid w:val="49CF3E0F"/>
    <w:rsid w:val="49E32D62"/>
    <w:rsid w:val="4A222BB1"/>
    <w:rsid w:val="4ABE0F93"/>
    <w:rsid w:val="4B86512C"/>
    <w:rsid w:val="4CE713A1"/>
    <w:rsid w:val="4D005CCE"/>
    <w:rsid w:val="4D550000"/>
    <w:rsid w:val="4DE45808"/>
    <w:rsid w:val="4E9448CD"/>
    <w:rsid w:val="4F374C6E"/>
    <w:rsid w:val="4FF32A73"/>
    <w:rsid w:val="4FF65309"/>
    <w:rsid w:val="50560813"/>
    <w:rsid w:val="505F0174"/>
    <w:rsid w:val="50A050A3"/>
    <w:rsid w:val="51352836"/>
    <w:rsid w:val="51A13899"/>
    <w:rsid w:val="520C2784"/>
    <w:rsid w:val="522315ED"/>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AD26501"/>
    <w:rsid w:val="5BAE2A99"/>
    <w:rsid w:val="5BC20F3E"/>
    <w:rsid w:val="5C1717D9"/>
    <w:rsid w:val="5C1A7007"/>
    <w:rsid w:val="5C1E368A"/>
    <w:rsid w:val="5C20031E"/>
    <w:rsid w:val="5CB139A0"/>
    <w:rsid w:val="5CD938B8"/>
    <w:rsid w:val="5D280ACB"/>
    <w:rsid w:val="5D823D4C"/>
    <w:rsid w:val="5DA504AA"/>
    <w:rsid w:val="5DD54801"/>
    <w:rsid w:val="5E7F2A36"/>
    <w:rsid w:val="5E8E5AC1"/>
    <w:rsid w:val="5E921C4D"/>
    <w:rsid w:val="5EE83EB0"/>
    <w:rsid w:val="5EFB17CA"/>
    <w:rsid w:val="5F04013E"/>
    <w:rsid w:val="5F4A434F"/>
    <w:rsid w:val="6001186C"/>
    <w:rsid w:val="606E3CED"/>
    <w:rsid w:val="60D16749"/>
    <w:rsid w:val="60DB3FC7"/>
    <w:rsid w:val="614E3A65"/>
    <w:rsid w:val="617D2E49"/>
    <w:rsid w:val="61994186"/>
    <w:rsid w:val="61BC4DC2"/>
    <w:rsid w:val="62F6410D"/>
    <w:rsid w:val="634675E2"/>
    <w:rsid w:val="63520B99"/>
    <w:rsid w:val="63780F4D"/>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A7038C"/>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3D3D9F"/>
    <w:rsid w:val="71CB356E"/>
    <w:rsid w:val="71EC2A56"/>
    <w:rsid w:val="737E090F"/>
    <w:rsid w:val="741756AE"/>
    <w:rsid w:val="741A563C"/>
    <w:rsid w:val="74CB110E"/>
    <w:rsid w:val="751414C1"/>
    <w:rsid w:val="755446EC"/>
    <w:rsid w:val="755E1E93"/>
    <w:rsid w:val="75752706"/>
    <w:rsid w:val="75AB4839"/>
    <w:rsid w:val="76015A01"/>
    <w:rsid w:val="76721B44"/>
    <w:rsid w:val="767C5E46"/>
    <w:rsid w:val="76924CF8"/>
    <w:rsid w:val="76B625A7"/>
    <w:rsid w:val="770C5354"/>
    <w:rsid w:val="77727982"/>
    <w:rsid w:val="77A80A16"/>
    <w:rsid w:val="78143BC7"/>
    <w:rsid w:val="787D7581"/>
    <w:rsid w:val="78AF68A0"/>
    <w:rsid w:val="78C37659"/>
    <w:rsid w:val="78D1194D"/>
    <w:rsid w:val="790B56C3"/>
    <w:rsid w:val="7B0155BF"/>
    <w:rsid w:val="7B1D7B73"/>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18</TotalTime>
  <ScaleCrop>false</ScaleCrop>
  <LinksUpToDate>false</LinksUpToDate>
  <CharactersWithSpaces>36069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2020-04-23T04:56:45Z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