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440" w:firstLineChars="300"/>
        <w:rPr>
          <w:rFonts w:hAnsi="宋体" w:cs="宋体"/>
          <w:b/>
          <w:sz w:val="48"/>
          <w:szCs w:val="48"/>
        </w:rPr>
      </w:pPr>
    </w:p>
    <w:p>
      <w:pPr>
        <w:autoSpaceDE w:val="0"/>
        <w:autoSpaceDN w:val="0"/>
        <w:adjustRightInd w:val="0"/>
        <w:ind w:firstLine="1560" w:firstLineChars="300"/>
        <w:rPr>
          <w:rFonts w:hint="eastAsia" w:hAnsi="宋体" w:cs="宋体" w:eastAsiaTheme="minorEastAsia"/>
          <w:b/>
          <w:sz w:val="52"/>
          <w:szCs w:val="52"/>
          <w:lang w:eastAsia="zh-CN"/>
        </w:rPr>
      </w:pPr>
      <w:r>
        <w:rPr>
          <w:rFonts w:hint="eastAsia" w:hAnsi="宋体" w:cs="宋体"/>
          <w:b/>
          <w:sz w:val="52"/>
          <w:szCs w:val="52"/>
          <w:lang w:eastAsia="zh-CN"/>
        </w:rPr>
        <w:t>许昌市魏都区北大街道办事处</w:t>
      </w:r>
    </w:p>
    <w:p>
      <w:pPr>
        <w:autoSpaceDE w:val="0"/>
        <w:autoSpaceDN w:val="0"/>
        <w:adjustRightInd w:val="0"/>
        <w:jc w:val="center"/>
        <w:rPr>
          <w:rFonts w:hAnsi="宋体" w:cs="宋体"/>
          <w:b/>
          <w:sz w:val="40"/>
          <w:szCs w:val="40"/>
        </w:rPr>
      </w:pPr>
      <w:r>
        <w:rPr>
          <w:rFonts w:hint="eastAsia" w:hAnsi="宋体" w:cs="宋体"/>
          <w:b/>
          <w:sz w:val="52"/>
          <w:szCs w:val="52"/>
          <w:lang w:eastAsia="zh-CN"/>
        </w:rPr>
        <w:t>许昌市魏都区八一社区“一有七中心”改造提升工程</w:t>
      </w:r>
      <w:r>
        <w:rPr>
          <w:rFonts w:hint="eastAsia" w:hAnsi="宋体" w:cs="宋体"/>
          <w:b/>
          <w:sz w:val="52"/>
          <w:szCs w:val="52"/>
        </w:rPr>
        <w:t xml:space="preserve"> （不见面开标）</w:t>
      </w:r>
    </w:p>
    <w:p>
      <w:pPr>
        <w:pStyle w:val="5"/>
        <w:ind w:firstLine="402"/>
        <w:rPr>
          <w:rFonts w:hAnsi="宋体" w:cs="宋体"/>
          <w:b/>
          <w:sz w:val="40"/>
          <w:szCs w:val="40"/>
        </w:rPr>
      </w:pPr>
    </w:p>
    <w:p>
      <w:pPr>
        <w:pStyle w:val="5"/>
        <w:ind w:firstLine="402"/>
        <w:rPr>
          <w:rFonts w:hAnsi="宋体" w:cs="宋体"/>
          <w:b/>
          <w:sz w:val="40"/>
          <w:szCs w:val="40"/>
        </w:rPr>
      </w:pPr>
    </w:p>
    <w:p>
      <w:pPr>
        <w:autoSpaceDE w:val="0"/>
        <w:autoSpaceDN w:val="0"/>
        <w:adjustRightInd w:val="0"/>
        <w:jc w:val="center"/>
        <w:rPr>
          <w:rFonts w:hAnsi="宋体" w:cs="宋体"/>
          <w:b/>
          <w:sz w:val="72"/>
          <w:szCs w:val="72"/>
        </w:rPr>
      </w:pPr>
      <w:r>
        <w:rPr>
          <w:rFonts w:hint="eastAsia" w:hAnsi="宋体" w:cs="宋体"/>
          <w:b/>
          <w:sz w:val="72"/>
          <w:szCs w:val="72"/>
        </w:rPr>
        <w:t>招标文件</w:t>
      </w:r>
    </w:p>
    <w:p>
      <w:pPr>
        <w:autoSpaceDE w:val="0"/>
        <w:autoSpaceDN w:val="0"/>
        <w:adjustRightInd w:val="0"/>
        <w:jc w:val="center"/>
        <w:rPr>
          <w:rFonts w:hAnsi="宋体" w:cs="宋体"/>
          <w:b/>
          <w:sz w:val="32"/>
          <w:szCs w:val="32"/>
        </w:rPr>
      </w:pPr>
      <w:r>
        <w:rPr>
          <w:rFonts w:hint="eastAsia" w:hAnsi="宋体" w:cs="宋体"/>
          <w:b/>
          <w:sz w:val="32"/>
          <w:szCs w:val="32"/>
        </w:rPr>
        <w:t>项目编号：XCGC-F2020</w:t>
      </w:r>
      <w:r>
        <w:rPr>
          <w:rFonts w:hint="eastAsia" w:hAnsi="宋体" w:cs="宋体"/>
          <w:b/>
          <w:sz w:val="32"/>
          <w:szCs w:val="32"/>
          <w:lang w:val="en-US" w:eastAsia="zh-CN"/>
        </w:rPr>
        <w:t>090</w:t>
      </w:r>
      <w:r>
        <w:rPr>
          <w:rFonts w:hint="eastAsia" w:hAnsi="宋体" w:cs="宋体"/>
          <w:b/>
          <w:sz w:val="32"/>
          <w:szCs w:val="32"/>
        </w:rPr>
        <w:t xml:space="preserve">     </w:t>
      </w:r>
    </w:p>
    <w:p>
      <w:pPr>
        <w:pStyle w:val="5"/>
        <w:ind w:firstLine="341"/>
        <w:rPr>
          <w:rFonts w:eastAsia="宋体"/>
          <w:b/>
          <w:bCs/>
        </w:rPr>
      </w:pPr>
      <w:r>
        <w:rPr>
          <w:rFonts w:hint="eastAsia"/>
          <w:b/>
          <w:bCs/>
        </w:rPr>
        <w:t xml:space="preserve">                    </w:t>
      </w:r>
    </w:p>
    <w:p>
      <w:pPr>
        <w:tabs>
          <w:tab w:val="left" w:pos="6642"/>
        </w:tabs>
        <w:autoSpaceDE w:val="0"/>
        <w:autoSpaceDN w:val="0"/>
        <w:adjustRightInd w:val="0"/>
        <w:jc w:val="left"/>
        <w:rPr>
          <w:rFonts w:hAnsi="宋体" w:cs="黑体"/>
          <w:sz w:val="44"/>
          <w:szCs w:val="44"/>
        </w:rPr>
      </w:pPr>
    </w:p>
    <w:p>
      <w:pPr>
        <w:pStyle w:val="5"/>
        <w:ind w:firstLine="0" w:firstLineChars="0"/>
      </w:pPr>
    </w:p>
    <w:p>
      <w:pPr>
        <w:pStyle w:val="5"/>
        <w:ind w:firstLine="0" w:firstLineChars="0"/>
      </w:pPr>
    </w:p>
    <w:p>
      <w:pPr>
        <w:pStyle w:val="5"/>
        <w:ind w:firstLine="0" w:firstLineChars="0"/>
      </w:pPr>
    </w:p>
    <w:p>
      <w:pPr>
        <w:pStyle w:val="5"/>
        <w:ind w:firstLine="0" w:firstLineChars="0"/>
      </w:pPr>
    </w:p>
    <w:p>
      <w:pPr>
        <w:pStyle w:val="5"/>
        <w:ind w:firstLine="0" w:firstLineChars="0"/>
      </w:pPr>
    </w:p>
    <w:p>
      <w:pPr>
        <w:autoSpaceDE w:val="0"/>
        <w:autoSpaceDN w:val="0"/>
        <w:adjustRightInd w:val="0"/>
        <w:ind w:firstLine="1920" w:firstLineChars="600"/>
      </w:pPr>
      <w:r>
        <w:rPr>
          <w:rFonts w:hint="eastAsia" w:hAnsi="宋体" w:cs="宋体"/>
          <w:b/>
          <w:sz w:val="32"/>
          <w:szCs w:val="32"/>
        </w:rPr>
        <w:t>招标单位：</w:t>
      </w:r>
      <w:r>
        <w:rPr>
          <w:rFonts w:hint="eastAsia" w:hAnsi="宋体" w:cs="宋体"/>
          <w:b/>
          <w:sz w:val="32"/>
          <w:szCs w:val="32"/>
          <w:lang w:eastAsia="zh-CN"/>
        </w:rPr>
        <w:t>许昌市魏都区北大街道办事处</w:t>
      </w:r>
    </w:p>
    <w:p>
      <w:pPr>
        <w:rPr>
          <w:rFonts w:hint="eastAsia" w:hAnsi="宋体" w:cs="宋体" w:eastAsiaTheme="minorEastAsia"/>
          <w:b/>
          <w:sz w:val="32"/>
          <w:szCs w:val="32"/>
          <w:lang w:eastAsia="zh-CN"/>
        </w:rPr>
      </w:pPr>
      <w:r>
        <w:rPr>
          <w:rFonts w:hint="eastAsia" w:hAnsi="宋体" w:cs="宋体"/>
          <w:b/>
          <w:sz w:val="32"/>
          <w:szCs w:val="32"/>
        </w:rPr>
        <w:t xml:space="preserve">            代理机构：</w:t>
      </w:r>
      <w:r>
        <w:rPr>
          <w:rFonts w:hint="eastAsia" w:hAnsi="宋体" w:cs="宋体"/>
          <w:b/>
          <w:sz w:val="32"/>
          <w:szCs w:val="32"/>
          <w:lang w:eastAsia="zh-CN"/>
        </w:rPr>
        <w:t>河南建标工程管理有限公司</w:t>
      </w:r>
    </w:p>
    <w:p>
      <w:pPr>
        <w:jc w:val="center"/>
        <w:rPr>
          <w:rFonts w:hAnsi="宋体" w:cs="黑体"/>
          <w:b/>
          <w:sz w:val="32"/>
          <w:szCs w:val="32"/>
        </w:rPr>
      </w:pPr>
    </w:p>
    <w:p>
      <w:pPr>
        <w:jc w:val="center"/>
        <w:rPr>
          <w:rFonts w:hint="eastAsia" w:hAnsi="宋体" w:cs="黑体"/>
          <w:b/>
          <w:sz w:val="32"/>
          <w:szCs w:val="32"/>
        </w:rPr>
      </w:pPr>
      <w:r>
        <w:rPr>
          <w:rFonts w:hint="eastAsia" w:hAnsi="宋体" w:cs="黑体"/>
          <w:b/>
          <w:sz w:val="32"/>
          <w:szCs w:val="32"/>
        </w:rPr>
        <w:t>二〇二〇年</w:t>
      </w:r>
      <w:r>
        <w:rPr>
          <w:rFonts w:hint="eastAsia" w:hAnsi="宋体" w:cs="黑体"/>
          <w:b/>
          <w:sz w:val="32"/>
          <w:szCs w:val="32"/>
          <w:lang w:eastAsia="zh-CN"/>
        </w:rPr>
        <w:t>四</w:t>
      </w:r>
      <w:r>
        <w:rPr>
          <w:rFonts w:hint="eastAsia" w:hAnsi="宋体" w:cs="黑体"/>
          <w:b/>
          <w:sz w:val="32"/>
          <w:szCs w:val="32"/>
        </w:rPr>
        <w:t>月</w:t>
      </w:r>
    </w:p>
    <w:p>
      <w:pPr>
        <w:jc w:val="center"/>
        <w:rPr>
          <w:rFonts w:hint="eastAsia" w:hAnsi="宋体" w:cs="黑体"/>
          <w:b/>
          <w:sz w:val="32"/>
          <w:szCs w:val="32"/>
        </w:rPr>
      </w:pPr>
      <w:r>
        <w:rPr>
          <w:rFonts w:hint="eastAsia" w:hAnsi="宋体" w:cs="黑体"/>
          <w:b/>
          <w:sz w:val="32"/>
          <w:szCs w:val="32"/>
        </w:rPr>
        <w:br w:type="page"/>
      </w:r>
    </w:p>
    <w:p>
      <w:pPr>
        <w:pStyle w:val="2"/>
      </w:pP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0"/>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投标人须知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p>
    <w:p>
      <w:pPr>
        <w:tabs>
          <w:tab w:val="left" w:pos="3185"/>
          <w:tab w:val="center" w:pos="5452"/>
        </w:tabs>
        <w:snapToGrid w:val="0"/>
        <w:spacing w:beforeLines="50" w:line="400" w:lineRule="exact"/>
        <w:jc w:val="center"/>
        <w:rPr>
          <w:rFonts w:hint="eastAsia" w:hAnsi="宋体" w:cs="黑体"/>
          <w:b/>
          <w:sz w:val="36"/>
          <w:szCs w:val="36"/>
          <w:lang w:eastAsia="zh-CN"/>
        </w:rPr>
      </w:pPr>
      <w:r>
        <w:rPr>
          <w:rFonts w:hint="eastAsia" w:hAnsi="宋体" w:cs="黑体"/>
          <w:b/>
          <w:sz w:val="36"/>
          <w:szCs w:val="36"/>
        </w:rPr>
        <w:t>XCGC-F2020</w:t>
      </w:r>
      <w:r>
        <w:rPr>
          <w:rFonts w:hint="eastAsia" w:hAnsi="宋体" w:cs="黑体"/>
          <w:b/>
          <w:sz w:val="36"/>
          <w:szCs w:val="36"/>
          <w:lang w:val="en-US" w:eastAsia="zh-CN"/>
        </w:rPr>
        <w:t>090</w:t>
      </w:r>
      <w:r>
        <w:rPr>
          <w:rFonts w:hint="eastAsia" w:hAnsi="宋体" w:cs="黑体"/>
          <w:b/>
          <w:sz w:val="36"/>
          <w:szCs w:val="36"/>
          <w:lang w:eastAsia="zh-CN"/>
        </w:rPr>
        <w:t>许昌市魏都区北大街道办事处许昌市魏都区八一社区“一有七中心”改造提升工程</w:t>
      </w:r>
    </w:p>
    <w:p>
      <w:pPr>
        <w:tabs>
          <w:tab w:val="left" w:pos="3185"/>
          <w:tab w:val="center" w:pos="5452"/>
        </w:tabs>
        <w:snapToGrid w:val="0"/>
        <w:spacing w:beforeLines="50" w:line="400" w:lineRule="exact"/>
        <w:jc w:val="center"/>
        <w:rPr>
          <w:rFonts w:hAnsi="宋体" w:cs="宋体"/>
          <w:b/>
          <w:sz w:val="30"/>
          <w:szCs w:val="30"/>
        </w:rPr>
      </w:pPr>
      <w:r>
        <w:rPr>
          <w:rFonts w:hint="eastAsia" w:hAnsi="宋体" w:cs="黑体"/>
          <w:b/>
          <w:sz w:val="36"/>
          <w:szCs w:val="36"/>
        </w:rPr>
        <w:t>（不见面开标）招标公告</w:t>
      </w:r>
    </w:p>
    <w:p>
      <w:pPr>
        <w:widowControl/>
        <w:numPr>
          <w:ilvl w:val="0"/>
          <w:numId w:val="2"/>
        </w:numPr>
        <w:spacing w:line="312" w:lineRule="auto"/>
        <w:rPr>
          <w:rFonts w:hAnsi="宋体"/>
          <w:b/>
          <w:sz w:val="24"/>
        </w:rPr>
      </w:pPr>
      <w:r>
        <w:rPr>
          <w:rFonts w:hint="eastAsia" w:hAnsi="宋体"/>
          <w:b/>
          <w:sz w:val="24"/>
        </w:rPr>
        <w:t>招标条件</w:t>
      </w:r>
    </w:p>
    <w:p>
      <w:pPr>
        <w:widowControl/>
        <w:spacing w:line="312" w:lineRule="auto"/>
        <w:ind w:firstLine="480" w:firstLineChars="200"/>
        <w:rPr>
          <w:rFonts w:hAnsi="宋体"/>
          <w:sz w:val="24"/>
        </w:rPr>
      </w:pPr>
      <w:r>
        <w:rPr>
          <w:rFonts w:hint="eastAsia" w:hAnsi="宋体" w:cs="Times New Roman"/>
          <w:sz w:val="24"/>
          <w:szCs w:val="24"/>
          <w:lang w:eastAsia="zh-CN"/>
        </w:rPr>
        <w:t>许昌市魏都区北大街道办事处许昌市魏都区八一社区“一有七中心”改造提升工程，已由</w:t>
      </w:r>
      <w:r>
        <w:rPr>
          <w:rFonts w:hint="eastAsia" w:hAnsi="宋体" w:cs="Times New Roman"/>
          <w:sz w:val="24"/>
          <w:szCs w:val="24"/>
          <w:lang w:val="en-US" w:eastAsia="zh-CN"/>
        </w:rPr>
        <w:t>许昌市魏都区发展和改革委员会以许魏发改【2019】100号文</w:t>
      </w:r>
      <w:r>
        <w:rPr>
          <w:rFonts w:hint="eastAsia" w:hAnsi="宋体" w:cs="Times New Roman"/>
          <w:sz w:val="24"/>
          <w:szCs w:val="24"/>
          <w:lang w:eastAsia="zh-CN"/>
        </w:rPr>
        <w:t>批准建设，建设资金已落实。招</w:t>
      </w:r>
      <w:r>
        <w:rPr>
          <w:rFonts w:hint="eastAsia" w:hAnsi="宋体"/>
          <w:sz w:val="24"/>
          <w:szCs w:val="24"/>
        </w:rPr>
        <w:t>标人为</w:t>
      </w:r>
      <w:r>
        <w:rPr>
          <w:rFonts w:hint="eastAsia" w:hAnsi="宋体" w:cs="Times New Roman"/>
          <w:sz w:val="24"/>
          <w:szCs w:val="24"/>
          <w:lang w:eastAsia="zh-CN"/>
        </w:rPr>
        <w:t>许昌市魏都区北大街道办事处</w:t>
      </w:r>
      <w:r>
        <w:rPr>
          <w:rFonts w:hint="eastAsia" w:hAnsi="宋体"/>
          <w:sz w:val="24"/>
          <w:szCs w:val="24"/>
        </w:rPr>
        <w:t>，建设资金为自筹资金。项目已具备招标条件，现对该项目施工进行公开招标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eastAsiaTheme="minorEastAsia"/>
          <w:sz w:val="24"/>
          <w:lang w:val="en-US" w:eastAsia="zh-CN"/>
        </w:rPr>
      </w:pPr>
      <w:r>
        <w:rPr>
          <w:rFonts w:hint="eastAsia" w:hAnsi="宋体"/>
          <w:sz w:val="24"/>
        </w:rPr>
        <w:t xml:space="preserve">    2.1项目编号：XCGC-F2020</w:t>
      </w:r>
      <w:r>
        <w:rPr>
          <w:rFonts w:hint="eastAsia" w:hAnsi="宋体"/>
          <w:sz w:val="24"/>
          <w:lang w:val="en-US" w:eastAsia="zh-CN"/>
        </w:rPr>
        <w:t xml:space="preserve">090   </w:t>
      </w:r>
    </w:p>
    <w:p>
      <w:pPr>
        <w:widowControl/>
        <w:spacing w:line="312" w:lineRule="auto"/>
        <w:ind w:firstLine="480" w:firstLineChars="200"/>
        <w:rPr>
          <w:rFonts w:hAnsi="宋体"/>
          <w:sz w:val="24"/>
        </w:rPr>
      </w:pPr>
      <w:r>
        <w:rPr>
          <w:rFonts w:hint="eastAsia" w:hAnsi="宋体"/>
          <w:sz w:val="24"/>
        </w:rPr>
        <w:t>2.2项目建设地点：</w:t>
      </w:r>
      <w:r>
        <w:rPr>
          <w:rFonts w:hint="eastAsia" w:hAnsi="宋体"/>
          <w:sz w:val="24"/>
          <w:lang w:eastAsia="zh-CN"/>
        </w:rPr>
        <w:t>许昌市魏都区八一社区</w:t>
      </w:r>
      <w:r>
        <w:rPr>
          <w:rFonts w:hint="eastAsia" w:hAnsi="宋体"/>
          <w:sz w:val="24"/>
        </w:rPr>
        <w:t>。</w:t>
      </w:r>
    </w:p>
    <w:p>
      <w:pPr>
        <w:widowControl/>
        <w:spacing w:line="312" w:lineRule="auto"/>
        <w:ind w:firstLine="480" w:firstLineChars="200"/>
        <w:rPr>
          <w:rFonts w:hint="eastAsia" w:hAnsi="宋体"/>
          <w:color w:val="auto"/>
          <w:sz w:val="24"/>
        </w:rPr>
      </w:pPr>
      <w:r>
        <w:rPr>
          <w:rFonts w:hint="eastAsia" w:hAnsi="宋体"/>
          <w:color w:val="auto"/>
          <w:sz w:val="24"/>
        </w:rPr>
        <w:t>2.3工程概况：</w:t>
      </w:r>
      <w:r>
        <w:rPr>
          <w:rFonts w:hint="eastAsia" w:hAnsi="宋体"/>
          <w:color w:val="auto"/>
          <w:sz w:val="24"/>
          <w:lang w:eastAsia="zh-CN"/>
        </w:rPr>
        <w:t>许昌市魏都区八一社区“一有七中心”改造提升工程主要装修改造内容包括地面、墙面、顶面及安装工程，新建钢结构工程以及外立面改造工程，具体详见施工图纸。</w:t>
      </w:r>
    </w:p>
    <w:p>
      <w:pPr>
        <w:widowControl/>
        <w:spacing w:line="312" w:lineRule="auto"/>
        <w:ind w:firstLine="480" w:firstLineChars="200"/>
        <w:rPr>
          <w:rFonts w:hAnsi="宋体"/>
          <w:color w:val="auto"/>
          <w:sz w:val="24"/>
        </w:rPr>
      </w:pPr>
      <w:r>
        <w:rPr>
          <w:rFonts w:hint="eastAsia" w:hAnsi="宋体"/>
          <w:color w:val="auto"/>
          <w:sz w:val="24"/>
        </w:rPr>
        <w:t>2.4招标范围：施工招标范围为招标文件、工程量清单、施工图纸、答疑纪要和补充文件（如有）范围内的所有建设内容。</w:t>
      </w:r>
    </w:p>
    <w:p>
      <w:pPr>
        <w:spacing w:line="360" w:lineRule="auto"/>
        <w:ind w:firstLine="480"/>
        <w:rPr>
          <w:rFonts w:hAnsi="宋体"/>
          <w:color w:val="auto"/>
          <w:sz w:val="24"/>
        </w:rPr>
      </w:pPr>
      <w:r>
        <w:rPr>
          <w:rFonts w:hint="eastAsia" w:hAnsi="宋体"/>
          <w:color w:val="auto"/>
          <w:sz w:val="24"/>
        </w:rPr>
        <w:t>2.5标段划分：本工程共设</w:t>
      </w:r>
      <w:r>
        <w:rPr>
          <w:rFonts w:hint="eastAsia" w:hAnsi="宋体"/>
          <w:color w:val="auto"/>
          <w:sz w:val="24"/>
          <w:lang w:eastAsia="zh-CN"/>
        </w:rPr>
        <w:t>一</w:t>
      </w:r>
      <w:r>
        <w:rPr>
          <w:rFonts w:hint="eastAsia" w:hAnsi="宋体"/>
          <w:color w:val="auto"/>
          <w:sz w:val="24"/>
        </w:rPr>
        <w:t>个标段。</w:t>
      </w:r>
    </w:p>
    <w:p>
      <w:pPr>
        <w:spacing w:line="360" w:lineRule="auto"/>
        <w:ind w:firstLine="480"/>
        <w:rPr>
          <w:rFonts w:hAnsi="宋体" w:cs="Times New Roman"/>
          <w:color w:val="auto"/>
          <w:sz w:val="24"/>
        </w:rPr>
      </w:pPr>
      <w:r>
        <w:rPr>
          <w:rFonts w:hint="eastAsia" w:hAnsi="宋体"/>
          <w:color w:val="auto"/>
          <w:sz w:val="24"/>
        </w:rPr>
        <w:t>2.6招标</w:t>
      </w:r>
      <w:r>
        <w:rPr>
          <w:rFonts w:hint="eastAsia" w:hAnsi="宋体" w:cs="Times New Roman"/>
          <w:color w:val="auto"/>
          <w:sz w:val="24"/>
        </w:rPr>
        <w:t xml:space="preserve">控制价: </w:t>
      </w:r>
      <w:r>
        <w:rPr>
          <w:rFonts w:hint="eastAsia" w:hAnsi="宋体" w:cs="Times New Roman"/>
          <w:color w:val="auto"/>
          <w:sz w:val="24"/>
          <w:lang w:val="en-US" w:eastAsia="zh-CN"/>
        </w:rPr>
        <w:t>1248116.9</w:t>
      </w:r>
      <w:r>
        <w:rPr>
          <w:rFonts w:hint="eastAsia" w:hAnsi="宋体" w:cs="Times New Roman"/>
          <w:color w:val="auto"/>
          <w:sz w:val="24"/>
        </w:rPr>
        <w:t>元。</w:t>
      </w:r>
    </w:p>
    <w:p>
      <w:pPr>
        <w:widowControl/>
        <w:spacing w:line="300" w:lineRule="auto"/>
        <w:ind w:firstLine="480"/>
        <w:rPr>
          <w:rFonts w:hAnsi="宋体"/>
          <w:color w:val="auto"/>
          <w:sz w:val="24"/>
        </w:rPr>
      </w:pPr>
      <w:r>
        <w:rPr>
          <w:rFonts w:hint="eastAsia" w:hAnsi="宋体"/>
          <w:color w:val="auto"/>
          <w:sz w:val="24"/>
        </w:rPr>
        <w:t>2.7计划工期：</w:t>
      </w:r>
      <w:r>
        <w:rPr>
          <w:rFonts w:hint="eastAsia" w:hAnsi="宋体"/>
          <w:color w:val="auto"/>
          <w:sz w:val="24"/>
          <w:lang w:val="en-US" w:eastAsia="zh-CN"/>
        </w:rPr>
        <w:t>30</w:t>
      </w:r>
      <w:r>
        <w:rPr>
          <w:rFonts w:hint="eastAsia" w:hAnsi="宋体"/>
          <w:color w:val="auto"/>
          <w:sz w:val="24"/>
        </w:rPr>
        <w:t>日历天。</w:t>
      </w:r>
    </w:p>
    <w:p>
      <w:pPr>
        <w:widowControl/>
        <w:spacing w:line="300" w:lineRule="auto"/>
        <w:rPr>
          <w:rFonts w:hAnsi="宋体"/>
          <w:sz w:val="24"/>
        </w:rPr>
      </w:pPr>
      <w:r>
        <w:rPr>
          <w:rFonts w:hint="eastAsia" w:hAnsi="宋体"/>
          <w:sz w:val="24"/>
        </w:rPr>
        <w:t xml:space="preserve">    2.8质量要求：合格</w:t>
      </w:r>
      <w:r>
        <w:rPr>
          <w:rFonts w:hint="eastAsia" w:hAnsi="宋体" w:cs="黑体"/>
          <w:sz w:val="24"/>
        </w:rPr>
        <w:t>（</w:t>
      </w:r>
      <w:r>
        <w:rPr>
          <w:rFonts w:hint="eastAsia"/>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lang w:val="en-US"/>
        </w:rPr>
        <w:t>3.1</w:t>
      </w:r>
      <w:r>
        <w:rPr>
          <w:rFonts w:hint="eastAsia" w:cs="Times New Roman"/>
          <w:szCs w:val="24"/>
        </w:rPr>
        <w:t>投标人须具有建筑工程施工总承包三级及以上企业资质，具有有效的安全生产许可证的独立法人企业，并在人员、设备、资金等方面具有相应的施工能力。拟派项目负责人具有二级及以上建筑工程专业注册建造师执业资格（不含临时执业资格）和有效的安全生产考核合格证，且未担任其它在施建设工程的项目负责人。</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lang w:val="en-US"/>
        </w:rPr>
        <w:t>3.2</w:t>
      </w:r>
      <w:r>
        <w:rPr>
          <w:rFonts w:hint="eastAsia" w:cs="Times New Roman"/>
          <w:szCs w:val="24"/>
        </w:rPr>
        <w:t>投标人未被列入“信用中国”网站（</w:t>
      </w:r>
      <w:r>
        <w:rPr>
          <w:rFonts w:hint="eastAsia" w:cs="Times New Roman"/>
          <w:szCs w:val="24"/>
          <w:lang w:val="en-US"/>
        </w:rPr>
        <w:t>www.creditchina.gov.cn</w:t>
      </w:r>
      <w:r>
        <w:rPr>
          <w:rFonts w:hint="eastAsia" w:cs="Times New Roman"/>
          <w:szCs w:val="24"/>
        </w:rPr>
        <w:t>）失信被执行人、重大税收违法案件当事人名单；未被“信用河南”网站信用信息栏列入黑名单，以及未被 “国家企业信用信息公示系统”网站（</w:t>
      </w:r>
      <w:r>
        <w:rPr>
          <w:rFonts w:hint="eastAsia" w:cs="Times New Roman"/>
          <w:szCs w:val="24"/>
          <w:lang w:val="en-US"/>
        </w:rPr>
        <w:t>www.gsxt.gov.cn</w:t>
      </w:r>
      <w:r>
        <w:rPr>
          <w:rFonts w:hint="eastAsia" w:cs="Times New Roman"/>
          <w:szCs w:val="24"/>
        </w:rPr>
        <w:t>）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lang w:val="en-US"/>
        </w:rPr>
        <w:t>3.3</w:t>
      </w:r>
      <w:r>
        <w:rPr>
          <w:rFonts w:hint="eastAsia" w:cs="Times New Roman"/>
          <w:szCs w:val="24"/>
        </w:rPr>
        <w:t>本次招标不接受联合体投标。</w:t>
      </w:r>
    </w:p>
    <w:p>
      <w:pPr>
        <w:pStyle w:val="12"/>
        <w:wordWrap w:val="0"/>
        <w:spacing w:beforeAutospacing="0" w:afterAutospacing="0" w:line="360" w:lineRule="auto"/>
        <w:ind w:firstLine="480" w:firstLineChars="200"/>
        <w:rPr>
          <w:rFonts w:hint="eastAsia" w:cs="Times New Roman"/>
          <w:szCs w:val="24"/>
        </w:rPr>
      </w:pPr>
      <w:r>
        <w:rPr>
          <w:rFonts w:hint="eastAsia" w:cs="Times New Roman"/>
          <w:szCs w:val="24"/>
          <w:lang w:val="en-US"/>
        </w:rPr>
        <w:t>3.4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2"/>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2"/>
        <w:wordWrap w:val="0"/>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pStyle w:val="12"/>
        <w:wordWrap w:val="0"/>
        <w:spacing w:beforeAutospacing="0" w:afterAutospacing="0" w:line="440" w:lineRule="exact"/>
        <w:ind w:firstLine="480" w:firstLineChars="200"/>
        <w:rPr>
          <w:bCs/>
        </w:rPr>
      </w:pPr>
      <w:r>
        <w:rPr>
          <w:rFonts w:hint="eastAsia"/>
          <w:bCs/>
        </w:rPr>
        <w:t xml:space="preserve"> 5.3招标文件每套售价</w:t>
      </w:r>
      <w:r>
        <w:rPr>
          <w:rFonts w:hint="eastAsia"/>
          <w:bCs/>
          <w:u w:val="single"/>
        </w:rPr>
        <w:t xml:space="preserve"> 300</w:t>
      </w:r>
      <w:r>
        <w:rPr>
          <w:rFonts w:hint="eastAsia"/>
          <w:bCs/>
        </w:rPr>
        <w:t>元/标段，</w:t>
      </w:r>
      <w:r>
        <w:rPr>
          <w:rFonts w:hint="eastAsia" w:cs="Times New Roman"/>
          <w:szCs w:val="24"/>
        </w:rPr>
        <w:t>投标人于开标结束后转账至支付宝账户：</w:t>
      </w:r>
      <w:r>
        <w:rPr>
          <w:rFonts w:hint="eastAsia" w:cs="Times New Roman"/>
          <w:szCs w:val="24"/>
          <w:lang w:val="en-US" w:eastAsia="zh-CN"/>
        </w:rPr>
        <w:t>17637961058</w:t>
      </w:r>
      <w:r>
        <w:rPr>
          <w:rFonts w:hint="eastAsia" w:cs="Times New Roman"/>
          <w:szCs w:val="24"/>
        </w:rPr>
        <w:t>（转账时请备注项目编号、所属标段及公司名称）。</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sz w:val="24"/>
        </w:rPr>
      </w:pPr>
      <w:r>
        <w:rPr>
          <w:rFonts w:hint="eastAsia" w:hAnsi="宋体"/>
          <w:bCs/>
          <w:sz w:val="24"/>
        </w:rPr>
        <w:t>6.2 投标截止时间及开标时间：2020年</w:t>
      </w:r>
      <w:r>
        <w:rPr>
          <w:rFonts w:hint="eastAsia" w:hAnsi="宋体"/>
          <w:bCs/>
          <w:sz w:val="24"/>
          <w:lang w:val="en-US" w:eastAsia="zh-CN"/>
        </w:rPr>
        <w:t>5</w:t>
      </w:r>
      <w:r>
        <w:rPr>
          <w:rFonts w:hint="eastAsia" w:hAnsi="宋体"/>
          <w:bCs/>
          <w:sz w:val="24"/>
        </w:rPr>
        <w:t>月</w:t>
      </w:r>
      <w:r>
        <w:rPr>
          <w:rFonts w:hint="eastAsia" w:hAnsi="宋体"/>
          <w:bCs/>
          <w:sz w:val="24"/>
          <w:lang w:val="en-US" w:eastAsia="zh-CN"/>
        </w:rPr>
        <w:t>18</w:t>
      </w:r>
      <w:r>
        <w:rPr>
          <w:rFonts w:hint="eastAsia" w:hAnsi="宋体"/>
          <w:bCs/>
          <w:sz w:val="24"/>
        </w:rPr>
        <w:t>日8时30分。</w:t>
      </w:r>
    </w:p>
    <w:p>
      <w:pPr>
        <w:widowControl/>
        <w:spacing w:line="360" w:lineRule="auto"/>
        <w:ind w:firstLine="480" w:firstLineChars="200"/>
        <w:rPr>
          <w:rFonts w:hAnsi="宋体"/>
          <w:bCs/>
          <w:sz w:val="24"/>
        </w:rPr>
      </w:pPr>
      <w:r>
        <w:rPr>
          <w:rFonts w:hint="eastAsia" w:hAnsi="宋体"/>
          <w:bCs/>
          <w:sz w:val="24"/>
        </w:rPr>
        <w:t>6.3招标人（代理机构）线上开标地点：许昌市公共资源交易中心（龙兴路与竹林路交汇处创业服务中心C 座）三楼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30" w:lineRule="exact"/>
        <w:ind w:firstLine="240" w:firstLineChars="100"/>
        <w:rPr>
          <w:rFonts w:hint="eastAsia" w:hAnsi="宋体" w:cs="宋体"/>
          <w:sz w:val="24"/>
          <w:szCs w:val="22"/>
        </w:rPr>
      </w:pPr>
      <w:r>
        <w:rPr>
          <w:rFonts w:hint="eastAsia" w:hAnsi="宋体" w:cs="宋体"/>
          <w:sz w:val="24"/>
          <w:szCs w:val="22"/>
        </w:rPr>
        <w:t>招 标 人：</w:t>
      </w:r>
      <w:r>
        <w:rPr>
          <w:rFonts w:hint="eastAsia" w:hAnsi="宋体" w:cs="宋体"/>
          <w:sz w:val="24"/>
          <w:szCs w:val="22"/>
          <w:lang w:eastAsia="zh-CN"/>
        </w:rPr>
        <w:t>许昌市魏都区北大街道办事处</w:t>
      </w:r>
      <w:r>
        <w:rPr>
          <w:rFonts w:hint="eastAsia" w:hAnsi="宋体" w:cs="宋体"/>
          <w:sz w:val="24"/>
          <w:szCs w:val="22"/>
        </w:rPr>
        <w:t xml:space="preserve">             </w:t>
      </w:r>
    </w:p>
    <w:p>
      <w:pPr>
        <w:spacing w:line="530" w:lineRule="exact"/>
        <w:ind w:firstLine="240" w:firstLineChars="100"/>
        <w:rPr>
          <w:rFonts w:hint="eastAsia" w:hAnsi="宋体" w:cs="宋体" w:eastAsiaTheme="minorEastAsia"/>
          <w:sz w:val="24"/>
          <w:szCs w:val="22"/>
          <w:lang w:eastAsia="zh-CN"/>
        </w:rPr>
      </w:pPr>
      <w:r>
        <w:rPr>
          <w:rFonts w:hint="eastAsia" w:hAnsi="宋体" w:cs="宋体"/>
          <w:sz w:val="24"/>
          <w:szCs w:val="22"/>
        </w:rPr>
        <w:t>地    址：</w:t>
      </w:r>
      <w:bookmarkStart w:id="0" w:name="OLE_LINK1"/>
      <w:r>
        <w:rPr>
          <w:rFonts w:hint="eastAsia" w:hAnsi="宋体" w:cs="宋体"/>
          <w:sz w:val="24"/>
          <w:szCs w:val="22"/>
        </w:rPr>
        <w:t>许昌市</w:t>
      </w:r>
      <w:bookmarkEnd w:id="0"/>
      <w:r>
        <w:rPr>
          <w:rFonts w:hint="eastAsia" w:hAnsi="宋体" w:cs="宋体"/>
          <w:sz w:val="24"/>
          <w:szCs w:val="22"/>
          <w:lang w:eastAsia="zh-CN"/>
        </w:rPr>
        <w:t>劳动路</w:t>
      </w:r>
    </w:p>
    <w:p>
      <w:pPr>
        <w:spacing w:line="530" w:lineRule="exact"/>
        <w:ind w:firstLine="240" w:firstLineChars="100"/>
        <w:rPr>
          <w:rFonts w:hint="eastAsia" w:hAnsi="宋体" w:cs="宋体"/>
          <w:sz w:val="24"/>
          <w:szCs w:val="22"/>
        </w:rPr>
      </w:pPr>
      <w:r>
        <w:rPr>
          <w:rFonts w:hint="eastAsia" w:hAnsi="宋体" w:cs="宋体"/>
          <w:sz w:val="24"/>
          <w:szCs w:val="22"/>
        </w:rPr>
        <w:t>联 系 人：</w:t>
      </w:r>
      <w:r>
        <w:rPr>
          <w:rFonts w:hint="eastAsia" w:hAnsi="宋体" w:cs="宋体"/>
          <w:sz w:val="24"/>
          <w:szCs w:val="22"/>
          <w:lang w:eastAsia="zh-CN"/>
        </w:rPr>
        <w:t>贺</w:t>
      </w:r>
      <w:r>
        <w:rPr>
          <w:rFonts w:hint="eastAsia" w:hAnsi="宋体" w:cs="宋体"/>
          <w:sz w:val="24"/>
          <w:szCs w:val="22"/>
        </w:rPr>
        <w:t>先生</w:t>
      </w:r>
    </w:p>
    <w:p>
      <w:pPr>
        <w:spacing w:line="530" w:lineRule="exact"/>
        <w:ind w:firstLine="240" w:firstLineChars="100"/>
        <w:rPr>
          <w:rFonts w:hint="eastAsia" w:hAnsi="宋体"/>
          <w:sz w:val="24"/>
        </w:rPr>
      </w:pPr>
      <w:r>
        <w:rPr>
          <w:rFonts w:hint="eastAsia" w:hAnsi="宋体"/>
          <w:sz w:val="24"/>
        </w:rPr>
        <w:t>联系方式：15993608181</w:t>
      </w:r>
    </w:p>
    <w:p>
      <w:pPr>
        <w:spacing w:line="530" w:lineRule="exact"/>
        <w:ind w:firstLine="240" w:firstLineChars="100"/>
        <w:rPr>
          <w:rFonts w:hAnsi="宋体"/>
          <w:sz w:val="24"/>
        </w:rPr>
      </w:pPr>
      <w:r>
        <w:rPr>
          <w:rFonts w:hint="eastAsia" w:hAnsi="宋体"/>
          <w:sz w:val="24"/>
        </w:rPr>
        <w:t>代理机构：河南建标工程管理有限公司</w:t>
      </w:r>
    </w:p>
    <w:p>
      <w:pPr>
        <w:spacing w:line="530" w:lineRule="exact"/>
        <w:ind w:firstLine="240" w:firstLineChars="100"/>
        <w:rPr>
          <w:rFonts w:hAnsi="宋体"/>
          <w:sz w:val="24"/>
        </w:rPr>
      </w:pPr>
      <w:r>
        <w:rPr>
          <w:rFonts w:hint="eastAsia" w:hAnsi="宋体"/>
          <w:sz w:val="24"/>
        </w:rPr>
        <w:t>地</w:t>
      </w:r>
      <w:r>
        <w:rPr>
          <w:rFonts w:hAnsi="宋体"/>
          <w:sz w:val="24"/>
        </w:rPr>
        <w:t>  </w:t>
      </w:r>
      <w:r>
        <w:rPr>
          <w:rFonts w:hint="eastAsia" w:hAnsi="宋体"/>
          <w:sz w:val="24"/>
        </w:rPr>
        <w:t>址：许昌市劳动路</w:t>
      </w:r>
      <w:r>
        <w:rPr>
          <w:rFonts w:hAnsi="宋体"/>
          <w:sz w:val="24"/>
        </w:rPr>
        <w:t>1567</w:t>
      </w:r>
      <w:r>
        <w:rPr>
          <w:rFonts w:hint="eastAsia" w:hAnsi="宋体"/>
          <w:sz w:val="24"/>
        </w:rPr>
        <w:t>号</w:t>
      </w:r>
    </w:p>
    <w:p>
      <w:pPr>
        <w:spacing w:line="530" w:lineRule="exact"/>
        <w:ind w:firstLine="240" w:firstLineChars="100"/>
        <w:rPr>
          <w:rFonts w:hAnsi="宋体"/>
          <w:sz w:val="24"/>
        </w:rPr>
      </w:pPr>
      <w:r>
        <w:rPr>
          <w:rFonts w:hint="eastAsia" w:hAnsi="宋体"/>
          <w:sz w:val="24"/>
        </w:rPr>
        <w:t>联</w:t>
      </w:r>
      <w:r>
        <w:rPr>
          <w:rFonts w:hAnsi="宋体"/>
          <w:sz w:val="24"/>
        </w:rPr>
        <w:t xml:space="preserve"> </w:t>
      </w:r>
      <w:r>
        <w:rPr>
          <w:rFonts w:hint="eastAsia" w:hAnsi="宋体"/>
          <w:sz w:val="24"/>
        </w:rPr>
        <w:t>系</w:t>
      </w:r>
      <w:r>
        <w:rPr>
          <w:rFonts w:hAnsi="宋体"/>
          <w:sz w:val="24"/>
        </w:rPr>
        <w:t xml:space="preserve"> </w:t>
      </w:r>
      <w:r>
        <w:rPr>
          <w:rFonts w:hint="eastAsia" w:hAnsi="宋体"/>
          <w:sz w:val="24"/>
        </w:rPr>
        <w:t>人：万女士</w:t>
      </w:r>
    </w:p>
    <w:p>
      <w:pPr>
        <w:spacing w:line="530" w:lineRule="exact"/>
        <w:ind w:firstLine="240" w:firstLineChars="100"/>
        <w:rPr>
          <w:rFonts w:hAnsi="宋体"/>
          <w:sz w:val="24"/>
        </w:rPr>
      </w:pPr>
      <w:r>
        <w:rPr>
          <w:rFonts w:hint="eastAsia" w:hAnsi="宋体"/>
          <w:sz w:val="24"/>
        </w:rPr>
        <w:t>联系电话：</w:t>
      </w:r>
      <w:r>
        <w:rPr>
          <w:rFonts w:hAnsi="宋体"/>
          <w:sz w:val="24"/>
        </w:rPr>
        <w:t>0374-2771160  13782222730</w:t>
      </w:r>
    </w:p>
    <w:p>
      <w:pPr>
        <w:widowControl/>
        <w:spacing w:line="360" w:lineRule="auto"/>
        <w:rPr>
          <w:rFonts w:hint="eastAsia" w:hAnsi="宋体" w:cs="宋体"/>
          <w:sz w:val="24"/>
          <w:szCs w:val="22"/>
        </w:rPr>
      </w:pPr>
      <w:bookmarkStart w:id="83" w:name="_GoBack"/>
      <w:bookmarkEnd w:id="83"/>
    </w:p>
    <w:p>
      <w:pPr>
        <w:widowControl/>
        <w:spacing w:line="360" w:lineRule="auto"/>
        <w:jc w:val="right"/>
        <w:rPr>
          <w:rFonts w:hint="eastAsia" w:hAnsi="宋体" w:cs="宋体"/>
          <w:sz w:val="24"/>
          <w:szCs w:val="22"/>
        </w:rPr>
      </w:pPr>
    </w:p>
    <w:p>
      <w:pPr>
        <w:widowControl/>
        <w:spacing w:line="360" w:lineRule="auto"/>
        <w:jc w:val="right"/>
        <w:rPr>
          <w:rFonts w:hint="eastAsia" w:hAnsi="宋体" w:cs="宋体" w:eastAsiaTheme="minorEastAsia"/>
          <w:sz w:val="24"/>
          <w:szCs w:val="22"/>
          <w:lang w:eastAsia="zh-CN"/>
        </w:rPr>
      </w:pPr>
      <w:r>
        <w:rPr>
          <w:rFonts w:hint="eastAsia" w:hAnsi="宋体" w:cs="宋体"/>
          <w:sz w:val="24"/>
          <w:szCs w:val="22"/>
          <w:lang w:eastAsia="zh-CN"/>
        </w:rPr>
        <w:t>许昌市魏都区北大街道办事处</w:t>
      </w:r>
    </w:p>
    <w:p>
      <w:pPr>
        <w:widowControl/>
        <w:spacing w:line="360" w:lineRule="auto"/>
        <w:jc w:val="right"/>
        <w:rPr>
          <w:rFonts w:hAnsi="宋体" w:cs="宋体"/>
          <w:sz w:val="24"/>
          <w:szCs w:val="22"/>
        </w:rPr>
      </w:pPr>
      <w:r>
        <w:rPr>
          <w:rFonts w:hint="eastAsia" w:hAnsi="宋体" w:cs="宋体"/>
          <w:sz w:val="24"/>
          <w:szCs w:val="22"/>
        </w:rPr>
        <w:t>20</w:t>
      </w:r>
      <w:r>
        <w:rPr>
          <w:rFonts w:hint="eastAsia" w:hAnsi="宋体" w:cs="宋体"/>
          <w:sz w:val="24"/>
          <w:szCs w:val="22"/>
          <w:lang w:val="en-US" w:eastAsia="zh-CN"/>
        </w:rPr>
        <w:t>20</w:t>
      </w:r>
      <w:r>
        <w:rPr>
          <w:rFonts w:hint="eastAsia" w:hAnsi="宋体" w:cs="宋体"/>
          <w:sz w:val="24"/>
          <w:szCs w:val="22"/>
        </w:rPr>
        <w:t>年</w:t>
      </w:r>
      <w:r>
        <w:rPr>
          <w:rFonts w:hint="eastAsia" w:hAnsi="宋体" w:cs="宋体"/>
          <w:sz w:val="24"/>
          <w:szCs w:val="22"/>
          <w:lang w:val="en-US" w:eastAsia="zh-CN"/>
        </w:rPr>
        <w:t>4</w:t>
      </w:r>
      <w:r>
        <w:rPr>
          <w:rFonts w:hint="eastAsia" w:hAnsi="宋体" w:cs="宋体"/>
          <w:sz w:val="24"/>
          <w:szCs w:val="22"/>
        </w:rPr>
        <w:t>月</w:t>
      </w:r>
      <w:r>
        <w:rPr>
          <w:rFonts w:hint="eastAsia" w:hAnsi="宋体" w:cs="宋体"/>
          <w:sz w:val="24"/>
          <w:szCs w:val="22"/>
          <w:lang w:val="en-US" w:eastAsia="zh-CN"/>
        </w:rPr>
        <w:t>23</w:t>
      </w:r>
      <w:r>
        <w:rPr>
          <w:rFonts w:hint="eastAsia" w:hAnsi="宋体" w:cs="宋体"/>
          <w:sz w:val="24"/>
          <w:szCs w:val="22"/>
        </w:rPr>
        <w:t>日</w:t>
      </w: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sz w:val="24"/>
        </w:rPr>
      </w:pPr>
      <w:r>
        <w:rPr>
          <w:rFonts w:hint="eastAsia" w:hAnsi="宋体"/>
          <w:b/>
          <w:bCs/>
          <w:sz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w:t>
      </w:r>
      <w:r>
        <w:rPr>
          <w:rFonts w:hint="eastAsia" w:hAnsi="宋体" w:cs="宋体"/>
          <w:sz w:val="24"/>
          <w:lang w:val="zh-CN"/>
        </w:rPr>
        <w:t>使用银行转帐方式</w:t>
      </w:r>
      <w:r>
        <w:rPr>
          <w:rFonts w:hint="eastAsia" w:hAnsi="宋体" w:cs="宋体"/>
          <w:sz w:val="24"/>
        </w:rPr>
        <w:t>提交</w:t>
      </w:r>
      <w:r>
        <w:rPr>
          <w:rFonts w:hint="eastAsia" w:hAnsi="宋体" w:cs="宋体"/>
          <w:sz w:val="24"/>
          <w:lang w:val="zh-CN"/>
        </w:rPr>
        <w:t>的，投标人通过基本账户将款项一次足额递交、成功绑定，以收款人到账时间为准。</w:t>
      </w:r>
    </w:p>
    <w:p>
      <w:pPr>
        <w:autoSpaceDE w:val="0"/>
        <w:autoSpaceDN w:val="0"/>
        <w:adjustRightInd w:val="0"/>
        <w:spacing w:line="340" w:lineRule="exact"/>
        <w:ind w:firstLine="480" w:firstLineChars="200"/>
        <w:rPr>
          <w:rFonts w:hAnsi="宋体" w:cs="宋体"/>
          <w:sz w:val="24"/>
        </w:rPr>
      </w:pPr>
      <w:r>
        <w:rPr>
          <w:rFonts w:hint="eastAsia" w:hAnsi="宋体" w:cs="宋体"/>
          <w:sz w:val="24"/>
        </w:rPr>
        <w:t>4.1.1</w:t>
      </w:r>
      <w:r>
        <w:rPr>
          <w:rFonts w:hint="eastAsia" w:hAnsi="宋体" w:cs="宋体"/>
          <w:sz w:val="24"/>
          <w:lang w:val="zh-CN"/>
        </w:rPr>
        <w:t>投标人网上</w:t>
      </w:r>
      <w:r>
        <w:rPr>
          <w:rFonts w:hint="eastAsia" w:hAnsi="宋体" w:cs="宋体"/>
          <w:sz w:val="24"/>
        </w:rPr>
        <w:t>下载招标文件并</w:t>
      </w:r>
      <w:r>
        <w:rPr>
          <w:rFonts w:hint="eastAsia" w:hAnsi="宋体" w:cs="宋体"/>
          <w:sz w:val="24"/>
          <w:lang w:val="zh-CN"/>
        </w:rPr>
        <w:t>根据每个标段的缴纳说明单在</w:t>
      </w:r>
      <w:r>
        <w:rPr>
          <w:rFonts w:hint="eastAsia" w:hAnsi="宋体" w:cs="宋体"/>
          <w:sz w:val="24"/>
        </w:rPr>
        <w:t>开标</w:t>
      </w:r>
      <w:r>
        <w:rPr>
          <w:rFonts w:hint="eastAsia" w:hAnsi="宋体" w:cs="宋体"/>
          <w:sz w:val="24"/>
          <w:lang w:val="zh-CN"/>
        </w:rPr>
        <w:t>截止时间前</w:t>
      </w:r>
      <w:r>
        <w:rPr>
          <w:rFonts w:hint="eastAsia" w:hAnsi="宋体" w:cs="宋体"/>
          <w:sz w:val="24"/>
        </w:rPr>
        <w:t>提交。</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ind w:firstLine="480" w:firstLineChars="200"/>
        <w:rPr>
          <w:rFonts w:hAnsi="宋体" w:cs="宋体"/>
          <w:sz w:val="24"/>
        </w:rPr>
      </w:pPr>
      <w:r>
        <w:rPr>
          <w:rFonts w:hint="eastAsia" w:hAnsi="宋体" w:cs="宋体"/>
          <w:sz w:val="24"/>
        </w:rPr>
        <w:t>4.1.2提交</w:t>
      </w:r>
      <w:r>
        <w:rPr>
          <w:rFonts w:hint="eastAsia" w:hAnsi="宋体" w:cs="宋体"/>
          <w:sz w:val="24"/>
          <w:lang w:val="zh-CN"/>
        </w:rPr>
        <w:t>后</w:t>
      </w:r>
      <w:r>
        <w:rPr>
          <w:rFonts w:hint="eastAsia" w:hAnsi="宋体" w:cs="宋体"/>
          <w:sz w:val="24"/>
        </w:rPr>
        <w:t>再次</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r>
        <w:rPr>
          <w:rFonts w:hint="eastAsia" w:hAnsi="宋体" w:cs="宋体"/>
          <w:sz w:val="24"/>
        </w:rPr>
        <w:t>，前述系统显示“</w:t>
      </w:r>
      <w:r>
        <w:rPr>
          <w:rFonts w:hint="eastAsia" w:hAnsi="宋体" w:cs="宋体"/>
          <w:sz w:val="24"/>
          <w:lang w:val="zh-CN"/>
        </w:rPr>
        <w:t>许昌公共资源交易中心保证金缴纳回执</w:t>
      </w:r>
      <w:r>
        <w:rPr>
          <w:rFonts w:hint="eastAsia" w:hAnsi="宋体" w:cs="宋体"/>
          <w:sz w:val="24"/>
        </w:rPr>
        <w:t>”表示投标保证金提交完成。</w:t>
      </w:r>
      <w:r>
        <w:rPr>
          <w:rFonts w:hint="eastAsia" w:hAnsi="宋体" w:cs="宋体"/>
          <w:sz w:val="24"/>
          <w:lang w:val="zh-CN"/>
        </w:rPr>
        <w:t>未绑定标段的投标保证金，视为未按</w:t>
      </w:r>
      <w:r>
        <w:rPr>
          <w:rFonts w:hint="eastAsia" w:hAnsi="宋体" w:cs="宋体"/>
          <w:sz w:val="24"/>
        </w:rPr>
        <w:t>规定提交。</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rPr>
        <w:t>4.1.3投标人按照所投项目及标段</w:t>
      </w:r>
      <w:r>
        <w:rPr>
          <w:rFonts w:hint="eastAsia" w:hAnsi="宋体" w:cs="宋体"/>
          <w:sz w:val="24"/>
          <w:lang w:val="zh-CN"/>
        </w:rPr>
        <w:t>将缴纳凭证“许昌公共资源交易中心保证金缴纳回执”附于投标文件中。</w:t>
      </w:r>
    </w:p>
    <w:p>
      <w:pPr>
        <w:autoSpaceDE w:val="0"/>
        <w:autoSpaceDN w:val="0"/>
        <w:adjustRightInd w:val="0"/>
        <w:spacing w:line="340" w:lineRule="exact"/>
        <w:ind w:firstLine="480" w:firstLineChars="200"/>
        <w:rPr>
          <w:rFonts w:hAnsi="宋体"/>
          <w:sz w:val="24"/>
        </w:rPr>
      </w:pPr>
      <w:r>
        <w:rPr>
          <w:rFonts w:hint="eastAsia" w:hAnsi="宋体" w:cs="宋体"/>
          <w:sz w:val="24"/>
        </w:rPr>
        <w:t>4.2</w:t>
      </w:r>
      <w:r>
        <w:rPr>
          <w:rFonts w:hint="eastAsia" w:hAnsi="宋体" w:cs="宋体"/>
          <w:sz w:val="24"/>
          <w:lang w:val="zh-CN"/>
        </w:rPr>
        <w:t>使用银行</w:t>
      </w:r>
      <w:r>
        <w:rPr>
          <w:rFonts w:hint="eastAsia" w:hAnsi="宋体" w:cs="宋体"/>
          <w:sz w:val="24"/>
        </w:rPr>
        <w:t>保函</w:t>
      </w:r>
      <w:r>
        <w:rPr>
          <w:rFonts w:hint="eastAsia" w:hAnsi="宋体" w:cs="宋体"/>
          <w:sz w:val="24"/>
          <w:lang w:val="zh-CN"/>
        </w:rPr>
        <w:t>方式</w:t>
      </w:r>
      <w:r>
        <w:rPr>
          <w:rFonts w:hint="eastAsia" w:hAnsi="宋体" w:cs="宋体"/>
          <w:sz w:val="24"/>
        </w:rPr>
        <w:t>提交</w:t>
      </w:r>
      <w:r>
        <w:rPr>
          <w:rFonts w:hint="eastAsia" w:hAnsi="宋体" w:cs="宋体"/>
          <w:sz w:val="24"/>
          <w:lang w:val="zh-CN"/>
        </w:rPr>
        <w:t>的，投标人</w:t>
      </w:r>
      <w:r>
        <w:rPr>
          <w:rFonts w:hint="eastAsia" w:hAnsi="宋体" w:cs="宋体"/>
          <w:sz w:val="24"/>
        </w:rPr>
        <w:t>办理投标</w:t>
      </w:r>
      <w:r>
        <w:rPr>
          <w:rFonts w:hint="eastAsia" w:hAnsi="宋体" w:cs="宋体"/>
          <w:sz w:val="24"/>
          <w:lang w:val="zh-CN"/>
        </w:rPr>
        <w:t>银行保函，银行保函</w:t>
      </w:r>
      <w:r>
        <w:rPr>
          <w:rFonts w:hint="eastAsia" w:hAnsi="宋体" w:cs="宋体"/>
          <w:sz w:val="24"/>
        </w:rPr>
        <w:t>应</w:t>
      </w:r>
      <w:r>
        <w:rPr>
          <w:rFonts w:hint="eastAsia" w:hAnsi="宋体" w:cs="宋体"/>
          <w:sz w:val="24"/>
          <w:lang w:val="zh-CN"/>
        </w:rPr>
        <w:t>明确</w:t>
      </w:r>
      <w:r>
        <w:rPr>
          <w:rFonts w:hint="eastAsia" w:hAnsi="宋体" w:cs="宋体"/>
          <w:sz w:val="24"/>
        </w:rPr>
        <w:t>所投</w:t>
      </w:r>
      <w:r>
        <w:rPr>
          <w:rFonts w:hint="eastAsia" w:hAnsi="宋体" w:cs="宋体"/>
          <w:sz w:val="24"/>
          <w:lang w:val="zh-CN"/>
        </w:rPr>
        <w:t>项目名称、项目编号及标段、受益人（招标人）、有效期（不低于本项目投标有效期）、担保金额（不低于本项目本标段投标保证金数额）。投标人应将</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规定提交投标保证金</w:t>
      </w:r>
      <w:r>
        <w:rPr>
          <w:rFonts w:hint="eastAsia" w:hAnsi="宋体" w:cs="宋体"/>
          <w:sz w:val="24"/>
          <w:lang w:val="zh-CN"/>
        </w:rPr>
        <w:t>。</w:t>
      </w:r>
    </w:p>
    <w:p>
      <w:pPr>
        <w:spacing w:line="360" w:lineRule="auto"/>
        <w:ind w:firstLine="480" w:firstLineChars="200"/>
        <w:rPr>
          <w:rFonts w:hAnsi="宋体"/>
          <w:b/>
          <w:bCs/>
          <w:sz w:val="24"/>
        </w:rPr>
      </w:pPr>
      <w:r>
        <w:rPr>
          <w:rFonts w:hint="eastAsia" w:hAnsi="宋体"/>
          <w:b/>
          <w:bCs/>
          <w:sz w:val="24"/>
        </w:rPr>
        <w:t>5.加密电子投标文件的提交</w:t>
      </w:r>
    </w:p>
    <w:p>
      <w:pPr>
        <w:spacing w:line="360" w:lineRule="auto"/>
        <w:ind w:firstLine="480" w:firstLineChars="200"/>
        <w:rPr>
          <w:rFonts w:hAnsi="宋体"/>
          <w:sz w:val="24"/>
        </w:rPr>
      </w:pPr>
      <w:r>
        <w:rPr>
          <w:rFonts w:hint="eastAsia" w:hAnsi="宋体"/>
          <w:sz w:val="24"/>
        </w:rPr>
        <w:t>5.1加密电子投标文件应按规定在投标截止时间（开标时间）之前成功提交至《全国公共资源交易平台(河南省▪许昌市)》公共资源交易系统（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w:t>
      </w:r>
    </w:p>
    <w:p>
      <w:pPr>
        <w:spacing w:line="360" w:lineRule="auto"/>
        <w:ind w:firstLine="480" w:firstLineChars="200"/>
        <w:rPr>
          <w:rFonts w:hAnsi="宋体"/>
          <w:sz w:val="24"/>
        </w:rPr>
      </w:pPr>
      <w:r>
        <w:rPr>
          <w:rFonts w:hint="eastAsia" w:hAnsi="宋体"/>
          <w:sz w:val="24"/>
        </w:rPr>
        <w:t>投标人应充分考虑并预留技术处理和上传数据所需时间。</w:t>
      </w:r>
    </w:p>
    <w:p>
      <w:pPr>
        <w:spacing w:line="360" w:lineRule="auto"/>
        <w:ind w:firstLine="480" w:firstLineChars="200"/>
        <w:rPr>
          <w:rFonts w:hAnsi="宋体"/>
          <w:sz w:val="24"/>
        </w:rPr>
      </w:pPr>
      <w:r>
        <w:rPr>
          <w:rFonts w:hint="eastAsia" w:hAnsi="宋体"/>
          <w:sz w:val="24"/>
        </w:rPr>
        <w:t>5.2 投标人对同一项目多个标段进行投标的，加密电子投标文件应按标段分别提交。</w:t>
      </w:r>
    </w:p>
    <w:p>
      <w:pPr>
        <w:spacing w:line="360" w:lineRule="auto"/>
        <w:ind w:firstLine="480" w:firstLineChars="200"/>
        <w:rPr>
          <w:rFonts w:hAnsi="宋体"/>
          <w:sz w:val="24"/>
        </w:rPr>
      </w:pPr>
      <w:r>
        <w:rPr>
          <w:rFonts w:hint="eastAsia" w:hAnsi="宋体"/>
          <w:sz w:val="24"/>
        </w:rPr>
        <w:t>5.3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）生成“投标文件提交回执单”。</w:t>
      </w:r>
    </w:p>
    <w:p>
      <w:pPr>
        <w:spacing w:line="360" w:lineRule="auto"/>
        <w:ind w:firstLine="480" w:firstLineChars="200"/>
        <w:rPr>
          <w:rFonts w:hAnsi="宋体"/>
          <w:b/>
          <w:bCs/>
          <w:sz w:val="24"/>
        </w:rPr>
      </w:pPr>
      <w:r>
        <w:rPr>
          <w:rFonts w:hint="eastAsia" w:hAnsi="宋体"/>
          <w:b/>
          <w:bCs/>
          <w:sz w:val="24"/>
        </w:rPr>
        <w:t>6.远程不见面开标（电子投标文件的解密）</w:t>
      </w:r>
    </w:p>
    <w:p>
      <w:pPr>
        <w:spacing w:line="360" w:lineRule="auto"/>
        <w:ind w:firstLine="480" w:firstLineChars="200"/>
        <w:rPr>
          <w:rFonts w:hAnsi="宋体"/>
          <w:sz w:val="24"/>
        </w:rPr>
      </w:pPr>
      <w:r>
        <w:rPr>
          <w:rFonts w:hint="eastAsia" w:hAnsi="宋体"/>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sz w:val="24"/>
        </w:rPr>
        <w:t>6.2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sz w:val="24"/>
        </w:rPr>
        <w:t>6.3开标时间前投标人应登录本项目不见面开标大厅，按照招标文件确定的开标时间准时参加网上开标。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sz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sz w:val="24"/>
        </w:rPr>
      </w:pPr>
      <w:r>
        <w:rPr>
          <w:rFonts w:hint="eastAsia" w:hAnsi="宋体"/>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spacing w:line="360" w:lineRule="auto"/>
        <w:ind w:firstLine="480" w:firstLineChars="200"/>
        <w:rPr>
          <w:rFonts w:hint="eastAsia" w:hAnsi="宋体"/>
          <w:sz w:val="24"/>
        </w:rPr>
      </w:pPr>
      <w:r>
        <w:rPr>
          <w:rFonts w:hint="eastAsia" w:hAnsi="宋体"/>
          <w:sz w:val="24"/>
        </w:rPr>
        <w:t>7.1全流程电子化交易（远程不见面开标）项目，评标委员会以成功上传、解密的电子投标文件为评标依据。</w:t>
      </w:r>
      <w:bookmarkStart w:id="1" w:name="_Toc215282124"/>
    </w:p>
    <w:p>
      <w:pPr>
        <w:spacing w:line="360" w:lineRule="auto"/>
        <w:ind w:firstLine="480" w:firstLineChars="200"/>
        <w:rPr>
          <w:rFonts w:hint="eastAsia" w:hAnsi="宋体"/>
          <w:sz w:val="24"/>
        </w:rPr>
      </w:pPr>
      <w:r>
        <w:rPr>
          <w:rFonts w:hint="eastAsia" w:hAnsi="宋体"/>
          <w:sz w:val="24"/>
        </w:rPr>
        <w:t>7.2 评审期间，保持投标文件提供的联系方式畅通，评标委员会随时可能对投标文件内容质询，投标人应及时进行答复（包括但不限于电子文档、电子邮件等）。</w:t>
      </w:r>
    </w:p>
    <w:p>
      <w:pPr>
        <w:spacing w:line="360" w:lineRule="auto"/>
        <w:ind w:firstLine="480" w:firstLineChars="200"/>
        <w:rPr>
          <w:rFonts w:hint="eastAsia" w:hAnsi="宋体"/>
          <w:sz w:val="24"/>
        </w:rPr>
      </w:pPr>
      <w:r>
        <w:rPr>
          <w:rFonts w:hint="eastAsia" w:hAnsi="宋体"/>
          <w:sz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rPr>
          <w:rFonts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1"/>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2" w:name="_Toc283559940"/>
      <w:r>
        <w:rPr>
          <w:rFonts w:hint="eastAsia" w:hAnsi="宋体" w:cs="宋体"/>
          <w:b/>
          <w:sz w:val="28"/>
          <w:szCs w:val="28"/>
        </w:rPr>
        <w:t>投标人须知前附表</w:t>
      </w:r>
      <w:bookmarkEnd w:id="2"/>
    </w:p>
    <w:tbl>
      <w:tblPr>
        <w:tblStyle w:val="1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sz w:val="24"/>
              </w:rPr>
            </w:pPr>
            <w:r>
              <w:rPr>
                <w:rFonts w:hint="eastAsia" w:hAnsi="宋体"/>
                <w:sz w:val="24"/>
              </w:rPr>
              <w:t>招 标 人：</w:t>
            </w:r>
            <w:r>
              <w:rPr>
                <w:rFonts w:hint="eastAsia" w:hAnsi="宋体"/>
                <w:sz w:val="24"/>
                <w:lang w:eastAsia="zh-CN"/>
              </w:rPr>
              <w:t>许昌市魏都区北大街道办事处</w:t>
            </w:r>
            <w:r>
              <w:rPr>
                <w:rFonts w:hint="eastAsia" w:hAnsi="宋体"/>
                <w:sz w:val="24"/>
              </w:rPr>
              <w:t xml:space="preserve">             </w:t>
            </w:r>
          </w:p>
          <w:p>
            <w:pPr>
              <w:autoSpaceDE w:val="0"/>
              <w:autoSpaceDN w:val="0"/>
              <w:adjustRightInd w:val="0"/>
              <w:spacing w:line="420" w:lineRule="exact"/>
              <w:jc w:val="left"/>
              <w:rPr>
                <w:rFonts w:hint="eastAsia" w:hAnsi="宋体"/>
                <w:sz w:val="24"/>
                <w:lang w:eastAsia="zh-CN"/>
              </w:rPr>
            </w:pPr>
            <w:r>
              <w:rPr>
                <w:rFonts w:hint="eastAsia" w:hAnsi="宋体"/>
                <w:sz w:val="24"/>
              </w:rPr>
              <w:t>地    址：许昌市</w:t>
            </w:r>
            <w:r>
              <w:rPr>
                <w:rFonts w:hint="eastAsia" w:hAnsi="宋体"/>
                <w:sz w:val="24"/>
                <w:lang w:eastAsia="zh-CN"/>
              </w:rPr>
              <w:t>劳动路</w:t>
            </w:r>
          </w:p>
          <w:p>
            <w:pPr>
              <w:autoSpaceDE w:val="0"/>
              <w:autoSpaceDN w:val="0"/>
              <w:adjustRightInd w:val="0"/>
              <w:spacing w:line="420" w:lineRule="exact"/>
              <w:jc w:val="left"/>
              <w:rPr>
                <w:rFonts w:hint="eastAsia" w:hAnsi="宋体"/>
                <w:sz w:val="24"/>
              </w:rPr>
            </w:pPr>
            <w:r>
              <w:rPr>
                <w:rFonts w:hint="eastAsia" w:hAnsi="宋体"/>
                <w:sz w:val="24"/>
              </w:rPr>
              <w:t>联 系 人：</w:t>
            </w:r>
            <w:r>
              <w:rPr>
                <w:rFonts w:hint="eastAsia" w:hAnsi="宋体"/>
                <w:sz w:val="24"/>
                <w:lang w:eastAsia="zh-CN"/>
              </w:rPr>
              <w:t>贺</w:t>
            </w:r>
            <w:r>
              <w:rPr>
                <w:rFonts w:hint="eastAsia" w:hAnsi="宋体"/>
                <w:sz w:val="24"/>
              </w:rPr>
              <w:t>先生</w:t>
            </w:r>
          </w:p>
          <w:p>
            <w:pPr>
              <w:autoSpaceDE w:val="0"/>
              <w:autoSpaceDN w:val="0"/>
              <w:adjustRightInd w:val="0"/>
              <w:spacing w:line="420" w:lineRule="exact"/>
              <w:jc w:val="left"/>
              <w:rPr>
                <w:rFonts w:hAnsi="宋体"/>
                <w:sz w:val="24"/>
              </w:rPr>
            </w:pPr>
            <w:r>
              <w:rPr>
                <w:rFonts w:hint="eastAsia" w:hAnsi="宋体"/>
                <w:sz w:val="24"/>
              </w:rPr>
              <w:t>联系方式：15993608181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Ansi="宋体"/>
                <w:sz w:val="24"/>
              </w:rPr>
            </w:pPr>
            <w:r>
              <w:rPr>
                <w:rFonts w:hint="eastAsia" w:hAnsi="宋体"/>
                <w:sz w:val="24"/>
              </w:rPr>
              <w:t>代理机构：河南建标工程管理有限公司</w:t>
            </w:r>
          </w:p>
          <w:p>
            <w:pPr>
              <w:autoSpaceDE w:val="0"/>
              <w:autoSpaceDN w:val="0"/>
              <w:adjustRightInd w:val="0"/>
              <w:spacing w:line="420" w:lineRule="exact"/>
              <w:jc w:val="left"/>
              <w:rPr>
                <w:rFonts w:hAnsi="宋体"/>
                <w:sz w:val="24"/>
              </w:rPr>
            </w:pPr>
            <w:r>
              <w:rPr>
                <w:rFonts w:hint="eastAsia" w:hAnsi="宋体"/>
                <w:sz w:val="24"/>
              </w:rPr>
              <w:t>地</w:t>
            </w:r>
            <w:r>
              <w:rPr>
                <w:rFonts w:hAnsi="宋体"/>
                <w:sz w:val="24"/>
              </w:rPr>
              <w:t>  </w:t>
            </w:r>
            <w:r>
              <w:rPr>
                <w:rFonts w:hint="eastAsia" w:hAnsi="宋体"/>
                <w:sz w:val="24"/>
              </w:rPr>
              <w:t>址：许昌市劳动路</w:t>
            </w:r>
            <w:r>
              <w:rPr>
                <w:rFonts w:hAnsi="宋体"/>
                <w:sz w:val="24"/>
              </w:rPr>
              <w:t>1567</w:t>
            </w:r>
            <w:r>
              <w:rPr>
                <w:rFonts w:hint="eastAsia" w:hAnsi="宋体"/>
                <w:sz w:val="24"/>
              </w:rPr>
              <w:t>号</w:t>
            </w:r>
          </w:p>
          <w:p>
            <w:pPr>
              <w:autoSpaceDE w:val="0"/>
              <w:autoSpaceDN w:val="0"/>
              <w:adjustRightInd w:val="0"/>
              <w:spacing w:line="420" w:lineRule="exact"/>
              <w:jc w:val="left"/>
              <w:rPr>
                <w:rFonts w:hAnsi="宋体"/>
                <w:sz w:val="24"/>
              </w:rPr>
            </w:pPr>
            <w:r>
              <w:rPr>
                <w:rFonts w:hint="eastAsia" w:hAnsi="宋体"/>
                <w:sz w:val="24"/>
              </w:rPr>
              <w:t>联</w:t>
            </w:r>
            <w:r>
              <w:rPr>
                <w:rFonts w:hAnsi="宋体"/>
                <w:sz w:val="24"/>
              </w:rPr>
              <w:t xml:space="preserve"> </w:t>
            </w:r>
            <w:r>
              <w:rPr>
                <w:rFonts w:hint="eastAsia" w:hAnsi="宋体"/>
                <w:sz w:val="24"/>
              </w:rPr>
              <w:t>系</w:t>
            </w:r>
            <w:r>
              <w:rPr>
                <w:rFonts w:hAnsi="宋体"/>
                <w:sz w:val="24"/>
              </w:rPr>
              <w:t xml:space="preserve"> </w:t>
            </w:r>
            <w:r>
              <w:rPr>
                <w:rFonts w:hint="eastAsia" w:hAnsi="宋体"/>
                <w:sz w:val="24"/>
              </w:rPr>
              <w:t>人：万女士</w:t>
            </w:r>
          </w:p>
          <w:p>
            <w:pPr>
              <w:autoSpaceDE w:val="0"/>
              <w:autoSpaceDN w:val="0"/>
              <w:adjustRightInd w:val="0"/>
              <w:spacing w:line="420" w:lineRule="exact"/>
              <w:jc w:val="left"/>
              <w:rPr>
                <w:rFonts w:hAnsi="宋体"/>
                <w:sz w:val="24"/>
              </w:rPr>
            </w:pPr>
            <w:r>
              <w:rPr>
                <w:rFonts w:hint="eastAsia" w:hAnsi="宋体"/>
                <w:sz w:val="24"/>
              </w:rPr>
              <w:t>联系电话：</w:t>
            </w:r>
            <w:r>
              <w:rPr>
                <w:rFonts w:hAnsi="宋体"/>
                <w:sz w:val="24"/>
              </w:rPr>
              <w:t>0374-2771160  13782222730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rPr>
                <w:rFonts w:hint="eastAsia" w:hAnsi="宋体" w:eastAsia="宋体" w:cs="宋体"/>
                <w:sz w:val="24"/>
                <w:lang w:eastAsia="zh-CN"/>
              </w:rPr>
            </w:pPr>
            <w:r>
              <w:rPr>
                <w:rFonts w:hint="eastAsia" w:hAnsi="宋体" w:eastAsia="宋体" w:cs="宋体"/>
                <w:sz w:val="24"/>
                <w:lang w:eastAsia="zh-CN"/>
              </w:rPr>
              <w:t>许昌市魏都区八一社区“一有七中心”改造提升工程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lang w:eastAsia="zh-CN"/>
              </w:rPr>
              <w:t>许昌市魏都区八一社区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320" w:lineRule="exact"/>
              <w:jc w:val="left"/>
              <w:rPr>
                <w:rFonts w:hAnsi="宋体" w:eastAsia="宋体" w:cs="宋体"/>
                <w:sz w:val="24"/>
              </w:rPr>
            </w:pPr>
            <w:r>
              <w:rPr>
                <w:rFonts w:hint="eastAsia" w:hAnsi="宋体" w:eastAsia="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sz w:val="24"/>
                <w:szCs w:val="24"/>
              </w:rPr>
            </w:pPr>
            <w:r>
              <w:rPr>
                <w:rFonts w:hint="eastAsia" w:hAnsi="宋体" w:cs="仿宋_GB2312"/>
                <w:sz w:val="24"/>
                <w:lang w:val="en-US" w:eastAsia="zh-CN"/>
              </w:rPr>
              <w:t>30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vAlign w:val="center"/>
          </w:tcPr>
          <w:p>
            <w:pPr>
              <w:autoSpaceDE w:val="0"/>
              <w:autoSpaceDN w:val="0"/>
              <w:adjustRightInd w:val="0"/>
              <w:spacing w:line="420" w:lineRule="exact"/>
              <w:jc w:val="both"/>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vAlign w:val="center"/>
          </w:tcPr>
          <w:p>
            <w:pPr>
              <w:autoSpaceDE w:val="0"/>
              <w:autoSpaceDN w:val="0"/>
              <w:adjustRightInd w:val="0"/>
              <w:spacing w:line="420" w:lineRule="exact"/>
              <w:jc w:val="both"/>
              <w:rPr>
                <w:rFonts w:hint="eastAsia" w:hAnsi="宋体" w:eastAsia="宋体" w:cs="宋体"/>
                <w:sz w:val="24"/>
              </w:rPr>
            </w:pPr>
            <w:r>
              <w:rPr>
                <w:rFonts w:hint="eastAsia" w:hAnsi="宋体" w:eastAsia="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4"/>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4"/>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2020年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18</w:t>
            </w:r>
            <w:r>
              <w:rPr>
                <w:rFonts w:hint="eastAsia" w:hAnsi="宋体" w:cs="宋体"/>
                <w:sz w:val="24"/>
                <w:szCs w:val="24"/>
              </w:rPr>
              <w:t>日8时30分（</w:t>
            </w:r>
            <w:r>
              <w:rPr>
                <w:rFonts w:hint="eastAsia" w:hAnsi="宋体" w:eastAsia="宋体" w:cs="宋体"/>
                <w:sz w:val="24"/>
              </w:rPr>
              <w:t>北京时间</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4"/>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   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3" w:name="OLE_LINK4" w:colFirst="0" w:colLast="2"/>
            <w:bookmarkStart w:id="4" w:name="_Hlk424659721"/>
            <w:bookmarkStart w:id="5" w:name="OLE_LINK3" w:colFirst="0" w:colLast="2"/>
            <w:r>
              <w:rPr>
                <w:rFonts w:hint="eastAsia" w:hAnsi="宋体" w:eastAsia="宋体" w:cs="宋体"/>
                <w:sz w:val="24"/>
              </w:rPr>
              <w:t>3.4.2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w:t>
            </w:r>
            <w:r>
              <w:rPr>
                <w:rFonts w:hint="eastAsia" w:hAnsi="宋体" w:cs="宋体"/>
                <w:sz w:val="24"/>
                <w:lang w:val="zh-CN"/>
              </w:rPr>
              <w:t>止时间：（同投标截止时间）。</w:t>
            </w:r>
          </w:p>
          <w:p>
            <w:pPr>
              <w:autoSpaceDE w:val="0"/>
              <w:autoSpaceDN w:val="0"/>
              <w:adjustRightInd w:val="0"/>
              <w:spacing w:line="276" w:lineRule="auto"/>
              <w:jc w:val="left"/>
              <w:rPr>
                <w:rFonts w:hint="eastAsia" w:hAnsi="宋体" w:cs="仿宋_GB2312"/>
                <w:b/>
                <w:bCs/>
                <w:sz w:val="24"/>
              </w:rPr>
            </w:pPr>
            <w:r>
              <w:rPr>
                <w:rFonts w:hint="eastAsia" w:hAnsi="宋体" w:cs="仿宋_GB2312"/>
                <w:b/>
                <w:bCs/>
                <w:sz w:val="24"/>
              </w:rPr>
              <w:t>金额：</w:t>
            </w:r>
          </w:p>
          <w:p>
            <w:pPr>
              <w:autoSpaceDE w:val="0"/>
              <w:autoSpaceDN w:val="0"/>
              <w:adjustRightInd w:val="0"/>
              <w:spacing w:line="276" w:lineRule="auto"/>
              <w:jc w:val="left"/>
              <w:rPr>
                <w:rFonts w:hint="eastAsia" w:hAnsi="宋体" w:cs="仿宋_GB2312"/>
                <w:b/>
                <w:bCs/>
                <w:sz w:val="24"/>
              </w:rPr>
            </w:pPr>
            <w:r>
              <w:rPr>
                <w:rFonts w:hint="eastAsia" w:hAnsi="宋体" w:cs="仿宋_GB2312"/>
                <w:b/>
                <w:bCs/>
                <w:sz w:val="24"/>
              </w:rPr>
              <w:t>人民币</w:t>
            </w:r>
            <w:r>
              <w:rPr>
                <w:rFonts w:hint="eastAsia" w:hAnsi="宋体" w:cs="仿宋_GB2312"/>
                <w:b/>
                <w:bCs/>
                <w:sz w:val="24"/>
                <w:lang w:eastAsia="zh-CN"/>
              </w:rPr>
              <w:t>贰万肆仟元整</w:t>
            </w:r>
            <w:r>
              <w:rPr>
                <w:rFonts w:hint="eastAsia" w:hAnsi="宋体" w:cs="仿宋_GB2312"/>
                <w:b/>
                <w:bCs/>
                <w:sz w:val="24"/>
              </w:rPr>
              <w:t>（￥</w:t>
            </w:r>
            <w:r>
              <w:rPr>
                <w:rFonts w:hint="eastAsia" w:hAnsi="宋体" w:cs="仿宋_GB2312"/>
                <w:b/>
                <w:bCs/>
                <w:sz w:val="24"/>
                <w:lang w:val="en-US" w:eastAsia="zh-CN"/>
              </w:rPr>
              <w:t>24000.00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cs="宋体"/>
                <w:sz w:val="24"/>
                <w:lang w:val="zh-CN"/>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4"/>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szCs w:val="24"/>
              </w:rPr>
              <w:t>2017年、2018年</w:t>
            </w:r>
            <w:r>
              <w:rPr>
                <w:rFonts w:hint="eastAsia" w:hAnsi="宋体" w:eastAsia="宋体" w:cs="宋体"/>
                <w:sz w:val="24"/>
                <w:szCs w:val="24"/>
                <w:lang w:eastAsia="zh-CN"/>
              </w:rPr>
              <w:t>、</w:t>
            </w:r>
            <w:r>
              <w:rPr>
                <w:rFonts w:hint="eastAsia" w:hAnsi="宋体" w:eastAsia="宋体" w:cs="宋体"/>
                <w:sz w:val="24"/>
                <w:szCs w:val="24"/>
              </w:rPr>
              <w:t>201</w:t>
            </w:r>
            <w:r>
              <w:rPr>
                <w:rFonts w:hint="eastAsia" w:hAnsi="宋体" w:eastAsia="宋体" w:cs="宋体"/>
                <w:sz w:val="24"/>
                <w:szCs w:val="24"/>
                <w:lang w:val="en-US" w:eastAsia="zh-CN"/>
              </w:rPr>
              <w:t>9</w:t>
            </w:r>
            <w:r>
              <w:rPr>
                <w:rFonts w:hint="eastAsia" w:hAnsi="宋体" w:eastAsia="宋体" w:cs="宋体"/>
                <w:sz w:val="24"/>
                <w:szCs w:val="24"/>
              </w:rPr>
              <w:t>年</w:t>
            </w:r>
            <w:r>
              <w:rPr>
                <w:rFonts w:hint="eastAsia" w:hAnsi="宋体" w:eastAsia="宋体" w:cs="宋体"/>
                <w:sz w:val="24"/>
              </w:rPr>
              <w:t>。（</w:t>
            </w:r>
            <w:r>
              <w:rPr>
                <w:rFonts w:hint="eastAsia" w:hAnsi="宋体" w:cs="宋体"/>
                <w:sz w:val="24"/>
              </w:rPr>
              <w:t>近年，指</w:t>
            </w:r>
            <w:r>
              <w:rPr>
                <w:rFonts w:hint="eastAsia" w:hAnsi="宋体" w:eastAsia="宋体" w:cs="宋体"/>
                <w:sz w:val="24"/>
                <w:szCs w:val="24"/>
              </w:rPr>
              <w:t>2017年、2018年</w:t>
            </w:r>
            <w:r>
              <w:rPr>
                <w:rFonts w:hint="eastAsia" w:hAnsi="宋体" w:eastAsia="宋体" w:cs="宋体"/>
                <w:sz w:val="24"/>
                <w:szCs w:val="24"/>
                <w:lang w:eastAsia="zh-CN"/>
              </w:rPr>
              <w:t>、</w:t>
            </w:r>
            <w:r>
              <w:rPr>
                <w:rFonts w:hint="eastAsia" w:hAnsi="宋体" w:eastAsia="宋体" w:cs="宋体"/>
                <w:sz w:val="24"/>
                <w:szCs w:val="24"/>
              </w:rPr>
              <w:t>201</w:t>
            </w:r>
            <w:r>
              <w:rPr>
                <w:rFonts w:hint="eastAsia" w:hAnsi="宋体" w:eastAsia="宋体" w:cs="宋体"/>
                <w:sz w:val="24"/>
                <w:szCs w:val="24"/>
                <w:lang w:val="en-US" w:eastAsia="zh-CN"/>
              </w:rPr>
              <w:t>9</w:t>
            </w:r>
            <w:r>
              <w:rPr>
                <w:rFonts w:hint="eastAsia" w:hAnsi="宋体" w:cs="宋体"/>
                <w:sz w:val="24"/>
              </w:rPr>
              <w:t>年。（若公司成立未满三年，需提供自成立起至201</w:t>
            </w:r>
            <w:r>
              <w:rPr>
                <w:rFonts w:hint="eastAsia" w:hAnsi="宋体" w:cs="宋体"/>
                <w:sz w:val="24"/>
                <w:lang w:val="en-US" w:eastAsia="zh-CN"/>
              </w:rPr>
              <w:t>9</w:t>
            </w:r>
            <w:r>
              <w:rPr>
                <w:rFonts w:hint="eastAsia" w:hAnsi="宋体" w:cs="宋体"/>
                <w:sz w:val="24"/>
              </w:rPr>
              <w:t>年度财务状况）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cs="TimesNewRomanPSMT"/>
                <w:sz w:val="24"/>
              </w:rPr>
              <w:t>近年，指201</w:t>
            </w:r>
            <w:r>
              <w:rPr>
                <w:rFonts w:hint="eastAsia" w:hAnsi="宋体" w:cs="TimesNewRomanPSMT"/>
                <w:sz w:val="24"/>
                <w:lang w:val="en-US" w:eastAsia="zh-CN"/>
              </w:rPr>
              <w:t>7</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4.2.2</w:t>
            </w:r>
          </w:p>
        </w:tc>
        <w:tc>
          <w:tcPr>
            <w:tcW w:w="2590" w:type="dxa"/>
            <w:gridSpan w:val="4"/>
            <w:vAlign w:val="center"/>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电子投标文件递交地点：电子投标文件应按规定在投标截止时间（开标时间）之前成功提交至《全国公共资源交易平台</w:t>
            </w:r>
            <w:r>
              <w:rPr>
                <w:rFonts w:hAnsi="宋体" w:eastAsia="宋体" w:cs="宋体"/>
                <w:sz w:val="24"/>
              </w:rPr>
              <w:t>(</w:t>
            </w:r>
            <w:r>
              <w:rPr>
                <w:rFonts w:hint="eastAsia" w:hAnsi="宋体" w:eastAsia="宋体" w:cs="宋体"/>
                <w:sz w:val="24"/>
              </w:rPr>
              <w:t>河南省</w:t>
            </w:r>
            <w:r>
              <w:rPr>
                <w:rFonts w:hint="eastAsia" w:ascii="MS Mincho" w:hAnsi="MS Mincho" w:eastAsia="MS Mincho" w:cs="MS Mincho"/>
                <w:sz w:val="24"/>
              </w:rPr>
              <w:t>▪</w:t>
            </w:r>
            <w:r>
              <w:rPr>
                <w:rFonts w:hint="eastAsia" w:hAnsi="宋体" w:eastAsia="宋体" w:cs="宋体"/>
                <w:sz w:val="24"/>
              </w:rPr>
              <w:t>许昌市》公共资源交易系统（</w:t>
            </w:r>
            <w:r>
              <w:rPr>
                <w:rFonts w:hAnsi="宋体" w:eastAsia="宋体" w:cs="宋体"/>
                <w:sz w:val="24"/>
              </w:rPr>
              <w:t>http://221.14.6.70:8088/ggzy/</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440" w:lineRule="exact"/>
              <w:rPr>
                <w:rFonts w:hAnsi="宋体" w:cs="宋体"/>
                <w:sz w:val="24"/>
                <w:szCs w:val="24"/>
              </w:rPr>
            </w:pPr>
            <w:r>
              <w:rPr>
                <w:rFonts w:hint="eastAsia" w:hAnsi="宋体" w:eastAsia="宋体" w:cs="宋体"/>
                <w:sz w:val="24"/>
              </w:rPr>
              <w:t>开标地点：</w:t>
            </w:r>
            <w:r>
              <w:rPr>
                <w:rFonts w:hint="eastAsia" w:hAnsi="宋体" w:cs="宋体"/>
                <w:sz w:val="24"/>
                <w:szCs w:val="24"/>
              </w:rPr>
              <w:t>许昌市公共资源交易中心（龙兴路与竹林路交汇处创业服务中心C 座）三楼开标 二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520" w:lineRule="exact"/>
              <w:rPr>
                <w:rFonts w:hAnsi="宋体" w:eastAsia="宋体" w:cs="宋体"/>
                <w:sz w:val="24"/>
              </w:rPr>
            </w:pPr>
            <w:r>
              <w:rPr>
                <w:rFonts w:hint="eastAsia" w:hAnsi="宋体" w:eastAsia="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sz w:val="24"/>
              </w:rPr>
            </w:pPr>
            <w:r>
              <w:rPr>
                <w:rFonts w:hint="eastAsia" w:hAnsi="宋体" w:eastAsia="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sz w:val="24"/>
              </w:rPr>
            </w:pPr>
            <w:r>
              <w:rPr>
                <w:rFonts w:hint="eastAsia" w:hAnsi="宋体" w:eastAsia="宋体" w:cs="宋体"/>
                <w:sz w:val="24"/>
              </w:rPr>
              <w:t>(3)解密完成后，招标人（代理机构）点击“系数抽取”按钮进行系数抽取，系数抽取情况在“公告通知”处显示。</w:t>
            </w:r>
          </w:p>
          <w:p>
            <w:pPr>
              <w:spacing w:line="520" w:lineRule="exact"/>
              <w:rPr>
                <w:rFonts w:hAnsi="宋体" w:eastAsia="宋体" w:cs="宋体"/>
                <w:sz w:val="24"/>
              </w:rPr>
            </w:pPr>
            <w:r>
              <w:rPr>
                <w:rFonts w:hint="eastAsia" w:hAnsi="宋体" w:eastAsia="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sz w:val="24"/>
              </w:rPr>
            </w:pPr>
            <w:r>
              <w:rPr>
                <w:rFonts w:hint="eastAsia" w:hAnsi="宋体" w:eastAsia="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520" w:lineRule="exact"/>
              <w:rPr>
                <w:rFonts w:hAnsi="宋体" w:eastAsia="宋体" w:cs="宋体"/>
                <w:sz w:val="24"/>
              </w:rPr>
            </w:pPr>
            <w:r>
              <w:rPr>
                <w:rFonts w:hint="eastAsia" w:hAnsi="宋体" w:eastAsia="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ascii="新宋体" w:hAnsi="新宋体" w:eastAsia="新宋体"/>
                <w:sz w:val="24"/>
              </w:rPr>
            </w:pPr>
            <w:r>
              <w:rPr>
                <w:rFonts w:hint="eastAsia" w:hAnsi="宋体" w:eastAsia="宋体" w:cs="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sz w:val="24"/>
              </w:rPr>
            </w:pPr>
            <w:r>
              <w:rPr>
                <w:rFonts w:hint="eastAsia" w:hAnsi="宋体" w:eastAsia="宋体" w:cs="宋体"/>
                <w:b/>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5"/>
              <w:ind w:firstLine="0" w:firstLineChars="0"/>
              <w:rPr>
                <w:rFonts w:hAnsi="宋体" w:eastAsia="宋体" w:cs="宋体"/>
                <w:sz w:val="24"/>
              </w:rPr>
            </w:pPr>
            <w:r>
              <w:rPr>
                <w:rFonts w:hint="eastAsia" w:hAnsi="宋体" w:cs="TimesNewRomanPSMT"/>
                <w:sz w:val="24"/>
              </w:rPr>
              <w:t>指201</w:t>
            </w:r>
            <w:r>
              <w:rPr>
                <w:rFonts w:hint="eastAsia" w:hAnsi="宋体" w:cs="TimesNewRomanPSMT"/>
                <w:sz w:val="24"/>
                <w:lang w:val="en-US" w:eastAsia="zh-CN"/>
              </w:rPr>
              <w:t>7</w:t>
            </w:r>
            <w:r>
              <w:rPr>
                <w:rFonts w:hint="eastAsia" w:hAnsi="宋体" w:cs="TimesNewRomanPSMT"/>
                <w:sz w:val="24"/>
              </w:rPr>
              <w:t>年1月1日以来承接过的</w:t>
            </w:r>
            <w:r>
              <w:rPr>
                <w:rFonts w:hint="eastAsia" w:hAnsi="宋体" w:cs="TimesNewRomanPSMT"/>
                <w:sz w:val="24"/>
                <w:lang w:eastAsia="zh-CN"/>
              </w:rPr>
              <w:t>房屋建筑</w:t>
            </w:r>
            <w:r>
              <w:rPr>
                <w:rFonts w:hint="eastAsia" w:hAnsi="宋体" w:cs="TimesNewRomanPSMT"/>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b/>
                <w:bCs/>
                <w:sz w:val="24"/>
                <w:lang w:eastAsia="zh-CN"/>
              </w:rPr>
            </w:pPr>
            <w:r>
              <w:rPr>
                <w:rFonts w:hint="eastAsia" w:hAnsi="宋体" w:cs="宋体"/>
                <w:b/>
                <w:bCs/>
                <w:sz w:val="24"/>
              </w:rPr>
              <w:t>大写：</w:t>
            </w:r>
            <w:r>
              <w:rPr>
                <w:rFonts w:hint="eastAsia" w:hAnsi="宋体" w:cs="宋体"/>
                <w:b/>
                <w:bCs/>
                <w:sz w:val="24"/>
                <w:lang w:eastAsia="zh-CN"/>
              </w:rPr>
              <w:t>壹佰贰拾肆万捌仟壹佰壹拾陆元玖角</w:t>
            </w:r>
          </w:p>
          <w:p>
            <w:pPr>
              <w:keepNext/>
              <w:spacing w:line="276" w:lineRule="auto"/>
              <w:rPr>
                <w:rFonts w:hint="eastAsia" w:hAnsi="宋体" w:cs="宋体"/>
                <w:b/>
                <w:bCs/>
                <w:sz w:val="24"/>
                <w:lang w:eastAsia="zh-CN"/>
              </w:rPr>
            </w:pPr>
            <w:r>
              <w:rPr>
                <w:rFonts w:hint="eastAsia" w:hAnsi="宋体" w:cs="宋体"/>
                <w:b/>
                <w:bCs/>
                <w:sz w:val="24"/>
                <w:lang w:eastAsia="zh-CN"/>
              </w:rPr>
              <w:t xml:space="preserve">小写：￥ </w:t>
            </w:r>
            <w:r>
              <w:rPr>
                <w:rFonts w:hint="eastAsia" w:hAnsi="宋体" w:cs="宋体"/>
                <w:b/>
                <w:bCs/>
                <w:sz w:val="24"/>
                <w:lang w:val="en-US" w:eastAsia="zh-CN"/>
              </w:rPr>
              <w:t>1248116.9</w:t>
            </w:r>
            <w:r>
              <w:rPr>
                <w:rFonts w:hint="eastAsia" w:hAnsi="宋体" w:cs="宋体"/>
                <w:b/>
                <w:bCs/>
                <w:sz w:val="24"/>
                <w:lang w:eastAsia="zh-CN"/>
              </w:rPr>
              <w:t>元</w:t>
            </w:r>
          </w:p>
          <w:p>
            <w:pPr>
              <w:autoSpaceDE w:val="0"/>
              <w:autoSpaceDN w:val="0"/>
              <w:adjustRightInd w:val="0"/>
              <w:spacing w:line="420" w:lineRule="exact"/>
              <w:ind w:firstLine="235" w:firstLineChars="98"/>
              <w:rPr>
                <w:rFonts w:hAnsi="宋体" w:eastAsia="宋体" w:cs="宋体"/>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4"/>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cs="宋体"/>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r>
              <w:rPr>
                <w:rFonts w:hint="eastAsia" w:hAnsi="宋体" w:eastAsia="宋体" w:cs="宋体"/>
                <w:sz w:val="24"/>
              </w:rPr>
              <w:t>10.11</w:t>
            </w:r>
          </w:p>
        </w:tc>
        <w:tc>
          <w:tcPr>
            <w:tcW w:w="8790" w:type="dxa"/>
            <w:gridSpan w:val="5"/>
            <w:vAlign w:val="center"/>
          </w:tcPr>
          <w:p>
            <w:pPr>
              <w:spacing w:line="360" w:lineRule="auto"/>
              <w:rPr>
                <w:rFonts w:hAnsi="宋体" w:eastAsia="宋体" w:cs="宋体"/>
                <w:sz w:val="24"/>
              </w:rPr>
            </w:pPr>
            <w:r>
              <w:rPr>
                <w:rFonts w:hint="eastAsia" w:hAnsi="宋体" w:eastAsia="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sz w:val="24"/>
              </w:rPr>
            </w:pPr>
          </w:p>
        </w:tc>
        <w:tc>
          <w:tcPr>
            <w:tcW w:w="8759" w:type="dxa"/>
            <w:gridSpan w:val="4"/>
            <w:vAlign w:val="center"/>
          </w:tcPr>
          <w:p>
            <w:pPr>
              <w:spacing w:line="360" w:lineRule="auto"/>
              <w:rPr>
                <w:rFonts w:hAnsi="宋体" w:eastAsia="宋体" w:cs="宋体"/>
                <w:sz w:val="24"/>
              </w:rPr>
            </w:pPr>
            <w:r>
              <w:rPr>
                <w:rFonts w:hint="eastAsia" w:hAnsi="宋体" w:eastAsia="宋体" w:cs="宋体"/>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sz w:val="24"/>
              </w:rPr>
            </w:pPr>
          </w:p>
        </w:tc>
        <w:tc>
          <w:tcPr>
            <w:tcW w:w="8759" w:type="dxa"/>
            <w:gridSpan w:val="4"/>
            <w:vAlign w:val="center"/>
          </w:tcPr>
          <w:p>
            <w:pPr>
              <w:spacing w:line="360" w:lineRule="auto"/>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5、招标人及其代理机构需留存项目电子档案时，可在质疑期满后使用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6、商务标投标文件制作注意事项：</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sz w:val="24"/>
              </w:rPr>
            </w:pPr>
            <w:r>
              <w:rPr>
                <w:rFonts w:hint="eastAsia" w:hAnsi="宋体" w:eastAsia="宋体" w:cs="宋体"/>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sz w:val="24"/>
              </w:rPr>
            </w:pPr>
            <w:r>
              <w:rPr>
                <w:rFonts w:hint="eastAsia" w:hAnsi="宋体" w:eastAsia="宋体" w:cs="宋体"/>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pPr>
            <w:r>
              <w:rPr>
                <w:rFonts w:hint="eastAsia" w:hAnsi="宋体" w:eastAsia="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6"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7" w:name="_Toc152045535"/>
      <w:bookmarkStart w:id="8" w:name="_Toc144974503"/>
      <w:bookmarkStart w:id="9" w:name="_Toc152042311"/>
      <w:bookmarkStart w:id="10" w:name="_Toc179632552"/>
      <w:r>
        <w:rPr>
          <w:rFonts w:hint="eastAsia" w:hAnsi="宋体" w:cs="宋体"/>
          <w:b/>
          <w:sz w:val="24"/>
        </w:rPr>
        <w:t>1.5 费用承担</w:t>
      </w:r>
      <w:bookmarkEnd w:id="7"/>
      <w:bookmarkEnd w:id="8"/>
      <w:bookmarkEnd w:id="9"/>
      <w:bookmarkEnd w:id="1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1" w:name="_Toc152045536"/>
      <w:bookmarkStart w:id="12" w:name="_Toc179632553"/>
      <w:bookmarkStart w:id="13" w:name="_Toc152042312"/>
      <w:bookmarkStart w:id="14" w:name="_Toc144974504"/>
      <w:r>
        <w:rPr>
          <w:rFonts w:hint="eastAsia" w:hAnsi="宋体" w:cs="宋体"/>
          <w:b/>
          <w:sz w:val="24"/>
        </w:rPr>
        <w:t>1.6 保密</w:t>
      </w:r>
      <w:bookmarkEnd w:id="11"/>
      <w:bookmarkEnd w:id="12"/>
      <w:bookmarkEnd w:id="13"/>
      <w:bookmarkEnd w:id="1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5" w:name="_Toc144974505"/>
      <w:bookmarkStart w:id="16" w:name="_Toc179632554"/>
      <w:bookmarkStart w:id="17" w:name="_Toc152045537"/>
      <w:bookmarkStart w:id="18" w:name="_Toc152042313"/>
      <w:r>
        <w:rPr>
          <w:rFonts w:hint="eastAsia" w:hAnsi="宋体" w:cs="宋体"/>
          <w:b/>
          <w:sz w:val="24"/>
        </w:rPr>
        <w:t>1.7 语言</w:t>
      </w:r>
      <w:bookmarkEnd w:id="15"/>
      <w:r>
        <w:rPr>
          <w:rFonts w:hint="eastAsia" w:hAnsi="宋体" w:cs="宋体"/>
          <w:b/>
          <w:sz w:val="24"/>
        </w:rPr>
        <w:t>文字</w:t>
      </w:r>
      <w:bookmarkEnd w:id="16"/>
      <w:bookmarkEnd w:id="17"/>
      <w:bookmarkEnd w:id="1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19" w:name="_Toc179632555"/>
      <w:bookmarkStart w:id="20" w:name="_Toc152045538"/>
      <w:bookmarkStart w:id="21" w:name="_Toc144974506"/>
      <w:bookmarkStart w:id="22" w:name="_Toc152042314"/>
      <w:r>
        <w:rPr>
          <w:rFonts w:hint="eastAsia" w:hAnsi="宋体" w:cs="宋体"/>
          <w:b/>
          <w:sz w:val="24"/>
        </w:rPr>
        <w:t>1.8 计量单位</w:t>
      </w:r>
      <w:bookmarkEnd w:id="19"/>
      <w:bookmarkEnd w:id="20"/>
      <w:bookmarkEnd w:id="21"/>
      <w:bookmarkEnd w:id="2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6"/>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3" w:name="_Toc283559948"/>
      <w:r>
        <w:rPr>
          <w:rFonts w:hint="eastAsia" w:hAnsi="宋体" w:cs="宋体"/>
          <w:b/>
          <w:sz w:val="24"/>
        </w:rPr>
        <w:t>1.10 投标预备会</w:t>
      </w:r>
      <w:bookmarkEnd w:id="23"/>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4" w:name="_Toc283559949"/>
      <w:r>
        <w:rPr>
          <w:rFonts w:hint="eastAsia" w:hAnsi="宋体" w:cs="宋体"/>
          <w:b/>
          <w:sz w:val="24"/>
        </w:rPr>
        <w:t>1.11 分包</w:t>
      </w:r>
      <w:bookmarkEnd w:id="24"/>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5" w:name="_Toc283559950"/>
      <w:r>
        <w:rPr>
          <w:rFonts w:hint="eastAsia" w:hAnsi="宋体" w:cs="宋体"/>
          <w:b/>
          <w:sz w:val="24"/>
        </w:rPr>
        <w:t>1.12 偏离</w:t>
      </w:r>
      <w:bookmarkEnd w:id="25"/>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6" w:name="_Toc283559951"/>
      <w:r>
        <w:rPr>
          <w:rFonts w:hint="eastAsia" w:hAnsi="宋体"/>
          <w:b/>
          <w:color w:val="auto"/>
        </w:rPr>
        <w:t>2. 招标文件</w:t>
      </w:r>
      <w:bookmarkEnd w:id="26"/>
    </w:p>
    <w:p>
      <w:pPr>
        <w:autoSpaceDE w:val="0"/>
        <w:autoSpaceDN w:val="0"/>
        <w:spacing w:line="450" w:lineRule="exact"/>
        <w:jc w:val="left"/>
        <w:outlineLvl w:val="0"/>
        <w:rPr>
          <w:rFonts w:hAnsi="宋体" w:cs="宋体"/>
          <w:b/>
          <w:sz w:val="24"/>
        </w:rPr>
      </w:pPr>
      <w:bookmarkStart w:id="27" w:name="_Toc283559952"/>
      <w:r>
        <w:rPr>
          <w:rFonts w:hint="eastAsia" w:hAnsi="宋体" w:cs="宋体"/>
          <w:b/>
          <w:sz w:val="24"/>
        </w:rPr>
        <w:t>2.1 招标文件的组成</w:t>
      </w:r>
      <w:bookmarkEnd w:id="27"/>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8" w:name="_Toc283559953"/>
      <w:r>
        <w:rPr>
          <w:rFonts w:hint="eastAsia" w:hAnsi="宋体" w:cs="宋体"/>
          <w:b/>
          <w:sz w:val="24"/>
        </w:rPr>
        <w:t>2.2 招标文件的澄清</w:t>
      </w:r>
      <w:bookmarkEnd w:id="28"/>
    </w:p>
    <w:p>
      <w:pPr>
        <w:autoSpaceDE w:val="0"/>
        <w:autoSpaceDN w:val="0"/>
        <w:adjustRightInd w:val="0"/>
        <w:spacing w:line="450" w:lineRule="exact"/>
        <w:ind w:firstLine="616" w:firstLineChars="257"/>
        <w:jc w:val="left"/>
        <w:rPr>
          <w:rFonts w:hAnsi="宋体" w:cs="宋体"/>
          <w:sz w:val="24"/>
        </w:rPr>
      </w:pPr>
      <w:bookmarkStart w:id="29"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2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0" w:name="_Toc179632564"/>
      <w:bookmarkStart w:id="31" w:name="_Toc144974514"/>
      <w:bookmarkStart w:id="32" w:name="_Toc152045546"/>
      <w:bookmarkStart w:id="33" w:name="_Toc152042322"/>
      <w:r>
        <w:rPr>
          <w:rFonts w:hint="eastAsia" w:hAnsi="宋体" w:cs="宋体"/>
          <w:b/>
          <w:sz w:val="24"/>
        </w:rPr>
        <w:t>3. 投标文件</w:t>
      </w:r>
      <w:bookmarkEnd w:id="30"/>
      <w:bookmarkEnd w:id="31"/>
      <w:bookmarkEnd w:id="32"/>
      <w:bookmarkEnd w:id="33"/>
    </w:p>
    <w:p>
      <w:pPr>
        <w:autoSpaceDE w:val="0"/>
        <w:autoSpaceDN w:val="0"/>
        <w:spacing w:line="420" w:lineRule="exact"/>
        <w:jc w:val="left"/>
        <w:outlineLvl w:val="0"/>
        <w:rPr>
          <w:rFonts w:hAnsi="宋体" w:cs="宋体"/>
          <w:b/>
          <w:sz w:val="24"/>
        </w:rPr>
      </w:pPr>
      <w:bookmarkStart w:id="34"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（8）施工进度表和网络计划图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5"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规费、税金、安全文明施工措施费、暂列金额与专业暂估价计入投标总报价，并在投标函、投标函附录中单列，不参与商务标评审。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5"/>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4"/>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6" w:name="_Toc282436964"/>
      <w:bookmarkStart w:id="37" w:name="_Toc283559960"/>
      <w:r>
        <w:rPr>
          <w:rFonts w:hint="eastAsia" w:hAnsi="宋体" w:cs="宋体"/>
          <w:b/>
          <w:bCs/>
          <w:sz w:val="24"/>
        </w:rPr>
        <w:t xml:space="preserve">3.4 </w:t>
      </w:r>
      <w:bookmarkEnd w:id="36"/>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jc w:val="left"/>
        <w:rPr>
          <w:rFonts w:hAnsi="宋体" w:cs="宋体"/>
          <w:sz w:val="24"/>
        </w:rPr>
      </w:pPr>
      <w:r>
        <w:rPr>
          <w:rFonts w:hint="eastAsia" w:hAnsi="宋体" w:cs="宋体"/>
          <w:sz w:val="24"/>
          <w:lang w:val="zh-CN"/>
        </w:rPr>
        <w:t>3.5.5 “近年发生的诉讼及仲裁情况”应说明相关情况，并附投标人法院或仲裁机构作出的判决、裁决等有关法律文书原件扫描件，具体年份要求见投标人须知前附表。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sz w:val="24"/>
        </w:rPr>
      </w:pPr>
      <w:r>
        <w:rPr>
          <w:rFonts w:hint="eastAsia" w:hAnsi="宋体" w:cs="宋体"/>
          <w:sz w:val="24"/>
        </w:rPr>
        <w:t>3.5.6</w:t>
      </w:r>
      <w:r>
        <w:rPr>
          <w:rFonts w:hint="eastAsia" w:ascii="新宋体" w:hAnsi="新宋体" w:eastAsia="新宋体" w:cs="仿宋_GB2312"/>
          <w:sz w:val="24"/>
        </w:rPr>
        <w:t>未按规定提交投标保证金的，由评标委员会否决其投标。</w:t>
      </w:r>
    </w:p>
    <w:p>
      <w:pPr>
        <w:pStyle w:val="5"/>
        <w:ind w:firstLine="241"/>
        <w:rPr>
          <w:rFonts w:eastAsia="新宋体"/>
          <w:b/>
          <w:bCs/>
        </w:rPr>
      </w:pPr>
      <w:r>
        <w:rPr>
          <w:rFonts w:hint="eastAsia" w:ascii="新宋体" w:hAnsi="新宋体" w:eastAsia="新宋体" w:cs="仿宋_GB2312"/>
          <w:b/>
          <w:bCs/>
          <w:sz w:val="24"/>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7963257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7"/>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sz w:val="24"/>
          <w:szCs w:val="24"/>
        </w:rPr>
      </w:pPr>
      <w:r>
        <w:rPr>
          <w:rFonts w:hint="eastAsia" w:hAnsi="宋体"/>
          <w:sz w:val="24"/>
          <w:szCs w:val="24"/>
        </w:rPr>
        <w:t>3.7.5</w:t>
      </w:r>
      <w:bookmarkStart w:id="42" w:name="_Toc283559961"/>
      <w:r>
        <w:rPr>
          <w:rFonts w:hint="eastAsia" w:hAnsi="宋体"/>
          <w:sz w:val="24"/>
          <w:szCs w:val="24"/>
        </w:rPr>
        <w:t>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2"/>
    </w:p>
    <w:p>
      <w:pPr>
        <w:autoSpaceDE w:val="0"/>
        <w:autoSpaceDN w:val="0"/>
        <w:spacing w:line="440" w:lineRule="exact"/>
        <w:jc w:val="left"/>
        <w:outlineLvl w:val="0"/>
        <w:rPr>
          <w:rFonts w:hAnsi="宋体" w:cs="宋体"/>
          <w:b/>
          <w:sz w:val="24"/>
        </w:rPr>
      </w:pPr>
      <w:r>
        <w:rPr>
          <w:rFonts w:hint="eastAsia" w:hAnsi="宋体" w:cs="宋体"/>
          <w:b/>
          <w:sz w:val="24"/>
        </w:rPr>
        <w:t>4.1投标文件的提交</w:t>
      </w:r>
    </w:p>
    <w:p>
      <w:pPr>
        <w:autoSpaceDE w:val="0"/>
        <w:autoSpaceDN w:val="0"/>
        <w:spacing w:line="440" w:lineRule="exact"/>
        <w:ind w:firstLine="480" w:firstLineChars="200"/>
        <w:jc w:val="left"/>
        <w:outlineLvl w:val="0"/>
        <w:rPr>
          <w:rFonts w:hAnsi="宋体" w:cs="宋体"/>
          <w:strike/>
          <w:sz w:val="24"/>
        </w:rPr>
      </w:pPr>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autoSpaceDE w:val="0"/>
        <w:autoSpaceDN w:val="0"/>
        <w:spacing w:line="440" w:lineRule="exact"/>
        <w:jc w:val="left"/>
        <w:outlineLvl w:val="0"/>
        <w:rPr>
          <w:rFonts w:hAnsi="宋体" w:cs="宋体"/>
          <w:b/>
          <w:sz w:val="24"/>
        </w:rPr>
      </w:pPr>
      <w:bookmarkStart w:id="43" w:name="_Toc283559964"/>
      <w:r>
        <w:rPr>
          <w:rFonts w:hint="eastAsia" w:hAnsi="宋体" w:cs="宋体"/>
          <w:b/>
          <w:sz w:val="24"/>
        </w:rPr>
        <w:t>4.2 投标文件的修改与撤回</w:t>
      </w:r>
      <w:bookmarkEnd w:id="43"/>
    </w:p>
    <w:p>
      <w:pPr>
        <w:autoSpaceDE w:val="0"/>
        <w:autoSpaceDN w:val="0"/>
        <w:spacing w:line="440" w:lineRule="exact"/>
        <w:ind w:firstLine="480" w:firstLineChars="200"/>
        <w:jc w:val="left"/>
        <w:rPr>
          <w:rFonts w:hAnsi="宋体" w:cs="宋体"/>
          <w:sz w:val="24"/>
        </w:rPr>
      </w:pPr>
      <w:r>
        <w:rPr>
          <w:rFonts w:hint="eastAsia" w:hAnsi="宋体" w:cs="宋体"/>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4" w:name="_Toc283559967"/>
      <w:r>
        <w:rPr>
          <w:rFonts w:hint="eastAsia" w:hAnsi="宋体"/>
          <w:b/>
          <w:color w:val="auto"/>
        </w:rPr>
        <w:t>5. 开标</w:t>
      </w:r>
      <w:bookmarkEnd w:id="44"/>
    </w:p>
    <w:p>
      <w:pPr>
        <w:autoSpaceDE w:val="0"/>
        <w:autoSpaceDN w:val="0"/>
        <w:adjustRightInd w:val="0"/>
        <w:spacing w:line="440" w:lineRule="exact"/>
        <w:jc w:val="left"/>
        <w:outlineLvl w:val="0"/>
        <w:rPr>
          <w:rFonts w:hAnsi="宋体" w:cs="宋体"/>
          <w:b/>
          <w:sz w:val="24"/>
        </w:rPr>
      </w:pPr>
      <w:bookmarkStart w:id="45" w:name="_Toc283559968"/>
      <w:r>
        <w:rPr>
          <w:rFonts w:hint="eastAsia" w:hAnsi="宋体" w:cs="宋体"/>
          <w:b/>
          <w:sz w:val="24"/>
        </w:rPr>
        <w:t>5.1 开标时间和地点</w:t>
      </w:r>
      <w:bookmarkEnd w:id="45"/>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spacing w:line="520" w:lineRule="exact"/>
        <w:rPr>
          <w:sz w:val="28"/>
          <w:szCs w:val="28"/>
        </w:rPr>
      </w:pPr>
      <w:bookmarkStart w:id="46" w:name="_Toc283559970"/>
      <w:r>
        <w:rPr>
          <w:rFonts w:hint="eastAsia"/>
          <w:sz w:val="28"/>
          <w:szCs w:val="28"/>
        </w:rPr>
        <w:t>5.2 开标程序</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(2)投标截止时间到达时，招标代理机构点击“开标”按钮，开标开始</w:t>
      </w:r>
      <w:r>
        <w:rPr>
          <w:rFonts w:hint="eastAsia" w:hAnsi="宋体" w:eastAsia="宋体" w:cs="宋体"/>
          <w:sz w:val="24"/>
        </w:rPr>
        <w:t>并进行解密，解密时限为60分钟，各投标人可以远程进行解密投标文件。</w:t>
      </w:r>
      <w:r>
        <w:rPr>
          <w:rFonts w:hint="eastAsia" w:hAnsi="宋体" w:cs="宋体"/>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6"/>
    </w:p>
    <w:p>
      <w:pPr>
        <w:autoSpaceDE w:val="0"/>
        <w:autoSpaceDN w:val="0"/>
        <w:adjustRightInd w:val="0"/>
        <w:spacing w:line="440" w:lineRule="exact"/>
        <w:jc w:val="left"/>
        <w:outlineLvl w:val="0"/>
        <w:rPr>
          <w:rFonts w:hAnsi="宋体" w:cs="宋体"/>
          <w:b/>
          <w:sz w:val="24"/>
        </w:rPr>
      </w:pPr>
      <w:bookmarkStart w:id="47" w:name="_Toc283559971"/>
      <w:r>
        <w:rPr>
          <w:rFonts w:hint="eastAsia" w:hAnsi="宋体" w:cs="宋体"/>
          <w:b/>
          <w:sz w:val="24"/>
        </w:rPr>
        <w:t>6.1 评标委员会</w:t>
      </w:r>
      <w:bookmarkEnd w:id="4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8" w:name="_Toc283559972"/>
      <w:r>
        <w:rPr>
          <w:rFonts w:hint="eastAsia" w:hAnsi="宋体" w:cs="宋体"/>
          <w:b/>
          <w:sz w:val="24"/>
        </w:rPr>
        <w:t>6.2 评标原则</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49" w:name="_Toc283559973"/>
      <w:r>
        <w:rPr>
          <w:rFonts w:hint="eastAsia" w:hAnsi="宋体" w:cs="宋体"/>
          <w:b/>
          <w:sz w:val="24"/>
        </w:rPr>
        <w:t>6.3 评标</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50" w:name="_Toc283559974"/>
      <w:r>
        <w:rPr>
          <w:rFonts w:hint="eastAsia" w:hAnsi="宋体"/>
          <w:b/>
          <w:color w:val="auto"/>
        </w:rPr>
        <w:t>7. 合同授予</w:t>
      </w:r>
      <w:bookmarkEnd w:id="50"/>
    </w:p>
    <w:p>
      <w:pPr>
        <w:autoSpaceDE w:val="0"/>
        <w:autoSpaceDN w:val="0"/>
        <w:spacing w:line="440" w:lineRule="exact"/>
        <w:jc w:val="left"/>
        <w:outlineLvl w:val="0"/>
        <w:rPr>
          <w:rFonts w:hAnsi="宋体" w:cs="宋体"/>
          <w:b/>
          <w:sz w:val="24"/>
        </w:rPr>
      </w:pPr>
      <w:bookmarkStart w:id="51" w:name="_Toc283559975"/>
      <w:r>
        <w:rPr>
          <w:rFonts w:hint="eastAsia" w:hAnsi="宋体" w:cs="宋体"/>
          <w:b/>
          <w:sz w:val="24"/>
        </w:rPr>
        <w:t>7.1 定标方式</w:t>
      </w:r>
      <w:bookmarkEnd w:id="51"/>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2" w:name="_Toc283559976"/>
      <w:r>
        <w:rPr>
          <w:rFonts w:hint="eastAsia" w:hAnsi="宋体" w:cs="宋体"/>
          <w:b/>
          <w:sz w:val="24"/>
        </w:rPr>
        <w:t>7.2 中标通知</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3" w:name="_Toc179632587"/>
      <w:bookmarkStart w:id="54" w:name="_Toc152042345"/>
      <w:bookmarkStart w:id="55" w:name="_Toc152045569"/>
      <w:bookmarkStart w:id="56"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3"/>
      <w:bookmarkEnd w:id="54"/>
      <w:bookmarkEnd w:id="55"/>
      <w:bookmarkEnd w:id="56"/>
      <w:bookmarkStart w:id="57" w:name="_Toc283559977"/>
      <w:r>
        <w:rPr>
          <w:rFonts w:hint="eastAsia" w:hAnsi="宋体" w:cs="宋体"/>
          <w:b/>
          <w:sz w:val="24"/>
        </w:rPr>
        <w:t>3签订合同</w:t>
      </w:r>
      <w:bookmarkEnd w:id="5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int="eastAsia" w:hAnsi="宋体" w:cs="宋体"/>
          <w:b/>
          <w:sz w:val="24"/>
        </w:rPr>
        <w:t>8. 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int="eastAsia" w:hAnsi="宋体" w:cs="宋体"/>
          <w:b/>
          <w:sz w:val="24"/>
        </w:rPr>
        <w:t>8.1 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int="eastAsia" w:hAnsi="宋体" w:cs="宋体"/>
          <w:b/>
          <w:sz w:val="24"/>
        </w:rPr>
        <w:t>8.2 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1" w:name="_Toc283559981"/>
      <w:r>
        <w:rPr>
          <w:rFonts w:hint="eastAsia" w:hAnsi="宋体"/>
          <w:b/>
          <w:color w:val="auto"/>
        </w:rPr>
        <w:t>9. 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int="eastAsia" w:hAnsi="宋体" w:cs="宋体"/>
          <w:b/>
          <w:sz w:val="24"/>
        </w:rPr>
        <w:t>9.1 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int="eastAsia" w:hAnsi="宋体" w:cs="宋体"/>
          <w:b/>
          <w:sz w:val="24"/>
        </w:rPr>
        <w:t>9.2 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int="eastAsia" w:hAnsi="宋体" w:cs="宋体"/>
          <w:b/>
          <w:sz w:val="24"/>
        </w:rPr>
        <w:t>9.3 对评标委员会成员的纪律要求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int="eastAsia" w:hAnsi="宋体" w:cs="宋体"/>
          <w:b/>
          <w:sz w:val="24"/>
        </w:rPr>
        <w:t>9.4 对与评标活动有关的工作人员的纪律要求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int="eastAsia" w:hAnsi="宋体" w:cs="宋体"/>
          <w:b/>
          <w:sz w:val="24"/>
        </w:rPr>
        <w:t>9.5 投诉</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7" w:name="_Toc283559987"/>
      <w:r>
        <w:rPr>
          <w:rFonts w:hint="eastAsia" w:hAnsi="宋体"/>
          <w:b/>
          <w:color w:val="auto"/>
        </w:rPr>
        <w:t>10. 需要补充的其他内容</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b/>
          <w:bCs/>
          <w:sz w:val="36"/>
          <w:szCs w:val="36"/>
        </w:rPr>
      </w:pPr>
      <w:r>
        <w:rPr>
          <w:rFonts w:hint="eastAsia" w:hAnsi="宋体" w:cs="宋体"/>
          <w:sz w:val="24"/>
        </w:rPr>
        <w:br w:type="page"/>
      </w:r>
    </w:p>
    <w:p>
      <w:pPr>
        <w:snapToGrid w:val="0"/>
        <w:spacing w:line="360" w:lineRule="auto"/>
        <w:jc w:val="center"/>
        <w:rPr>
          <w:rFonts w:hAnsi="宋体" w:cs="宋体"/>
          <w:sz w:val="24"/>
        </w:rPr>
      </w:pPr>
      <w:bookmarkStart w:id="68" w:name="_Toc283559990"/>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8"/>
        <w:tblW w:w="92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69" w:name="_Toc273546398"/>
            <w:bookmarkStart w:id="70" w:name="_Toc295572535"/>
            <w:bookmarkStart w:id="71" w:name="_Toc272833453"/>
            <w:bookmarkStart w:id="72" w:name="_Toc270931534"/>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3"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3"/>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pPr>
        <w:snapToGrid w:val="0"/>
        <w:spacing w:line="420" w:lineRule="exact"/>
        <w:rPr>
          <w:rFonts w:hAnsi="宋体" w:cs="宋体"/>
          <w:b/>
          <w:bCs/>
          <w:sz w:val="24"/>
        </w:rPr>
      </w:pPr>
      <w:r>
        <w:rPr>
          <w:rFonts w:hint="eastAsia" w:cs="宋体"/>
          <w:b/>
          <w:bCs/>
          <w:sz w:val="24"/>
          <w:szCs w:val="24"/>
        </w:rPr>
        <w:t>（三）综合标的评标分值（25分）</w:t>
      </w:r>
    </w:p>
    <w:tbl>
      <w:tblPr>
        <w:tblStyle w:val="18"/>
        <w:tblW w:w="9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序号</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项目</w:t>
            </w:r>
          </w:p>
        </w:tc>
        <w:tc>
          <w:tcPr>
            <w:tcW w:w="4992"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评审标准</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1</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企业业绩</w:t>
            </w:r>
          </w:p>
        </w:tc>
        <w:tc>
          <w:tcPr>
            <w:tcW w:w="4992"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自2017年1月1日以来（以合同签订时间为准）企业具有类似业绩者每项得2分，本项最高得4分。（以施工合同和中标通知书或施工合同和竣工备案表为准，缺一项不得分）。</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0</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2</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项目负责人业绩</w:t>
            </w:r>
          </w:p>
        </w:tc>
        <w:tc>
          <w:tcPr>
            <w:tcW w:w="4992" w:type="dxa"/>
            <w:vAlign w:val="center"/>
          </w:tcPr>
          <w:p>
            <w:pPr>
              <w:jc w:val="left"/>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自2017年1月1日以来（以合同签订时间为准）企业具有类似业绩者每项</w:t>
            </w:r>
            <w:r>
              <w:rPr>
                <w:rFonts w:hint="eastAsia" w:asciiTheme="minorEastAsia" w:hAnsiTheme="minorEastAsia"/>
                <w:kern w:val="2"/>
                <w:sz w:val="21"/>
                <w:szCs w:val="21"/>
                <w:highlight w:val="none"/>
                <w:shd w:val="clear" w:color="auto" w:fill="FFFFFF" w:themeFill="background1"/>
              </w:rPr>
              <w:t>得3分，本项最高得6分</w:t>
            </w:r>
            <w:r>
              <w:rPr>
                <w:rFonts w:hint="eastAsia" w:asciiTheme="minorEastAsia" w:hAnsiTheme="minorEastAsia"/>
                <w:color w:val="000000" w:themeColor="text1"/>
                <w:kern w:val="2"/>
                <w:sz w:val="21"/>
                <w:szCs w:val="21"/>
                <w:highlight w:val="none"/>
                <w14:textFill>
                  <w14:solidFill>
                    <w14:schemeClr w14:val="tx1"/>
                  </w14:solidFill>
                </w14:textFill>
              </w:rPr>
              <w:t>。（以施工合同和中标通知书或施工合同和竣工备案表为准，缺一项不得分）。</w:t>
            </w:r>
          </w:p>
        </w:tc>
        <w:tc>
          <w:tcPr>
            <w:tcW w:w="1529" w:type="dxa"/>
            <w:vAlign w:val="center"/>
          </w:tcPr>
          <w:p>
            <w:pPr>
              <w:jc w:val="center"/>
              <w:rPr>
                <w:rFonts w:asciiTheme="minorEastAsia" w:hAnsiTheme="minorEastAsia"/>
                <w:color w:val="000000" w:themeColor="text1"/>
                <w:kern w:val="2"/>
                <w:sz w:val="21"/>
                <w:szCs w:val="21"/>
                <w:highlight w:val="none"/>
                <w14:textFill>
                  <w14:solidFill>
                    <w14:schemeClr w14:val="tx1"/>
                  </w14:solidFill>
                </w14:textFill>
              </w:rPr>
            </w:pPr>
            <w:r>
              <w:rPr>
                <w:rFonts w:asciiTheme="minorEastAsia" w:hAnsiTheme="minorEastAsia"/>
                <w:color w:val="000000" w:themeColor="text1"/>
                <w:kern w:val="2"/>
                <w:sz w:val="21"/>
                <w:szCs w:val="21"/>
                <w:highlight w:val="none"/>
                <w14:textFill>
                  <w14:solidFill>
                    <w14:schemeClr w14:val="tx1"/>
                  </w14:solidFill>
                </w14:textFill>
              </w:rPr>
              <w:t>0</w:t>
            </w:r>
            <w:r>
              <w:rPr>
                <w:rFonts w:hint="eastAsia" w:asciiTheme="minorEastAsia" w:hAnsiTheme="minorEastAsia"/>
                <w:color w:val="000000" w:themeColor="text1"/>
                <w:kern w:val="2"/>
                <w:sz w:val="21"/>
                <w:szCs w:val="21"/>
                <w:highlight w:val="none"/>
                <w14:textFill>
                  <w14:solidFill>
                    <w14:schemeClr w14:val="tx1"/>
                  </w14:solidFill>
                </w14:textFill>
              </w:rPr>
              <w:t>＜得分</w:t>
            </w:r>
            <w:r>
              <w:rPr>
                <w:rFonts w:asciiTheme="minorEastAsia" w:hAnsiTheme="minorEastAsia"/>
                <w:color w:val="000000" w:themeColor="text1"/>
                <w:kern w:val="2"/>
                <w:sz w:val="21"/>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3</w:t>
            </w:r>
          </w:p>
        </w:tc>
        <w:tc>
          <w:tcPr>
            <w:tcW w:w="2096"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优惠承诺</w:t>
            </w:r>
          </w:p>
        </w:tc>
        <w:tc>
          <w:tcPr>
            <w:tcW w:w="4992" w:type="dxa"/>
            <w:vAlign w:val="center"/>
          </w:tcPr>
          <w:p>
            <w:pPr>
              <w:spacing w:line="300" w:lineRule="exact"/>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优惠承诺应是书面的符合工程实际情况，确保依法依规，优惠合理，详实可行。</w:t>
            </w:r>
          </w:p>
        </w:tc>
        <w:tc>
          <w:tcPr>
            <w:tcW w:w="1529" w:type="dxa"/>
            <w:vAlign w:val="center"/>
          </w:tcPr>
          <w:p>
            <w:pPr>
              <w:jc w:val="center"/>
              <w:rPr>
                <w:rFonts w:asciiTheme="minorEastAsia" w:hAnsiTheme="minorEastAsia"/>
                <w:color w:val="000000" w:themeColor="text1"/>
                <w:kern w:val="2"/>
                <w:sz w:val="21"/>
                <w:szCs w:val="21"/>
                <w:highlight w:val="none"/>
                <w14:textFill>
                  <w14:solidFill>
                    <w14:schemeClr w14:val="tx1"/>
                  </w14:solidFill>
                </w14:textFill>
              </w:rPr>
            </w:pPr>
            <w:r>
              <w:rPr>
                <w:rFonts w:asciiTheme="minorEastAsia" w:hAnsiTheme="minorEastAsia"/>
                <w:color w:val="000000" w:themeColor="text1"/>
                <w:kern w:val="2"/>
                <w:sz w:val="21"/>
                <w:szCs w:val="21"/>
                <w:highlight w:val="none"/>
                <w14:textFill>
                  <w14:solidFill>
                    <w14:schemeClr w14:val="tx1"/>
                  </w14:solidFill>
                </w14:textFill>
              </w:rPr>
              <w:t>3</w:t>
            </w:r>
            <w:r>
              <w:rPr>
                <w:rFonts w:hint="eastAsia" w:asciiTheme="minorEastAsia" w:hAnsiTheme="minorEastAsia"/>
                <w:color w:val="000000" w:themeColor="text1"/>
                <w:kern w:val="2"/>
                <w:sz w:val="21"/>
                <w:szCs w:val="21"/>
                <w:highlight w:val="none"/>
                <w14:textFill>
                  <w14:solidFill>
                    <w14:schemeClr w14:val="tx1"/>
                  </w14:solidFill>
                </w14:textFill>
              </w:rPr>
              <w:t>＜得分</w:t>
            </w:r>
            <w:r>
              <w:rPr>
                <w:rFonts w:asciiTheme="minorEastAsia" w:hAnsiTheme="minorEastAsia"/>
                <w:color w:val="000000" w:themeColor="text1"/>
                <w:kern w:val="2"/>
                <w:sz w:val="21"/>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2096"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4992" w:type="dxa"/>
            <w:vAlign w:val="center"/>
          </w:tcPr>
          <w:p>
            <w:pPr>
              <w:spacing w:line="300" w:lineRule="exact"/>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优惠承诺符合工程实际情况，确保依法依规，优惠基本合理，基本详实可行。</w:t>
            </w:r>
          </w:p>
        </w:tc>
        <w:tc>
          <w:tcPr>
            <w:tcW w:w="1529" w:type="dxa"/>
            <w:vAlign w:val="center"/>
          </w:tcPr>
          <w:p>
            <w:pPr>
              <w:jc w:val="center"/>
              <w:rPr>
                <w:rFonts w:asciiTheme="minorEastAsia" w:hAnsiTheme="minorEastAsia"/>
                <w:color w:val="000000" w:themeColor="text1"/>
                <w:kern w:val="2"/>
                <w:sz w:val="21"/>
                <w:szCs w:val="21"/>
                <w:highlight w:val="none"/>
                <w14:textFill>
                  <w14:solidFill>
                    <w14:schemeClr w14:val="tx1"/>
                  </w14:solidFill>
                </w14:textFill>
              </w:rPr>
            </w:pPr>
            <w:r>
              <w:rPr>
                <w:rFonts w:asciiTheme="minorEastAsia" w:hAnsiTheme="minorEastAsia"/>
                <w:color w:val="000000" w:themeColor="text1"/>
                <w:kern w:val="2"/>
                <w:sz w:val="21"/>
                <w:szCs w:val="21"/>
                <w:highlight w:val="none"/>
                <w14:textFill>
                  <w14:solidFill>
                    <w14:schemeClr w14:val="tx1"/>
                  </w14:solidFill>
                </w14:textFill>
              </w:rPr>
              <w:t>1≤</w:t>
            </w:r>
            <w:r>
              <w:rPr>
                <w:rFonts w:hint="eastAsia" w:asciiTheme="minorEastAsia" w:hAnsiTheme="minorEastAsia"/>
                <w:color w:val="000000" w:themeColor="text1"/>
                <w:kern w:val="2"/>
                <w:sz w:val="21"/>
                <w:szCs w:val="21"/>
                <w:highlight w:val="none"/>
                <w14:textFill>
                  <w14:solidFill>
                    <w14:schemeClr w14:val="tx1"/>
                  </w14:solidFill>
                </w14:textFill>
              </w:rPr>
              <w:t>得分</w:t>
            </w:r>
            <w:r>
              <w:rPr>
                <w:rFonts w:asciiTheme="minorEastAsia" w:hAnsiTheme="minorEastAsia"/>
                <w:color w:val="000000" w:themeColor="text1"/>
                <w:kern w:val="2"/>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4</w:t>
            </w:r>
          </w:p>
        </w:tc>
        <w:tc>
          <w:tcPr>
            <w:tcW w:w="2096"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履职尽责承诺</w:t>
            </w:r>
          </w:p>
        </w:tc>
        <w:tc>
          <w:tcPr>
            <w:tcW w:w="4992" w:type="dxa"/>
            <w:vAlign w:val="center"/>
          </w:tcPr>
          <w:p>
            <w:pPr>
              <w:spacing w:line="300" w:lineRule="exact"/>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具有全面、详实、可行、合法有效的书面保证技术措施落实到位的承诺和落实不到位的处理承诺，其中包括各关键岗位人员（（项目负责人、技术负责人及相关技术人员、质量员、安全员、材料员、施工员、机械员、劳务员、测量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2096"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4992" w:type="dxa"/>
            <w:vAlign w:val="center"/>
          </w:tcPr>
          <w:p>
            <w:pPr>
              <w:spacing w:line="300" w:lineRule="exact"/>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具有可行、合法有效的书面保证技术措施落实到位的承诺和落实不到位的处理承诺，其中包括各关键岗位人员（项目负责人、技术负责人及相关技术人员、质量员、安全员、材料员、施工员、机械员、劳务员、测量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5</w:t>
            </w:r>
          </w:p>
        </w:tc>
        <w:tc>
          <w:tcPr>
            <w:tcW w:w="2096"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企业信用（含纳税诚信）</w:t>
            </w:r>
          </w:p>
        </w:tc>
        <w:tc>
          <w:tcPr>
            <w:tcW w:w="4992" w:type="dxa"/>
            <w:shd w:val="clear" w:color="auto" w:fill="auto"/>
            <w:vAlign w:val="center"/>
          </w:tcPr>
          <w:p>
            <w:pPr>
              <w:pStyle w:val="2"/>
              <w:spacing w:line="0" w:lineRule="atLeast"/>
              <w:rPr>
                <w:sz w:val="21"/>
                <w:szCs w:val="21"/>
                <w:highlight w:val="none"/>
              </w:rPr>
            </w:pPr>
            <w:r>
              <w:rPr>
                <w:rFonts w:hint="eastAsia" w:ascii="宋体" w:hAnsi="宋体" w:eastAsia="宋体" w:cs="宋体"/>
                <w:b w:val="0"/>
                <w:bCs w:val="0"/>
                <w:sz w:val="21"/>
                <w:szCs w:val="21"/>
                <w:highlight w:val="none"/>
              </w:rPr>
              <w:t>投标人近年具有市级以上安全先进企业得4分（以证书为准）。</w:t>
            </w:r>
          </w:p>
        </w:tc>
        <w:tc>
          <w:tcPr>
            <w:tcW w:w="1529" w:type="dxa"/>
            <w:vAlign w:val="center"/>
          </w:tcPr>
          <w:p>
            <w:pPr>
              <w:jc w:val="center"/>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0</w:t>
            </w:r>
            <w:r>
              <w:rPr>
                <w:rFonts w:asciiTheme="minorEastAsia" w:hAnsiTheme="minorEastAsia"/>
                <w:color w:val="000000" w:themeColor="text1"/>
                <w:kern w:val="2"/>
                <w:sz w:val="21"/>
                <w:szCs w:val="21"/>
                <w:highlight w:val="none"/>
                <w14:textFill>
                  <w14:solidFill>
                    <w14:schemeClr w14:val="tx1"/>
                  </w14:solidFill>
                </w14:textFill>
              </w:rPr>
              <w:t>≤</w:t>
            </w:r>
            <w:r>
              <w:rPr>
                <w:rFonts w:hint="eastAsia" w:asciiTheme="minorEastAsia" w:hAnsiTheme="minorEastAsia"/>
                <w:color w:val="000000" w:themeColor="text1"/>
                <w:kern w:val="2"/>
                <w:sz w:val="21"/>
                <w:szCs w:val="21"/>
                <w:highlight w:val="none"/>
                <w14:textFill>
                  <w14:solidFill>
                    <w14:schemeClr w14:val="tx1"/>
                  </w14:solidFill>
                </w14:textFill>
              </w:rPr>
              <w:t>得分</w:t>
            </w:r>
            <w:r>
              <w:rPr>
                <w:rFonts w:asciiTheme="minorEastAsia" w:hAnsiTheme="minorEastAsia"/>
                <w:color w:val="000000" w:themeColor="text1"/>
                <w:kern w:val="2"/>
                <w:sz w:val="21"/>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6</w:t>
            </w:r>
          </w:p>
        </w:tc>
        <w:tc>
          <w:tcPr>
            <w:tcW w:w="2096"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项目负责人信用</w:t>
            </w:r>
          </w:p>
        </w:tc>
        <w:tc>
          <w:tcPr>
            <w:tcW w:w="4992" w:type="dxa"/>
            <w:vAlign w:val="center"/>
          </w:tcPr>
          <w:p>
            <w:pPr>
              <w:jc w:val="left"/>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color w:val="000000" w:themeColor="text1"/>
                <w:kern w:val="2"/>
                <w:sz w:val="21"/>
                <w:szCs w:val="21"/>
                <w:highlight w:val="none"/>
                <w14:textFill>
                  <w14:solidFill>
                    <w14:schemeClr w14:val="tx1"/>
                  </w14:solidFill>
                </w14:textFill>
              </w:rPr>
            </w:pPr>
            <w:r>
              <w:rPr>
                <w:rFonts w:hint="eastAsia" w:asciiTheme="minorEastAsia" w:hAnsiTheme="minorEastAsia"/>
                <w:color w:val="000000" w:themeColor="text1"/>
                <w:kern w:val="2"/>
                <w:sz w:val="21"/>
                <w:szCs w:val="21"/>
                <w:highlight w:val="none"/>
                <w14:textFill>
                  <w14:solidFill>
                    <w14:schemeClr w14:val="tx1"/>
                  </w14:solidFill>
                </w14:textFill>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7</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招标人意见</w:t>
            </w:r>
          </w:p>
        </w:tc>
        <w:tc>
          <w:tcPr>
            <w:tcW w:w="4992" w:type="dxa"/>
            <w:vAlign w:val="center"/>
          </w:tcPr>
          <w:p>
            <w:pPr>
              <w:spacing w:line="300" w:lineRule="exact"/>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各投标人得分均按2分计算</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0≤</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以上各项评审内容缺项不得分</w:t>
            </w:r>
          </w:p>
        </w:tc>
      </w:tr>
    </w:tbl>
    <w:p>
      <w:pPr>
        <w:snapToGrid w:val="0"/>
        <w:spacing w:line="420" w:lineRule="exact"/>
        <w:ind w:firstLine="480"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0" w:firstLineChars="400"/>
        <w:rPr>
          <w:rFonts w:hAnsi="宋体" w:cs="宋体"/>
          <w:b/>
          <w:bCs/>
          <w:sz w:val="24"/>
        </w:rPr>
      </w:pPr>
      <w:r>
        <w:rPr>
          <w:rFonts w:hint="eastAsia" w:hAnsi="宋体" w:cs="宋体"/>
          <w:b/>
          <w:bCs/>
          <w:sz w:val="24"/>
        </w:rPr>
        <w:t>2）类似工程：指2017年1月1日以来承接过的</w:t>
      </w:r>
      <w:r>
        <w:rPr>
          <w:rFonts w:hint="eastAsia" w:hAnsi="宋体" w:cs="宋体"/>
          <w:b/>
          <w:bCs/>
          <w:sz w:val="24"/>
          <w:highlight w:val="none"/>
          <w:lang w:val="en-US" w:eastAsia="zh-CN"/>
        </w:rPr>
        <w:t>建筑</w:t>
      </w:r>
      <w:r>
        <w:rPr>
          <w:rFonts w:hint="eastAsia" w:hAnsi="宋体" w:cs="宋体"/>
          <w:b/>
          <w:bCs/>
          <w:sz w:val="24"/>
        </w:rPr>
        <w:t>工程建设项目；</w:t>
      </w:r>
    </w:p>
    <w:p>
      <w:pPr>
        <w:snapToGrid w:val="0"/>
        <w:spacing w:line="420" w:lineRule="exact"/>
        <w:ind w:firstLine="960" w:firstLineChars="400"/>
        <w:rPr>
          <w:rFonts w:hAnsi="宋体" w:cs="宋体"/>
          <w:b/>
          <w:bCs/>
          <w:sz w:val="24"/>
        </w:rPr>
      </w:pPr>
      <w:r>
        <w:rPr>
          <w:rFonts w:hint="eastAsia" w:hAnsi="宋体" w:cs="宋体"/>
          <w:b/>
          <w:bCs/>
          <w:sz w:val="24"/>
        </w:rPr>
        <w:t>3）业绩合同以合同签订日期为准，获奖证书以发证日期为准；</w:t>
      </w:r>
    </w:p>
    <w:p>
      <w:pPr>
        <w:snapToGrid w:val="0"/>
        <w:spacing w:line="420" w:lineRule="exact"/>
        <w:ind w:firstLine="960" w:firstLineChars="400"/>
        <w:rPr>
          <w:rFonts w:hAnsi="宋体" w:cs="宋体"/>
          <w:b/>
          <w:bCs/>
          <w:sz w:val="24"/>
        </w:rPr>
      </w:pPr>
      <w:r>
        <w:rPr>
          <w:rFonts w:hint="eastAsia" w:hAnsi="宋体" w:cs="宋体"/>
          <w:b/>
          <w:bCs/>
          <w:sz w:val="24"/>
        </w:rPr>
        <w:t>4）企业业绩和建造师业绩不可累计使用。</w:t>
      </w:r>
    </w:p>
    <w:p>
      <w:pPr>
        <w:snapToGrid w:val="0"/>
        <w:spacing w:line="420" w:lineRule="exact"/>
        <w:ind w:firstLine="240" w:firstLineChars="100"/>
        <w:rPr>
          <w:rFonts w:hAnsi="宋体" w:cs="宋体"/>
          <w:b/>
          <w:bCs/>
          <w:sz w:val="24"/>
        </w:rPr>
      </w:pPr>
      <w:r>
        <w:rPr>
          <w:rFonts w:hint="eastAsia" w:hAnsi="宋体" w:cs="宋体"/>
          <w:b/>
          <w:bCs/>
          <w:sz w:val="24"/>
        </w:rPr>
        <w:t>（四）投标人综合得分按下列公式计算：</w:t>
      </w:r>
    </w:p>
    <w:p>
      <w:pPr>
        <w:snapToGrid w:val="0"/>
        <w:spacing w:line="420" w:lineRule="exact"/>
        <w:ind w:firstLine="960" w:firstLineChars="400"/>
        <w:rPr>
          <w:rFonts w:hAnsi="宋体" w:cs="宋体"/>
          <w:b/>
          <w:bCs/>
          <w:sz w:val="24"/>
        </w:rPr>
      </w:pPr>
      <w:r>
        <w:rPr>
          <w:rFonts w:hint="eastAsia" w:hAnsi="宋体" w:cs="宋体"/>
          <w:sz w:val="24"/>
          <w:szCs w:val="24"/>
        </w:rPr>
        <w:t>投标人综合得分＝技术标得分＋商务标得分＋综合标得分。</w:t>
      </w:r>
    </w:p>
    <w:p>
      <w:pPr>
        <w:snapToGrid w:val="0"/>
        <w:spacing w:line="420" w:lineRule="exact"/>
        <w:ind w:firstLine="240" w:firstLineChars="100"/>
        <w:rPr>
          <w:rFonts w:hAnsi="宋体" w:cs="宋体"/>
          <w:b/>
          <w:bCs/>
          <w:sz w:val="24"/>
        </w:rPr>
      </w:pPr>
      <w:r>
        <w:rPr>
          <w:rFonts w:hint="eastAsia" w:hAnsi="宋体" w:cs="宋体"/>
          <w:b/>
          <w:bCs/>
          <w:sz w:val="24"/>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1.评标委员会完成对技术标、商务标和综合标的汇总后，从中去掉一个最高分和一个最低分，取平均值作为该投标人的最终得分。计算分值均保留两位小数。</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4" w:name="_Toc23277"/>
      <w:r>
        <w:rPr>
          <w:rFonts w:hint="eastAsia" w:ascii="新宋体" w:eastAsia="新宋体"/>
          <w:b/>
          <w:szCs w:val="24"/>
        </w:rPr>
        <w:t>九、评标报告</w:t>
      </w:r>
      <w:bookmarkEnd w:id="74"/>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5" w:name="_Toc8686"/>
      <w:r>
        <w:rPr>
          <w:rFonts w:hint="eastAsia" w:ascii="新宋体" w:eastAsia="新宋体"/>
          <w:b/>
        </w:rPr>
        <w:t>十、</w:t>
      </w:r>
      <w:r>
        <w:rPr>
          <w:rFonts w:hint="eastAsia" w:ascii="新宋体" w:eastAsia="新宋体"/>
          <w:b/>
          <w:szCs w:val="24"/>
        </w:rPr>
        <w:t>公示</w:t>
      </w:r>
      <w:bookmarkEnd w:id="75"/>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spacing w:beforeLines="100" w:afterLines="100" w:line="400" w:lineRule="exact"/>
        <w:rPr>
          <w:rFonts w:hAnsi="宋体" w:cs="宋体"/>
          <w:sz w:val="24"/>
        </w:rPr>
      </w:pPr>
    </w:p>
    <w:p>
      <w:pPr>
        <w:spacing w:beforeLines="100" w:afterLines="100" w:line="400" w:lineRule="exact"/>
        <w:rPr>
          <w:rFonts w:hint="eastAsia"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adjustRightInd w:val="0"/>
        <w:snapToGrid w:val="0"/>
        <w:spacing w:line="440" w:lineRule="exact"/>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jc w:val="center"/>
        <w:rPr>
          <w:rFonts w:hAnsi="宋体" w:cs="宋体"/>
          <w:b/>
          <w:sz w:val="36"/>
          <w:szCs w:val="36"/>
        </w:rPr>
      </w:pPr>
    </w:p>
    <w:p>
      <w:pPr>
        <w:adjustRightInd w:val="0"/>
        <w:snapToGrid w:val="0"/>
        <w:spacing w:line="440" w:lineRule="exact"/>
        <w:jc w:val="center"/>
        <w:rPr>
          <w:rFonts w:hAnsi="宋体" w:cs="宋体"/>
          <w:b/>
          <w:sz w:val="36"/>
          <w:szCs w:val="36"/>
        </w:rPr>
      </w:pPr>
      <w:r>
        <w:rPr>
          <w:rFonts w:hint="eastAsia" w:hAnsi="宋体" w:cs="宋体"/>
          <w:b/>
          <w:sz w:val="36"/>
          <w:szCs w:val="36"/>
        </w:rPr>
        <w:t>第四章 合同条款</w:t>
      </w:r>
      <w:bookmarkEnd w:id="68"/>
    </w:p>
    <w:p>
      <w:pPr>
        <w:tabs>
          <w:tab w:val="left" w:pos="5000"/>
        </w:tabs>
        <w:spacing w:line="360" w:lineRule="auto"/>
        <w:ind w:firstLine="490"/>
        <w:rPr>
          <w:rFonts w:hAnsi="宋体" w:cs="宋体"/>
          <w:bCs/>
          <w:sz w:val="28"/>
          <w:szCs w:val="28"/>
        </w:rPr>
      </w:pPr>
      <w:bookmarkStart w:id="76"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6"/>
      <w:bookmarkStart w:id="77"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pStyle w:val="5"/>
        <w:ind w:firstLine="340"/>
      </w:pPr>
    </w:p>
    <w:p>
      <w:pPr>
        <w:pStyle w:val="5"/>
        <w:ind w:firstLine="340"/>
      </w:pPr>
    </w:p>
    <w:p>
      <w:pPr>
        <w:autoSpaceDE w:val="0"/>
        <w:autoSpaceDN w:val="0"/>
        <w:adjustRightInd w:val="0"/>
        <w:jc w:val="center"/>
        <w:outlineLvl w:val="0"/>
        <w:rPr>
          <w:rFonts w:hAnsi="宋体" w:cs="宋体"/>
          <w:b/>
          <w:sz w:val="36"/>
          <w:szCs w:val="36"/>
        </w:rPr>
      </w:pPr>
    </w:p>
    <w:p>
      <w:pPr>
        <w:pStyle w:val="5"/>
        <w:ind w:firstLine="340"/>
      </w:pPr>
    </w:p>
    <w:p>
      <w:pPr>
        <w:pStyle w:val="5"/>
        <w:ind w:firstLine="340"/>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(1) 本招标文件。</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(2)《建设工程工程量清单计价规范 GB 50500-2013》及《河南省房屋建筑与装饰工程预算定额》（HA01-31-2016）、《河南省房屋通用安装工程预算定额》（HA02-31-2016）、《河南省市政工程预算定额》（HA A1-31-2016）及相关配套文件的规定。</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（3）材料价格依据《许昌工程造价信息》2019年第5期信息价、12月份主材价及市场询价。</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（4）人工费调整按豫建标定【2019】26号文执行。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7"/>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8"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8"/>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5"/>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 xml:space="preserve">  元</w:t>
      </w:r>
    </w:p>
    <w:p>
      <w:pPr>
        <w:spacing w:line="480" w:lineRule="exact"/>
        <w:ind w:firstLine="1048" w:firstLineChars="437"/>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 xml:space="preserve">  元（如有则填）</w:t>
      </w:r>
    </w:p>
    <w:p>
      <w:pPr>
        <w:spacing w:line="480" w:lineRule="exact"/>
        <w:ind w:firstLine="960" w:firstLineChars="400"/>
        <w:rPr>
          <w:rFonts w:hAnsi="宋体" w:cs="宋体"/>
          <w:sz w:val="24"/>
        </w:rPr>
      </w:pPr>
      <w:r>
        <w:rPr>
          <w:rFonts w:hint="eastAsia" w:hAnsi="宋体" w:cs="宋体"/>
          <w:sz w:val="24"/>
        </w:rPr>
        <w:t>专业暂估价RMB￥：</w:t>
      </w:r>
      <w:r>
        <w:rPr>
          <w:rFonts w:hint="eastAsia" w:hAnsi="宋体" w:cs="宋体"/>
          <w:sz w:val="24"/>
          <w:u w:val="single"/>
        </w:rPr>
        <w:t xml:space="preserve">       </w:t>
      </w:r>
      <w:r>
        <w:rPr>
          <w:rFonts w:hint="eastAsia" w:hAnsi="宋体" w:cs="宋体"/>
          <w:sz w:val="24"/>
        </w:rPr>
        <w:t xml:space="preserve"> 元（如有则填）</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bookmarkStart w:id="80" w:name="_Toc250616672"/>
    </w:p>
    <w:p>
      <w:pPr>
        <w:pStyle w:val="5"/>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1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 xml:space="preserve">  元</w:t>
            </w:r>
          </w:p>
          <w:p>
            <w:pPr>
              <w:spacing w:line="480" w:lineRule="exact"/>
              <w:rPr>
                <w:rFonts w:hAnsi="宋体" w:cs="宋体"/>
                <w:sz w:val="24"/>
              </w:rPr>
            </w:pPr>
            <w:r>
              <w:rPr>
                <w:rFonts w:hint="eastAsia" w:hAnsi="宋体" w:cs="宋体"/>
                <w:sz w:val="24"/>
              </w:rPr>
              <w:t>暂列金额RMB￥：</w:t>
            </w:r>
            <w:r>
              <w:rPr>
                <w:rFonts w:hint="eastAsia" w:hAnsi="宋体" w:cs="宋体"/>
                <w:sz w:val="24"/>
                <w:u w:val="single"/>
              </w:rPr>
              <w:t xml:space="preserve">       </w:t>
            </w:r>
            <w:r>
              <w:rPr>
                <w:rFonts w:hint="eastAsia" w:hAnsi="宋体" w:cs="宋体"/>
                <w:sz w:val="24"/>
              </w:rPr>
              <w:t xml:space="preserve">  元（如有则填）</w:t>
            </w:r>
          </w:p>
          <w:p>
            <w:pPr>
              <w:spacing w:line="480" w:lineRule="exact"/>
              <w:rPr>
                <w:rFonts w:hAnsi="宋体" w:cs="宋体"/>
                <w:sz w:val="24"/>
              </w:rPr>
            </w:pPr>
            <w:r>
              <w:rPr>
                <w:rFonts w:hint="eastAsia" w:hAnsi="宋体" w:cs="宋体"/>
                <w:sz w:val="24"/>
              </w:rPr>
              <w:t>专业暂估价RMB￥：</w:t>
            </w:r>
            <w:r>
              <w:rPr>
                <w:rFonts w:hint="eastAsia" w:hAnsi="宋体" w:cs="宋体"/>
                <w:sz w:val="24"/>
                <w:u w:val="single"/>
              </w:rPr>
              <w:t xml:space="preserve">       </w:t>
            </w:r>
            <w:r>
              <w:rPr>
                <w:rFonts w:hint="eastAsia" w:hAnsi="宋体" w:cs="宋体"/>
                <w:sz w:val="24"/>
              </w:rPr>
              <w:t xml:space="preserve"> 元（如有则填）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宋体"/>
          <w:b/>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b/>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8"/>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3020" w:firstLineChars="944"/>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1" w:type="first"/>
      <w:headerReference r:id="rId9" w:type="default"/>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AdV37gBAABU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3031490</wp:posOffset>
              </wp:positionH>
              <wp:positionV relativeFrom="paragraph">
                <wp:posOffset>0</wp:posOffset>
              </wp:positionV>
              <wp:extent cx="342900" cy="214630"/>
              <wp:effectExtent l="0" t="0" r="0" b="0"/>
              <wp:wrapNone/>
              <wp:docPr id="4" name="文本框 6"/>
              <wp:cNvGraphicFramePr/>
              <a:graphic xmlns:a="http://schemas.openxmlformats.org/drawingml/2006/main">
                <a:graphicData uri="http://schemas.microsoft.com/office/word/2010/wordprocessingShape">
                  <wps:wsp>
                    <wps:cNvSpPr txBox="1"/>
                    <wps:spPr>
                      <a:xfrm>
                        <a:off x="0" y="0"/>
                        <a:ext cx="342900" cy="21463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6" o:spid="_x0000_s1026" o:spt="202" type="#_x0000_t202" style="position:absolute;left:0pt;margin-left:238.7pt;margin-top:0pt;height:16.9pt;width:27pt;mso-position-horizontal-relative:margin;z-index:251659264;mso-width-relative:page;mso-height-relative:page;" filled="f" stroked="f" coordsize="21600,21600"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Ah7Bh1gAAAAcBAAAP&#10;AAAAAAAAAAEAIAAAACIAAABkcnMvZG93bnJldi54bWxQSwECFAAUAAAACACHTuJA9iJ/DKgBAAAt&#10;AwAADgAAAAAAAAABACAAAAAlAQAAZHJzL2Uyb0RvYy54bWxQSwUGAAAAAAYABgBZAQAAPwUA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4D1LgBAABV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hzXOzWYrDavhyGAF7Q6J9bgCjDrcUUrMrUOF87aMRhiN1WhsfNDrDnuclnrR&#10;f94k7KY0mSscYI+FcXaF5nHP8nL87Zes89+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b4D1LgBAABVAwAADgAAAAAAAAABACAAAAAeAQAAZHJzL2Uyb0RvYy54bWxQSwUGAAAAAAYABgBZ&#10;AQAASA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u w:val="single"/>
      </w:rPr>
      <w:t xml:space="preserve">许昌市魏都区西大街道办事处“62号院等19个老旧小区基础设施改造项目”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r>
      <w:rPr>
        <w:rFonts w:hint="eastAsia" w:hAnsi="宋体" w:cs="宋体"/>
        <w:b/>
        <w:sz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4F3C"/>
    <w:rsid w:val="0007755C"/>
    <w:rsid w:val="00081130"/>
    <w:rsid w:val="000914B6"/>
    <w:rsid w:val="00095A17"/>
    <w:rsid w:val="000A2055"/>
    <w:rsid w:val="000A4B94"/>
    <w:rsid w:val="000A4E4D"/>
    <w:rsid w:val="000A674C"/>
    <w:rsid w:val="000A6F5F"/>
    <w:rsid w:val="000B2183"/>
    <w:rsid w:val="000B4A65"/>
    <w:rsid w:val="000B59D3"/>
    <w:rsid w:val="000B71DA"/>
    <w:rsid w:val="000C40D4"/>
    <w:rsid w:val="000E2401"/>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7A3D"/>
    <w:rsid w:val="00184B91"/>
    <w:rsid w:val="00190CA3"/>
    <w:rsid w:val="00195F13"/>
    <w:rsid w:val="00197E54"/>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23E1"/>
    <w:rsid w:val="0020445D"/>
    <w:rsid w:val="00205103"/>
    <w:rsid w:val="002063D3"/>
    <w:rsid w:val="00211F09"/>
    <w:rsid w:val="002120C1"/>
    <w:rsid w:val="00212912"/>
    <w:rsid w:val="00216D61"/>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6A88"/>
    <w:rsid w:val="00355398"/>
    <w:rsid w:val="00360DF3"/>
    <w:rsid w:val="00361726"/>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44E27"/>
    <w:rsid w:val="0045679A"/>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A49AE"/>
    <w:rsid w:val="006B072C"/>
    <w:rsid w:val="006B0E39"/>
    <w:rsid w:val="006B1BA3"/>
    <w:rsid w:val="006B5271"/>
    <w:rsid w:val="006B651C"/>
    <w:rsid w:val="006B7778"/>
    <w:rsid w:val="006C0399"/>
    <w:rsid w:val="006C1CE6"/>
    <w:rsid w:val="006C3964"/>
    <w:rsid w:val="006C4C28"/>
    <w:rsid w:val="006C5CC9"/>
    <w:rsid w:val="006D04E7"/>
    <w:rsid w:val="006D5D6D"/>
    <w:rsid w:val="006D682C"/>
    <w:rsid w:val="006E08B6"/>
    <w:rsid w:val="006E0BDF"/>
    <w:rsid w:val="006E1E8D"/>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6287"/>
    <w:rsid w:val="008E640B"/>
    <w:rsid w:val="008E6A24"/>
    <w:rsid w:val="008F6D84"/>
    <w:rsid w:val="0090127E"/>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9EB"/>
    <w:rsid w:val="00AE07B7"/>
    <w:rsid w:val="00AE1046"/>
    <w:rsid w:val="00AE1A2D"/>
    <w:rsid w:val="00AE26F5"/>
    <w:rsid w:val="00AF1136"/>
    <w:rsid w:val="00AF1A3A"/>
    <w:rsid w:val="00AF431D"/>
    <w:rsid w:val="00B1556F"/>
    <w:rsid w:val="00B22804"/>
    <w:rsid w:val="00B2280C"/>
    <w:rsid w:val="00B23CFE"/>
    <w:rsid w:val="00B258EF"/>
    <w:rsid w:val="00B31840"/>
    <w:rsid w:val="00B325AC"/>
    <w:rsid w:val="00B335B8"/>
    <w:rsid w:val="00B354CE"/>
    <w:rsid w:val="00B36DE9"/>
    <w:rsid w:val="00B37DBE"/>
    <w:rsid w:val="00B41467"/>
    <w:rsid w:val="00B43078"/>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CD"/>
    <w:rsid w:val="00CE6A99"/>
    <w:rsid w:val="00CF1BCA"/>
    <w:rsid w:val="00CF52F7"/>
    <w:rsid w:val="00CF5735"/>
    <w:rsid w:val="00D0063D"/>
    <w:rsid w:val="00D022CD"/>
    <w:rsid w:val="00D0555A"/>
    <w:rsid w:val="00D05BAA"/>
    <w:rsid w:val="00D14155"/>
    <w:rsid w:val="00D36BF8"/>
    <w:rsid w:val="00D55744"/>
    <w:rsid w:val="00D62E94"/>
    <w:rsid w:val="00D6681E"/>
    <w:rsid w:val="00D70280"/>
    <w:rsid w:val="00D7522A"/>
    <w:rsid w:val="00D77007"/>
    <w:rsid w:val="00D91EF8"/>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391A"/>
    <w:rsid w:val="00E05C9F"/>
    <w:rsid w:val="00E06B87"/>
    <w:rsid w:val="00E12124"/>
    <w:rsid w:val="00E25A77"/>
    <w:rsid w:val="00E31005"/>
    <w:rsid w:val="00E4008C"/>
    <w:rsid w:val="00E5156C"/>
    <w:rsid w:val="00E52957"/>
    <w:rsid w:val="00E52DAF"/>
    <w:rsid w:val="00E54195"/>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7C03"/>
    <w:rsid w:val="00F65359"/>
    <w:rsid w:val="00F65C07"/>
    <w:rsid w:val="00F67A2C"/>
    <w:rsid w:val="00F80A81"/>
    <w:rsid w:val="00F83385"/>
    <w:rsid w:val="00F844C2"/>
    <w:rsid w:val="00F8516B"/>
    <w:rsid w:val="00F943E9"/>
    <w:rsid w:val="00F9449A"/>
    <w:rsid w:val="00F95ABF"/>
    <w:rsid w:val="00F95E08"/>
    <w:rsid w:val="00FD27E3"/>
    <w:rsid w:val="00FD5B29"/>
    <w:rsid w:val="00FE4A3E"/>
    <w:rsid w:val="00FF0E62"/>
    <w:rsid w:val="01DB434E"/>
    <w:rsid w:val="025A1A0E"/>
    <w:rsid w:val="03253C4A"/>
    <w:rsid w:val="03F970F0"/>
    <w:rsid w:val="05B347DC"/>
    <w:rsid w:val="06C47A51"/>
    <w:rsid w:val="06E835F7"/>
    <w:rsid w:val="07E778CA"/>
    <w:rsid w:val="08CA67DF"/>
    <w:rsid w:val="08F576CB"/>
    <w:rsid w:val="09CE61EB"/>
    <w:rsid w:val="0A4866D0"/>
    <w:rsid w:val="0A794129"/>
    <w:rsid w:val="0A8E6F0E"/>
    <w:rsid w:val="0A9A38CE"/>
    <w:rsid w:val="0B0010DA"/>
    <w:rsid w:val="0B4C6956"/>
    <w:rsid w:val="0BAC12EB"/>
    <w:rsid w:val="0CAE38C3"/>
    <w:rsid w:val="0D8116DE"/>
    <w:rsid w:val="0D9065DF"/>
    <w:rsid w:val="0DF52C1B"/>
    <w:rsid w:val="0E274A96"/>
    <w:rsid w:val="0E4D3374"/>
    <w:rsid w:val="0EB217EF"/>
    <w:rsid w:val="0F3930AA"/>
    <w:rsid w:val="0FDD387F"/>
    <w:rsid w:val="0FE557E4"/>
    <w:rsid w:val="10085E52"/>
    <w:rsid w:val="11623F9C"/>
    <w:rsid w:val="13CC49C6"/>
    <w:rsid w:val="14407B2F"/>
    <w:rsid w:val="14D972B5"/>
    <w:rsid w:val="14EC08FF"/>
    <w:rsid w:val="151E2293"/>
    <w:rsid w:val="156E75B8"/>
    <w:rsid w:val="159627BF"/>
    <w:rsid w:val="15AC6033"/>
    <w:rsid w:val="1600080D"/>
    <w:rsid w:val="16E3391D"/>
    <w:rsid w:val="1769612C"/>
    <w:rsid w:val="176C0E13"/>
    <w:rsid w:val="17E111D2"/>
    <w:rsid w:val="18B063A0"/>
    <w:rsid w:val="19DE0663"/>
    <w:rsid w:val="1A6627AB"/>
    <w:rsid w:val="1A8C3E4C"/>
    <w:rsid w:val="1AC14286"/>
    <w:rsid w:val="1ADA0CB9"/>
    <w:rsid w:val="1BB07F17"/>
    <w:rsid w:val="1C063260"/>
    <w:rsid w:val="1C834951"/>
    <w:rsid w:val="1CE276BD"/>
    <w:rsid w:val="1D004958"/>
    <w:rsid w:val="1D726CFF"/>
    <w:rsid w:val="1EB9143E"/>
    <w:rsid w:val="1F0E36CA"/>
    <w:rsid w:val="203866A1"/>
    <w:rsid w:val="206742E9"/>
    <w:rsid w:val="2119095A"/>
    <w:rsid w:val="21421D01"/>
    <w:rsid w:val="21784572"/>
    <w:rsid w:val="217D427D"/>
    <w:rsid w:val="220075A0"/>
    <w:rsid w:val="223B5597"/>
    <w:rsid w:val="22F50FD7"/>
    <w:rsid w:val="238F41BA"/>
    <w:rsid w:val="24515E5B"/>
    <w:rsid w:val="25182619"/>
    <w:rsid w:val="26166079"/>
    <w:rsid w:val="26817818"/>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DF806F1"/>
    <w:rsid w:val="2E1F624B"/>
    <w:rsid w:val="2E7653E1"/>
    <w:rsid w:val="2F3A012D"/>
    <w:rsid w:val="2FFD3C00"/>
    <w:rsid w:val="30D23E37"/>
    <w:rsid w:val="30E64908"/>
    <w:rsid w:val="30F03510"/>
    <w:rsid w:val="32D53070"/>
    <w:rsid w:val="3427237C"/>
    <w:rsid w:val="343B2BE1"/>
    <w:rsid w:val="343C7DB6"/>
    <w:rsid w:val="3459349C"/>
    <w:rsid w:val="350E4C40"/>
    <w:rsid w:val="35254EA4"/>
    <w:rsid w:val="358E19EB"/>
    <w:rsid w:val="35DC23A2"/>
    <w:rsid w:val="375271E8"/>
    <w:rsid w:val="37B71904"/>
    <w:rsid w:val="3945175B"/>
    <w:rsid w:val="39D40903"/>
    <w:rsid w:val="3A4820C8"/>
    <w:rsid w:val="3A4C2479"/>
    <w:rsid w:val="3AC55F82"/>
    <w:rsid w:val="3C526FDA"/>
    <w:rsid w:val="3E052E0D"/>
    <w:rsid w:val="3E0C767D"/>
    <w:rsid w:val="3E9D677D"/>
    <w:rsid w:val="3EDE5F9D"/>
    <w:rsid w:val="3F4D647A"/>
    <w:rsid w:val="3F557D77"/>
    <w:rsid w:val="3F653ECD"/>
    <w:rsid w:val="3FB35C3B"/>
    <w:rsid w:val="40B1193E"/>
    <w:rsid w:val="40C5430D"/>
    <w:rsid w:val="40EF27CC"/>
    <w:rsid w:val="41145E73"/>
    <w:rsid w:val="41A24648"/>
    <w:rsid w:val="42B750E0"/>
    <w:rsid w:val="42E171A3"/>
    <w:rsid w:val="43AB669C"/>
    <w:rsid w:val="44C73DB6"/>
    <w:rsid w:val="45C149C9"/>
    <w:rsid w:val="46066264"/>
    <w:rsid w:val="4608522B"/>
    <w:rsid w:val="46170712"/>
    <w:rsid w:val="46C97F82"/>
    <w:rsid w:val="476A20C4"/>
    <w:rsid w:val="48AA550D"/>
    <w:rsid w:val="4BAC51EE"/>
    <w:rsid w:val="4BAF10DD"/>
    <w:rsid w:val="4C536B94"/>
    <w:rsid w:val="4CEF3CF8"/>
    <w:rsid w:val="4E1B15A0"/>
    <w:rsid w:val="4E841886"/>
    <w:rsid w:val="51025EEC"/>
    <w:rsid w:val="51773CFC"/>
    <w:rsid w:val="525C2B2E"/>
    <w:rsid w:val="52C94CED"/>
    <w:rsid w:val="52CB4273"/>
    <w:rsid w:val="52D80B47"/>
    <w:rsid w:val="5477406D"/>
    <w:rsid w:val="55272503"/>
    <w:rsid w:val="554B55F7"/>
    <w:rsid w:val="559558C2"/>
    <w:rsid w:val="561079F0"/>
    <w:rsid w:val="56362A84"/>
    <w:rsid w:val="566A5FED"/>
    <w:rsid w:val="56BD391A"/>
    <w:rsid w:val="56D47987"/>
    <w:rsid w:val="56E35A9C"/>
    <w:rsid w:val="58140E50"/>
    <w:rsid w:val="59120F59"/>
    <w:rsid w:val="591D3BA7"/>
    <w:rsid w:val="596E7B6E"/>
    <w:rsid w:val="5A826B2E"/>
    <w:rsid w:val="5AA9798C"/>
    <w:rsid w:val="5B244A5A"/>
    <w:rsid w:val="5B621989"/>
    <w:rsid w:val="5B74382F"/>
    <w:rsid w:val="5BE05BAB"/>
    <w:rsid w:val="5C691376"/>
    <w:rsid w:val="5C7134DE"/>
    <w:rsid w:val="5C8C6A48"/>
    <w:rsid w:val="5CAF735A"/>
    <w:rsid w:val="5D5820EE"/>
    <w:rsid w:val="5E352002"/>
    <w:rsid w:val="5E8C3D9E"/>
    <w:rsid w:val="5F1C7AED"/>
    <w:rsid w:val="5F90413A"/>
    <w:rsid w:val="60565855"/>
    <w:rsid w:val="60CA64EE"/>
    <w:rsid w:val="60F56473"/>
    <w:rsid w:val="60F86FD4"/>
    <w:rsid w:val="610A4B5F"/>
    <w:rsid w:val="616E4CF3"/>
    <w:rsid w:val="61C663C7"/>
    <w:rsid w:val="61ED3E3C"/>
    <w:rsid w:val="6235073D"/>
    <w:rsid w:val="633B3EAB"/>
    <w:rsid w:val="63B35027"/>
    <w:rsid w:val="63CC1250"/>
    <w:rsid w:val="647916AF"/>
    <w:rsid w:val="64B31810"/>
    <w:rsid w:val="650D1C96"/>
    <w:rsid w:val="6514181E"/>
    <w:rsid w:val="6518479E"/>
    <w:rsid w:val="65853E6F"/>
    <w:rsid w:val="6642520A"/>
    <w:rsid w:val="66882038"/>
    <w:rsid w:val="66CC144B"/>
    <w:rsid w:val="670C48D1"/>
    <w:rsid w:val="67236075"/>
    <w:rsid w:val="67457E5B"/>
    <w:rsid w:val="67531B48"/>
    <w:rsid w:val="688641BC"/>
    <w:rsid w:val="69FA48EF"/>
    <w:rsid w:val="6AB32E4C"/>
    <w:rsid w:val="6B237D0E"/>
    <w:rsid w:val="6BD13AA0"/>
    <w:rsid w:val="6C965D84"/>
    <w:rsid w:val="6D463EAF"/>
    <w:rsid w:val="6E762474"/>
    <w:rsid w:val="6F91651F"/>
    <w:rsid w:val="6FA96611"/>
    <w:rsid w:val="71EB3F0D"/>
    <w:rsid w:val="72F15351"/>
    <w:rsid w:val="73727048"/>
    <w:rsid w:val="73AC73AC"/>
    <w:rsid w:val="742A7635"/>
    <w:rsid w:val="749123F0"/>
    <w:rsid w:val="74FF5FC2"/>
    <w:rsid w:val="76173E55"/>
    <w:rsid w:val="76731A9E"/>
    <w:rsid w:val="767F5B5B"/>
    <w:rsid w:val="773B0D0D"/>
    <w:rsid w:val="77CA4249"/>
    <w:rsid w:val="78412583"/>
    <w:rsid w:val="7855496E"/>
    <w:rsid w:val="78B52F60"/>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2">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Body Text First Indent 2"/>
    <w:basedOn w:val="7"/>
    <w:next w:val="1"/>
    <w:qFormat/>
    <w:uiPriority w:val="99"/>
    <w:pPr>
      <w:ind w:firstLine="420" w:firstLineChars="2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hAnsi="宋体" w:cs="宋体"/>
      <w:sz w:val="24"/>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table" w:styleId="19">
    <w:name w:val="Table Grid"/>
    <w:basedOn w:val="1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hover25"/>
    <w:basedOn w:val="13"/>
    <w:qFormat/>
    <w:uiPriority w:val="0"/>
  </w:style>
  <w:style w:type="character" w:customStyle="1" w:styleId="27">
    <w:name w:val="green"/>
    <w:basedOn w:val="13"/>
    <w:qFormat/>
    <w:uiPriority w:val="0"/>
    <w:rPr>
      <w:color w:val="66AE00"/>
      <w:sz w:val="18"/>
      <w:szCs w:val="18"/>
    </w:rPr>
  </w:style>
  <w:style w:type="character" w:customStyle="1" w:styleId="28">
    <w:name w:val="green1"/>
    <w:basedOn w:val="13"/>
    <w:qFormat/>
    <w:uiPriority w:val="0"/>
    <w:rPr>
      <w:color w:val="66AE00"/>
      <w:sz w:val="18"/>
      <w:szCs w:val="18"/>
    </w:rPr>
  </w:style>
  <w:style w:type="character" w:customStyle="1" w:styleId="29">
    <w:name w:val="blue"/>
    <w:basedOn w:val="13"/>
    <w:qFormat/>
    <w:uiPriority w:val="0"/>
    <w:rPr>
      <w:color w:val="0371C6"/>
      <w:sz w:val="21"/>
      <w:szCs w:val="21"/>
    </w:rPr>
  </w:style>
  <w:style w:type="character" w:customStyle="1" w:styleId="30">
    <w:name w:val="gb-jt"/>
    <w:basedOn w:val="13"/>
    <w:qFormat/>
    <w:uiPriority w:val="0"/>
  </w:style>
  <w:style w:type="character" w:customStyle="1" w:styleId="31">
    <w:name w:val="right"/>
    <w:basedOn w:val="13"/>
    <w:qFormat/>
    <w:uiPriority w:val="0"/>
    <w:rPr>
      <w:color w:val="999999"/>
      <w:sz w:val="18"/>
      <w:szCs w:val="18"/>
    </w:rPr>
  </w:style>
  <w:style w:type="character" w:customStyle="1" w:styleId="32">
    <w:name w:val="标题 2 Char"/>
    <w:basedOn w:val="13"/>
    <w:link w:val="2"/>
    <w:semiHidden/>
    <w:qFormat/>
    <w:uiPriority w:val="0"/>
    <w:rPr>
      <w:rFonts w:asciiTheme="majorHAnsi" w:hAnsiTheme="majorHAnsi" w:eastAsiaTheme="majorEastAsia" w:cstheme="majorBidi"/>
      <w:b/>
      <w:bCs/>
      <w:sz w:val="32"/>
      <w:szCs w:val="32"/>
    </w:rPr>
  </w:style>
  <w:style w:type="character" w:customStyle="1" w:styleId="33">
    <w:name w:val="批注框文本 Char"/>
    <w:basedOn w:val="13"/>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5649</Words>
  <Characters>32203</Characters>
  <Lines>268</Lines>
  <Paragraphs>75</Paragraphs>
  <TotalTime>5</TotalTime>
  <ScaleCrop>false</ScaleCrop>
  <LinksUpToDate>false</LinksUpToDate>
  <CharactersWithSpaces>37777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河南建标工程管理有限公司:姚争妍1</cp:lastModifiedBy>
  <cp:lastPrinted>2020-04-22T03:35:00Z</cp:lastPrinted>
  <dcterms:modified xsi:type="dcterms:W3CDTF">2020-04-22T09:31:41Z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