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ascii="黑体" w:hAnsi="黑体" w:eastAsia="黑体" w:cs="黑体"/>
          <w:b/>
          <w:sz w:val="52"/>
          <w:szCs w:val="52"/>
        </w:rPr>
      </w:pPr>
      <w:r>
        <w:rPr>
          <w:rFonts w:hint="eastAsia" w:ascii="黑体" w:hAnsi="黑体" w:eastAsia="黑体" w:cs="黑体"/>
          <w:b/>
          <w:sz w:val="52"/>
          <w:szCs w:val="52"/>
        </w:rPr>
        <w:t>阳光大道（西外环-延安路）改造工程</w:t>
      </w:r>
    </w:p>
    <w:p>
      <w:pPr>
        <w:autoSpaceDE w:val="0"/>
        <w:autoSpaceDN w:val="0"/>
        <w:adjustRightInd w:val="0"/>
        <w:jc w:val="center"/>
        <w:rPr>
          <w:rFonts w:ascii="黑体" w:hAnsi="黑体" w:eastAsia="黑体" w:cs="黑体"/>
          <w:b/>
          <w:sz w:val="52"/>
          <w:szCs w:val="52"/>
        </w:rPr>
      </w:pPr>
      <w:r>
        <w:rPr>
          <w:rFonts w:hint="eastAsia" w:ascii="黑体" w:hAnsi="黑体" w:eastAsia="黑体" w:cs="黑体"/>
          <w:b/>
          <w:sz w:val="52"/>
          <w:szCs w:val="52"/>
        </w:rPr>
        <w:t>（不见面开标）</w:t>
      </w:r>
    </w:p>
    <w:p>
      <w:pPr>
        <w:autoSpaceDE w:val="0"/>
        <w:autoSpaceDN w:val="0"/>
        <w:adjustRightInd w:val="0"/>
        <w:jc w:val="center"/>
        <w:rPr>
          <w:rFonts w:ascii="黑体" w:hAnsi="黑体" w:eastAsia="黑体" w:cs="黑体"/>
          <w:b/>
          <w:sz w:val="56"/>
          <w:szCs w:val="48"/>
        </w:rPr>
      </w:pPr>
    </w:p>
    <w:p>
      <w:pPr>
        <w:autoSpaceDE w:val="0"/>
        <w:autoSpaceDN w:val="0"/>
        <w:adjustRightInd w:val="0"/>
        <w:rPr>
          <w:rFonts w:hAnsi="宋体" w:cs="宋体"/>
          <w:b/>
          <w:spacing w:val="60"/>
          <w:szCs w:val="21"/>
        </w:rPr>
      </w:pPr>
    </w:p>
    <w:p>
      <w:pPr>
        <w:autoSpaceDE w:val="0"/>
        <w:autoSpaceDN w:val="0"/>
        <w:adjustRightInd w:val="0"/>
        <w:jc w:val="center"/>
        <w:rPr>
          <w:rFonts w:hAnsi="宋体" w:cs="宋体"/>
          <w:b/>
          <w:sz w:val="72"/>
          <w:szCs w:val="72"/>
        </w:rPr>
      </w:pPr>
      <w:r>
        <w:rPr>
          <w:rFonts w:hint="eastAsia" w:hAnsi="宋体" w:cs="宋体"/>
          <w:b/>
          <w:sz w:val="72"/>
          <w:szCs w:val="72"/>
        </w:rPr>
        <w:t xml:space="preserve"> 施工招标文件</w:t>
      </w:r>
    </w:p>
    <w:p>
      <w:pPr>
        <w:autoSpaceDE w:val="0"/>
        <w:autoSpaceDN w:val="0"/>
        <w:adjustRightInd w:val="0"/>
        <w:rPr>
          <w:rFonts w:hAnsi="宋体" w:cs="宋体"/>
          <w:b/>
          <w:sz w:val="40"/>
          <w:szCs w:val="40"/>
        </w:rPr>
      </w:pPr>
      <w:r>
        <w:rPr>
          <w:rFonts w:hint="eastAsia" w:hAnsi="宋体" w:cs="宋体"/>
          <w:b/>
          <w:sz w:val="40"/>
          <w:szCs w:val="40"/>
        </w:rPr>
        <w:t xml:space="preserve">           </w:t>
      </w:r>
    </w:p>
    <w:p>
      <w:pPr>
        <w:autoSpaceDE w:val="0"/>
        <w:autoSpaceDN w:val="0"/>
        <w:adjustRightInd w:val="0"/>
        <w:ind w:firstLine="2880" w:firstLineChars="800"/>
        <w:rPr>
          <w:rFonts w:hint="default" w:hAnsi="宋体" w:cs="宋体" w:eastAsiaTheme="minorEastAsia"/>
          <w:b/>
          <w:sz w:val="36"/>
          <w:szCs w:val="36"/>
          <w:lang w:val="en-US" w:eastAsia="zh-CN"/>
        </w:rPr>
      </w:pPr>
      <w:r>
        <w:rPr>
          <w:rFonts w:hint="eastAsia" w:hAnsi="宋体" w:cs="宋体"/>
          <w:b/>
          <w:sz w:val="36"/>
          <w:szCs w:val="36"/>
        </w:rPr>
        <w:t>项目编号：XCGC-F2020</w:t>
      </w:r>
      <w:r>
        <w:rPr>
          <w:rFonts w:hint="eastAsia" w:hAnsi="宋体" w:cs="宋体"/>
          <w:b/>
          <w:sz w:val="36"/>
          <w:szCs w:val="36"/>
          <w:lang w:val="en-US" w:eastAsia="zh-CN"/>
        </w:rPr>
        <w:t>087</w:t>
      </w:r>
    </w:p>
    <w:p>
      <w:pPr>
        <w:autoSpaceDE w:val="0"/>
        <w:autoSpaceDN w:val="0"/>
        <w:adjustRightInd w:val="0"/>
        <w:rPr>
          <w:rFonts w:hAnsi="宋体" w:cs="宋体"/>
          <w:b/>
          <w:sz w:val="32"/>
          <w:szCs w:val="32"/>
        </w:rPr>
      </w:pPr>
    </w:p>
    <w:p>
      <w:pPr>
        <w:pStyle w:val="17"/>
        <w:tabs>
          <w:tab w:val="left" w:pos="1980"/>
        </w:tabs>
        <w:spacing w:line="1000" w:lineRule="exact"/>
        <w:rPr>
          <w:rFonts w:hAnsi="宋体"/>
          <w:b/>
          <w:color w:val="auto"/>
          <w:sz w:val="32"/>
          <w:szCs w:val="32"/>
        </w:rPr>
      </w:pPr>
    </w:p>
    <w:p>
      <w:pPr>
        <w:pStyle w:val="17"/>
        <w:tabs>
          <w:tab w:val="left" w:pos="1980"/>
        </w:tabs>
        <w:spacing w:line="1000" w:lineRule="exact"/>
        <w:rPr>
          <w:rFonts w:hAnsi="宋体"/>
          <w:b/>
          <w:color w:val="auto"/>
          <w:sz w:val="32"/>
          <w:szCs w:val="32"/>
        </w:rPr>
      </w:pPr>
    </w:p>
    <w:p>
      <w:pPr>
        <w:pStyle w:val="17"/>
        <w:tabs>
          <w:tab w:val="left" w:pos="1980"/>
        </w:tabs>
        <w:spacing w:line="1000" w:lineRule="exact"/>
        <w:rPr>
          <w:rFonts w:hAnsi="宋体"/>
          <w:b/>
          <w:color w:val="auto"/>
          <w:sz w:val="32"/>
          <w:szCs w:val="32"/>
        </w:rPr>
      </w:pPr>
    </w:p>
    <w:p>
      <w:pPr>
        <w:pStyle w:val="17"/>
        <w:tabs>
          <w:tab w:val="left" w:pos="1980"/>
        </w:tabs>
        <w:spacing w:line="1000" w:lineRule="exact"/>
        <w:rPr>
          <w:rFonts w:hAnsi="宋体"/>
          <w:b/>
          <w:color w:val="auto"/>
          <w:sz w:val="32"/>
          <w:szCs w:val="32"/>
        </w:rPr>
      </w:pPr>
    </w:p>
    <w:p>
      <w:pPr>
        <w:pStyle w:val="17"/>
        <w:tabs>
          <w:tab w:val="left" w:pos="1980"/>
        </w:tabs>
        <w:spacing w:line="1000" w:lineRule="exact"/>
        <w:ind w:firstLine="1120" w:firstLineChars="400"/>
        <w:rPr>
          <w:rFonts w:hAnsi="宋体" w:eastAsia="宋体"/>
          <w:b/>
          <w:color w:val="auto"/>
          <w:sz w:val="28"/>
          <w:szCs w:val="32"/>
        </w:rPr>
      </w:pPr>
      <w:r>
        <w:rPr>
          <w:rFonts w:hint="eastAsia" w:hAnsi="宋体" w:eastAsia="宋体"/>
          <w:b/>
          <w:color w:val="auto"/>
          <w:sz w:val="28"/>
          <w:szCs w:val="32"/>
        </w:rPr>
        <w:t>招 标 人：许昌经济技术开发区住房建设城市管理与环境保护局</w:t>
      </w:r>
    </w:p>
    <w:p>
      <w:pPr>
        <w:pStyle w:val="17"/>
        <w:tabs>
          <w:tab w:val="left" w:pos="1980"/>
        </w:tabs>
        <w:spacing w:line="1000" w:lineRule="exact"/>
        <w:ind w:firstLine="1120" w:firstLineChars="400"/>
        <w:rPr>
          <w:rFonts w:hAnsi="宋体" w:eastAsia="宋体"/>
          <w:b/>
          <w:color w:val="auto"/>
          <w:sz w:val="28"/>
          <w:szCs w:val="32"/>
        </w:rPr>
      </w:pPr>
      <w:r>
        <w:rPr>
          <w:rFonts w:hint="eastAsia" w:hAnsi="宋体" w:eastAsia="宋体"/>
          <w:b/>
          <w:color w:val="auto"/>
          <w:sz w:val="28"/>
          <w:szCs w:val="32"/>
        </w:rPr>
        <w:t>招标代理机构：许昌宏业工程招标代理有限公司</w:t>
      </w:r>
    </w:p>
    <w:p>
      <w:pPr>
        <w:ind w:firstLine="3465" w:firstLineChars="1083"/>
        <w:rPr>
          <w:rFonts w:hAnsi="宋体" w:cs="宋体"/>
          <w:b/>
          <w:sz w:val="32"/>
          <w:szCs w:val="32"/>
        </w:rPr>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pPr>
    </w:p>
    <w:p>
      <w:pPr>
        <w:ind w:firstLine="4765" w:firstLineChars="1083"/>
        <w:rPr>
          <w:rFonts w:hAnsi="宋体" w:cs="宋体"/>
          <w:b/>
          <w:sz w:val="44"/>
        </w:rPr>
      </w:pPr>
    </w:p>
    <w:p>
      <w:pPr>
        <w:ind w:firstLine="4765" w:firstLineChars="1083"/>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widowControl/>
        <w:jc w:val="center"/>
        <w:rPr>
          <w:rFonts w:hAnsi="宋体" w:cs="宋体"/>
          <w:b/>
          <w:sz w:val="36"/>
          <w:szCs w:val="36"/>
        </w:rPr>
      </w:pPr>
      <w:r>
        <w:rPr>
          <w:rFonts w:hAnsi="宋体" w:cs="宋体"/>
          <w:b/>
          <w:sz w:val="36"/>
          <w:szCs w:val="36"/>
        </w:rPr>
        <w:br w:type="page"/>
      </w:r>
      <w:r>
        <w:rPr>
          <w:rFonts w:hint="eastAsia" w:hAnsi="宋体" w:cs="宋体"/>
          <w:b/>
          <w:sz w:val="36"/>
          <w:szCs w:val="36"/>
        </w:rPr>
        <w:t>第一章  招标公告</w:t>
      </w:r>
    </w:p>
    <w:p>
      <w:pPr>
        <w:autoSpaceDE w:val="0"/>
        <w:autoSpaceDN w:val="0"/>
        <w:adjustRightInd w:val="0"/>
        <w:jc w:val="center"/>
        <w:rPr>
          <w:rFonts w:ascii="黑体" w:hAnsi="黑体" w:eastAsia="黑体" w:cs="黑体"/>
          <w:b/>
          <w:sz w:val="52"/>
          <w:szCs w:val="52"/>
        </w:rPr>
      </w:pPr>
      <w:r>
        <w:rPr>
          <w:rFonts w:hint="eastAsia" w:hAnsi="宋体" w:cs="宋体"/>
          <w:b/>
          <w:sz w:val="30"/>
          <w:szCs w:val="30"/>
        </w:rPr>
        <w:t>XCGC-F2020</w:t>
      </w:r>
      <w:r>
        <w:rPr>
          <w:rFonts w:hint="eastAsia" w:hAnsi="宋体" w:cs="宋体"/>
          <w:b/>
          <w:sz w:val="30"/>
          <w:szCs w:val="30"/>
          <w:lang w:val="en-US" w:eastAsia="zh-CN"/>
        </w:rPr>
        <w:t>087</w:t>
      </w:r>
      <w:r>
        <w:rPr>
          <w:rFonts w:hint="eastAsia" w:hAnsi="宋体" w:cs="宋体"/>
          <w:b/>
          <w:sz w:val="30"/>
          <w:szCs w:val="30"/>
        </w:rPr>
        <w:t>许昌经济技术开发区住房建设城市管理与环境保护局“</w:t>
      </w:r>
      <w:r>
        <w:rPr>
          <w:rFonts w:hint="eastAsia" w:hAnsi="宋体" w:eastAsia="宋体" w:cs="宋体"/>
          <w:b/>
          <w:sz w:val="30"/>
          <w:szCs w:val="30"/>
        </w:rPr>
        <w:t>阳光大道（西外环-延安路）改造工程</w:t>
      </w:r>
      <w:r>
        <w:rPr>
          <w:rFonts w:hint="eastAsia" w:hAnsi="宋体" w:cs="宋体"/>
          <w:b/>
          <w:sz w:val="30"/>
          <w:szCs w:val="30"/>
        </w:rPr>
        <w:t>” （不见面开标）</w:t>
      </w:r>
    </w:p>
    <w:p>
      <w:pPr>
        <w:pStyle w:val="2"/>
        <w:ind w:firstLine="340"/>
      </w:pPr>
    </w:p>
    <w:p>
      <w:pPr>
        <w:spacing w:line="440" w:lineRule="exact"/>
        <w:ind w:firstLine="480" w:firstLineChars="200"/>
        <w:outlineLvl w:val="0"/>
        <w:rPr>
          <w:rFonts w:hAnsi="宋体" w:cs="宋体"/>
          <w:b/>
          <w:sz w:val="24"/>
        </w:rPr>
      </w:pPr>
      <w:r>
        <w:rPr>
          <w:rFonts w:hint="eastAsia" w:hAnsi="宋体" w:cs="宋体"/>
          <w:b/>
          <w:sz w:val="24"/>
        </w:rPr>
        <w:t>1.招标条件</w:t>
      </w:r>
    </w:p>
    <w:p>
      <w:pPr>
        <w:tabs>
          <w:tab w:val="left" w:pos="982"/>
        </w:tabs>
        <w:spacing w:line="440" w:lineRule="exact"/>
        <w:ind w:firstLine="600" w:firstLineChars="250"/>
        <w:jc w:val="left"/>
        <w:rPr>
          <w:rFonts w:hAnsi="宋体" w:eastAsia="宋体" w:cs="宋体"/>
          <w:bCs/>
          <w:sz w:val="24"/>
          <w:szCs w:val="24"/>
        </w:rPr>
      </w:pPr>
      <w:r>
        <w:rPr>
          <w:rFonts w:hint="eastAsia" w:hAnsi="宋体" w:eastAsia="宋体" w:cs="宋体"/>
          <w:bCs/>
          <w:sz w:val="24"/>
          <w:szCs w:val="24"/>
        </w:rPr>
        <w:t>阳光大道（西外环-延安路）改造工程已由许昌经济技术开发区发展改革局以许开发改【2019】50号文件批准建设，招标人为许昌经济技术开发区住房建设城市管理与环境保护局，建设资金为财政资金，项目出资比例为100%。项目已具备招标条件，现对该项目的施工、监理进行公开招标。</w:t>
      </w:r>
    </w:p>
    <w:p>
      <w:pPr>
        <w:tabs>
          <w:tab w:val="left" w:pos="4420"/>
        </w:tabs>
        <w:spacing w:line="44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2.1项目编号：XCGC-F2020</w:t>
      </w:r>
      <w:r>
        <w:rPr>
          <w:rFonts w:hint="eastAsia" w:hAnsi="宋体" w:eastAsia="宋体" w:cs="宋体"/>
          <w:bCs/>
          <w:sz w:val="24"/>
          <w:szCs w:val="24"/>
          <w:lang w:val="en-US" w:eastAsia="zh-CN"/>
        </w:rPr>
        <w:t>087</w:t>
      </w:r>
      <w:r>
        <w:rPr>
          <w:rFonts w:hint="eastAsia" w:hAnsi="宋体" w:eastAsia="宋体" w:cs="宋体"/>
          <w:bCs/>
          <w:sz w:val="24"/>
          <w:szCs w:val="24"/>
        </w:rPr>
        <w:t xml:space="preserve"> </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2.2建设地点：</w:t>
      </w:r>
      <w:r>
        <w:rPr>
          <w:rFonts w:hint="eastAsia"/>
          <w:sz w:val="24"/>
        </w:rPr>
        <w:t>位于</w:t>
      </w:r>
      <w:r>
        <w:rPr>
          <w:rFonts w:hint="eastAsia" w:hAnsi="宋体" w:eastAsia="宋体" w:cs="宋体"/>
          <w:bCs/>
          <w:sz w:val="24"/>
          <w:szCs w:val="24"/>
        </w:rPr>
        <w:t xml:space="preserve">阳光大道（西外环-延安路）段。 </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2.3建设规模：主要拆除两侧机非分车带，将现状三幅路改造为单幅路，更换路缘石、拆除及新建路灯，增加雨水管网，提升改造交通设施、绿化、亮化及新建人行绿道等。</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2.4招标控制价为：一标段：</w:t>
      </w:r>
      <w:r>
        <w:rPr>
          <w:rFonts w:hint="eastAsia"/>
          <w:sz w:val="24"/>
        </w:rPr>
        <w:t>58143968.24</w:t>
      </w:r>
      <w:r>
        <w:rPr>
          <w:rFonts w:hint="eastAsia" w:hAnsi="宋体" w:eastAsia="宋体" w:cs="宋体"/>
          <w:bCs/>
          <w:sz w:val="24"/>
          <w:szCs w:val="24"/>
        </w:rPr>
        <w:t>元，二标段：</w:t>
      </w:r>
      <w:r>
        <w:rPr>
          <w:rFonts w:hint="eastAsia"/>
          <w:sz w:val="24"/>
        </w:rPr>
        <w:t>407000.00</w:t>
      </w:r>
      <w:r>
        <w:rPr>
          <w:rFonts w:hint="eastAsia" w:hAnsi="宋体" w:eastAsia="宋体" w:cs="宋体"/>
          <w:bCs/>
          <w:sz w:val="24"/>
          <w:szCs w:val="24"/>
        </w:rPr>
        <w:t>元。</w:t>
      </w:r>
    </w:p>
    <w:p>
      <w:pPr>
        <w:tabs>
          <w:tab w:val="left" w:pos="982"/>
        </w:tabs>
        <w:spacing w:line="440" w:lineRule="exact"/>
        <w:ind w:firstLine="480" w:firstLineChars="200"/>
        <w:jc w:val="left"/>
        <w:rPr>
          <w:rFonts w:hAnsi="宋体" w:cs="宋体"/>
          <w:bCs/>
          <w:sz w:val="24"/>
        </w:rPr>
      </w:pPr>
      <w:r>
        <w:rPr>
          <w:rFonts w:hint="eastAsia" w:hAnsi="宋体" w:eastAsia="宋体" w:cs="宋体"/>
          <w:bCs/>
          <w:sz w:val="24"/>
          <w:szCs w:val="24"/>
        </w:rPr>
        <w:t>2.5招标范围：施工范围为招标文件、施工图纸、工程量清单、答疑纪要和补充文件（如有）范围内的所有建设内容；</w:t>
      </w:r>
      <w:r>
        <w:rPr>
          <w:rFonts w:hint="eastAsia" w:hAnsi="宋体" w:cs="宋体"/>
          <w:bCs/>
          <w:sz w:val="24"/>
        </w:rPr>
        <w:t xml:space="preserve">监理范围为本项目施工及保修阶段全过程监理工作。 </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2.6标段划分：本项目共划分两个标段，一标段：</w:t>
      </w:r>
      <w:r>
        <w:rPr>
          <w:rFonts w:hint="eastAsia"/>
          <w:sz w:val="24"/>
        </w:rPr>
        <w:t>施工，二标段：监理。</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 xml:space="preserve">2.7计划工期: </w:t>
      </w:r>
      <w:r>
        <w:rPr>
          <w:rFonts w:hint="eastAsia" w:hAnsi="宋体" w:cs="宋体"/>
          <w:bCs/>
          <w:sz w:val="24"/>
        </w:rPr>
        <w:t>施工工期90日历天，监理服务期：同施工工期。</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2.8质量要求：</w:t>
      </w:r>
      <w:r>
        <w:rPr>
          <w:rFonts w:hint="eastAsia" w:hAnsi="宋体" w:cs="宋体"/>
          <w:bCs/>
          <w:sz w:val="24"/>
        </w:rPr>
        <w:t>合格（符合国家现行的验收规范和标准）</w:t>
      </w:r>
      <w:r>
        <w:rPr>
          <w:rFonts w:hint="eastAsia" w:hAnsi="宋体" w:eastAsia="宋体" w:cs="宋体"/>
          <w:bCs/>
          <w:sz w:val="24"/>
          <w:szCs w:val="24"/>
        </w:rPr>
        <w:t>。</w:t>
      </w:r>
    </w:p>
    <w:p>
      <w:pPr>
        <w:spacing w:line="440" w:lineRule="exact"/>
        <w:outlineLvl w:val="0"/>
        <w:rPr>
          <w:rFonts w:hAnsi="宋体" w:cs="宋体"/>
          <w:b/>
          <w:sz w:val="24"/>
          <w:szCs w:val="24"/>
        </w:rPr>
      </w:pPr>
      <w:r>
        <w:rPr>
          <w:rFonts w:hint="eastAsia" w:hAnsi="宋体" w:cs="宋体"/>
          <w:b/>
          <w:sz w:val="24"/>
          <w:szCs w:val="24"/>
        </w:rPr>
        <w:t>3.投标人资格要求</w:t>
      </w:r>
    </w:p>
    <w:p>
      <w:pPr>
        <w:tabs>
          <w:tab w:val="left" w:pos="982"/>
        </w:tabs>
        <w:spacing w:line="440" w:lineRule="exact"/>
        <w:ind w:firstLine="480" w:firstLineChars="200"/>
        <w:jc w:val="left"/>
        <w:rPr>
          <w:rFonts w:hAnsi="宋体" w:cs="宋体"/>
          <w:bCs/>
          <w:sz w:val="24"/>
        </w:rPr>
      </w:pPr>
      <w:r>
        <w:rPr>
          <w:rFonts w:hint="eastAsia" w:hAnsi="宋体" w:eastAsia="宋体" w:cs="宋体"/>
          <w:bCs/>
          <w:sz w:val="24"/>
          <w:szCs w:val="24"/>
        </w:rPr>
        <w:t>3.1</w:t>
      </w:r>
      <w:r>
        <w:rPr>
          <w:rFonts w:hint="eastAsia" w:hAnsi="宋体" w:cs="宋体"/>
          <w:bCs/>
          <w:sz w:val="24"/>
        </w:rPr>
        <w:t>投标人须具有市政公用工程施工总承包一级以上（含一级）企业资质，具有有效的安全生产许可证的独立法人企业，并在人员、设备、资金等方面具有相应的施工能力。拟派项目负责人具有一级及以上市政公用工程专业注册建造师执业资格和有效的安全生产考核合格证，且未担任其它在施建设工程的项目负责人。</w:t>
      </w:r>
    </w:p>
    <w:p>
      <w:pPr>
        <w:tabs>
          <w:tab w:val="left" w:pos="982"/>
        </w:tabs>
        <w:spacing w:line="440" w:lineRule="exact"/>
        <w:ind w:firstLine="480" w:firstLineChars="200"/>
        <w:jc w:val="left"/>
        <w:rPr>
          <w:rFonts w:hAnsi="宋体" w:cs="宋体"/>
          <w:bCs/>
          <w:sz w:val="24"/>
        </w:rPr>
      </w:pPr>
      <w:r>
        <w:rPr>
          <w:rFonts w:hint="eastAsia" w:hAnsi="宋体" w:cs="宋体"/>
          <w:bCs/>
          <w:sz w:val="24"/>
        </w:rPr>
        <w:t>监理标：投标人应具有独立法人资格，须具备建设行政主管部门颁发的市政公用工程监理乙级及以上资质。拟派总监理工程师具有市政工程专业注册监理工程师资格。</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 xml:space="preserve"> 3.3本次招标不接受联合体投标。</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 xml:space="preserve"> 3.4本次招标实行资格后审。</w:t>
      </w:r>
    </w:p>
    <w:p>
      <w:pPr>
        <w:spacing w:line="440" w:lineRule="exact"/>
        <w:outlineLvl w:val="0"/>
        <w:rPr>
          <w:rFonts w:hAnsi="宋体"/>
          <w:b/>
          <w:sz w:val="24"/>
          <w:szCs w:val="24"/>
        </w:rPr>
      </w:pPr>
      <w:r>
        <w:rPr>
          <w:rFonts w:hint="eastAsia" w:hAnsi="宋体"/>
          <w:b/>
          <w:sz w:val="24"/>
          <w:szCs w:val="24"/>
        </w:rPr>
        <w:t>4.网上下载招标文件</w:t>
      </w:r>
    </w:p>
    <w:p>
      <w:pPr>
        <w:pStyle w:val="9"/>
        <w:wordWrap w:val="0"/>
        <w:spacing w:beforeAutospacing="0" w:afterAutospacing="0" w:line="44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9"/>
        <w:wordWrap w:val="0"/>
        <w:spacing w:beforeAutospacing="0" w:afterAutospacing="0" w:line="44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440" w:lineRule="exact"/>
        <w:outlineLvl w:val="0"/>
        <w:rPr>
          <w:rFonts w:hAnsi="宋体"/>
          <w:b/>
          <w:sz w:val="24"/>
          <w:szCs w:val="24"/>
        </w:rPr>
      </w:pPr>
      <w:r>
        <w:rPr>
          <w:rFonts w:hint="eastAsia" w:hAnsi="宋体"/>
          <w:b/>
          <w:sz w:val="24"/>
          <w:szCs w:val="24"/>
        </w:rPr>
        <w:t>5.招标文件和施工图纸的获取</w:t>
      </w:r>
    </w:p>
    <w:p>
      <w:pPr>
        <w:pStyle w:val="9"/>
        <w:wordWrap w:val="0"/>
        <w:spacing w:beforeAutospacing="0" w:afterAutospacing="0" w:line="440" w:lineRule="exact"/>
        <w:ind w:firstLine="480" w:firstLineChars="200"/>
        <w:rPr>
          <w:rFonts w:cs="Times New Roman"/>
          <w:szCs w:val="24"/>
        </w:rPr>
      </w:pPr>
      <w:r>
        <w:rPr>
          <w:rFonts w:hint="eastAsia" w:cs="Times New Roman"/>
          <w:szCs w:val="24"/>
        </w:rPr>
        <w:t>5.1招标文件的获取：投标人于投标文件递交截止时间前均可登录《全国公共资源交易平台(河南省</w:t>
      </w:r>
      <w:r>
        <w:rPr>
          <w:rFonts w:hint="eastAsia" w:ascii="MS Mincho" w:hAnsi="MS Mincho" w:eastAsia="MS Mincho" w:cs="MS Mincho"/>
          <w:szCs w:val="24"/>
        </w:rPr>
        <w:t>▪</w:t>
      </w:r>
      <w:r>
        <w:rPr>
          <w:rFonts w:hint="eastAsia" w:eastAsia="宋体"/>
          <w:szCs w:val="24"/>
        </w:rPr>
        <w:t>许昌市</w:t>
      </w:r>
      <w:r>
        <w:rPr>
          <w:rFonts w:hint="eastAsia" w:cs="Times New Roman"/>
          <w:szCs w:val="24"/>
        </w:rPr>
        <w:t>)》（http://www.xcggzy.gov.cn/），通过“投标人/供应商登录” 入口自行下载。</w:t>
      </w:r>
    </w:p>
    <w:p>
      <w:pPr>
        <w:pStyle w:val="9"/>
        <w:wordWrap w:val="0"/>
        <w:spacing w:beforeAutospacing="0" w:afterAutospacing="0" w:line="440" w:lineRule="exact"/>
        <w:ind w:firstLine="480" w:firstLineChars="200"/>
        <w:rPr>
          <w:rFonts w:cs="Times New Roman"/>
          <w:szCs w:val="24"/>
        </w:rPr>
      </w:pPr>
      <w:r>
        <w:rPr>
          <w:rFonts w:hint="eastAsia" w:cs="Times New Roman"/>
          <w:szCs w:val="24"/>
        </w:rPr>
        <w:t>5.2施工图纸下载：按照施工招标文件中第二章投标人须知前附表第2.1项自行下载。</w:t>
      </w:r>
    </w:p>
    <w:p>
      <w:pPr>
        <w:pStyle w:val="9"/>
        <w:wordWrap w:val="0"/>
        <w:spacing w:beforeAutospacing="0" w:afterAutospacing="0" w:line="440" w:lineRule="exact"/>
        <w:ind w:firstLine="480" w:firstLineChars="200"/>
        <w:rPr>
          <w:rFonts w:cs="Times New Roman"/>
          <w:szCs w:val="24"/>
        </w:rPr>
      </w:pPr>
      <w:r>
        <w:rPr>
          <w:rFonts w:hint="eastAsia" w:cs="Times New Roman"/>
          <w:szCs w:val="24"/>
        </w:rPr>
        <w:t>5.3招标文件每套售价300元/标段，投标人于开标结束后转账至支付宝账户：13598978466（转账时请备注项目编号、所属标段及公司名称）。</w:t>
      </w:r>
    </w:p>
    <w:p>
      <w:pPr>
        <w:autoSpaceDE w:val="0"/>
        <w:autoSpaceDN w:val="0"/>
        <w:adjustRightInd w:val="0"/>
        <w:spacing w:line="440" w:lineRule="exact"/>
        <w:jc w:val="left"/>
        <w:rPr>
          <w:rFonts w:hAnsi="宋体" w:cs="宋体"/>
          <w:b/>
          <w:bCs/>
          <w:sz w:val="24"/>
        </w:rPr>
      </w:pPr>
      <w:r>
        <w:rPr>
          <w:rFonts w:hint="eastAsia" w:hAnsi="宋体" w:cs="宋体"/>
          <w:b/>
          <w:bCs/>
          <w:sz w:val="24"/>
        </w:rPr>
        <w:t>6.投标文件的提交</w:t>
      </w:r>
    </w:p>
    <w:p>
      <w:pPr>
        <w:pStyle w:val="9"/>
        <w:wordWrap w:val="0"/>
        <w:spacing w:beforeAutospacing="0" w:afterAutospacing="0" w:line="440" w:lineRule="exact"/>
        <w:ind w:firstLine="480" w:firstLineChars="200"/>
        <w:rPr>
          <w:rFonts w:cs="Times New Roman"/>
          <w:szCs w:val="24"/>
        </w:rPr>
      </w:pPr>
      <w:r>
        <w:rPr>
          <w:rFonts w:cs="Times New Roman"/>
          <w:szCs w:val="24"/>
        </w:rPr>
        <w:t>6</w:t>
      </w:r>
      <w:r>
        <w:rPr>
          <w:rFonts w:hint="eastAsia" w:cs="Times New Roman"/>
          <w:szCs w:val="24"/>
        </w:rPr>
        <w:t>.1 本项目为全流程电子化交易项目，投标人应按规定在投标截止时间（同开标时间）前通过《全国公共资源交易平台(河南省</w:t>
      </w:r>
      <w:r>
        <w:rPr>
          <w:rFonts w:hint="eastAsia" w:ascii="MS Mincho" w:hAnsi="MS Mincho" w:eastAsia="MS Mincho" w:cs="MS Mincho"/>
          <w:szCs w:val="24"/>
        </w:rPr>
        <w:t>▪</w:t>
      </w:r>
      <w:r>
        <w:rPr>
          <w:rFonts w:hint="eastAsia" w:eastAsia="宋体"/>
          <w:szCs w:val="24"/>
        </w:rPr>
        <w:t>许昌市</w:t>
      </w:r>
      <w:r>
        <w:rPr>
          <w:rFonts w:hint="eastAsia" w:cs="Times New Roman"/>
          <w:szCs w:val="24"/>
        </w:rPr>
        <w:t>)》公共资源交易系统成功上传本项目加密电子投标文件。</w:t>
      </w:r>
    </w:p>
    <w:p>
      <w:pPr>
        <w:pStyle w:val="9"/>
        <w:wordWrap w:val="0"/>
        <w:spacing w:beforeAutospacing="0" w:afterAutospacing="0" w:line="440" w:lineRule="exact"/>
        <w:ind w:firstLine="480" w:firstLineChars="200"/>
        <w:rPr>
          <w:rFonts w:cs="Times New Roman"/>
          <w:szCs w:val="24"/>
        </w:rPr>
      </w:pPr>
      <w:r>
        <w:rPr>
          <w:rFonts w:hint="eastAsia" w:cs="Times New Roman"/>
          <w:szCs w:val="24"/>
        </w:rPr>
        <w:t>6.2 投标截止时间及开标时间：2020年5月19日 08 时 30 分。</w:t>
      </w:r>
    </w:p>
    <w:p>
      <w:pPr>
        <w:pStyle w:val="9"/>
        <w:wordWrap w:val="0"/>
        <w:spacing w:beforeAutospacing="0" w:afterAutospacing="0" w:line="440" w:lineRule="exact"/>
        <w:ind w:firstLine="480" w:firstLineChars="200"/>
        <w:rPr>
          <w:rFonts w:cs="Times New Roman"/>
          <w:szCs w:val="24"/>
        </w:rPr>
      </w:pPr>
      <w:r>
        <w:rPr>
          <w:rFonts w:hint="eastAsia" w:cs="Times New Roman"/>
          <w:szCs w:val="24"/>
        </w:rPr>
        <w:t>6.3招标人（代理机构）线上开标地点：许昌市公共资源交易中心（龙兴路与竹林路交汇处创业服务中心C 座）三楼开标</w:t>
      </w:r>
      <w:r>
        <w:rPr>
          <w:rFonts w:hint="eastAsia" w:cs="Times New Roman"/>
          <w:szCs w:val="24"/>
          <w:u w:val="single"/>
        </w:rPr>
        <w:t xml:space="preserve"> 一 </w:t>
      </w:r>
      <w:r>
        <w:rPr>
          <w:rFonts w:hint="eastAsia" w:cs="Times New Roman"/>
          <w:szCs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pStyle w:val="9"/>
        <w:wordWrap w:val="0"/>
        <w:spacing w:beforeAutospacing="0" w:afterAutospacing="0" w:line="440" w:lineRule="exact"/>
        <w:ind w:firstLine="480" w:firstLineChars="200"/>
        <w:rPr>
          <w:rFonts w:cs="Times New Roman"/>
          <w:szCs w:val="24"/>
        </w:rPr>
      </w:pPr>
      <w:r>
        <w:rPr>
          <w:rFonts w:hint="eastAsia" w:cs="Times New Roman"/>
          <w:szCs w:val="24"/>
        </w:rPr>
        <w:t>6.4逾期送达（未成功上传）的或者未按规定解密的电子投标文件，招标人不予受理。</w:t>
      </w:r>
    </w:p>
    <w:p>
      <w:pPr>
        <w:spacing w:line="440" w:lineRule="exact"/>
        <w:outlineLvl w:val="0"/>
        <w:rPr>
          <w:rFonts w:hAnsi="宋体" w:cs="宋体"/>
          <w:b/>
          <w:sz w:val="24"/>
          <w:szCs w:val="24"/>
        </w:rPr>
      </w:pPr>
      <w:r>
        <w:rPr>
          <w:rFonts w:hint="eastAsia" w:hAnsi="宋体" w:cs="宋体"/>
          <w:b/>
          <w:sz w:val="24"/>
          <w:szCs w:val="24"/>
        </w:rPr>
        <w:t>7.发布公告的媒介</w:t>
      </w:r>
    </w:p>
    <w:p>
      <w:pPr>
        <w:spacing w:line="440" w:lineRule="exact"/>
        <w:rPr>
          <w:rFonts w:hAnsi="宋体" w:cs="宋体"/>
          <w:b/>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440" w:lineRule="exact"/>
        <w:outlineLvl w:val="0"/>
        <w:rPr>
          <w:rFonts w:hAnsi="宋体" w:cs="宋体"/>
          <w:b/>
          <w:sz w:val="24"/>
          <w:szCs w:val="24"/>
        </w:rPr>
      </w:pPr>
      <w:r>
        <w:rPr>
          <w:rFonts w:hint="eastAsia" w:hAnsi="宋体" w:cs="宋体"/>
          <w:b/>
          <w:sz w:val="24"/>
          <w:szCs w:val="24"/>
        </w:rPr>
        <w:t>8.联系方式</w:t>
      </w:r>
    </w:p>
    <w:p>
      <w:pPr>
        <w:spacing w:line="560" w:lineRule="exact"/>
        <w:ind w:firstLine="240" w:firstLineChars="100"/>
        <w:rPr>
          <w:rFonts w:hAnsi="宋体" w:cs="宋体"/>
          <w:sz w:val="24"/>
          <w:szCs w:val="24"/>
        </w:rPr>
      </w:pPr>
      <w:r>
        <w:rPr>
          <w:rFonts w:hint="eastAsia" w:hAnsi="宋体" w:cs="宋体"/>
          <w:sz w:val="24"/>
          <w:szCs w:val="24"/>
        </w:rPr>
        <w:t>招 标 人：许昌经济技术开发区住房建设城市管理与环境保护局　</w:t>
      </w:r>
    </w:p>
    <w:p>
      <w:pPr>
        <w:spacing w:line="560" w:lineRule="exact"/>
        <w:rPr>
          <w:rFonts w:hAnsi="宋体" w:cs="宋体"/>
          <w:sz w:val="24"/>
          <w:szCs w:val="24"/>
        </w:rPr>
      </w:pPr>
      <w:r>
        <w:rPr>
          <w:rFonts w:hint="eastAsia" w:hAnsi="宋体" w:cs="宋体"/>
          <w:sz w:val="24"/>
          <w:szCs w:val="24"/>
        </w:rPr>
        <w:t xml:space="preserve">  地    址：许昌市经济技术开发区管委会</w:t>
      </w:r>
    </w:p>
    <w:p>
      <w:pPr>
        <w:spacing w:line="560" w:lineRule="exact"/>
        <w:ind w:firstLine="240" w:firstLineChars="100"/>
        <w:rPr>
          <w:rFonts w:hAnsi="宋体" w:cs="宋体"/>
          <w:sz w:val="24"/>
        </w:rPr>
      </w:pPr>
      <w:r>
        <w:rPr>
          <w:rFonts w:hint="eastAsia" w:hAnsi="宋体" w:cs="宋体"/>
          <w:sz w:val="24"/>
          <w:szCs w:val="24"/>
        </w:rPr>
        <w:t>联 系 人：</w:t>
      </w:r>
      <w:r>
        <w:rPr>
          <w:rFonts w:hint="eastAsia" w:hAnsi="宋体" w:cs="宋体"/>
          <w:sz w:val="24"/>
        </w:rPr>
        <w:t xml:space="preserve">孙先生 </w:t>
      </w:r>
    </w:p>
    <w:p>
      <w:pPr>
        <w:spacing w:line="560" w:lineRule="exact"/>
        <w:ind w:firstLine="240" w:firstLineChars="100"/>
        <w:rPr>
          <w:rFonts w:hAnsi="宋体" w:cs="宋体"/>
          <w:sz w:val="24"/>
        </w:rPr>
      </w:pPr>
      <w:r>
        <w:rPr>
          <w:rFonts w:hint="eastAsia" w:hAnsi="宋体" w:cs="宋体"/>
          <w:sz w:val="24"/>
        </w:rPr>
        <w:t xml:space="preserve">联系电话：0374-8581625  </w:t>
      </w:r>
    </w:p>
    <w:p>
      <w:pPr>
        <w:spacing w:line="560" w:lineRule="exact"/>
        <w:ind w:firstLine="240" w:firstLineChars="100"/>
        <w:rPr>
          <w:rFonts w:hAnsi="宋体"/>
          <w:sz w:val="24"/>
        </w:rPr>
      </w:pPr>
      <w:r>
        <w:rPr>
          <w:rFonts w:hint="eastAsia" w:hAnsi="宋体" w:cs="宋体"/>
          <w:sz w:val="24"/>
          <w:szCs w:val="24"/>
        </w:rPr>
        <w:t>招标代理机构名称：</w:t>
      </w:r>
      <w:r>
        <w:rPr>
          <w:rFonts w:hint="eastAsia" w:hAnsi="宋体"/>
          <w:sz w:val="24"/>
        </w:rPr>
        <w:t xml:space="preserve">许昌宏业工程招标代理有限公司 </w:t>
      </w:r>
    </w:p>
    <w:p>
      <w:pPr>
        <w:widowControl/>
        <w:spacing w:line="560" w:lineRule="exact"/>
        <w:rPr>
          <w:rFonts w:hAnsi="宋体"/>
          <w:sz w:val="24"/>
        </w:rPr>
      </w:pPr>
      <w:r>
        <w:rPr>
          <w:rFonts w:hint="eastAsia" w:hAnsi="宋体"/>
          <w:sz w:val="24"/>
        </w:rPr>
        <w:t xml:space="preserve">  地    址：许昌市创业服务中心</w:t>
      </w:r>
    </w:p>
    <w:p>
      <w:pPr>
        <w:widowControl/>
        <w:spacing w:line="560" w:lineRule="exact"/>
        <w:ind w:firstLine="240" w:firstLineChars="100"/>
        <w:rPr>
          <w:rFonts w:hAnsi="宋体"/>
          <w:sz w:val="24"/>
        </w:rPr>
      </w:pPr>
      <w:r>
        <w:rPr>
          <w:rFonts w:hint="eastAsia" w:hAnsi="宋体"/>
          <w:sz w:val="24"/>
        </w:rPr>
        <w:t>联 系 人：辛女士</w:t>
      </w:r>
    </w:p>
    <w:p>
      <w:pPr>
        <w:widowControl/>
        <w:spacing w:line="560" w:lineRule="exact"/>
        <w:ind w:firstLine="240" w:firstLineChars="100"/>
        <w:rPr>
          <w:rFonts w:hAnsi="宋体" w:cs="宋体"/>
          <w:sz w:val="24"/>
          <w:szCs w:val="24"/>
        </w:rPr>
      </w:pPr>
      <w:r>
        <w:rPr>
          <w:rFonts w:hint="eastAsia" w:hAnsi="宋体"/>
          <w:sz w:val="24"/>
        </w:rPr>
        <w:t>联系电话：13598978466</w:t>
      </w:r>
    </w:p>
    <w:p>
      <w:pPr>
        <w:spacing w:line="440" w:lineRule="exact"/>
        <w:rPr>
          <w:rFonts w:hAnsi="宋体"/>
          <w:b/>
          <w:sz w:val="28"/>
          <w:szCs w:val="28"/>
        </w:rPr>
      </w:pPr>
    </w:p>
    <w:p>
      <w:pPr>
        <w:spacing w:line="560" w:lineRule="exact"/>
        <w:ind w:firstLine="240" w:firstLineChars="100"/>
        <w:jc w:val="right"/>
        <w:rPr>
          <w:rFonts w:hAnsi="宋体" w:cs="宋体"/>
          <w:sz w:val="24"/>
          <w:szCs w:val="24"/>
        </w:rPr>
      </w:pPr>
      <w:r>
        <w:rPr>
          <w:rFonts w:hint="eastAsia" w:hAnsi="宋体" w:cs="宋体"/>
          <w:sz w:val="24"/>
          <w:szCs w:val="24"/>
        </w:rPr>
        <w:t>许昌经济技术开发区住房建设城市管理与环境保护局　</w:t>
      </w:r>
    </w:p>
    <w:p>
      <w:pPr>
        <w:spacing w:line="560" w:lineRule="exact"/>
        <w:ind w:right="480" w:firstLine="5760" w:firstLineChars="2400"/>
        <w:rPr>
          <w:rFonts w:hAnsi="宋体" w:cs="宋体"/>
          <w:sz w:val="24"/>
          <w:szCs w:val="24"/>
        </w:rPr>
      </w:pPr>
      <w:r>
        <w:rPr>
          <w:rFonts w:hint="eastAsia" w:hAnsi="宋体" w:cs="宋体"/>
          <w:sz w:val="24"/>
          <w:szCs w:val="24"/>
        </w:rPr>
        <w:t>2020年4月</w:t>
      </w:r>
      <w:r>
        <w:rPr>
          <w:rFonts w:hint="eastAsia" w:hAnsi="宋体" w:cs="宋体"/>
          <w:sz w:val="24"/>
          <w:szCs w:val="24"/>
          <w:lang w:val="en-US" w:eastAsia="zh-CN"/>
        </w:rPr>
        <w:t>21</w:t>
      </w:r>
      <w:r>
        <w:rPr>
          <w:rFonts w:hint="eastAsia" w:hAnsi="宋体" w:cs="宋体"/>
          <w:sz w:val="24"/>
          <w:szCs w:val="24"/>
        </w:rPr>
        <w:t>日</w:t>
      </w:r>
    </w:p>
    <w:p>
      <w:pPr>
        <w:spacing w:line="560" w:lineRule="exact"/>
        <w:ind w:firstLine="240" w:firstLineChars="100"/>
        <w:jc w:val="right"/>
        <w:rPr>
          <w:rFonts w:hAnsi="宋体" w:cs="宋体"/>
          <w:sz w:val="24"/>
          <w:szCs w:val="24"/>
        </w:rPr>
      </w:pPr>
    </w:p>
    <w:p>
      <w:pPr>
        <w:spacing w:line="440" w:lineRule="exact"/>
        <w:rPr>
          <w:rFonts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0"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spacing w:line="360" w:lineRule="auto"/>
        <w:ind w:firstLine="480" w:firstLineChars="200"/>
        <w:rPr>
          <w:rFonts w:hAnsi="宋体"/>
          <w:color w:val="000000" w:themeColor="text1"/>
          <w:sz w:val="24"/>
        </w:rPr>
      </w:pPr>
      <w:r>
        <w:rPr>
          <w:rFonts w:hint="eastAsia" w:hAnsi="宋体"/>
          <w:color w:val="000000" w:themeColor="text1"/>
          <w:sz w:val="24"/>
        </w:rPr>
        <w:t>1.投标人应按招标文件规定编制、提交、解密电子投标文件。</w:t>
      </w:r>
    </w:p>
    <w:p>
      <w:pPr>
        <w:spacing w:line="360" w:lineRule="auto"/>
        <w:ind w:firstLine="480" w:firstLineChars="200"/>
        <w:rPr>
          <w:rFonts w:hAnsi="宋体"/>
          <w:color w:val="000000" w:themeColor="text1"/>
          <w:sz w:val="24"/>
        </w:rPr>
      </w:pPr>
      <w:r>
        <w:rPr>
          <w:rFonts w:hint="eastAsia" w:hAnsi="宋体"/>
          <w:color w:val="000000" w:themeColor="text1"/>
          <w:sz w:val="24"/>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Ansi="宋体"/>
          <w:b/>
          <w:bCs/>
          <w:color w:val="000000" w:themeColor="text1"/>
          <w:sz w:val="24"/>
        </w:rPr>
      </w:pPr>
      <w:r>
        <w:rPr>
          <w:rFonts w:hint="eastAsia" w:hAnsi="宋体"/>
          <w:b/>
          <w:bCs/>
          <w:color w:val="000000" w:themeColor="text1"/>
          <w:sz w:val="24"/>
        </w:rPr>
        <w:t>3.电子投标文件的制作</w:t>
      </w:r>
    </w:p>
    <w:p>
      <w:pPr>
        <w:spacing w:line="360" w:lineRule="auto"/>
        <w:ind w:firstLine="480" w:firstLineChars="200"/>
        <w:rPr>
          <w:rFonts w:hAnsi="宋体"/>
          <w:color w:val="000000" w:themeColor="text1"/>
          <w:sz w:val="24"/>
        </w:rPr>
      </w:pPr>
      <w:r>
        <w:rPr>
          <w:rFonts w:hint="eastAsia" w:hAnsi="宋体"/>
          <w:color w:val="000000" w:themeColor="text1"/>
          <w:sz w:val="24"/>
        </w:rPr>
        <w:t>3.1 投标人登录《全国公共资源交易平台(河南省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int="eastAsia" w:hAnsi="宋体"/>
          <w:color w:val="000000" w:themeColor="text1"/>
          <w:sz w:val="24"/>
        </w:rPr>
        <w:t>)》公共资源交易系统（</w:t>
      </w:r>
      <w:r>
        <w:fldChar w:fldCharType="begin"/>
      </w:r>
      <w:r>
        <w:instrText xml:space="preserve"> HYPERLINK "http://221.14.6.70:8088/ggzy/" </w:instrText>
      </w:r>
      <w:r>
        <w:fldChar w:fldCharType="separate"/>
      </w:r>
      <w:r>
        <w:rPr>
          <w:rFonts w:hint="eastAsia" w:hAnsi="宋体"/>
          <w:color w:val="000000" w:themeColor="text1"/>
          <w:sz w:val="24"/>
        </w:rPr>
        <w:t>http://221.14.6.70:8088/ggzy/</w:t>
      </w:r>
      <w:r>
        <w:rPr>
          <w:rFonts w:hint="eastAsia" w:hAnsi="宋体"/>
          <w:color w:val="000000" w:themeColor="text1"/>
          <w:sz w:val="24"/>
        </w:rPr>
        <w:fldChar w:fldCharType="end"/>
      </w:r>
      <w:r>
        <w:rPr>
          <w:rFonts w:hint="eastAsia" w:hAnsi="宋体"/>
          <w:color w:val="000000" w:themeColor="text1"/>
          <w:sz w:val="24"/>
        </w:rPr>
        <w:t>）下载“许昌投标文件制作系统SEARUN 最新版本”，按招标文件要求制作电子投标文件。</w:t>
      </w:r>
    </w:p>
    <w:p>
      <w:pPr>
        <w:spacing w:line="360" w:lineRule="auto"/>
        <w:ind w:firstLine="480" w:firstLineChars="200"/>
        <w:rPr>
          <w:rFonts w:hAnsi="宋体"/>
          <w:color w:val="000000" w:themeColor="text1"/>
          <w:sz w:val="24"/>
        </w:rPr>
      </w:pPr>
      <w:r>
        <w:rPr>
          <w:rFonts w:hint="eastAsia" w:hAnsi="宋体"/>
          <w:color w:val="000000" w:themeColor="text1"/>
          <w:sz w:val="24"/>
        </w:rPr>
        <w:t>电子投标文件的制作，参考《全国公共资源交易平台(河南省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int="eastAsia" w:hAnsi="宋体"/>
          <w:color w:val="000000" w:themeColor="text1"/>
          <w:sz w:val="24"/>
        </w:rPr>
        <w:t>)》公共资源交易系统——组件下载——交易系统操作手册（投标人、供应商）。</w:t>
      </w:r>
    </w:p>
    <w:p>
      <w:pPr>
        <w:spacing w:line="360" w:lineRule="auto"/>
        <w:ind w:firstLine="480" w:firstLineChars="200"/>
        <w:rPr>
          <w:rFonts w:hAnsi="宋体"/>
          <w:color w:val="000000" w:themeColor="text1"/>
          <w:sz w:val="24"/>
        </w:rPr>
      </w:pPr>
      <w:r>
        <w:rPr>
          <w:rFonts w:hint="eastAsia" w:hAnsi="宋体"/>
          <w:color w:val="000000" w:themeColor="text1"/>
          <w:sz w:val="24"/>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color w:val="000000" w:themeColor="text1"/>
          <w:sz w:val="24"/>
        </w:rPr>
      </w:pPr>
      <w:r>
        <w:rPr>
          <w:rFonts w:hint="eastAsia" w:hAnsi="宋体"/>
          <w:color w:val="000000" w:themeColor="text1"/>
          <w:sz w:val="24"/>
        </w:rPr>
        <w:t>3.3投标人对同一项目多个标段进行投标的，应分别下载所投标段的招标文件，按标段制作电子投标文件，并按招标文件要求在相应位置加盖投标人电子印章和法人电子印章。</w:t>
      </w:r>
    </w:p>
    <w:p>
      <w:pPr>
        <w:spacing w:line="360" w:lineRule="auto"/>
        <w:ind w:firstLine="480" w:firstLineChars="200"/>
        <w:rPr>
          <w:rFonts w:hAnsi="宋体"/>
          <w:color w:val="000000" w:themeColor="text1"/>
          <w:sz w:val="24"/>
        </w:rPr>
      </w:pPr>
      <w:r>
        <w:rPr>
          <w:rFonts w:hint="eastAsia" w:hAnsi="宋体"/>
          <w:color w:val="000000" w:themeColor="text1"/>
          <w:sz w:val="24"/>
        </w:rPr>
        <w:t>一个标段对应生成一个文件夹（xxxx项目xx标段）,其中后缀名为“.file”的文件用于电子投标使用。</w:t>
      </w:r>
    </w:p>
    <w:p>
      <w:pPr>
        <w:spacing w:line="360" w:lineRule="auto"/>
        <w:ind w:firstLine="480" w:firstLineChars="200"/>
        <w:rPr>
          <w:rFonts w:hAnsi="宋体"/>
          <w:b/>
          <w:bCs/>
          <w:color w:val="000000" w:themeColor="text1"/>
          <w:sz w:val="24"/>
        </w:rPr>
      </w:pPr>
      <w:r>
        <w:rPr>
          <w:rFonts w:hint="eastAsia" w:hAnsi="宋体"/>
          <w:b/>
          <w:bCs/>
          <w:color w:val="000000" w:themeColor="text1"/>
          <w:sz w:val="24"/>
        </w:rPr>
        <w:t>4.投标保证金的提交</w:t>
      </w:r>
    </w:p>
    <w:p>
      <w:pPr>
        <w:spacing w:line="360" w:lineRule="auto"/>
        <w:ind w:firstLine="480" w:firstLineChars="200"/>
        <w:rPr>
          <w:rFonts w:hAnsi="宋体"/>
          <w:color w:val="000000" w:themeColor="text1"/>
          <w:sz w:val="24"/>
        </w:rPr>
      </w:pPr>
      <w:r>
        <w:rPr>
          <w:rFonts w:hint="eastAsia" w:hAnsi="宋体"/>
          <w:color w:val="000000" w:themeColor="text1"/>
          <w:sz w:val="24"/>
        </w:rPr>
        <w:t>4.1使用银行转帐方式提交的，投标人通过基本账户将款项一次足额递交、成功绑定，以收款人到账时间为准。</w:t>
      </w:r>
    </w:p>
    <w:p>
      <w:pPr>
        <w:spacing w:line="360" w:lineRule="auto"/>
        <w:ind w:firstLine="480" w:firstLineChars="200"/>
        <w:rPr>
          <w:rFonts w:hAnsi="宋体"/>
          <w:color w:val="000000" w:themeColor="text1"/>
          <w:sz w:val="24"/>
        </w:rPr>
      </w:pPr>
      <w:r>
        <w:rPr>
          <w:rFonts w:hint="eastAsia" w:hAnsi="宋体"/>
          <w:color w:val="000000" w:themeColor="text1"/>
          <w:sz w:val="24"/>
        </w:rPr>
        <w:t>4.1.1投标人网上下载招标文件并根据每个标段的缴纳说明单在开标截止时间前提交。每个投标人每个项目每个标段只有唯一缴纳账号，切勿重复缴纳或错误缴纳。</w:t>
      </w:r>
    </w:p>
    <w:p>
      <w:pPr>
        <w:spacing w:line="360" w:lineRule="auto"/>
        <w:ind w:firstLine="480" w:firstLineChars="200"/>
        <w:rPr>
          <w:rFonts w:hAnsi="宋体"/>
          <w:color w:val="000000" w:themeColor="text1"/>
          <w:sz w:val="24"/>
        </w:rPr>
      </w:pPr>
      <w:r>
        <w:rPr>
          <w:rFonts w:hint="eastAsia" w:hAnsi="宋体"/>
          <w:color w:val="000000" w:themeColor="text1"/>
          <w:sz w:val="24"/>
        </w:rPr>
        <w:t>4.1.2提交后再次登录</w:t>
      </w:r>
      <w:r>
        <w:fldChar w:fldCharType="begin"/>
      </w:r>
      <w:r>
        <w:instrText xml:space="preserve"> HYPERLINK "http://221.14.6.70:8088/ggzy" </w:instrText>
      </w:r>
      <w:r>
        <w:fldChar w:fldCharType="separate"/>
      </w:r>
      <w:r>
        <w:rPr>
          <w:rFonts w:hint="eastAsia" w:hAnsi="宋体"/>
          <w:color w:val="000000" w:themeColor="text1"/>
          <w:sz w:val="24"/>
        </w:rPr>
        <w:t>http://221.14.6.70:8088/ggzy</w:t>
      </w:r>
      <w:r>
        <w:rPr>
          <w:rFonts w:hint="eastAsia" w:hAnsi="宋体"/>
          <w:color w:val="000000" w:themeColor="text1"/>
          <w:sz w:val="24"/>
        </w:rPr>
        <w:fldChar w:fldCharType="end"/>
      </w:r>
      <w:r>
        <w:rPr>
          <w:rFonts w:hint="eastAsia" w:hAnsi="宋体"/>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spacing w:line="360" w:lineRule="auto"/>
        <w:ind w:firstLine="480" w:firstLineChars="200"/>
        <w:rPr>
          <w:rFonts w:hAnsi="宋体"/>
          <w:color w:val="000000" w:themeColor="text1"/>
          <w:sz w:val="24"/>
        </w:rPr>
      </w:pPr>
      <w:r>
        <w:rPr>
          <w:rFonts w:hint="eastAsia" w:hAnsi="宋体"/>
          <w:color w:val="000000" w:themeColor="text1"/>
          <w:sz w:val="24"/>
        </w:rPr>
        <w:t>4.1.3投标人按照所投项目及标段将缴纳凭证“许昌公共资源交易中心保证金缴纳回执”附于投标文件中。</w:t>
      </w:r>
    </w:p>
    <w:p>
      <w:pPr>
        <w:spacing w:line="360" w:lineRule="auto"/>
        <w:ind w:firstLine="480" w:firstLineChars="200"/>
        <w:rPr>
          <w:rFonts w:hAnsi="宋体"/>
          <w:color w:val="000000" w:themeColor="text1"/>
          <w:sz w:val="24"/>
        </w:rPr>
      </w:pPr>
      <w:r>
        <w:rPr>
          <w:rFonts w:hint="eastAsia" w:hAnsi="宋体"/>
          <w:color w:val="000000" w:themeColor="text1"/>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360" w:lineRule="auto"/>
        <w:ind w:firstLine="480" w:firstLineChars="200"/>
        <w:rPr>
          <w:rFonts w:hAnsi="宋体"/>
          <w:b/>
          <w:bCs/>
          <w:color w:val="000000" w:themeColor="text1"/>
          <w:sz w:val="24"/>
        </w:rPr>
      </w:pPr>
      <w:r>
        <w:rPr>
          <w:rFonts w:hint="eastAsia" w:hAnsi="宋体"/>
          <w:b/>
          <w:bCs/>
          <w:color w:val="000000" w:themeColor="text1"/>
          <w:sz w:val="24"/>
        </w:rPr>
        <w:t>5.加密电子投标文件的提交</w:t>
      </w:r>
    </w:p>
    <w:p>
      <w:pPr>
        <w:spacing w:line="360" w:lineRule="auto"/>
        <w:ind w:firstLine="480" w:firstLineChars="200"/>
        <w:rPr>
          <w:rFonts w:hAnsi="宋体"/>
          <w:color w:val="000000" w:themeColor="text1"/>
          <w:sz w:val="24"/>
        </w:rPr>
      </w:pPr>
      <w:r>
        <w:rPr>
          <w:rFonts w:hint="eastAsia" w:hAnsi="宋体"/>
          <w:color w:val="000000" w:themeColor="text1"/>
          <w:sz w:val="24"/>
        </w:rPr>
        <w:t>5.1加密电子投标文件应按规定在投标截止时间（开标时间）之前成功提交至《全国公共资源交易平台(河南省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int="eastAsia" w:hAnsi="宋体"/>
          <w:color w:val="000000" w:themeColor="text1"/>
          <w:sz w:val="24"/>
        </w:rPr>
        <w:t>)》公共资源交易系统（</w:t>
      </w:r>
      <w:r>
        <w:fldChar w:fldCharType="begin"/>
      </w:r>
      <w:r>
        <w:instrText xml:space="preserve"> HYPERLINK "http://221.14.6.70:8088/ggzy/" </w:instrText>
      </w:r>
      <w:r>
        <w:fldChar w:fldCharType="separate"/>
      </w:r>
      <w:r>
        <w:rPr>
          <w:rFonts w:hint="eastAsia" w:hAnsi="宋体"/>
          <w:color w:val="000000" w:themeColor="text1"/>
          <w:sz w:val="24"/>
        </w:rPr>
        <w:t>http://221.14.6.70:8088/ggzy/</w:t>
      </w:r>
      <w:r>
        <w:rPr>
          <w:rFonts w:hint="eastAsia" w:hAnsi="宋体"/>
          <w:color w:val="000000" w:themeColor="text1"/>
          <w:sz w:val="24"/>
        </w:rPr>
        <w:fldChar w:fldCharType="end"/>
      </w:r>
      <w:r>
        <w:rPr>
          <w:rFonts w:hint="eastAsia" w:hAnsi="宋体"/>
          <w:color w:val="000000" w:themeColor="text1"/>
          <w:sz w:val="24"/>
        </w:rPr>
        <w:t>）。</w:t>
      </w:r>
    </w:p>
    <w:p>
      <w:pPr>
        <w:spacing w:line="360" w:lineRule="auto"/>
        <w:rPr>
          <w:rFonts w:hAnsi="宋体"/>
          <w:color w:val="000000" w:themeColor="text1"/>
          <w:sz w:val="24"/>
        </w:rPr>
      </w:pPr>
      <w:r>
        <w:rPr>
          <w:rFonts w:hint="eastAsia" w:hAnsi="宋体"/>
          <w:color w:val="000000" w:themeColor="text1"/>
          <w:sz w:val="24"/>
        </w:rPr>
        <w:t>投标人应充分考虑并预留技术处理和上传数据所需时间。</w:t>
      </w:r>
    </w:p>
    <w:p>
      <w:pPr>
        <w:spacing w:line="360" w:lineRule="auto"/>
        <w:ind w:firstLine="480" w:firstLineChars="200"/>
        <w:rPr>
          <w:rFonts w:hAnsi="宋体"/>
          <w:color w:val="000000" w:themeColor="text1"/>
          <w:sz w:val="24"/>
        </w:rPr>
      </w:pPr>
      <w:r>
        <w:rPr>
          <w:rFonts w:hint="eastAsia" w:hAnsi="宋体"/>
          <w:color w:val="000000" w:themeColor="text1"/>
          <w:sz w:val="24"/>
        </w:rPr>
        <w:t>5.2 投标人对同一项目多个标段进行投标的，加密电子投标文件应按标段分别提交。</w:t>
      </w:r>
    </w:p>
    <w:p>
      <w:pPr>
        <w:spacing w:line="360" w:lineRule="auto"/>
        <w:ind w:firstLine="480" w:firstLineChars="200"/>
        <w:rPr>
          <w:rFonts w:hAnsi="宋体"/>
          <w:color w:val="000000" w:themeColor="text1"/>
          <w:sz w:val="24"/>
        </w:rPr>
      </w:pPr>
      <w:r>
        <w:rPr>
          <w:rFonts w:hint="eastAsia" w:hAnsi="宋体"/>
          <w:color w:val="000000" w:themeColor="text1"/>
          <w:sz w:val="24"/>
        </w:rPr>
        <w:t>5.3 加密电子投标文件成功提交后，《全国公共资源交易平台(河南省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int="eastAsia" w:hAnsi="宋体"/>
          <w:color w:val="000000" w:themeColor="text1"/>
          <w:sz w:val="24"/>
        </w:rPr>
        <w:t>)》公共资源交易系统（</w:t>
      </w:r>
      <w:r>
        <w:fldChar w:fldCharType="begin"/>
      </w:r>
      <w:r>
        <w:instrText xml:space="preserve"> HYPERLINK "http://221.14.6.70:8088/ggzy/" </w:instrText>
      </w:r>
      <w:r>
        <w:fldChar w:fldCharType="separate"/>
      </w:r>
      <w:r>
        <w:rPr>
          <w:rFonts w:hint="eastAsia" w:hAnsi="宋体"/>
          <w:color w:val="000000" w:themeColor="text1"/>
          <w:sz w:val="24"/>
        </w:rPr>
        <w:t>http://221.14.6.70:8088/ggzy/</w:t>
      </w:r>
      <w:r>
        <w:rPr>
          <w:rFonts w:hint="eastAsia" w:hAnsi="宋体"/>
          <w:color w:val="000000" w:themeColor="text1"/>
          <w:sz w:val="24"/>
        </w:rPr>
        <w:fldChar w:fldCharType="end"/>
      </w:r>
      <w:r>
        <w:rPr>
          <w:rFonts w:hint="eastAsia" w:hAnsi="宋体"/>
          <w:color w:val="000000" w:themeColor="text1"/>
          <w:sz w:val="24"/>
        </w:rPr>
        <w:t>）生成“投标文件提交回执单”。</w:t>
      </w:r>
    </w:p>
    <w:p>
      <w:pPr>
        <w:spacing w:line="360" w:lineRule="auto"/>
        <w:ind w:firstLine="480" w:firstLineChars="200"/>
        <w:rPr>
          <w:rFonts w:hAnsi="宋体"/>
          <w:b/>
          <w:bCs/>
          <w:color w:val="000000" w:themeColor="text1"/>
          <w:sz w:val="24"/>
        </w:rPr>
      </w:pPr>
      <w:r>
        <w:rPr>
          <w:rFonts w:hint="eastAsia" w:hAnsi="宋体"/>
          <w:b/>
          <w:bCs/>
          <w:color w:val="000000" w:themeColor="text1"/>
          <w:sz w:val="24"/>
        </w:rPr>
        <w:t>6.远程不见面开标（电子投标文件的解密）</w:t>
      </w:r>
    </w:p>
    <w:p>
      <w:pPr>
        <w:spacing w:line="360" w:lineRule="auto"/>
        <w:ind w:firstLine="480" w:firstLineChars="200"/>
        <w:rPr>
          <w:rFonts w:hAnsi="宋体"/>
          <w:color w:val="000000" w:themeColor="text1"/>
          <w:sz w:val="24"/>
        </w:rPr>
      </w:pPr>
      <w:r>
        <w:rPr>
          <w:rFonts w:hint="eastAsia" w:hAnsi="宋体"/>
          <w:color w:val="000000" w:themeColor="text1"/>
          <w:sz w:val="24"/>
        </w:rPr>
        <w:t>6.1 投标人应熟悉《许昌市不见面开标操作手册》，并提前设置不见面开标浏览器（设置流程详见《许昌市不见面开标操作手册》）。</w:t>
      </w:r>
    </w:p>
    <w:p>
      <w:pPr>
        <w:spacing w:line="360" w:lineRule="auto"/>
        <w:ind w:firstLine="480" w:firstLineChars="200"/>
        <w:rPr>
          <w:rFonts w:hAnsi="宋体"/>
          <w:color w:val="000000" w:themeColor="text1"/>
          <w:sz w:val="24"/>
        </w:rPr>
      </w:pPr>
      <w:r>
        <w:rPr>
          <w:rFonts w:hint="eastAsia" w:hAnsi="宋体"/>
          <w:color w:val="000000" w:themeColor="text1"/>
          <w:sz w:val="24"/>
        </w:rPr>
        <w:t>6.2 《许昌市不见面开标操作手册》下载路径：全国公共资源交易平台（河南省·许昌市）—“资料下载”栏目。</w:t>
      </w:r>
    </w:p>
    <w:p>
      <w:pPr>
        <w:spacing w:line="360" w:lineRule="auto"/>
        <w:ind w:firstLine="480" w:firstLineChars="200"/>
        <w:rPr>
          <w:rFonts w:hAnsi="宋体"/>
          <w:color w:val="000000" w:themeColor="text1"/>
          <w:sz w:val="24"/>
        </w:rPr>
      </w:pPr>
      <w:r>
        <w:rPr>
          <w:rFonts w:hint="eastAsia" w:hAnsi="宋体"/>
          <w:color w:val="000000" w:themeColor="text1"/>
          <w:sz w:val="24"/>
        </w:rPr>
        <w:t>6.3开标时间前投标人应登录本项目不见面开标大厅，按照招标文件确定的开标时间准时参加网上开标。</w:t>
      </w:r>
    </w:p>
    <w:p>
      <w:pPr>
        <w:spacing w:line="360" w:lineRule="auto"/>
        <w:ind w:firstLine="480" w:firstLineChars="200"/>
        <w:rPr>
          <w:rFonts w:hAnsi="宋体"/>
          <w:color w:val="000000" w:themeColor="text1"/>
          <w:sz w:val="24"/>
        </w:rPr>
      </w:pPr>
      <w:r>
        <w:rPr>
          <w:rFonts w:hint="eastAsia" w:hAnsi="宋体"/>
          <w:color w:val="000000" w:themeColor="text1"/>
          <w:sz w:val="24"/>
        </w:rPr>
        <w:t>6.4投标人对开标过程和开标记录如有疑义，可在本项目不见面开标大厅“文字互动”对话框或“新增质疑”处在线提出询问。</w:t>
      </w:r>
    </w:p>
    <w:p>
      <w:pPr>
        <w:spacing w:line="360" w:lineRule="auto"/>
        <w:ind w:firstLine="480" w:firstLineChars="200"/>
        <w:rPr>
          <w:rFonts w:hAnsi="宋体"/>
          <w:color w:val="000000" w:themeColor="text1"/>
          <w:sz w:val="24"/>
        </w:rPr>
      </w:pPr>
      <w:r>
        <w:rPr>
          <w:rFonts w:hint="eastAsia" w:hAnsi="宋体"/>
          <w:color w:val="000000" w:themeColor="text1"/>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pacing w:line="360" w:lineRule="auto"/>
        <w:ind w:firstLine="480" w:firstLineChars="200"/>
        <w:rPr>
          <w:rFonts w:hAnsi="宋体"/>
          <w:color w:val="000000" w:themeColor="text1"/>
          <w:sz w:val="24"/>
        </w:rPr>
      </w:pPr>
      <w:r>
        <w:rPr>
          <w:rFonts w:hint="eastAsia" w:hAnsi="宋体"/>
          <w:color w:val="000000" w:themeColor="text1"/>
          <w:sz w:val="24"/>
        </w:rPr>
        <w:t>6.6项目远程不见面开标活动结束时，投标人应在《开标记录表》上进行电子签章。投标人未签章的，视同认可开标结果。</w:t>
      </w:r>
    </w:p>
    <w:p>
      <w:pPr>
        <w:spacing w:line="360" w:lineRule="auto"/>
        <w:ind w:firstLine="480" w:firstLineChars="200"/>
        <w:rPr>
          <w:rFonts w:hAnsi="宋体"/>
          <w:b/>
          <w:bCs/>
          <w:color w:val="000000" w:themeColor="text1"/>
          <w:sz w:val="24"/>
        </w:rPr>
      </w:pPr>
      <w:r>
        <w:rPr>
          <w:rFonts w:hint="eastAsia" w:hAnsi="宋体"/>
          <w:b/>
          <w:bCs/>
          <w:color w:val="000000" w:themeColor="text1"/>
          <w:sz w:val="24"/>
        </w:rPr>
        <w:t>7.评标依据</w:t>
      </w:r>
    </w:p>
    <w:p>
      <w:pPr>
        <w:spacing w:line="360" w:lineRule="auto"/>
        <w:ind w:firstLine="480" w:firstLineChars="200"/>
        <w:rPr>
          <w:rFonts w:hAnsi="宋体"/>
          <w:color w:val="000000" w:themeColor="text1"/>
          <w:sz w:val="24"/>
        </w:rPr>
      </w:pPr>
      <w:r>
        <w:rPr>
          <w:rFonts w:hint="eastAsia" w:hAnsi="宋体"/>
          <w:color w:val="000000" w:themeColor="text1"/>
          <w:sz w:val="24"/>
        </w:rPr>
        <w:t>7.1全流程电子化交易（远程不见面开标）项目，评标委员会以成功上传、解密的电子投标文件为评标依据。</w:t>
      </w:r>
    </w:p>
    <w:p>
      <w:pPr>
        <w:spacing w:line="360" w:lineRule="auto"/>
        <w:ind w:firstLine="480" w:firstLineChars="200"/>
        <w:rPr>
          <w:rFonts w:hAnsi="宋体"/>
          <w:color w:val="000000" w:themeColor="text1"/>
          <w:sz w:val="24"/>
        </w:rPr>
      </w:pPr>
      <w:r>
        <w:rPr>
          <w:rFonts w:hint="eastAsia" w:hAnsi="宋体"/>
          <w:color w:val="000000" w:themeColor="text1"/>
          <w:sz w:val="24"/>
        </w:rPr>
        <w:t>7.2 评审期间，保持投标文件提供的联系方式畅通，评标委员会随时可能对投标文件内容质询，投标人应及时进行答复（包括但不限于电子文档、电子邮件等）。</w:t>
      </w:r>
    </w:p>
    <w:p>
      <w:pPr>
        <w:spacing w:line="360" w:lineRule="auto"/>
        <w:ind w:firstLine="480" w:firstLineChars="200"/>
        <w:rPr>
          <w:rFonts w:hAnsi="宋体"/>
          <w:color w:val="000000" w:themeColor="text1"/>
          <w:sz w:val="24"/>
        </w:rPr>
      </w:pPr>
      <w:r>
        <w:rPr>
          <w:rFonts w:hint="eastAsia" w:hAnsi="宋体"/>
          <w:color w:val="000000" w:themeColor="text1"/>
          <w:sz w:val="24"/>
        </w:rPr>
        <w:t>7.3 有多轮报价的，各投标人应提前准备好分项报价，为多轮报价做好准备，在</w:t>
      </w:r>
      <w:r>
        <w:rPr>
          <w:rFonts w:hAnsi="宋体"/>
          <w:color w:val="000000" w:themeColor="text1"/>
          <w:sz w:val="24"/>
        </w:rPr>
        <w:t>谈判小组</w:t>
      </w:r>
      <w:r>
        <w:rPr>
          <w:rFonts w:hint="eastAsia" w:hAnsi="宋体"/>
          <w:color w:val="000000" w:themeColor="text1"/>
          <w:sz w:val="24"/>
        </w:rPr>
        <w:t>发起报价通知后，</w:t>
      </w:r>
      <w:r>
        <w:rPr>
          <w:rFonts w:hAnsi="宋体"/>
          <w:color w:val="000000" w:themeColor="text1"/>
          <w:sz w:val="24"/>
        </w:rPr>
        <w:t>在规定时间内提交</w:t>
      </w:r>
      <w:r>
        <w:rPr>
          <w:rFonts w:hint="eastAsia" w:hAnsi="宋体"/>
          <w:color w:val="000000" w:themeColor="text1"/>
          <w:sz w:val="24"/>
        </w:rPr>
        <w:t>有效</w:t>
      </w:r>
      <w:r>
        <w:rPr>
          <w:rFonts w:hAnsi="宋体"/>
          <w:color w:val="000000" w:themeColor="text1"/>
          <w:sz w:val="24"/>
        </w:rPr>
        <w:t>报价</w:t>
      </w:r>
      <w:r>
        <w:rPr>
          <w:rFonts w:hint="eastAsia" w:hAnsi="宋体"/>
          <w:color w:val="000000" w:themeColor="text1"/>
          <w:sz w:val="24"/>
        </w:rPr>
        <w:t>。</w:t>
      </w:r>
    </w:p>
    <w:p>
      <w:pPr>
        <w:spacing w:line="360" w:lineRule="auto"/>
        <w:ind w:firstLine="480" w:firstLineChars="200"/>
        <w:rPr>
          <w:rFonts w:hAnsi="宋体"/>
          <w:color w:val="000000" w:themeColor="text1"/>
          <w:sz w:val="24"/>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0"/>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招 标 人：许昌经济技术开发区住房建设城市管理与环境保护局　</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地    址：许昌市经济技术开发区管委会 </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联 系 人：孙先生 </w:t>
            </w:r>
          </w:p>
          <w:p>
            <w:pPr>
              <w:autoSpaceDE w:val="0"/>
              <w:autoSpaceDN w:val="0"/>
              <w:adjustRightInd w:val="0"/>
              <w:spacing w:line="420" w:lineRule="exact"/>
              <w:jc w:val="left"/>
              <w:rPr>
                <w:rFonts w:hAnsi="宋体" w:cs="宋体"/>
                <w:sz w:val="24"/>
                <w:szCs w:val="24"/>
              </w:rPr>
            </w:pPr>
            <w:r>
              <w:rPr>
                <w:rFonts w:hint="eastAsia" w:hAnsi="宋体" w:eastAsia="宋体" w:cs="宋体"/>
                <w:sz w:val="24"/>
              </w:rPr>
              <w:t>联系电话：</w:t>
            </w:r>
            <w:r>
              <w:rPr>
                <w:rFonts w:hint="eastAsia" w:hAnsi="宋体" w:cs="宋体"/>
                <w:sz w:val="24"/>
              </w:rPr>
              <w:t xml:space="preserve">0374-8581625  </w:t>
            </w:r>
            <w:r>
              <w:rPr>
                <w:rFonts w:hint="eastAsia"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招标代理机构名称：许昌宏业工程招标代理有限公司 </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地    址：许昌市创业服务中心</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 系 人：辛女士</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bCs/>
                <w:sz w:val="24"/>
                <w:szCs w:val="24"/>
              </w:rPr>
              <w:t>阳光大道（西外环-延安路）改造工程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pStyle w:val="9"/>
              <w:wordWrap w:val="0"/>
              <w:spacing w:beforeAutospacing="0" w:afterAutospacing="0" w:line="440" w:lineRule="exact"/>
              <w:rPr>
                <w:rFonts w:eastAsia="宋体"/>
              </w:rPr>
            </w:pPr>
            <w:r>
              <w:rPr>
                <w:rFonts w:hint="eastAsia" w:eastAsia="宋体"/>
                <w:bCs/>
                <w:szCs w:val="24"/>
              </w:rPr>
              <w:t>阳光大道（西外环-延安路）段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eastAsia="宋体" w:cs="宋体"/>
                <w:sz w:val="24"/>
                <w:highlight w:val="yellow"/>
              </w:rPr>
            </w:pPr>
            <w:r>
              <w:rPr>
                <w:rFonts w:hint="eastAsia" w:hAnsi="宋体" w:eastAsia="宋体" w:cs="宋体"/>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cs="宋体"/>
                <w:bCs/>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rPr>
                <w:rFonts w:hAnsi="宋体" w:eastAsia="宋体" w:cs="宋体"/>
                <w:sz w:val="24"/>
              </w:rPr>
            </w:pPr>
            <w:r>
              <w:rPr>
                <w:rFonts w:hint="eastAsia" w:hAnsi="宋体" w:eastAsia="宋体" w:cs="宋体"/>
                <w:sz w:val="24"/>
              </w:rPr>
              <w:t>招标文件和工程量清单及图纸的获取：投标人于投标文件递交截止时间前均可登录【全国公共资源交易平台(河南省</w:t>
            </w:r>
            <w:r>
              <w:rPr>
                <w:rFonts w:hint="eastAsia" w:ascii="MS Mincho" w:hAnsi="MS Mincho" w:eastAsia="MS Mincho" w:cs="MS Mincho"/>
                <w:sz w:val="24"/>
              </w:rPr>
              <w:t>▪</w:t>
            </w:r>
            <w:r>
              <w:rPr>
                <w:rFonts w:hint="eastAsia" w:hAnsi="宋体" w:eastAsia="宋体" w:cs="宋体"/>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2020年5月19日 08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276" w:lineRule="auto"/>
              <w:rPr>
                <w:rFonts w:hAnsi="宋体" w:eastAsia="宋体" w:cs="宋体"/>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4" w:colFirst="0" w:colLast="2"/>
            <w:bookmarkStart w:id="3" w:name="_Hlk424659721"/>
            <w:bookmarkStart w:id="4" w:name="OLE_LINK3"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同投标截止时间</w:t>
            </w:r>
            <w:r>
              <w:rPr>
                <w:rFonts w:hint="eastAsia" w:hAnsi="宋体" w:eastAsia="宋体" w:cs="宋体"/>
                <w:sz w:val="24"/>
              </w:rPr>
              <w:t>。</w:t>
            </w:r>
          </w:p>
          <w:p>
            <w:pPr>
              <w:autoSpaceDE w:val="0"/>
              <w:autoSpaceDN w:val="0"/>
              <w:adjustRightInd w:val="0"/>
              <w:spacing w:line="276" w:lineRule="auto"/>
              <w:ind w:firstLine="480" w:firstLineChars="200"/>
              <w:jc w:val="left"/>
              <w:rPr>
                <w:rFonts w:hAnsi="宋体" w:eastAsia="宋体" w:cs="宋体"/>
                <w:b/>
                <w:bCs/>
                <w:sz w:val="24"/>
                <w:lang w:val="zh-CN"/>
              </w:rPr>
            </w:pPr>
            <w:r>
              <w:rPr>
                <w:rFonts w:hint="eastAsia" w:hAnsi="宋体" w:eastAsia="宋体" w:cs="宋体"/>
                <w:b/>
                <w:bCs/>
                <w:sz w:val="24"/>
              </w:rPr>
              <w:t>金额：捌拾万元整</w:t>
            </w:r>
            <w:r>
              <w:rPr>
                <w:rFonts w:hint="eastAsia" w:hAnsi="宋体" w:eastAsia="宋体" w:cs="宋体"/>
                <w:b/>
                <w:bCs/>
                <w:sz w:val="24"/>
                <w:lang w:val="zh-CN"/>
              </w:rPr>
              <w:t>（¥</w:t>
            </w:r>
            <w:r>
              <w:rPr>
                <w:rFonts w:hint="eastAsia" w:hAnsi="宋体" w:eastAsia="宋体" w:cs="宋体"/>
                <w:b/>
                <w:bCs/>
                <w:sz w:val="24"/>
              </w:rPr>
              <w:t>800000.00</w:t>
            </w:r>
            <w:r>
              <w:rPr>
                <w:rFonts w:hint="eastAsia" w:hAnsi="宋体" w:eastAsia="宋体" w:cs="宋体"/>
                <w:b/>
                <w:bCs/>
                <w:sz w:val="24"/>
                <w:lang w:val="zh-CN"/>
              </w:rPr>
              <w:t>元）</w:t>
            </w:r>
          </w:p>
          <w:p>
            <w:pPr>
              <w:autoSpaceDE w:val="0"/>
              <w:autoSpaceDN w:val="0"/>
              <w:adjustRightInd w:val="0"/>
              <w:spacing w:line="276" w:lineRule="auto"/>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276" w:lineRule="auto"/>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276" w:lineRule="auto"/>
              <w:rPr>
                <w:rFonts w:hAnsi="宋体" w:cs="宋体"/>
                <w:color w:val="000000" w:themeColor="text1"/>
                <w:sz w:val="24"/>
                <w:lang w:val="zh-CN"/>
              </w:rPr>
            </w:pPr>
            <w:r>
              <w:rPr>
                <w:rFonts w:hint="eastAsia" w:hAnsi="宋体" w:cs="宋体"/>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pPr>
              <w:autoSpaceDE w:val="0"/>
              <w:autoSpaceDN w:val="0"/>
              <w:adjustRightInd w:val="0"/>
              <w:spacing w:line="276" w:lineRule="auto"/>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276" w:lineRule="auto"/>
              <w:rPr>
                <w:rFonts w:hAnsi="宋体" w:cs="宋体"/>
                <w:color w:val="000000" w:themeColor="text1"/>
                <w:sz w:val="24"/>
                <w:lang w:val="zh-CN"/>
              </w:rPr>
            </w:pPr>
            <w:r>
              <w:rPr>
                <w:rFonts w:hint="eastAsia" w:hAnsi="宋体" w:cs="宋体"/>
                <w:color w:val="000000" w:themeColor="text1"/>
                <w:sz w:val="24"/>
                <w:lang w:val="zh-CN"/>
              </w:rPr>
              <w:t>2.1投标人网上下载招标文件后，登录</w:t>
            </w:r>
            <w:r>
              <w:fldChar w:fldCharType="begin"/>
            </w:r>
            <w:r>
              <w:instrText xml:space="preserve"> HYPERLINK "http://221.14.6.70:8088/ggzy" </w:instrText>
            </w:r>
            <w:r>
              <w:fldChar w:fldCharType="separate"/>
            </w:r>
            <w:r>
              <w:rPr>
                <w:rFonts w:hint="eastAsia" w:hAnsi="宋体" w:cs="宋体"/>
                <w:color w:val="000000" w:themeColor="text1"/>
                <w:sz w:val="24"/>
                <w:lang w:val="zh-CN"/>
              </w:rPr>
              <w:t>http://221.14.6.70:8088/ggzy</w:t>
            </w:r>
            <w:r>
              <w:rPr>
                <w:rFonts w:hint="eastAsia" w:hAnsi="宋体" w:cs="宋体"/>
                <w:color w:val="000000" w:themeColor="text1"/>
                <w:sz w:val="24"/>
                <w:lang w:val="zh-CN"/>
              </w:rPr>
              <w:fldChar w:fldCharType="end"/>
            </w:r>
            <w:r>
              <w:rPr>
                <w:rFonts w:hint="eastAsia" w:hAnsi="宋体" w:cs="宋体"/>
                <w:color w:val="000000" w:themeColor="text1"/>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276" w:lineRule="auto"/>
              <w:rPr>
                <w:rFonts w:hAnsi="宋体" w:cs="宋体"/>
                <w:color w:val="000000" w:themeColor="text1"/>
                <w:sz w:val="24"/>
                <w:lang w:val="zh-CN"/>
              </w:rPr>
            </w:pPr>
            <w:r>
              <w:rPr>
                <w:rFonts w:hint="eastAsia" w:hAnsi="宋体" w:cs="宋体"/>
                <w:color w:val="000000" w:themeColor="text1"/>
                <w:sz w:val="24"/>
                <w:lang w:val="zh-CN"/>
              </w:rPr>
              <w:t>2.2成功缴纳后再次登录前述系统，依次点击“会员向导”→“参与投标”→“保证金绑定”→“绑定”进行投标保证金绑定。未绑定标段的投标保证金，视为未按规定提交。</w:t>
            </w:r>
          </w:p>
          <w:p>
            <w:pPr>
              <w:autoSpaceDE w:val="0"/>
              <w:autoSpaceDN w:val="0"/>
              <w:adjustRightInd w:val="0"/>
              <w:spacing w:line="276" w:lineRule="auto"/>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2.3投标人成功绑定投标保证金，将缴纳凭证即本项目投保保证金“许昌公共资源交易中心保证金缴纳回执”附于投标文件中，否则视为未按规定提交。</w:t>
            </w:r>
          </w:p>
          <w:p>
            <w:pPr>
              <w:autoSpaceDE w:val="0"/>
              <w:autoSpaceDN w:val="0"/>
              <w:adjustRightInd w:val="0"/>
              <w:spacing w:line="276" w:lineRule="auto"/>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276" w:lineRule="auto"/>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276" w:lineRule="auto"/>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276" w:lineRule="auto"/>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276" w:lineRule="auto"/>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276" w:lineRule="auto"/>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276" w:lineRule="auto"/>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eastAsia="宋体" w:cs="宋体"/>
                <w:sz w:val="24"/>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2016、2017、2018</w:t>
            </w:r>
            <w:r>
              <w:rPr>
                <w:rFonts w:hint="eastAsia" w:hAnsi="宋体" w:eastAsia="宋体" w:cs="宋体"/>
                <w:sz w:val="24"/>
              </w:rPr>
              <w:t>年。</w:t>
            </w:r>
            <w:r>
              <w:rPr>
                <w:rFonts w:hint="eastAsia" w:hAnsi="宋体" w:cs="宋体"/>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2017年1月1日以来。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autoSpaceDE w:val="0"/>
              <w:autoSpaceDN w:val="0"/>
              <w:adjustRightInd w:val="0"/>
              <w:spacing w:line="360" w:lineRule="auto"/>
              <w:rPr>
                <w:rFonts w:hAnsi="宋体" w:eastAsia="宋体" w:cs="宋体"/>
                <w:b/>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开标地点：许昌市公共资源交易中心开标一室(许昌市龙兴路竹林路交汇处公共资源大厦三楼）。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spacing w:line="520" w:lineRule="exact"/>
              <w:rPr>
                <w:rFonts w:hAnsi="宋体" w:eastAsia="宋体" w:cs="宋体"/>
                <w:color w:val="000000" w:themeColor="text1"/>
                <w:sz w:val="24"/>
              </w:rPr>
            </w:pPr>
            <w:r>
              <w:rPr>
                <w:rFonts w:hint="eastAsia" w:hAnsi="宋体" w:eastAsia="宋体" w:cs="宋体"/>
                <w:color w:val="000000" w:themeColor="text1"/>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eastAsia="宋体" w:cs="宋体"/>
                <w:color w:val="000000" w:themeColor="text1"/>
                <w:sz w:val="24"/>
              </w:rPr>
            </w:pPr>
            <w:r>
              <w:rPr>
                <w:rFonts w:hint="eastAsia" w:hAnsi="宋体" w:eastAsia="宋体" w:cs="宋体"/>
                <w:color w:val="000000" w:themeColor="text1"/>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eastAsia="宋体" w:cs="宋体"/>
                <w:color w:val="000000" w:themeColor="text1"/>
                <w:sz w:val="24"/>
              </w:rPr>
            </w:pPr>
            <w:r>
              <w:rPr>
                <w:rFonts w:hint="eastAsia" w:hAnsi="宋体" w:eastAsia="宋体" w:cs="宋体"/>
                <w:color w:val="000000" w:themeColor="text1"/>
                <w:sz w:val="24"/>
              </w:rPr>
              <w:t>(3)解密完成后，招标人（代理机构）点击“系数抽取”按钮进行系数抽取，系数抽取情况在“公告通知”处显示。</w:t>
            </w:r>
            <w:r>
              <w:rPr>
                <w:rFonts w:hAnsi="宋体" w:eastAsia="宋体" w:cs="宋体"/>
                <w:color w:val="000000" w:themeColor="text1"/>
                <w:sz w:val="24"/>
              </w:rPr>
              <w:t xml:space="preserve"> </w:t>
            </w:r>
          </w:p>
          <w:p>
            <w:pPr>
              <w:spacing w:line="520" w:lineRule="exact"/>
              <w:rPr>
                <w:rFonts w:hAnsi="宋体" w:eastAsia="宋体" w:cs="宋体"/>
                <w:color w:val="000000" w:themeColor="text1"/>
                <w:sz w:val="24"/>
              </w:rPr>
            </w:pPr>
            <w:r>
              <w:rPr>
                <w:rFonts w:hint="eastAsia" w:hAnsi="宋体" w:eastAsia="宋体" w:cs="宋体"/>
                <w:color w:val="000000" w:themeColor="text1"/>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ind w:firstLine="120" w:firstLineChars="50"/>
              <w:rPr>
                <w:rFonts w:hAnsi="宋体" w:eastAsia="宋体" w:cs="宋体"/>
                <w:color w:val="000000" w:themeColor="text1"/>
                <w:sz w:val="24"/>
              </w:rPr>
            </w:pPr>
            <w:r>
              <w:rPr>
                <w:rFonts w:hint="eastAsia" w:hAnsi="宋体" w:eastAsia="宋体" w:cs="宋体"/>
                <w:color w:val="000000" w:themeColor="text1"/>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spacing w:line="520" w:lineRule="exact"/>
              <w:rPr>
                <w:rFonts w:hAnsi="宋体" w:eastAsia="宋体" w:cs="宋体"/>
                <w:color w:val="000000" w:themeColor="text1"/>
                <w:sz w:val="24"/>
              </w:rPr>
            </w:pPr>
            <w:r>
              <w:rPr>
                <w:rFonts w:hint="eastAsia" w:hAnsi="宋体" w:eastAsia="宋体" w:cs="宋体"/>
                <w:color w:val="000000" w:themeColor="text1"/>
                <w:sz w:val="24"/>
              </w:rPr>
              <w:t>评标委员会构成：7人，从河南省综合评标专家库中随机抽取5人和招标人代表2人（其中注册造价工程师不少于3人）。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Ansi="宋体" w:eastAsia="宋体" w:cs="宋体"/>
                <w:b/>
                <w:bCs/>
                <w:color w:val="000000" w:themeColor="text1"/>
                <w:sz w:val="24"/>
              </w:rPr>
            </w:pPr>
            <w:r>
              <w:rPr>
                <w:rFonts w:hint="eastAsia" w:hAnsi="宋体" w:eastAsia="宋体" w:cs="宋体"/>
                <w:color w:val="000000" w:themeColor="text1"/>
                <w:sz w:val="24"/>
              </w:rPr>
              <w:t>指2017年1月1日以来（以合同签订时间为准）已经完成的市政公用工程项目。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本工程招标控制价：</w:t>
            </w:r>
          </w:p>
          <w:p>
            <w:pPr>
              <w:autoSpaceDE w:val="0"/>
              <w:autoSpaceDN w:val="0"/>
              <w:adjustRightInd w:val="0"/>
              <w:spacing w:line="420" w:lineRule="exact"/>
              <w:ind w:firstLine="480" w:firstLineChars="200"/>
              <w:rPr>
                <w:rFonts w:hAnsi="宋体" w:eastAsia="宋体" w:cs="宋体"/>
                <w:b/>
                <w:sz w:val="24"/>
              </w:rPr>
            </w:pPr>
            <w:r>
              <w:rPr>
                <w:rFonts w:hint="eastAsia" w:hAnsi="宋体" w:eastAsia="宋体" w:cs="宋体"/>
                <w:b/>
                <w:sz w:val="24"/>
              </w:rPr>
              <w:t xml:space="preserve">大写：伍仟捌佰壹拾肆万叁仟玖佰陆拾捌元贰角肆分 </w:t>
            </w:r>
          </w:p>
          <w:p>
            <w:pPr>
              <w:autoSpaceDE w:val="0"/>
              <w:autoSpaceDN w:val="0"/>
              <w:adjustRightInd w:val="0"/>
              <w:spacing w:line="420" w:lineRule="exact"/>
              <w:ind w:firstLine="480" w:firstLineChars="200"/>
              <w:rPr>
                <w:rFonts w:hAnsi="宋体" w:eastAsia="宋体" w:cs="宋体"/>
                <w:b/>
                <w:sz w:val="24"/>
              </w:rPr>
            </w:pPr>
            <w:r>
              <w:rPr>
                <w:rFonts w:hint="eastAsia" w:hAnsi="宋体" w:eastAsia="宋体" w:cs="宋体"/>
                <w:b/>
                <w:sz w:val="24"/>
              </w:rPr>
              <w:t>小写：58143968.24元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cs="宋体"/>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67" w:type="dxa"/>
            <w:gridSpan w:val="6"/>
            <w:vAlign w:val="center"/>
          </w:tcPr>
          <w:p>
            <w:pPr>
              <w:spacing w:line="312"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1、未成功上传的投标文件；</w:t>
            </w:r>
          </w:p>
          <w:p>
            <w:pPr>
              <w:pStyle w:val="2"/>
              <w:spacing w:line="360" w:lineRule="auto"/>
              <w:ind w:firstLine="0" w:firstLineChars="0"/>
              <w:rPr>
                <w:rFonts w:hAnsi="宋体" w:eastAsia="宋体" w:cs="宋体"/>
                <w:sz w:val="24"/>
              </w:rPr>
            </w:pPr>
            <w:r>
              <w:rPr>
                <w:rFonts w:hint="eastAsia" w:hAnsi="宋体" w:eastAsia="宋体" w:cs="宋体"/>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360" w:lineRule="auto"/>
              <w:ind w:firstLine="480" w:firstLineChars="200"/>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480" w:firstLineChars="200"/>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ind w:firstLine="480" w:firstLineChars="200"/>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ind w:firstLine="480" w:firstLineChars="200"/>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autoSpaceDE w:val="0"/>
              <w:autoSpaceDN w:val="0"/>
              <w:spacing w:line="360" w:lineRule="auto"/>
              <w:ind w:firstLine="480" w:firstLineChars="200"/>
              <w:jc w:val="left"/>
              <w:outlineLvl w:val="0"/>
              <w:rPr>
                <w:rFonts w:hAnsi="宋体" w:eastAsia="宋体" w:cs="宋体"/>
                <w:sz w:val="24"/>
              </w:rPr>
            </w:pPr>
            <w:r>
              <w:rPr>
                <w:rFonts w:hint="eastAsia" w:hAnsi="宋体" w:eastAsia="宋体" w:cs="宋体"/>
                <w:sz w:val="24"/>
              </w:rPr>
              <w:t>5、招标人及其代理机构需留存项目电子档案时，可在质疑期满后使用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ind w:firstLine="480" w:firstLineChars="2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480" w:firstLineChars="2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480" w:firstLineChars="2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480" w:firstLineChars="2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480" w:firstLineChars="2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480" w:firstLineChars="2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480" w:firstLineChars="200"/>
              <w:jc w:val="left"/>
              <w:outlineLvl w:val="0"/>
              <w:rPr>
                <w:rFonts w:hAnsi="宋体" w:eastAsia="宋体" w:cs="宋体"/>
                <w:color w:val="000000" w:themeColor="text1"/>
                <w:sz w:val="24"/>
              </w:rPr>
            </w:pPr>
            <w:r>
              <w:rPr>
                <w:rFonts w:hint="eastAsia" w:hAnsi="宋体" w:eastAsia="宋体" w:cs="宋体"/>
                <w:color w:val="000000" w:themeColor="text1"/>
                <w:sz w:val="24"/>
              </w:rPr>
              <w:t>6.6投标人采用银行转账方式提交投标保证金的，应在投标文件递交的截止时间之前按程序完成投标保证金绑定。</w:t>
            </w:r>
          </w:p>
          <w:p>
            <w:pPr>
              <w:autoSpaceDE w:val="0"/>
              <w:autoSpaceDN w:val="0"/>
              <w:spacing w:line="360" w:lineRule="auto"/>
              <w:ind w:firstLine="480" w:firstLineChars="2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w:t>
            </w:r>
            <w:r>
              <w:rPr>
                <w:rFonts w:hint="eastAsia" w:hAnsi="宋体"/>
                <w:color w:val="000000" w:themeColor="text1"/>
                <w:sz w:val="24"/>
              </w:rPr>
              <w:t>许昌市不见面开标操作手册</w:t>
            </w:r>
            <w:r>
              <w:rPr>
                <w:rFonts w:hint="eastAsia" w:hAnsi="宋体" w:eastAsia="宋体" w:cs="宋体"/>
                <w:color w:val="000000" w:themeColor="text1"/>
                <w:sz w:val="24"/>
              </w:rPr>
              <w:t>》，并设置不见面开标浏览器（设置流程详见《</w:t>
            </w:r>
            <w:r>
              <w:rPr>
                <w:rFonts w:hint="eastAsia" w:hAnsi="宋体"/>
                <w:color w:val="000000" w:themeColor="text1"/>
                <w:sz w:val="24"/>
              </w:rPr>
              <w:t>许昌市不见面开标操作手册</w:t>
            </w:r>
            <w:r>
              <w:rPr>
                <w:rFonts w:hint="eastAsia" w:hAnsi="宋体" w:eastAsia="宋体" w:cs="宋体"/>
                <w:color w:val="000000" w:themeColor="text1"/>
                <w:sz w:val="24"/>
              </w:rPr>
              <w:t>》）。</w:t>
            </w:r>
          </w:p>
          <w:p>
            <w:pPr>
              <w:autoSpaceDE w:val="0"/>
              <w:autoSpaceDN w:val="0"/>
              <w:spacing w:line="360" w:lineRule="auto"/>
              <w:ind w:firstLine="480" w:firstLineChars="2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480" w:firstLineChars="2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autoSpaceDE w:val="0"/>
              <w:autoSpaceDN w:val="0"/>
              <w:spacing w:line="360" w:lineRule="auto"/>
              <w:ind w:firstLine="480" w:firstLineChars="200"/>
              <w:jc w:val="left"/>
              <w:outlineLvl w:val="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480" w:firstLineChars="2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360" w:lineRule="auto"/>
              <w:ind w:firstLine="480" w:firstLineChars="200"/>
              <w:jc w:val="left"/>
              <w:outlineLvl w:val="0"/>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sz w:val="24"/>
        </w:rPr>
      </w:pPr>
      <w:bookmarkStart w:id="7"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7"/>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（9）近年发生的诉讼及仲裁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40" w:lineRule="exact"/>
        <w:ind w:firstLine="520" w:firstLineChars="200"/>
        <w:jc w:val="left"/>
        <w:outlineLvl w:val="0"/>
        <w:rPr>
          <w:rFonts w:hAnsi="宋体" w:cs="宋体"/>
          <w:sz w:val="24"/>
        </w:rPr>
      </w:pPr>
      <w:r>
        <w:rPr>
          <w:rFonts w:hint="eastAsia" w:hAnsi="宋体" w:cs="宋体"/>
          <w:bCs/>
          <w:sz w:val="26"/>
          <w:szCs w:val="26"/>
        </w:rPr>
        <w:t>（</w:t>
      </w:r>
      <w:r>
        <w:rPr>
          <w:rFonts w:hint="eastAsia" w:hAnsi="宋体" w:cs="宋体"/>
          <w:sz w:val="24"/>
        </w:rPr>
        <w:t>1）内容完整性</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（8）施工进度表和网络计划图</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3.4.2.1 投标保证金的递交方式：投标保证金的提交方式：银行转账、银行电汇、银行保函，不接受以现金方式缴纳的投标保证金。凡以现金方式缴纳投标保证金而影响其投标结果的，由投标人自行负责。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3.4.2.2投标保证金提交方式：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投标人网上下载招标文件后，登录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成功缴纳后再次登录前述系统，依次点击“会员向导”→“参与投标”→“保证金绑定”→“绑定”进行投标保证金绑定。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投标人成功绑定投标保证金，将缴纳凭证“许昌公共资源交易中心保证金缴纳回执”附于投标文件中；未绑定标段的投标保证金，视为未按规定交纳。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3.4.2.3 每个投标人每个项目每个标段只有唯一缴纳账号，切勿重复缴纳或错误缴纳。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sz w:val="24"/>
        </w:rPr>
        <w:t>3.4.3</w:t>
      </w:r>
      <w:r>
        <w:rPr>
          <w:rFonts w:hint="eastAsia" w:ascii="新宋体" w:hAnsi="新宋体" w:eastAsia="新宋体" w:cs="仿宋_GB2312"/>
          <w:color w:val="000000" w:themeColor="text1"/>
          <w:sz w:val="24"/>
        </w:rPr>
        <w:t>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w:t>
      </w:r>
      <w:r>
        <w:rPr>
          <w:rFonts w:hint="eastAsia" w:hAnsi="宋体" w:cs="宋体"/>
          <w:color w:val="000000" w:themeColor="text1"/>
          <w:sz w:val="24"/>
        </w:rPr>
        <w:t>说明书（或会计报表附注）的原件</w:t>
      </w:r>
      <w:r>
        <w:rPr>
          <w:rFonts w:hint="eastAsia" w:hAnsi="宋体" w:cs="宋体"/>
          <w:sz w:val="24"/>
        </w:rPr>
        <w:t>扫描件，具体年份要求见投标人须知前附表。</w:t>
      </w:r>
      <w:r>
        <w:rPr>
          <w:rFonts w:hint="eastAsia" w:hAnsi="宋体" w:cs="宋体"/>
          <w:b/>
          <w:sz w:val="24"/>
        </w:rPr>
        <w:t xml:space="preserve">（新成立不足三年的企业提供自成立之日以来现有年限的财务会计报表） </w:t>
      </w:r>
      <w:r>
        <w:rPr>
          <w:rFonts w:hint="eastAsia" w:hAnsi="宋体" w:cs="宋体"/>
          <w:sz w:val="24"/>
        </w:rPr>
        <w:t xml:space="preserve">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3.5.3 “近年完成的类似项目情况表”应附中标通知书和合同协议书或合同协议书和竣工验收表的原件扫描件，具体年份要求见投标人须知前附表。每张表格只填写一个项目，并标明序号。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3.5.6  未按规定提交投标保证金的，由评标委员会否决其投标。</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2329"/>
      <w:bookmarkStart w:id="40" w:name="_Toc152045553"/>
      <w:bookmarkStart w:id="41" w:name="_Toc144974521"/>
      <w:bookmarkStart w:id="42" w:name="_Toc17963257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tabs>
          <w:tab w:val="left" w:pos="7095"/>
        </w:tabs>
        <w:spacing w:line="360" w:lineRule="auto"/>
        <w:ind w:firstLine="480" w:firstLineChars="200"/>
        <w:rPr>
          <w:rFonts w:hAnsi="宋体"/>
          <w:sz w:val="24"/>
          <w:szCs w:val="24"/>
        </w:rPr>
      </w:pPr>
      <w:bookmarkStart w:id="43" w:name="_Toc283559961"/>
      <w:r>
        <w:rPr>
          <w:rFonts w:hint="eastAsia" w:hAnsi="宋体"/>
          <w:sz w:val="24"/>
          <w:szCs w:val="24"/>
        </w:rPr>
        <w:t>3.7.5 当生成的电子投标文件投标报价大小写不一致时，以大写为准。</w:t>
      </w:r>
    </w:p>
    <w:p>
      <w:pPr>
        <w:autoSpaceDE w:val="0"/>
        <w:autoSpaceDN w:val="0"/>
        <w:adjustRightInd w:val="0"/>
        <w:spacing w:line="460" w:lineRule="exact"/>
        <w:jc w:val="left"/>
        <w:rPr>
          <w:rFonts w:hAnsi="宋体" w:cs="宋体"/>
          <w:sz w:val="24"/>
        </w:rPr>
      </w:pPr>
      <w:r>
        <w:rPr>
          <w:rFonts w:hint="eastAsia" w:hAnsi="宋体" w:cs="宋体"/>
          <w:b/>
          <w:bCs/>
          <w:sz w:val="24"/>
        </w:rPr>
        <w:t>3.7.8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3.7.8.2 商务标投标文件制作技术咨询：0374-2961598。</w:t>
      </w:r>
    </w:p>
    <w:p>
      <w:pPr>
        <w:pStyle w:val="17"/>
        <w:spacing w:line="440" w:lineRule="exact"/>
        <w:jc w:val="both"/>
        <w:outlineLvl w:val="0"/>
        <w:rPr>
          <w:rFonts w:hAnsi="宋体"/>
          <w:b/>
          <w:color w:val="auto"/>
        </w:rPr>
      </w:pPr>
      <w:r>
        <w:rPr>
          <w:rFonts w:hint="eastAsia" w:hAnsi="宋体"/>
          <w:b/>
          <w:color w:val="auto"/>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w:t>
      </w:r>
      <w:bookmarkEnd w:id="44"/>
      <w:r>
        <w:rPr>
          <w:rFonts w:hint="eastAsia" w:hAnsi="宋体" w:cs="宋体"/>
          <w:b/>
          <w:sz w:val="24"/>
        </w:rPr>
        <w:t>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4.2投标文件的修改与撤回</w:t>
      </w:r>
      <w:bookmarkEnd w:id="45"/>
    </w:p>
    <w:p>
      <w:pPr>
        <w:autoSpaceDE w:val="0"/>
        <w:autoSpaceDN w:val="0"/>
        <w:spacing w:line="440" w:lineRule="exact"/>
        <w:ind w:firstLine="480" w:firstLineChars="200"/>
        <w:jc w:val="left"/>
        <w:rPr>
          <w:rFonts w:hAnsi="宋体" w:cs="宋体"/>
          <w:sz w:val="24"/>
        </w:rPr>
      </w:pPr>
      <w:r>
        <w:rPr>
          <w:rFonts w:hint="eastAsia" w:hAnsi="宋体" w:cs="宋体"/>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投标人应当在投标截止时间前完成电子投标文件的提交，可以补充、修改或撤回。投标截止时间前未完成电子投标文件提交、取得“投标文件提交回执单”的，视为撤回投标文件。</w:t>
      </w:r>
    </w:p>
    <w:p>
      <w:pPr>
        <w:pStyle w:val="17"/>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sz w:val="24"/>
        </w:rPr>
        <w:t>5.2</w:t>
      </w:r>
      <w:r>
        <w:rPr>
          <w:rFonts w:hint="eastAsia" w:hAnsi="宋体" w:cs="宋体"/>
          <w:b/>
          <w:color w:val="000000" w:themeColor="text1"/>
          <w:sz w:val="24"/>
        </w:rPr>
        <w:t>开标程序</w:t>
      </w:r>
    </w:p>
    <w:p>
      <w:pPr>
        <w:autoSpaceDE w:val="0"/>
        <w:autoSpaceDN w:val="0"/>
        <w:spacing w:line="440" w:lineRule="exact"/>
        <w:ind w:firstLine="480" w:firstLineChars="200"/>
        <w:jc w:val="left"/>
        <w:rPr>
          <w:rFonts w:hAnsi="宋体" w:cs="宋体"/>
          <w:sz w:val="24"/>
        </w:rPr>
      </w:pPr>
      <w:bookmarkStart w:id="48" w:name="_Toc283559970"/>
      <w:r>
        <w:rPr>
          <w:rFonts w:hint="eastAsia" w:hAnsi="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rPr>
          <w:rFonts w:hAnsi="宋体" w:cs="宋体"/>
          <w:sz w:val="24"/>
        </w:rPr>
      </w:pPr>
      <w:r>
        <w:rPr>
          <w:rFonts w:hint="eastAsia" w:hAnsi="宋体" w:cs="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rPr>
          <w:rFonts w:hAnsi="宋体" w:cs="宋体"/>
          <w:sz w:val="24"/>
        </w:rPr>
      </w:pPr>
      <w:r>
        <w:rPr>
          <w:rFonts w:hint="eastAsia" w:hAnsi="宋体" w:cs="宋体"/>
          <w:sz w:val="24"/>
        </w:rPr>
        <w:t>(3)解密完成后，招标人（代理机构）点击“系数抽取”按钮进行系数抽取，系数抽取情况在“公告通知”处显示。</w:t>
      </w:r>
      <w:r>
        <w:rPr>
          <w:rFonts w:hAnsi="宋体" w:cs="宋体"/>
          <w:sz w:val="24"/>
        </w:rPr>
        <w:t xml:space="preserve"> </w:t>
      </w:r>
    </w:p>
    <w:p>
      <w:pPr>
        <w:autoSpaceDE w:val="0"/>
        <w:autoSpaceDN w:val="0"/>
        <w:spacing w:line="440" w:lineRule="exact"/>
        <w:ind w:firstLine="480" w:firstLineChars="200"/>
        <w:jc w:val="left"/>
        <w:rPr>
          <w:rFonts w:hAnsi="宋体" w:cs="宋体"/>
          <w:sz w:val="24"/>
        </w:rPr>
      </w:pPr>
      <w:r>
        <w:rPr>
          <w:rFonts w:hint="eastAsia" w:hAnsi="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40" w:lineRule="exact"/>
        <w:ind w:firstLine="480" w:firstLineChars="200"/>
        <w:jc w:val="left"/>
        <w:rPr>
          <w:rFonts w:hAnsi="宋体" w:cs="宋体"/>
          <w:sz w:val="24"/>
        </w:rPr>
      </w:pPr>
      <w:r>
        <w:rPr>
          <w:rFonts w:hint="eastAsia" w:hAnsi="宋体" w:cs="宋体"/>
          <w:sz w:val="24"/>
        </w:rPr>
        <w:t>（6）招标人（代理机构）签章并上传《开标记录表》，不见面开标活动结束。</w:t>
      </w:r>
    </w:p>
    <w:p>
      <w:pPr>
        <w:autoSpaceDE w:val="0"/>
        <w:autoSpaceDN w:val="0"/>
        <w:adjustRightInd w:val="0"/>
        <w:spacing w:line="440" w:lineRule="exact"/>
        <w:jc w:val="left"/>
        <w:rPr>
          <w:rFonts w:hAnsi="宋体" w:cs="宋体"/>
          <w:b/>
          <w:sz w:val="24"/>
          <w:szCs w:val="24"/>
        </w:rPr>
      </w:pPr>
      <w:r>
        <w:rPr>
          <w:rFonts w:hint="eastAsia" w:hAnsi="宋体" w:cs="宋体"/>
          <w:b/>
          <w:sz w:val="24"/>
          <w:szCs w:val="24"/>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7"/>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7"/>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7"/>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jc w:val="right"/>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评标办法（综合评标法）</w:t>
      </w:r>
    </w:p>
    <w:p>
      <w:pPr>
        <w:spacing w:line="360" w:lineRule="auto"/>
        <w:ind w:firstLine="480" w:firstLineChars="200"/>
        <w:rPr>
          <w:rFonts w:ascii="新宋体" w:hAnsi="新宋体" w:eastAsia="新宋体"/>
          <w:sz w:val="24"/>
        </w:rPr>
      </w:pPr>
      <w:bookmarkStart w:id="70" w:name="_Toc283559990"/>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二、评标由招标人依法组建的评标委员会负责，评标委员会成员从河南省综合评标专家库中随机抽取5人和招标人代表2人组成，其中注册造价工程师不少于3人。与投标人有利害关系的专家不得进入评标委员会。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三、评标采用综合评标法，是指评标委员会根据招标文件要求，应从技术标、商务标、综合标三部分进行综合评审。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sz w:val="24"/>
        </w:rPr>
      </w:pPr>
      <w:r>
        <w:rPr>
          <w:rFonts w:hint="eastAsia" w:ascii="新宋体" w:hAnsi="新宋体" w:eastAsia="新宋体"/>
          <w:sz w:val="24"/>
        </w:rPr>
        <w:t>（一）初步评审；</w:t>
      </w:r>
    </w:p>
    <w:p>
      <w:pPr>
        <w:spacing w:line="360" w:lineRule="auto"/>
        <w:ind w:firstLine="480" w:firstLineChars="200"/>
        <w:rPr>
          <w:rFonts w:ascii="新宋体" w:hAnsi="新宋体" w:eastAsia="新宋体"/>
          <w:sz w:val="24"/>
        </w:rPr>
      </w:pPr>
      <w:r>
        <w:rPr>
          <w:rFonts w:hint="eastAsia" w:ascii="新宋体" w:hAnsi="新宋体" w:eastAsia="新宋体"/>
          <w:sz w:val="24"/>
        </w:rPr>
        <w:t>（二）详细评审；</w:t>
      </w:r>
    </w:p>
    <w:p>
      <w:pPr>
        <w:spacing w:line="360" w:lineRule="auto"/>
        <w:ind w:firstLine="480" w:firstLineChars="200"/>
        <w:rPr>
          <w:rFonts w:ascii="新宋体" w:hAnsi="新宋体" w:eastAsia="新宋体"/>
          <w:sz w:val="24"/>
        </w:rPr>
      </w:pPr>
      <w:r>
        <w:rPr>
          <w:rFonts w:hint="eastAsia" w:ascii="新宋体" w:hAnsi="新宋体" w:eastAsia="新宋体"/>
          <w:sz w:val="24"/>
        </w:rPr>
        <w:t>（三）问题的澄清、说明或补正；</w:t>
      </w:r>
    </w:p>
    <w:p>
      <w:pPr>
        <w:spacing w:line="360" w:lineRule="auto"/>
        <w:ind w:firstLine="480" w:firstLineChars="200"/>
        <w:rPr>
          <w:rFonts w:ascii="新宋体" w:hAnsi="新宋体" w:eastAsia="新宋体"/>
          <w:sz w:val="24"/>
        </w:rPr>
      </w:pPr>
      <w:r>
        <w:rPr>
          <w:rFonts w:hint="eastAsia" w:ascii="新宋体" w:hAnsi="新宋体" w:eastAsia="新宋体"/>
          <w:sz w:val="24"/>
        </w:rPr>
        <w:t>（四）推荐中标候选人；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（五）评标现场宣布中标候选人确定结果并在指定媒体上进行公示。</w:t>
      </w:r>
    </w:p>
    <w:p>
      <w:pPr>
        <w:spacing w:line="440" w:lineRule="exact"/>
        <w:ind w:firstLine="480" w:firstLineChars="200"/>
        <w:rPr>
          <w:rFonts w:ascii="新宋体" w:hAnsi="新宋体" w:eastAsia="新宋体"/>
          <w:b/>
          <w:sz w:val="24"/>
        </w:rPr>
      </w:pPr>
      <w:r>
        <w:rPr>
          <w:rFonts w:hint="eastAsia" w:ascii="新宋体" w:hAnsi="新宋体" w:eastAsia="新宋体"/>
          <w:bCs/>
          <w:sz w:val="24"/>
        </w:rPr>
        <w:t>五、</w:t>
      </w:r>
      <w:r>
        <w:rPr>
          <w:rFonts w:hint="eastAsia" w:ascii="新宋体" w:hAnsi="新宋体" w:eastAsia="新宋体"/>
          <w:b/>
          <w:sz w:val="24"/>
        </w:rPr>
        <w:t>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重大偏差是指投标文件存在标的物、价格、工期、质量、付款方式等不符合《评标委员会和评标方法暂行规定》第二十五条规定及招标文件实质性要求的情况。</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5.1初步评审主要包括以下内容：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（6）投标文件是否对招标文件的实质性要求和条件作出响应（包括是否按规定缴纳投标保证金）；</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5.2投标文件存在下列情形之一的，按废标处理：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（3）规费和安全文明施工措施费违背工程造价计价有关规定的；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（6）住房和城乡建设部《标准施工招标文件》规定的其他否决条件。</w:t>
      </w:r>
    </w:p>
    <w:p>
      <w:pPr>
        <w:spacing w:line="440" w:lineRule="exact"/>
        <w:rPr>
          <w:rFonts w:ascii="新宋体" w:hAnsi="新宋体" w:eastAsia="新宋体"/>
          <w:b/>
          <w:sz w:val="24"/>
        </w:rPr>
      </w:pPr>
      <w:r>
        <w:rPr>
          <w:rFonts w:hint="eastAsia" w:ascii="新宋体" w:hAnsi="新宋体" w:eastAsia="新宋体"/>
          <w:b/>
          <w:sz w:val="24"/>
        </w:rPr>
        <w:t>5.3清标内容：</w:t>
      </w:r>
    </w:p>
    <w:tbl>
      <w:tblPr>
        <w:tblStyle w:val="1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315"/>
        <w:gridCol w:w="3915"/>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3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3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3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9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安全文明施工费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其他措施费（费率类）项目</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39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专业工程暂估价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增值税</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20" w:lineRule="exact"/>
        <w:ind w:firstLine="480" w:firstLineChars="200"/>
        <w:jc w:val="left"/>
        <w:rPr>
          <w:rFonts w:hAnsi="宋体" w:cs="宋体"/>
          <w:b/>
          <w:sz w:val="24"/>
          <w:szCs w:val="24"/>
        </w:rPr>
      </w:pPr>
      <w:r>
        <w:rPr>
          <w:rFonts w:hint="eastAsia" w:hAnsi="宋体" w:cs="宋体"/>
          <w:b/>
          <w:sz w:val="24"/>
          <w:szCs w:val="24"/>
        </w:rPr>
        <w:t>注：不在上述范围内且不具有实质性影响的内容，均不能作为清标的依据或理由。</w:t>
      </w:r>
    </w:p>
    <w:p>
      <w:pPr>
        <w:pStyle w:val="2"/>
        <w:spacing w:line="420" w:lineRule="exact"/>
        <w:ind w:firstLine="480" w:firstLineChars="200"/>
        <w:rPr>
          <w:rFonts w:hAnsi="宋体" w:cs="宋体"/>
          <w:b/>
          <w:sz w:val="24"/>
          <w:szCs w:val="24"/>
        </w:rPr>
      </w:pPr>
      <w:r>
        <w:rPr>
          <w:rFonts w:hint="eastAsia" w:hAnsi="宋体" w:cs="宋体"/>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420" w:lineRule="exact"/>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420" w:lineRule="exact"/>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20" w:lineRule="exact"/>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420" w:lineRule="exact"/>
        <w:ind w:firstLine="480" w:firstLineChars="200"/>
        <w:rPr>
          <w:rFonts w:ascii="新宋体" w:hAnsi="新宋体" w:eastAsia="新宋体"/>
          <w:bCs/>
          <w:sz w:val="24"/>
        </w:rPr>
      </w:pPr>
      <w:r>
        <w:rPr>
          <w:rFonts w:hint="eastAsia" w:ascii="新宋体" w:hAnsi="新宋体" w:eastAsia="新宋体"/>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pStyle w:val="2"/>
        <w:spacing w:line="420" w:lineRule="exact"/>
        <w:ind w:firstLine="480" w:firstLineChars="200"/>
        <w:rPr>
          <w:rFonts w:hAnsi="宋体" w:cs="宋体"/>
          <w:b/>
          <w:sz w:val="24"/>
          <w:szCs w:val="24"/>
        </w:rPr>
      </w:pPr>
      <w:r>
        <w:rPr>
          <w:rFonts w:hint="eastAsia" w:hAnsi="宋体" w:cs="宋体"/>
          <w:b/>
          <w:sz w:val="24"/>
          <w:szCs w:val="24"/>
        </w:rPr>
        <w:t>注：不同投标人电子投标文件制作硬件特征码（网卡MAC地址、CPU序号、硬盘序列号等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20" w:lineRule="exact"/>
        <w:ind w:firstLine="480" w:firstLineChars="200"/>
        <w:rPr>
          <w:rFonts w:ascii="新宋体" w:hAnsi="新宋体" w:eastAsia="新宋体" w:cs="宋体"/>
          <w:b/>
          <w:sz w:val="24"/>
        </w:rPr>
      </w:pPr>
      <w:r>
        <w:rPr>
          <w:rFonts w:hint="eastAsia" w:ascii="新宋体" w:hAnsi="新宋体" w:eastAsia="新宋体"/>
          <w:b/>
          <w:sz w:val="24"/>
        </w:rPr>
        <w:t>六、</w:t>
      </w:r>
      <w:r>
        <w:rPr>
          <w:rFonts w:hint="eastAsia" w:ascii="新宋体" w:hAnsi="新宋体" w:eastAsia="新宋体" w:cs="宋体"/>
          <w:b/>
          <w:sz w:val="24"/>
        </w:rPr>
        <w:t>详细评审</w:t>
      </w:r>
    </w:p>
    <w:p>
      <w:pPr>
        <w:spacing w:line="42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评标委员会根据招标文件要求应从技术标、商务标、综合标三部分进行综合评审。技术标的权重占25%，商务标的权重占50%，综合标的权重占25%。</w:t>
      </w:r>
    </w:p>
    <w:p>
      <w:pPr>
        <w:snapToGrid w:val="0"/>
        <w:spacing w:line="360" w:lineRule="auto"/>
        <w:rPr>
          <w:rFonts w:hAnsi="宋体" w:cs="宋体"/>
          <w:b/>
          <w:sz w:val="24"/>
        </w:rPr>
      </w:pPr>
      <w:r>
        <w:rPr>
          <w:rFonts w:hint="eastAsia" w:hAnsi="宋体" w:cs="宋体"/>
          <w:b/>
          <w:sz w:val="24"/>
        </w:rPr>
        <w:t>（一）技术标（25分）</w:t>
      </w:r>
    </w:p>
    <w:p>
      <w:pPr>
        <w:snapToGrid w:val="0"/>
        <w:spacing w:line="360" w:lineRule="auto"/>
        <w:rPr>
          <w:rFonts w:ascii="新宋体" w:hAnsi="新宋体" w:eastAsia="新宋体"/>
          <w:sz w:val="24"/>
        </w:rPr>
      </w:pPr>
      <w:r>
        <w:rPr>
          <w:rFonts w:ascii="新宋体" w:hAnsi="新宋体" w:eastAsia="新宋体"/>
          <w:sz w:val="24"/>
        </w:rPr>
        <w:t>评审内容</w:t>
      </w:r>
      <w:r>
        <w:rPr>
          <w:rFonts w:hint="eastAsia" w:ascii="新宋体" w:hAnsi="新宋体" w:eastAsia="新宋体"/>
          <w:sz w:val="24"/>
        </w:rPr>
        <w:t>：</w:t>
      </w:r>
    </w:p>
    <w:tbl>
      <w:tblPr>
        <w:tblStyle w:val="10"/>
        <w:tblW w:w="92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sz w:val="21"/>
                <w:szCs w:val="21"/>
              </w:rPr>
            </w:pPr>
            <w:bookmarkStart w:id="71" w:name="_Toc272833453"/>
            <w:bookmarkStart w:id="72" w:name="_Toc295572535"/>
            <w:bookmarkStart w:id="73" w:name="_Toc270931534"/>
            <w:bookmarkStart w:id="74" w:name="_Toc273546398"/>
            <w:r>
              <w:rPr>
                <w:rFonts w:hint="eastAsia" w:hAnsi="宋体" w:eastAsia="宋体" w:cs="宋体"/>
                <w:b/>
                <w:bCs/>
                <w:sz w:val="21"/>
                <w:szCs w:val="21"/>
              </w:rPr>
              <w:t>序号</w:t>
            </w:r>
          </w:p>
        </w:tc>
        <w:tc>
          <w:tcPr>
            <w:tcW w:w="1123"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内容</w:t>
            </w:r>
          </w:p>
        </w:tc>
        <w:tc>
          <w:tcPr>
            <w:tcW w:w="980"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分值</w:t>
            </w:r>
          </w:p>
        </w:tc>
        <w:tc>
          <w:tcPr>
            <w:tcW w:w="5344"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评审标准</w:t>
            </w:r>
          </w:p>
        </w:tc>
        <w:tc>
          <w:tcPr>
            <w:tcW w:w="1241"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sz w:val="21"/>
                <w:szCs w:val="21"/>
              </w:rPr>
            </w:pPr>
            <w:r>
              <w:rPr>
                <w:sz w:val="21"/>
                <w:szCs w:val="21"/>
              </w:rPr>
              <w:t>1</w:t>
            </w:r>
          </w:p>
        </w:tc>
        <w:tc>
          <w:tcPr>
            <w:tcW w:w="1123" w:type="dxa"/>
            <w:vMerge w:val="restart"/>
            <w:tcBorders>
              <w:tl2br w:val="nil"/>
              <w:tr2bl w:val="nil"/>
            </w:tcBorders>
            <w:vAlign w:val="center"/>
          </w:tcPr>
          <w:p>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pPr>
              <w:jc w:val="cente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sz w:val="21"/>
                <w:szCs w:val="21"/>
              </w:rPr>
            </w:pPr>
            <w:r>
              <w:rPr>
                <w:sz w:val="21"/>
                <w:szCs w:val="21"/>
              </w:rPr>
              <w:t>2</w:t>
            </w:r>
          </w:p>
        </w:tc>
        <w:tc>
          <w:tcPr>
            <w:tcW w:w="1123" w:type="dxa"/>
            <w:vMerge w:val="restart"/>
            <w:tcBorders>
              <w:tl2br w:val="nil"/>
              <w:tr2bl w:val="nil"/>
            </w:tcBorders>
            <w:vAlign w:val="center"/>
          </w:tcPr>
          <w:p>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sz w:val="21"/>
                <w:szCs w:val="21"/>
              </w:rPr>
            </w:pPr>
            <w:r>
              <w:rPr>
                <w:sz w:val="21"/>
                <w:szCs w:val="21"/>
              </w:rPr>
              <w:t xml:space="preserve"> 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sz w:val="21"/>
                <w:szCs w:val="21"/>
              </w:rPr>
            </w:pPr>
            <w:r>
              <w:rPr>
                <w:sz w:val="21"/>
                <w:szCs w:val="21"/>
              </w:rPr>
              <w:t>3</w:t>
            </w:r>
          </w:p>
        </w:tc>
        <w:tc>
          <w:tcPr>
            <w:tcW w:w="1123" w:type="dxa"/>
            <w:vMerge w:val="restart"/>
            <w:tcBorders>
              <w:tl2br w:val="nil"/>
              <w:tr2bl w:val="nil"/>
            </w:tcBorders>
            <w:vAlign w:val="center"/>
          </w:tcPr>
          <w:p>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sz w:val="21"/>
                <w:szCs w:val="21"/>
              </w:rPr>
            </w:pPr>
            <w:r>
              <w:rPr>
                <w:sz w:val="21"/>
                <w:szCs w:val="21"/>
              </w:rPr>
              <w:t>4</w:t>
            </w:r>
          </w:p>
        </w:tc>
        <w:tc>
          <w:tcPr>
            <w:tcW w:w="1123" w:type="dxa"/>
            <w:vMerge w:val="restart"/>
            <w:tcBorders>
              <w:tl2br w:val="nil"/>
              <w:tr2bl w:val="nil"/>
            </w:tcBorders>
            <w:vAlign w:val="center"/>
          </w:tcPr>
          <w:p>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sz w:val="21"/>
                <w:szCs w:val="21"/>
              </w:rPr>
            </w:pPr>
            <w:r>
              <w:rPr>
                <w:sz w:val="21"/>
                <w:szCs w:val="21"/>
              </w:rPr>
              <w:t>5</w:t>
            </w:r>
          </w:p>
        </w:tc>
        <w:tc>
          <w:tcPr>
            <w:tcW w:w="1123" w:type="dxa"/>
            <w:vMerge w:val="restart"/>
            <w:tcBorders>
              <w:tl2br w:val="nil"/>
              <w:tr2bl w:val="nil"/>
            </w:tcBorders>
            <w:vAlign w:val="center"/>
          </w:tcPr>
          <w:p>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pPr>
              <w:jc w:val="center"/>
              <w:rPr>
                <w:rFonts w:eastAsia="宋体"/>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6</w:t>
            </w:r>
          </w:p>
        </w:tc>
        <w:tc>
          <w:tcPr>
            <w:tcW w:w="1123" w:type="dxa"/>
            <w:vMerge w:val="restart"/>
            <w:tcBorders>
              <w:tl2br w:val="nil"/>
              <w:tr2bl w:val="nil"/>
            </w:tcBorders>
            <w:vAlign w:val="center"/>
          </w:tcPr>
          <w:p>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sz w:val="21"/>
                <w:szCs w:val="21"/>
              </w:rPr>
            </w:pPr>
            <w:r>
              <w:rPr>
                <w:sz w:val="21"/>
                <w:szCs w:val="21"/>
              </w:rPr>
              <w:t>7</w:t>
            </w:r>
          </w:p>
        </w:tc>
        <w:tc>
          <w:tcPr>
            <w:tcW w:w="1123" w:type="dxa"/>
            <w:vMerge w:val="restart"/>
            <w:tcBorders>
              <w:tl2br w:val="nil"/>
              <w:tr2bl w:val="nil"/>
            </w:tcBorders>
            <w:vAlign w:val="center"/>
          </w:tcPr>
          <w:p>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8</w:t>
            </w:r>
          </w:p>
        </w:tc>
        <w:tc>
          <w:tcPr>
            <w:tcW w:w="1123" w:type="dxa"/>
            <w:vMerge w:val="restart"/>
            <w:tcBorders>
              <w:tl2br w:val="nil"/>
              <w:tr2bl w:val="nil"/>
            </w:tcBorders>
            <w:vAlign w:val="center"/>
          </w:tcPr>
          <w:p>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9</w:t>
            </w:r>
          </w:p>
        </w:tc>
        <w:tc>
          <w:tcPr>
            <w:tcW w:w="1123" w:type="dxa"/>
            <w:vMerge w:val="restart"/>
            <w:tcBorders>
              <w:tl2br w:val="nil"/>
              <w:tr2bl w:val="nil"/>
            </w:tcBorders>
            <w:vAlign w:val="center"/>
          </w:tcPr>
          <w:p>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sz w:val="21"/>
                <w:szCs w:val="21"/>
              </w:rPr>
            </w:pPr>
            <w:r>
              <w:rPr>
                <w:sz w:val="21"/>
                <w:szCs w:val="21"/>
              </w:rPr>
              <w:t>10</w:t>
            </w:r>
          </w:p>
        </w:tc>
        <w:tc>
          <w:tcPr>
            <w:tcW w:w="1123" w:type="dxa"/>
            <w:vMerge w:val="restart"/>
            <w:tcBorders>
              <w:tl2br w:val="nil"/>
              <w:tr2bl w:val="nil"/>
            </w:tcBorders>
            <w:vAlign w:val="center"/>
          </w:tcPr>
          <w:p>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sz w:val="21"/>
                <w:szCs w:val="21"/>
              </w:rPr>
            </w:pPr>
            <w:r>
              <w:rPr>
                <w:sz w:val="21"/>
                <w:szCs w:val="21"/>
              </w:rPr>
              <w:t>11</w:t>
            </w:r>
          </w:p>
        </w:tc>
        <w:tc>
          <w:tcPr>
            <w:tcW w:w="1123" w:type="dxa"/>
            <w:vMerge w:val="restart"/>
            <w:tcBorders>
              <w:tl2br w:val="nil"/>
              <w:tr2bl w:val="nil"/>
            </w:tcBorders>
            <w:vAlign w:val="center"/>
          </w:tcPr>
          <w:p>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12</w:t>
            </w:r>
          </w:p>
        </w:tc>
        <w:tc>
          <w:tcPr>
            <w:tcW w:w="1123" w:type="dxa"/>
            <w:vMerge w:val="restart"/>
            <w:tcBorders>
              <w:tl2br w:val="nil"/>
              <w:tr2bl w:val="nil"/>
            </w:tcBorders>
            <w:vAlign w:val="center"/>
          </w:tcPr>
          <w:p>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13</w:t>
            </w:r>
          </w:p>
        </w:tc>
        <w:tc>
          <w:tcPr>
            <w:tcW w:w="1123" w:type="dxa"/>
            <w:vMerge w:val="restart"/>
            <w:tcBorders>
              <w:tl2br w:val="nil"/>
              <w:tr2bl w:val="nil"/>
            </w:tcBorders>
            <w:vAlign w:val="center"/>
          </w:tcPr>
          <w:p>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sz w:val="21"/>
                <w:szCs w:val="21"/>
              </w:rPr>
            </w:pPr>
            <w:r>
              <w:rPr>
                <w:rFonts w:hint="eastAsia"/>
                <w:sz w:val="21"/>
                <w:szCs w:val="21"/>
              </w:rPr>
              <w:t>合计</w:t>
            </w:r>
          </w:p>
        </w:tc>
        <w:tc>
          <w:tcPr>
            <w:tcW w:w="980" w:type="dxa"/>
            <w:tcBorders>
              <w:tl2br w:val="nil"/>
              <w:tr2bl w:val="nil"/>
            </w:tcBorders>
            <w:vAlign w:val="center"/>
          </w:tcPr>
          <w:p>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pPr>
              <w:rPr>
                <w:sz w:val="21"/>
                <w:szCs w:val="21"/>
              </w:rPr>
            </w:pPr>
          </w:p>
        </w:tc>
        <w:tc>
          <w:tcPr>
            <w:tcW w:w="1241" w:type="dxa"/>
            <w:tcBorders>
              <w:tl2br w:val="nil"/>
              <w:tr2bl w:val="nil"/>
            </w:tcBorders>
            <w:vAlign w:val="center"/>
          </w:tcPr>
          <w:p>
            <w:pPr>
              <w:jc w:val="center"/>
              <w:rPr>
                <w:sz w:val="21"/>
                <w:szCs w:val="21"/>
              </w:rPr>
            </w:pPr>
            <w:r>
              <w:rPr>
                <w:sz w:val="21"/>
                <w:szCs w:val="21"/>
              </w:rPr>
              <w:t>10≤</w:t>
            </w:r>
            <w:r>
              <w:rPr>
                <w:rFonts w:hint="eastAsia"/>
                <w:sz w:val="21"/>
                <w:szCs w:val="21"/>
              </w:rPr>
              <w:t>得分</w:t>
            </w:r>
            <w:r>
              <w:rPr>
                <w:sz w:val="21"/>
                <w:szCs w:val="21"/>
              </w:rPr>
              <w:t>≤25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4"/>
        <w:rPr>
          <w:rFonts w:hAnsi="宋体" w:cs="宋体"/>
          <w:sz w:val="24"/>
          <w:szCs w:val="24"/>
        </w:rPr>
      </w:pPr>
      <w:r>
        <w:rPr>
          <w:rFonts w:hint="eastAsia" w:hAnsi="宋体" w:cs="宋体"/>
          <w:sz w:val="24"/>
          <w:szCs w:val="24"/>
        </w:rPr>
        <w:t>（1）工程量清单报价评标基准价计算公式为：</w:t>
      </w:r>
    </w:p>
    <w:p>
      <w:pPr>
        <w:snapToGrid w:val="0"/>
        <w:spacing w:line="360" w:lineRule="auto"/>
        <w:ind w:firstLine="484"/>
        <w:rPr>
          <w:rFonts w:hAnsi="宋体" w:cs="宋体"/>
          <w:sz w:val="24"/>
          <w:szCs w:val="24"/>
        </w:rPr>
      </w:pPr>
      <w:r>
        <w:rPr>
          <w:rFonts w:hint="eastAsia" w:hAnsi="宋体" w:cs="宋体"/>
          <w:sz w:val="24"/>
          <w:szCs w:val="24"/>
        </w:rPr>
        <w:t>评标基准价＝最高投标限价×K+投标报价×（1－K）。</w:t>
      </w:r>
    </w:p>
    <w:p>
      <w:pPr>
        <w:snapToGrid w:val="0"/>
        <w:spacing w:line="360" w:lineRule="auto"/>
        <w:ind w:firstLine="484"/>
        <w:rPr>
          <w:rFonts w:hAnsi="宋体" w:cs="宋体"/>
          <w:sz w:val="24"/>
          <w:szCs w:val="24"/>
        </w:rPr>
      </w:pPr>
      <w:r>
        <w:rPr>
          <w:rFonts w:hint="eastAsia" w:hAnsi="宋体" w:cs="宋体"/>
          <w:sz w:val="24"/>
          <w:szCs w:val="24"/>
        </w:rPr>
        <w:t>其中：K为最高投标限价权重系数，取值范围为（0.3、</w:t>
      </w:r>
      <w:bookmarkStart w:id="81" w:name="_GoBack"/>
      <w:bookmarkEnd w:id="81"/>
      <w:r>
        <w:rPr>
          <w:rFonts w:hint="eastAsia" w:hAnsi="宋体" w:cs="宋体"/>
          <w:sz w:val="24"/>
          <w:szCs w:val="24"/>
        </w:rPr>
        <w:t>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pPr>
        <w:snapToGrid w:val="0"/>
        <w:spacing w:line="360" w:lineRule="auto"/>
        <w:ind w:firstLine="484"/>
        <w:rPr>
          <w:rFonts w:hAnsi="宋体" w:cs="宋体"/>
          <w:sz w:val="24"/>
          <w:szCs w:val="24"/>
        </w:rPr>
      </w:pPr>
      <w:r>
        <w:rPr>
          <w:rFonts w:hint="eastAsia" w:hAnsi="宋体" w:cs="宋体"/>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numPr>
          <w:ilvl w:val="0"/>
          <w:numId w:val="1"/>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分部分项工程项目清单单价评审（10分）</w:t>
      </w:r>
    </w:p>
    <w:p>
      <w:pPr>
        <w:snapToGrid w:val="0"/>
        <w:spacing w:line="360" w:lineRule="auto"/>
        <w:ind w:firstLine="484"/>
        <w:rPr>
          <w:rFonts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w:t>
      </w:r>
    </w:p>
    <w:p>
      <w:pPr>
        <w:snapToGrid w:val="0"/>
        <w:spacing w:line="360" w:lineRule="auto"/>
        <w:ind w:firstLine="484"/>
        <w:rPr>
          <w:rFonts w:hAnsi="宋体" w:cs="宋体"/>
          <w:b/>
          <w:bCs/>
          <w:sz w:val="24"/>
          <w:szCs w:val="24"/>
        </w:rPr>
      </w:pPr>
      <w:r>
        <w:rPr>
          <w:rFonts w:hint="eastAsia" w:hAnsi="宋体" w:cs="宋体"/>
          <w:sz w:val="24"/>
          <w:szCs w:val="24"/>
        </w:rPr>
        <w:t>投标人报价在综合单价基准值95%–103%范围内（不含95%和103%）的，每项得0.5分；在综合单价基准值90%–95%范围内（含90%和95%）每项得0.25分。满分共计10分。超出该范围的不得分。</w:t>
      </w:r>
      <w:r>
        <w:rPr>
          <w:rFonts w:hint="eastAsia" w:hAnsi="宋体" w:cs="宋体"/>
          <w:b/>
          <w:bCs/>
          <w:sz w:val="24"/>
          <w:szCs w:val="24"/>
        </w:rPr>
        <w:t xml:space="preserve">    </w:t>
      </w:r>
    </w:p>
    <w:p>
      <w:pPr>
        <w:numPr>
          <w:ilvl w:val="0"/>
          <w:numId w:val="1"/>
        </w:numPr>
        <w:snapToGrid w:val="0"/>
        <w:spacing w:line="360" w:lineRule="auto"/>
        <w:ind w:firstLine="481"/>
        <w:rPr>
          <w:rFonts w:hAnsi="宋体" w:cs="宋体"/>
          <w:b/>
          <w:bCs/>
          <w:sz w:val="24"/>
          <w:szCs w:val="24"/>
        </w:rPr>
      </w:pPr>
      <w:r>
        <w:rPr>
          <w:rFonts w:hint="eastAsia" w:hAnsi="宋体" w:cs="宋体"/>
          <w:b/>
          <w:bCs/>
          <w:sz w:val="24"/>
          <w:szCs w:val="24"/>
        </w:rPr>
        <w:t>措施项目费的评审（不含安全文明措施费）（5分）</w:t>
      </w:r>
    </w:p>
    <w:p>
      <w:pPr>
        <w:snapToGrid w:val="0"/>
        <w:spacing w:line="360" w:lineRule="auto"/>
        <w:ind w:firstLine="480" w:firstLineChars="200"/>
        <w:rPr>
          <w:rFonts w:hAnsi="宋体" w:cs="宋体"/>
          <w:b/>
          <w:bCs/>
          <w:sz w:val="24"/>
          <w:szCs w:val="24"/>
        </w:rPr>
      </w:pPr>
      <w:r>
        <w:rPr>
          <w:rFonts w:hint="eastAsia" w:hAnsi="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numPr>
          <w:ilvl w:val="0"/>
          <w:numId w:val="2"/>
        </w:numPr>
        <w:snapToGrid w:val="0"/>
        <w:spacing w:line="360" w:lineRule="auto"/>
        <w:ind w:firstLine="484"/>
        <w:rPr>
          <w:rFonts w:hAnsi="宋体" w:cs="宋体"/>
          <w:b/>
          <w:bCs/>
          <w:sz w:val="24"/>
          <w:szCs w:val="24"/>
        </w:rPr>
      </w:pPr>
      <w:r>
        <w:rPr>
          <w:rFonts w:hint="eastAsia" w:hAnsi="宋体" w:cs="宋体"/>
          <w:b/>
          <w:bCs/>
          <w:sz w:val="24"/>
          <w:szCs w:val="24"/>
        </w:rPr>
        <w:t>主要材料单价的评审（5分）</w:t>
      </w:r>
    </w:p>
    <w:p>
      <w:pPr>
        <w:snapToGrid w:val="0"/>
        <w:spacing w:line="360" w:lineRule="auto"/>
        <w:ind w:firstLine="480" w:firstLineChars="200"/>
        <w:rPr>
          <w:rFonts w:hAnsi="宋体" w:cs="宋体"/>
          <w:sz w:val="24"/>
          <w:szCs w:val="24"/>
        </w:rPr>
      </w:pPr>
      <w:r>
        <w:rPr>
          <w:rFonts w:hint="eastAsia" w:hAnsi="宋体" w:cs="宋体"/>
          <w:sz w:val="24"/>
          <w:szCs w:val="24"/>
        </w:rPr>
        <w:t>从最高投标限价中材料总价权重最大的前10-20项材料中抽取6项，在剩余材料中抽取4项。</w:t>
      </w:r>
    </w:p>
    <w:p>
      <w:pPr>
        <w:snapToGrid w:val="0"/>
        <w:spacing w:line="360" w:lineRule="auto"/>
        <w:ind w:firstLine="480" w:firstLineChars="200"/>
        <w:rPr>
          <w:rFonts w:hAnsi="宋体" w:cs="宋体"/>
          <w:sz w:val="24"/>
          <w:szCs w:val="24"/>
        </w:rPr>
      </w:pPr>
      <w:r>
        <w:rPr>
          <w:rFonts w:hint="eastAsia" w:hAnsi="宋体" w:cs="宋体"/>
          <w:sz w:val="24"/>
          <w:szCs w:val="24"/>
        </w:rPr>
        <w:t>主要材料单价基准值是以各有效投标报价中（当有效投标人5名及以上时，去掉1个最高、1个最低值）对应抽取材料单价的算术平均值。</w:t>
      </w:r>
    </w:p>
    <w:p>
      <w:pPr>
        <w:snapToGrid w:val="0"/>
        <w:spacing w:line="360" w:lineRule="auto"/>
        <w:ind w:firstLine="480" w:firstLineChars="200"/>
        <w:rPr>
          <w:rFonts w:hAnsi="宋体" w:cs="宋体"/>
          <w:sz w:val="24"/>
          <w:szCs w:val="24"/>
        </w:rPr>
      </w:pPr>
      <w:r>
        <w:rPr>
          <w:rFonts w:hint="eastAsia" w:hAnsi="宋体" w:cs="宋体"/>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pPr>
        <w:snapToGrid w:val="0"/>
        <w:spacing w:line="360" w:lineRule="auto"/>
        <w:ind w:firstLine="480" w:firstLineChars="200"/>
        <w:rPr>
          <w:rFonts w:hAnsi="宋体" w:cs="宋体"/>
          <w:sz w:val="24"/>
          <w:szCs w:val="24"/>
        </w:rPr>
      </w:pPr>
      <w:r>
        <w:rPr>
          <w:rFonts w:hint="eastAsia" w:hAnsi="宋体" w:cs="宋体"/>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（三）综合标（25分）</w:t>
      </w:r>
    </w:p>
    <w:tbl>
      <w:tblPr>
        <w:tblStyle w:val="10"/>
        <w:tblW w:w="973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2"/>
        <w:gridCol w:w="2050"/>
        <w:gridCol w:w="4950"/>
        <w:gridCol w:w="20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9" w:hRule="atLeast"/>
          <w:jc w:val="center"/>
        </w:trPr>
        <w:tc>
          <w:tcPr>
            <w:tcW w:w="662" w:type="dxa"/>
            <w:vAlign w:val="center"/>
          </w:tcPr>
          <w:p>
            <w:pPr>
              <w:jc w:val="center"/>
              <w:rPr>
                <w:rFonts w:hAnsi="宋体" w:eastAsia="宋体" w:cs="宋体"/>
                <w:sz w:val="24"/>
                <w:szCs w:val="24"/>
              </w:rPr>
            </w:pPr>
            <w:r>
              <w:rPr>
                <w:rFonts w:hint="eastAsia" w:hAnsi="宋体" w:eastAsia="宋体" w:cs="宋体"/>
                <w:sz w:val="24"/>
                <w:szCs w:val="24"/>
              </w:rPr>
              <w:t>序号</w:t>
            </w:r>
          </w:p>
        </w:tc>
        <w:tc>
          <w:tcPr>
            <w:tcW w:w="2050" w:type="dxa"/>
            <w:vAlign w:val="center"/>
          </w:tcPr>
          <w:p>
            <w:pPr>
              <w:jc w:val="center"/>
              <w:rPr>
                <w:rFonts w:hAnsi="宋体" w:eastAsia="宋体" w:cs="宋体"/>
                <w:sz w:val="24"/>
                <w:szCs w:val="24"/>
              </w:rPr>
            </w:pPr>
            <w:r>
              <w:rPr>
                <w:rFonts w:hint="eastAsia" w:hAnsi="宋体" w:eastAsia="宋体" w:cs="宋体"/>
                <w:b/>
                <w:sz w:val="24"/>
                <w:szCs w:val="24"/>
              </w:rPr>
              <w:t>量化因素</w:t>
            </w:r>
          </w:p>
        </w:tc>
        <w:tc>
          <w:tcPr>
            <w:tcW w:w="4950" w:type="dxa"/>
            <w:vAlign w:val="center"/>
          </w:tcPr>
          <w:p>
            <w:pPr>
              <w:jc w:val="center"/>
              <w:rPr>
                <w:rFonts w:hAnsi="宋体" w:eastAsia="宋体" w:cs="宋体"/>
                <w:sz w:val="24"/>
                <w:szCs w:val="24"/>
              </w:rPr>
            </w:pPr>
            <w:r>
              <w:rPr>
                <w:rFonts w:hint="eastAsia" w:hAnsi="宋体" w:eastAsia="宋体" w:cs="宋体"/>
                <w:b/>
                <w:sz w:val="24"/>
                <w:szCs w:val="24"/>
              </w:rPr>
              <w:t>评分标准</w:t>
            </w:r>
          </w:p>
        </w:tc>
        <w:tc>
          <w:tcPr>
            <w:tcW w:w="2074" w:type="dxa"/>
            <w:vAlign w:val="center"/>
          </w:tcPr>
          <w:p>
            <w:pPr>
              <w:jc w:val="center"/>
              <w:rPr>
                <w:rFonts w:hAnsi="宋体" w:eastAsia="宋体" w:cs="宋体"/>
                <w:b/>
                <w:sz w:val="24"/>
                <w:szCs w:val="24"/>
              </w:rPr>
            </w:pPr>
            <w:r>
              <w:rPr>
                <w:rFonts w:hint="eastAsia" w:hAnsi="宋体" w:eastAsia="宋体" w:cs="宋体"/>
                <w:b/>
                <w:sz w:val="24"/>
                <w:szCs w:val="24"/>
              </w:rPr>
              <w:t>评审得分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662" w:type="dxa"/>
            <w:vAlign w:val="center"/>
          </w:tcPr>
          <w:p>
            <w:pPr>
              <w:autoSpaceDE w:val="0"/>
              <w:autoSpaceDN w:val="0"/>
              <w:adjustRightInd w:val="0"/>
              <w:jc w:val="center"/>
              <w:rPr>
                <w:rFonts w:eastAsia="宋体"/>
                <w:sz w:val="24"/>
                <w:szCs w:val="24"/>
              </w:rPr>
            </w:pPr>
            <w:r>
              <w:rPr>
                <w:rFonts w:hint="eastAsia"/>
                <w:sz w:val="24"/>
                <w:szCs w:val="24"/>
              </w:rPr>
              <w:t>1</w:t>
            </w:r>
          </w:p>
        </w:tc>
        <w:tc>
          <w:tcPr>
            <w:tcW w:w="2050" w:type="dxa"/>
            <w:vAlign w:val="center"/>
          </w:tcPr>
          <w:p>
            <w:pPr>
              <w:autoSpaceDE w:val="0"/>
              <w:autoSpaceDN w:val="0"/>
              <w:adjustRightInd w:val="0"/>
              <w:rPr>
                <w:sz w:val="24"/>
                <w:szCs w:val="24"/>
              </w:rPr>
            </w:pPr>
            <w:r>
              <w:rPr>
                <w:rFonts w:hint="eastAsia"/>
                <w:sz w:val="24"/>
                <w:szCs w:val="24"/>
              </w:rPr>
              <w:t>企业业绩（0-4分）</w:t>
            </w:r>
          </w:p>
        </w:tc>
        <w:tc>
          <w:tcPr>
            <w:tcW w:w="4950" w:type="dxa"/>
            <w:vAlign w:val="center"/>
          </w:tcPr>
          <w:p>
            <w:pPr>
              <w:snapToGrid w:val="0"/>
              <w:spacing w:line="360" w:lineRule="auto"/>
              <w:rPr>
                <w:color w:val="000000" w:themeColor="text1"/>
                <w:sz w:val="24"/>
                <w:szCs w:val="24"/>
              </w:rPr>
            </w:pPr>
            <w:r>
              <w:rPr>
                <w:rFonts w:hint="eastAsia" w:hAnsi="宋体" w:eastAsia="宋体" w:cs="宋体"/>
                <w:color w:val="000000" w:themeColor="text1"/>
                <w:sz w:val="24"/>
                <w:szCs w:val="24"/>
              </w:rPr>
              <w:t>2017年1月1日以来（以合同签订时间为准）：企业具有类似工程施工业绩者，每项得2分，本项最高得</w:t>
            </w:r>
            <w:r>
              <w:rPr>
                <w:rFonts w:hint="eastAsia" w:hAnsi="宋体" w:cs="宋体"/>
                <w:color w:val="000000" w:themeColor="text1"/>
                <w:sz w:val="24"/>
                <w:szCs w:val="24"/>
              </w:rPr>
              <w:t>4</w:t>
            </w:r>
            <w:r>
              <w:rPr>
                <w:rFonts w:hint="eastAsia" w:hAnsi="宋体" w:eastAsia="宋体" w:cs="宋体"/>
                <w:color w:val="000000" w:themeColor="text1"/>
                <w:sz w:val="24"/>
                <w:szCs w:val="24"/>
              </w:rPr>
              <w:t>分。（以施工合同和竣工验收表为准或施工合同和中标通知书为准）</w:t>
            </w:r>
          </w:p>
        </w:tc>
        <w:tc>
          <w:tcPr>
            <w:tcW w:w="2074" w:type="dxa"/>
            <w:vAlign w:val="center"/>
          </w:tcPr>
          <w:p>
            <w:pPr>
              <w:autoSpaceDN w:val="0"/>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rFonts w:hint="eastAsia"/>
                <w:sz w:val="24"/>
                <w:szCs w:val="24"/>
              </w:rPr>
              <w:t xml:space="preserve">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662" w:type="dxa"/>
            <w:vAlign w:val="center"/>
          </w:tcPr>
          <w:p>
            <w:pPr>
              <w:jc w:val="center"/>
              <w:rPr>
                <w:rFonts w:eastAsia="宋体"/>
                <w:sz w:val="24"/>
                <w:szCs w:val="24"/>
              </w:rPr>
            </w:pPr>
            <w:r>
              <w:rPr>
                <w:rFonts w:hint="eastAsia"/>
                <w:sz w:val="24"/>
                <w:szCs w:val="24"/>
              </w:rPr>
              <w:t>2</w:t>
            </w:r>
          </w:p>
        </w:tc>
        <w:tc>
          <w:tcPr>
            <w:tcW w:w="2050" w:type="dxa"/>
            <w:vAlign w:val="center"/>
          </w:tcPr>
          <w:p>
            <w:pPr>
              <w:rPr>
                <w:sz w:val="24"/>
                <w:szCs w:val="24"/>
              </w:rPr>
            </w:pPr>
            <w:r>
              <w:rPr>
                <w:rFonts w:hint="eastAsia"/>
                <w:sz w:val="24"/>
                <w:szCs w:val="24"/>
              </w:rPr>
              <w:t>项目经理业绩(0-6分）</w:t>
            </w:r>
          </w:p>
        </w:tc>
        <w:tc>
          <w:tcPr>
            <w:tcW w:w="4950" w:type="dxa"/>
            <w:vAlign w:val="center"/>
          </w:tcPr>
          <w:p>
            <w:pPr>
              <w:snapToGrid w:val="0"/>
              <w:spacing w:line="360" w:lineRule="auto"/>
              <w:rPr>
                <w:color w:val="000000" w:themeColor="text1"/>
                <w:sz w:val="24"/>
                <w:szCs w:val="24"/>
              </w:rPr>
            </w:pPr>
            <w:r>
              <w:rPr>
                <w:rFonts w:hint="eastAsia" w:hAnsi="宋体" w:cs="宋体"/>
                <w:color w:val="000000" w:themeColor="text1"/>
                <w:sz w:val="24"/>
                <w:szCs w:val="24"/>
              </w:rPr>
              <w:t>2017年1月1日以来，承担过类似项目业绩的得6分，本项最高得6分。</w:t>
            </w:r>
            <w:r>
              <w:rPr>
                <w:rFonts w:hint="eastAsia" w:hAnsi="宋体" w:eastAsia="宋体" w:cs="宋体"/>
                <w:color w:val="000000" w:themeColor="text1"/>
                <w:sz w:val="24"/>
                <w:szCs w:val="24"/>
              </w:rPr>
              <w:t>（以施工合同和竣工验收表为准或施工合同和中标通知书为准）</w:t>
            </w:r>
            <w:r>
              <w:rPr>
                <w:rFonts w:hint="eastAsia" w:hAnsi="宋体" w:cs="宋体"/>
                <w:color w:val="000000" w:themeColor="text1"/>
                <w:sz w:val="24"/>
                <w:szCs w:val="24"/>
              </w:rPr>
              <w:t>。</w:t>
            </w:r>
          </w:p>
        </w:tc>
        <w:tc>
          <w:tcPr>
            <w:tcW w:w="2074" w:type="dxa"/>
            <w:vAlign w:val="center"/>
          </w:tcPr>
          <w:p>
            <w:pPr>
              <w:jc w:val="center"/>
              <w:rPr>
                <w:sz w:val="24"/>
                <w:szCs w:val="24"/>
              </w:rPr>
            </w:pPr>
            <w:r>
              <w:rPr>
                <w:sz w:val="24"/>
                <w:szCs w:val="24"/>
              </w:rPr>
              <w:t>0</w:t>
            </w:r>
            <w:r>
              <w:rPr>
                <w:rFonts w:hint="eastAsia"/>
                <w:sz w:val="24"/>
                <w:szCs w:val="24"/>
              </w:rPr>
              <w:t>＜得分</w:t>
            </w:r>
            <w:r>
              <w:rPr>
                <w:sz w:val="24"/>
                <w:szCs w:val="24"/>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jc w:val="center"/>
        </w:trPr>
        <w:tc>
          <w:tcPr>
            <w:tcW w:w="662" w:type="dxa"/>
            <w:vMerge w:val="restart"/>
            <w:vAlign w:val="center"/>
          </w:tcPr>
          <w:p>
            <w:pPr>
              <w:jc w:val="center"/>
              <w:rPr>
                <w:rFonts w:eastAsia="宋体"/>
                <w:sz w:val="24"/>
                <w:szCs w:val="24"/>
              </w:rPr>
            </w:pPr>
            <w:r>
              <w:rPr>
                <w:rFonts w:hint="eastAsia"/>
                <w:sz w:val="24"/>
                <w:szCs w:val="24"/>
              </w:rPr>
              <w:t>3</w:t>
            </w:r>
          </w:p>
        </w:tc>
        <w:tc>
          <w:tcPr>
            <w:tcW w:w="2050" w:type="dxa"/>
            <w:vMerge w:val="restart"/>
            <w:vAlign w:val="center"/>
          </w:tcPr>
          <w:p>
            <w:pPr>
              <w:spacing w:line="240" w:lineRule="exact"/>
              <w:jc w:val="left"/>
              <w:rPr>
                <w:sz w:val="24"/>
                <w:szCs w:val="24"/>
              </w:rPr>
            </w:pPr>
            <w:r>
              <w:rPr>
                <w:rFonts w:hint="eastAsia"/>
                <w:sz w:val="24"/>
                <w:szCs w:val="24"/>
              </w:rPr>
              <w:t>优惠承诺（1-4分）</w:t>
            </w:r>
          </w:p>
        </w:tc>
        <w:tc>
          <w:tcPr>
            <w:tcW w:w="4950" w:type="dxa"/>
            <w:vAlign w:val="center"/>
          </w:tcPr>
          <w:p>
            <w:pPr>
              <w:snapToGrid w:val="0"/>
              <w:spacing w:line="360" w:lineRule="auto"/>
              <w:rPr>
                <w:rFonts w:hAnsi="宋体" w:eastAsia="宋体" w:cs="宋体"/>
                <w:color w:val="000000" w:themeColor="text1"/>
                <w:sz w:val="24"/>
                <w:szCs w:val="24"/>
              </w:rPr>
            </w:pPr>
            <w:r>
              <w:rPr>
                <w:rFonts w:hint="eastAsia" w:hAnsi="宋体" w:eastAsia="宋体" w:cs="宋体"/>
                <w:color w:val="000000" w:themeColor="text1"/>
                <w:sz w:val="24"/>
                <w:szCs w:val="24"/>
              </w:rPr>
              <w:t>优惠承诺应是书面的符合工程实际情况，确保依法依规，优惠合理，详实可行。</w:t>
            </w:r>
          </w:p>
        </w:tc>
        <w:tc>
          <w:tcPr>
            <w:tcW w:w="2074" w:type="dxa"/>
            <w:vAlign w:val="center"/>
          </w:tcPr>
          <w:p>
            <w:pPr>
              <w:jc w:val="center"/>
              <w:rPr>
                <w:sz w:val="24"/>
                <w:szCs w:val="24"/>
              </w:rPr>
            </w:pPr>
            <w:r>
              <w:rPr>
                <w:sz w:val="24"/>
                <w:szCs w:val="24"/>
              </w:rPr>
              <w:t>3</w:t>
            </w:r>
            <w:r>
              <w:rPr>
                <w:rFonts w:hint="eastAsia"/>
                <w:sz w:val="24"/>
                <w:szCs w:val="24"/>
              </w:rPr>
              <w:t>＜得分</w:t>
            </w:r>
            <w:r>
              <w:rPr>
                <w:sz w:val="24"/>
                <w:szCs w:val="24"/>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4" w:hRule="atLeast"/>
          <w:jc w:val="center"/>
        </w:trPr>
        <w:tc>
          <w:tcPr>
            <w:tcW w:w="662" w:type="dxa"/>
            <w:vMerge w:val="continue"/>
            <w:vAlign w:val="center"/>
          </w:tcPr>
          <w:p>
            <w:pPr>
              <w:jc w:val="left"/>
              <w:rPr>
                <w:sz w:val="24"/>
                <w:szCs w:val="24"/>
              </w:rPr>
            </w:pPr>
          </w:p>
        </w:tc>
        <w:tc>
          <w:tcPr>
            <w:tcW w:w="2050" w:type="dxa"/>
            <w:vMerge w:val="continue"/>
            <w:vAlign w:val="center"/>
          </w:tcPr>
          <w:p>
            <w:pPr>
              <w:spacing w:line="240" w:lineRule="exact"/>
              <w:jc w:val="left"/>
              <w:rPr>
                <w:sz w:val="24"/>
                <w:szCs w:val="24"/>
              </w:rPr>
            </w:pPr>
          </w:p>
        </w:tc>
        <w:tc>
          <w:tcPr>
            <w:tcW w:w="4950" w:type="dxa"/>
            <w:vAlign w:val="center"/>
          </w:tcPr>
          <w:p>
            <w:pPr>
              <w:snapToGrid w:val="0"/>
              <w:spacing w:line="360" w:lineRule="auto"/>
              <w:rPr>
                <w:rFonts w:hAnsi="宋体" w:eastAsia="宋体" w:cs="宋体"/>
                <w:color w:val="000000" w:themeColor="text1"/>
                <w:sz w:val="24"/>
                <w:szCs w:val="24"/>
              </w:rPr>
            </w:pPr>
            <w:r>
              <w:rPr>
                <w:rFonts w:hint="eastAsia" w:hAnsi="宋体" w:eastAsia="宋体" w:cs="宋体"/>
                <w:color w:val="000000" w:themeColor="text1"/>
                <w:sz w:val="24"/>
                <w:szCs w:val="24"/>
              </w:rPr>
              <w:t>优惠承诺符合工程实际情况，确保依法依规，优惠基本合理，基本详实可行。</w:t>
            </w:r>
          </w:p>
        </w:tc>
        <w:tc>
          <w:tcPr>
            <w:tcW w:w="2074" w:type="dxa"/>
            <w:vAlign w:val="center"/>
          </w:tcPr>
          <w:p>
            <w:pPr>
              <w:jc w:val="center"/>
              <w:rPr>
                <w:sz w:val="24"/>
                <w:szCs w:val="24"/>
              </w:rPr>
            </w:pPr>
            <w:r>
              <w:rPr>
                <w:sz w:val="24"/>
                <w:szCs w:val="24"/>
              </w:rPr>
              <w:t>1≤</w:t>
            </w:r>
            <w:r>
              <w:rPr>
                <w:rFonts w:hint="eastAsia"/>
                <w:sz w:val="24"/>
                <w:szCs w:val="24"/>
              </w:rPr>
              <w:t>得分</w:t>
            </w:r>
            <w:r>
              <w:rPr>
                <w:sz w:val="24"/>
                <w:szCs w:val="24"/>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9" w:hRule="atLeast"/>
          <w:jc w:val="center"/>
        </w:trPr>
        <w:tc>
          <w:tcPr>
            <w:tcW w:w="662" w:type="dxa"/>
            <w:vMerge w:val="restart"/>
            <w:vAlign w:val="center"/>
          </w:tcPr>
          <w:p>
            <w:pPr>
              <w:tabs>
                <w:tab w:val="left" w:pos="366"/>
              </w:tabs>
              <w:jc w:val="center"/>
              <w:rPr>
                <w:rFonts w:eastAsia="宋体"/>
                <w:sz w:val="24"/>
                <w:szCs w:val="24"/>
              </w:rPr>
            </w:pPr>
            <w:r>
              <w:rPr>
                <w:rFonts w:hint="eastAsia"/>
                <w:sz w:val="24"/>
                <w:szCs w:val="24"/>
              </w:rPr>
              <w:t>4</w:t>
            </w:r>
          </w:p>
        </w:tc>
        <w:tc>
          <w:tcPr>
            <w:tcW w:w="2050" w:type="dxa"/>
            <w:vMerge w:val="restart"/>
            <w:vAlign w:val="center"/>
          </w:tcPr>
          <w:p>
            <w:pPr>
              <w:spacing w:line="240" w:lineRule="exact"/>
              <w:jc w:val="left"/>
              <w:rPr>
                <w:sz w:val="24"/>
                <w:szCs w:val="24"/>
              </w:rPr>
            </w:pPr>
            <w:r>
              <w:rPr>
                <w:rFonts w:hint="eastAsia"/>
                <w:sz w:val="24"/>
                <w:szCs w:val="24"/>
              </w:rPr>
              <w:t>履职尽责承诺（1-3分）</w:t>
            </w:r>
          </w:p>
        </w:tc>
        <w:tc>
          <w:tcPr>
            <w:tcW w:w="4950" w:type="dxa"/>
            <w:vAlign w:val="center"/>
          </w:tcPr>
          <w:p>
            <w:pPr>
              <w:jc w:val="left"/>
              <w:rPr>
                <w:rFonts w:hAnsi="宋体" w:eastAsia="宋体" w:cs="宋体"/>
                <w:color w:val="000000" w:themeColor="text1"/>
                <w:sz w:val="24"/>
                <w:szCs w:val="24"/>
              </w:rPr>
            </w:pPr>
            <w:r>
              <w:rPr>
                <w:rFonts w:hint="eastAsia" w:hAnsi="宋体" w:eastAsia="宋体" w:cs="宋体"/>
                <w:color w:val="000000" w:themeColor="text1"/>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pPr>
              <w:jc w:val="center"/>
              <w:rPr>
                <w:sz w:val="24"/>
                <w:szCs w:val="24"/>
              </w:rPr>
            </w:pPr>
            <w:r>
              <w:rPr>
                <w:sz w:val="24"/>
                <w:szCs w:val="24"/>
              </w:rPr>
              <w:t>2</w:t>
            </w:r>
            <w:r>
              <w:rPr>
                <w:rFonts w:hint="eastAsia"/>
                <w:sz w:val="24"/>
                <w:szCs w:val="24"/>
              </w:rPr>
              <w:t>＜得分</w:t>
            </w:r>
            <w:r>
              <w:rPr>
                <w:sz w:val="24"/>
                <w:szCs w:val="24"/>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662" w:type="dxa"/>
            <w:vMerge w:val="continue"/>
            <w:vAlign w:val="center"/>
          </w:tcPr>
          <w:p>
            <w:pPr>
              <w:jc w:val="left"/>
              <w:rPr>
                <w:sz w:val="24"/>
                <w:szCs w:val="24"/>
              </w:rPr>
            </w:pPr>
          </w:p>
        </w:tc>
        <w:tc>
          <w:tcPr>
            <w:tcW w:w="2050" w:type="dxa"/>
            <w:vMerge w:val="continue"/>
            <w:vAlign w:val="center"/>
          </w:tcPr>
          <w:p>
            <w:pPr>
              <w:spacing w:line="240" w:lineRule="exact"/>
              <w:jc w:val="left"/>
              <w:rPr>
                <w:sz w:val="24"/>
                <w:szCs w:val="24"/>
              </w:rPr>
            </w:pPr>
          </w:p>
        </w:tc>
        <w:tc>
          <w:tcPr>
            <w:tcW w:w="4950" w:type="dxa"/>
            <w:vAlign w:val="center"/>
          </w:tcPr>
          <w:p>
            <w:pPr>
              <w:jc w:val="left"/>
              <w:rPr>
                <w:rFonts w:hAnsi="宋体" w:eastAsia="宋体" w:cs="宋体"/>
                <w:color w:val="000000" w:themeColor="text1"/>
                <w:sz w:val="24"/>
                <w:szCs w:val="24"/>
              </w:rPr>
            </w:pPr>
            <w:r>
              <w:rPr>
                <w:rFonts w:hint="eastAsia" w:hAnsi="宋体" w:eastAsia="宋体" w:cs="宋体"/>
                <w:color w:val="000000" w:themeColor="text1"/>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pPr>
              <w:jc w:val="center"/>
              <w:rPr>
                <w:sz w:val="24"/>
                <w:szCs w:val="24"/>
              </w:rPr>
            </w:pPr>
            <w:r>
              <w:rPr>
                <w:sz w:val="24"/>
                <w:szCs w:val="24"/>
              </w:rPr>
              <w:t>1≤</w:t>
            </w:r>
            <w:r>
              <w:rPr>
                <w:rFonts w:hint="eastAsia"/>
                <w:sz w:val="24"/>
                <w:szCs w:val="24"/>
              </w:rPr>
              <w:t>得分</w:t>
            </w:r>
            <w:r>
              <w:rPr>
                <w:sz w:val="24"/>
                <w:szCs w:val="24"/>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9" w:hRule="atLeast"/>
          <w:jc w:val="center"/>
        </w:trPr>
        <w:tc>
          <w:tcPr>
            <w:tcW w:w="662" w:type="dxa"/>
            <w:vAlign w:val="center"/>
          </w:tcPr>
          <w:p>
            <w:pPr>
              <w:jc w:val="center"/>
              <w:rPr>
                <w:rFonts w:eastAsia="宋体"/>
                <w:sz w:val="24"/>
                <w:szCs w:val="24"/>
              </w:rPr>
            </w:pPr>
            <w:r>
              <w:rPr>
                <w:rFonts w:hint="eastAsia"/>
                <w:sz w:val="24"/>
                <w:szCs w:val="24"/>
              </w:rPr>
              <w:t>5</w:t>
            </w:r>
          </w:p>
        </w:tc>
        <w:tc>
          <w:tcPr>
            <w:tcW w:w="2050" w:type="dxa"/>
            <w:vAlign w:val="center"/>
          </w:tcPr>
          <w:p>
            <w:pPr>
              <w:spacing w:line="240" w:lineRule="exact"/>
              <w:jc w:val="center"/>
              <w:rPr>
                <w:rFonts w:hAnsi="宋体" w:eastAsia="宋体" w:cs="宋体"/>
                <w:color w:val="000000" w:themeColor="text1"/>
                <w:sz w:val="24"/>
                <w:szCs w:val="24"/>
              </w:rPr>
            </w:pPr>
            <w:r>
              <w:rPr>
                <w:rFonts w:hint="eastAsia" w:hAnsi="宋体" w:eastAsia="宋体" w:cs="宋体"/>
                <w:color w:val="000000" w:themeColor="text1"/>
                <w:sz w:val="24"/>
                <w:szCs w:val="24"/>
              </w:rPr>
              <w:t>企业信用（含纳税诚信）（0-4分）</w:t>
            </w:r>
          </w:p>
        </w:tc>
        <w:tc>
          <w:tcPr>
            <w:tcW w:w="4950" w:type="dxa"/>
            <w:vAlign w:val="center"/>
          </w:tcPr>
          <w:p>
            <w:pPr>
              <w:pStyle w:val="31"/>
              <w:numPr>
                <w:ilvl w:val="0"/>
                <w:numId w:val="3"/>
              </w:numPr>
              <w:snapToGrid w:val="0"/>
              <w:spacing w:line="360" w:lineRule="auto"/>
              <w:ind w:firstLineChars="0"/>
              <w:rPr>
                <w:rFonts w:hAnsi="宋体" w:eastAsia="宋体" w:cs="宋体"/>
                <w:color w:val="000000" w:themeColor="text1"/>
                <w:sz w:val="24"/>
                <w:szCs w:val="24"/>
              </w:rPr>
            </w:pPr>
            <w:r>
              <w:rPr>
                <w:rFonts w:hint="eastAsia" w:hAnsi="宋体" w:eastAsia="宋体" w:cs="宋体"/>
                <w:color w:val="000000" w:themeColor="text1"/>
                <w:sz w:val="24"/>
                <w:szCs w:val="24"/>
              </w:rPr>
              <w:t>企业2018年度纳税信用等级为B级及以上</w:t>
            </w:r>
          </w:p>
          <w:p>
            <w:pPr>
              <w:snapToGrid w:val="0"/>
              <w:spacing w:line="360" w:lineRule="auto"/>
              <w:rPr>
                <w:rFonts w:hAnsi="宋体" w:eastAsia="宋体" w:cs="宋体"/>
                <w:color w:val="000000" w:themeColor="text1"/>
                <w:sz w:val="24"/>
                <w:szCs w:val="24"/>
              </w:rPr>
            </w:pPr>
            <w:r>
              <w:rPr>
                <w:rFonts w:hint="eastAsia" w:hAnsi="宋体" w:eastAsia="宋体" w:cs="宋体"/>
                <w:color w:val="000000" w:themeColor="text1"/>
                <w:sz w:val="24"/>
                <w:szCs w:val="24"/>
              </w:rPr>
              <w:t>的得1分，其他不得分（以税务部门颁发的信用等级证书或国家税务总局网上截图为准）；</w:t>
            </w:r>
          </w:p>
          <w:p>
            <w:pPr>
              <w:pStyle w:val="31"/>
              <w:numPr>
                <w:ilvl w:val="0"/>
                <w:numId w:val="3"/>
              </w:numPr>
              <w:snapToGrid w:val="0"/>
              <w:spacing w:line="360" w:lineRule="auto"/>
              <w:ind w:firstLineChars="0"/>
              <w:rPr>
                <w:rFonts w:hAnsi="宋体" w:eastAsia="宋体" w:cs="宋体"/>
                <w:color w:val="000000" w:themeColor="text1"/>
                <w:sz w:val="24"/>
                <w:szCs w:val="24"/>
              </w:rPr>
            </w:pPr>
            <w:r>
              <w:rPr>
                <w:rFonts w:hint="eastAsia" w:hAnsi="宋体" w:eastAsia="宋体" w:cs="宋体"/>
                <w:color w:val="000000" w:themeColor="text1"/>
                <w:sz w:val="24"/>
                <w:szCs w:val="24"/>
              </w:rPr>
              <w:t>自2017年1月1日以来企业所承建的类似</w:t>
            </w:r>
          </w:p>
          <w:p>
            <w:pPr>
              <w:snapToGrid w:val="0"/>
              <w:spacing w:line="360" w:lineRule="auto"/>
              <w:rPr>
                <w:rFonts w:hAnsi="宋体" w:eastAsia="宋体" w:cs="宋体"/>
                <w:color w:val="000000" w:themeColor="text1"/>
                <w:sz w:val="24"/>
                <w:szCs w:val="24"/>
              </w:rPr>
            </w:pPr>
            <w:r>
              <w:rPr>
                <w:rFonts w:hint="eastAsia" w:hAnsi="宋体" w:eastAsia="宋体" w:cs="宋体"/>
                <w:color w:val="000000" w:themeColor="text1"/>
                <w:sz w:val="24"/>
                <w:szCs w:val="24"/>
              </w:rPr>
              <w:t>工程项目荣获市级以上（含市级）优质工程的得1分（需提供获奖证书和同级奖励文件扫描件，以证书时间为准）；</w:t>
            </w:r>
          </w:p>
          <w:p>
            <w:pPr>
              <w:pStyle w:val="31"/>
              <w:numPr>
                <w:ilvl w:val="0"/>
                <w:numId w:val="3"/>
              </w:numPr>
              <w:snapToGrid w:val="0"/>
              <w:spacing w:line="360" w:lineRule="auto"/>
              <w:ind w:firstLineChars="0"/>
              <w:rPr>
                <w:rFonts w:hAnsi="宋体" w:eastAsia="宋体" w:cs="宋体"/>
                <w:color w:val="000000" w:themeColor="text1"/>
                <w:sz w:val="24"/>
                <w:szCs w:val="24"/>
              </w:rPr>
            </w:pPr>
            <w:r>
              <w:rPr>
                <w:rFonts w:hint="eastAsia" w:hAnsi="宋体" w:eastAsia="宋体" w:cs="宋体"/>
                <w:color w:val="000000" w:themeColor="text1"/>
                <w:sz w:val="24"/>
                <w:szCs w:val="24"/>
              </w:rPr>
              <w:t>自2017年1月1日以来同一年度当中企业</w:t>
            </w:r>
          </w:p>
          <w:p>
            <w:pPr>
              <w:snapToGrid w:val="0"/>
              <w:spacing w:line="360" w:lineRule="auto"/>
              <w:rPr>
                <w:rFonts w:hAnsi="宋体" w:eastAsia="宋体" w:cs="宋体"/>
                <w:color w:val="000000" w:themeColor="text1"/>
                <w:sz w:val="24"/>
                <w:szCs w:val="24"/>
              </w:rPr>
            </w:pPr>
            <w:r>
              <w:rPr>
                <w:rFonts w:hint="eastAsia" w:hAnsi="宋体" w:eastAsia="宋体" w:cs="宋体"/>
                <w:color w:val="000000" w:themeColor="text1"/>
                <w:sz w:val="24"/>
                <w:szCs w:val="24"/>
              </w:rPr>
              <w:t>同时荣获省级以上（含省级）市政公用工程施工质量管理先进企业称号和省级以上（含省级）市政公用工程优秀施工企业称号者得1分，缺一个本项不得分（需提供获奖证书和同级奖励文件扫描件，以证书时间为准）；</w:t>
            </w:r>
          </w:p>
          <w:p>
            <w:pPr>
              <w:snapToGrid w:val="0"/>
              <w:spacing w:line="360" w:lineRule="auto"/>
              <w:rPr>
                <w:rFonts w:hAnsi="宋体" w:eastAsia="宋体" w:cs="宋体"/>
                <w:color w:val="000000" w:themeColor="text1"/>
                <w:sz w:val="24"/>
                <w:szCs w:val="24"/>
              </w:rPr>
            </w:pPr>
            <w:r>
              <w:rPr>
                <w:rFonts w:hint="eastAsia" w:hAnsi="宋体" w:eastAsia="宋体" w:cs="宋体"/>
                <w:color w:val="000000" w:themeColor="text1"/>
                <w:sz w:val="24"/>
                <w:szCs w:val="24"/>
              </w:rPr>
              <w:t>4、2017年1月1日以来企业获得过省级及以</w:t>
            </w:r>
          </w:p>
          <w:p>
            <w:pPr>
              <w:snapToGrid w:val="0"/>
              <w:spacing w:line="360" w:lineRule="auto"/>
              <w:rPr>
                <w:rFonts w:hAnsi="宋体" w:eastAsia="宋体" w:cs="宋体"/>
                <w:color w:val="000000" w:themeColor="text1"/>
                <w:sz w:val="24"/>
                <w:szCs w:val="24"/>
              </w:rPr>
            </w:pPr>
            <w:r>
              <w:rPr>
                <w:rFonts w:hint="eastAsia" w:hAnsi="宋体" w:eastAsia="宋体" w:cs="宋体"/>
                <w:color w:val="000000" w:themeColor="text1"/>
                <w:sz w:val="24"/>
                <w:szCs w:val="24"/>
              </w:rPr>
              <w:t>上“百日安全行动”先进者得1分（需提供获奖证书（或奖牌）和同级奖励文件扫描件，时间以证书或奖牌时间为准）。</w:t>
            </w:r>
          </w:p>
        </w:tc>
        <w:tc>
          <w:tcPr>
            <w:tcW w:w="2074" w:type="dxa"/>
            <w:vAlign w:val="center"/>
          </w:tcPr>
          <w:p>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4" w:hRule="atLeast"/>
          <w:jc w:val="center"/>
        </w:trPr>
        <w:tc>
          <w:tcPr>
            <w:tcW w:w="662" w:type="dxa"/>
            <w:vAlign w:val="center"/>
          </w:tcPr>
          <w:p>
            <w:pPr>
              <w:jc w:val="center"/>
              <w:rPr>
                <w:sz w:val="24"/>
                <w:szCs w:val="24"/>
              </w:rPr>
            </w:pPr>
            <w:r>
              <w:rPr>
                <w:rFonts w:hint="eastAsia"/>
                <w:sz w:val="24"/>
                <w:szCs w:val="24"/>
              </w:rPr>
              <w:t>6</w:t>
            </w:r>
          </w:p>
        </w:tc>
        <w:tc>
          <w:tcPr>
            <w:tcW w:w="2050" w:type="dxa"/>
            <w:vAlign w:val="center"/>
          </w:tcPr>
          <w:p>
            <w:pPr>
              <w:spacing w:line="240" w:lineRule="exact"/>
              <w:jc w:val="center"/>
              <w:rPr>
                <w:sz w:val="24"/>
                <w:szCs w:val="24"/>
              </w:rPr>
            </w:pPr>
            <w:r>
              <w:rPr>
                <w:rFonts w:hint="eastAsia"/>
                <w:sz w:val="24"/>
                <w:szCs w:val="24"/>
              </w:rPr>
              <w:t>项目经理信用</w:t>
            </w:r>
          </w:p>
          <w:p>
            <w:pPr>
              <w:spacing w:line="240" w:lineRule="exact"/>
              <w:jc w:val="center"/>
              <w:rPr>
                <w:sz w:val="24"/>
                <w:szCs w:val="24"/>
              </w:rPr>
            </w:pPr>
            <w:r>
              <w:rPr>
                <w:rFonts w:hint="eastAsia"/>
                <w:sz w:val="24"/>
                <w:szCs w:val="24"/>
              </w:rPr>
              <w:t>（0-2分）</w:t>
            </w:r>
          </w:p>
        </w:tc>
        <w:tc>
          <w:tcPr>
            <w:tcW w:w="4950" w:type="dxa"/>
            <w:vAlign w:val="center"/>
          </w:tcPr>
          <w:p>
            <w:pPr>
              <w:snapToGrid w:val="0"/>
              <w:spacing w:line="360" w:lineRule="auto"/>
              <w:rPr>
                <w:rFonts w:hAnsi="宋体" w:eastAsia="宋体" w:cs="宋体"/>
                <w:color w:val="000000" w:themeColor="text1"/>
                <w:sz w:val="24"/>
                <w:szCs w:val="24"/>
              </w:rPr>
            </w:pPr>
            <w:r>
              <w:rPr>
                <w:rFonts w:hint="eastAsia" w:hAnsi="宋体" w:eastAsia="宋体" w:cs="宋体"/>
                <w:color w:val="000000" w:themeColor="text1"/>
                <w:sz w:val="24"/>
                <w:szCs w:val="24"/>
              </w:rPr>
              <w:t>自2017年1月1日以来项目负责人获得过省级以上（含省级）科技进步奖者得2分。（需提供获奖证书和同级奖励文件扫描件，以证书时间为准）</w:t>
            </w:r>
          </w:p>
        </w:tc>
        <w:tc>
          <w:tcPr>
            <w:tcW w:w="2074" w:type="dxa"/>
            <w:vAlign w:val="center"/>
          </w:tcPr>
          <w:p>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662" w:type="dxa"/>
            <w:vAlign w:val="center"/>
          </w:tcPr>
          <w:p>
            <w:pPr>
              <w:tabs>
                <w:tab w:val="left" w:pos="379"/>
              </w:tabs>
              <w:jc w:val="center"/>
              <w:rPr>
                <w:sz w:val="24"/>
                <w:szCs w:val="24"/>
              </w:rPr>
            </w:pPr>
            <w:r>
              <w:rPr>
                <w:rFonts w:hint="eastAsia"/>
                <w:sz w:val="24"/>
                <w:szCs w:val="24"/>
              </w:rPr>
              <w:t>7</w:t>
            </w:r>
          </w:p>
        </w:tc>
        <w:tc>
          <w:tcPr>
            <w:tcW w:w="2050" w:type="dxa"/>
            <w:vAlign w:val="center"/>
          </w:tcPr>
          <w:p>
            <w:pPr>
              <w:jc w:val="center"/>
              <w:rPr>
                <w:sz w:val="24"/>
                <w:szCs w:val="24"/>
              </w:rPr>
            </w:pPr>
            <w:r>
              <w:rPr>
                <w:rFonts w:hint="eastAsia"/>
                <w:sz w:val="24"/>
                <w:szCs w:val="24"/>
              </w:rPr>
              <w:t>招标人意见（0-2分）</w:t>
            </w:r>
          </w:p>
        </w:tc>
        <w:tc>
          <w:tcPr>
            <w:tcW w:w="4950" w:type="dxa"/>
            <w:vAlign w:val="center"/>
          </w:tcPr>
          <w:p>
            <w:pPr>
              <w:snapToGrid w:val="0"/>
              <w:spacing w:line="360" w:lineRule="auto"/>
              <w:rPr>
                <w:rFonts w:hAnsi="宋体" w:eastAsia="宋体" w:cs="宋体"/>
                <w:color w:val="FF0000"/>
                <w:sz w:val="24"/>
                <w:szCs w:val="24"/>
              </w:rPr>
            </w:pPr>
            <w:r>
              <w:rPr>
                <w:rFonts w:hint="eastAsia"/>
                <w:sz w:val="24"/>
                <w:szCs w:val="24"/>
              </w:rPr>
              <w:t>招标人意见均为2分。</w:t>
            </w:r>
          </w:p>
        </w:tc>
        <w:tc>
          <w:tcPr>
            <w:tcW w:w="2074" w:type="dxa"/>
            <w:vAlign w:val="center"/>
          </w:tcPr>
          <w:p>
            <w:pPr>
              <w:jc w:val="center"/>
              <w:rPr>
                <w:sz w:val="24"/>
                <w:szCs w:val="24"/>
              </w:rPr>
            </w:pPr>
            <w:r>
              <w:rPr>
                <w:sz w:val="24"/>
                <w:szCs w:val="24"/>
              </w:rPr>
              <w:t>0≤</w:t>
            </w:r>
            <w:r>
              <w:rPr>
                <w:rFonts w:hint="eastAsia"/>
                <w:sz w:val="24"/>
                <w:szCs w:val="24"/>
              </w:rPr>
              <w:t>得分</w:t>
            </w:r>
            <w:r>
              <w:rPr>
                <w:sz w:val="24"/>
                <w:szCs w:val="24"/>
              </w:rPr>
              <w:t>≤2</w:t>
            </w:r>
            <w:r>
              <w:rPr>
                <w:rFonts w:hint="eastAsia"/>
                <w:sz w:val="24"/>
                <w:szCs w:val="24"/>
              </w:rPr>
              <w:t>分</w:t>
            </w:r>
          </w:p>
        </w:tc>
      </w:tr>
    </w:tbl>
    <w:p>
      <w:pPr>
        <w:snapToGrid w:val="0"/>
        <w:spacing w:line="360" w:lineRule="auto"/>
        <w:rPr>
          <w:rFonts w:hAnsi="宋体" w:cs="宋体"/>
          <w:b/>
          <w:bCs/>
          <w:sz w:val="24"/>
          <w:szCs w:val="24"/>
        </w:rPr>
      </w:pPr>
    </w:p>
    <w:p>
      <w:pPr>
        <w:snapToGrid w:val="0"/>
        <w:spacing w:line="360" w:lineRule="auto"/>
        <w:rPr>
          <w:rFonts w:hAnsi="宋体" w:cs="宋体"/>
          <w:sz w:val="24"/>
          <w:szCs w:val="24"/>
        </w:rPr>
      </w:pPr>
      <w:r>
        <w:rPr>
          <w:rFonts w:hint="eastAsia" w:hAnsi="宋体" w:cs="宋体"/>
          <w:b/>
          <w:bCs/>
          <w:sz w:val="24"/>
          <w:szCs w:val="24"/>
        </w:rPr>
        <w:t>（四）投标人综合得分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投标人综合得分＝技术标得分＋商务标得分＋综合标得分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（五）中标候选人排序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七、定标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40" w:lineRule="exact"/>
        <w:ind w:firstLine="480" w:firstLineChars="200"/>
        <w:rPr>
          <w:rFonts w:ascii="新宋体" w:hAnsi="新宋体" w:eastAsia="新宋体"/>
          <w:sz w:val="24"/>
        </w:rPr>
      </w:pPr>
      <w:r>
        <w:rPr>
          <w:rFonts w:hint="eastAsia" w:ascii="新宋体" w:hAnsi="新宋体" w:eastAsia="新宋体"/>
          <w:sz w:val="24"/>
        </w:rPr>
        <w:t>1.评标委员会完成技术标评分、综合标评分后，应分别从中去掉一个最高分和一个最低分，取平均值作为该投标人的技术标、综合标得分。</w:t>
      </w:r>
    </w:p>
    <w:p>
      <w:pPr>
        <w:spacing w:line="400" w:lineRule="exact"/>
        <w:ind w:firstLine="480" w:firstLineChars="200"/>
        <w:rPr>
          <w:rFonts w:ascii="新宋体" w:hAnsi="新宋体" w:eastAsia="新宋体"/>
          <w:sz w:val="24"/>
        </w:rPr>
      </w:pPr>
      <w:r>
        <w:rPr>
          <w:rFonts w:hint="eastAsia" w:hAnsi="宋体" w:cs="宋体"/>
          <w:bCs/>
          <w:sz w:val="24"/>
          <w:szCs w:val="24"/>
        </w:rPr>
        <w:t>2.评标委员会人数在5人以上时，去掉一个最高分和一个最低分取平均值；评标委员会人数在5人时，取所有评委评分的平均值。</w:t>
      </w:r>
    </w:p>
    <w:p>
      <w:pPr>
        <w:spacing w:line="400" w:lineRule="exact"/>
        <w:ind w:firstLine="480" w:firstLineChars="200"/>
        <w:rPr>
          <w:rFonts w:hAnsi="宋体" w:cs="宋体"/>
          <w:bCs/>
          <w:sz w:val="24"/>
          <w:szCs w:val="24"/>
        </w:rPr>
      </w:pPr>
      <w:r>
        <w:rPr>
          <w:rFonts w:hint="eastAsia" w:hAnsi="宋体" w:cs="宋体"/>
          <w:bCs/>
          <w:sz w:val="24"/>
          <w:szCs w:val="24"/>
        </w:rPr>
        <w:t>3.分数计算过程中，保留两位小数，小数点后第三位四舍五入。</w:t>
      </w:r>
    </w:p>
    <w:p>
      <w:pPr>
        <w:pStyle w:val="18"/>
        <w:keepNext w:val="0"/>
        <w:keepLines w:val="0"/>
        <w:ind w:firstLine="480" w:firstLineChars="200"/>
        <w:rPr>
          <w:rFonts w:ascii="新宋体" w:hAnsi="新宋体" w:eastAsia="新宋体"/>
          <w:b/>
          <w:szCs w:val="24"/>
        </w:rPr>
      </w:pPr>
      <w:r>
        <w:rPr>
          <w:rFonts w:hint="eastAsia" w:ascii="新宋体" w:hAnsi="新宋体" w:eastAsia="新宋体"/>
          <w:b/>
          <w:szCs w:val="24"/>
        </w:rPr>
        <w:t>九、评标报告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18"/>
        <w:keepNext w:val="0"/>
        <w:keepLines w:val="0"/>
        <w:ind w:firstLine="480" w:firstLineChars="200"/>
        <w:rPr>
          <w:rFonts w:ascii="新宋体" w:hAnsi="新宋体" w:eastAsia="新宋体"/>
          <w:b/>
          <w:szCs w:val="24"/>
        </w:rPr>
      </w:pPr>
      <w:r>
        <w:rPr>
          <w:rFonts w:hint="eastAsia" w:ascii="新宋体" w:hAnsi="新宋体" w:eastAsia="新宋体"/>
          <w:b/>
        </w:rPr>
        <w:t>十、</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w:t>
      </w:r>
      <w:r>
        <w:rPr>
          <w:rFonts w:hint="eastAsia" w:ascii="新宋体" w:hAnsi="新宋体" w:eastAsia="新宋体"/>
          <w:sz w:val="24"/>
        </w:rPr>
        <w:t>告知各投标人</w:t>
      </w:r>
      <w:r>
        <w:rPr>
          <w:rFonts w:ascii="新宋体" w:hAnsi="新宋体" w:eastAsia="新宋体"/>
          <w:sz w:val="24"/>
        </w:rPr>
        <w:t>，</w:t>
      </w:r>
      <w:r>
        <w:rPr>
          <w:rFonts w:hint="eastAsia" w:ascii="新宋体" w:hAnsi="新宋体" w:eastAsia="新宋体"/>
          <w:sz w:val="24"/>
        </w:rPr>
        <w:t>质疑</w:t>
      </w:r>
      <w:r>
        <w:rPr>
          <w:rFonts w:ascii="新宋体" w:hAnsi="新宋体" w:eastAsia="新宋体"/>
          <w:sz w:val="24"/>
        </w:rPr>
        <w:t>时间不少于3日。</w:t>
      </w:r>
      <w:r>
        <w:rPr>
          <w:rFonts w:hint="eastAsia" w:ascii="新宋体" w:hAnsi="新宋体" w:eastAsia="新宋体"/>
          <w:sz w:val="24"/>
        </w:rPr>
        <w:t>质疑</w:t>
      </w:r>
      <w:r>
        <w:rPr>
          <w:rFonts w:ascii="新宋体" w:hAnsi="新宋体" w:eastAsia="新宋体"/>
          <w:sz w:val="24"/>
        </w:rPr>
        <w:t>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十一、特殊情况的处置程序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11.1关于澄清、说明或补正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11.2关于评标活动暂停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11.2.1评标委员会应当执行连续评标的原则，按评标办法中规定的程序、内容、方法、标准完成全部评标工作。只有发生不可抗力导致评标工作无法继续时，评标活动方可暂停。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11.2.2发生评标暂停情况时，评标委员会应当封存全部投标文件和评标记录，待不可抗力的影响结束且具备继续评标的条件时，由原评标委员会继续评标。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11.3关于评标中途更换评标委员会成员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11.3.1除非发生下列情况之一，评标委员会成员不得在评标中途更换：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11.3.2退出评标的评标委员会成员，其已完成的评标行为无效。由招标人根据本招标文件规定的评标委员会成员产生方式另行确定替代者进行评标。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11.4记名投票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11.5评标委员会对评标结果有异议的</w:t>
      </w:r>
    </w:p>
    <w:p>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0" w:firstLineChars="0"/>
        <w:rPr>
          <w:rFonts w:hAnsi="宋体" w:cs="宋体"/>
          <w:spacing w:val="-3"/>
          <w:sz w:val="24"/>
        </w:rPr>
      </w:pPr>
    </w:p>
    <w:p>
      <w:pPr>
        <w:pStyle w:val="2"/>
        <w:ind w:firstLine="234"/>
        <w:rPr>
          <w:rFonts w:hAnsi="宋体" w:cs="宋体"/>
          <w:spacing w:val="-3"/>
          <w:sz w:val="24"/>
        </w:rPr>
      </w:pPr>
    </w:p>
    <w:p>
      <w:pPr>
        <w:pStyle w:val="2"/>
        <w:ind w:firstLine="234"/>
        <w:jc w:val="center"/>
        <w:rPr>
          <w:rFonts w:hAnsi="宋体" w:cs="宋体"/>
          <w:spacing w:val="-3"/>
          <w:sz w:val="24"/>
        </w:rPr>
      </w:pPr>
    </w:p>
    <w:p>
      <w:pPr>
        <w:adjustRightInd w:val="0"/>
        <w:snapToGrid w:val="0"/>
        <w:spacing w:line="440" w:lineRule="exact"/>
        <w:jc w:val="center"/>
        <w:rPr>
          <w:rFonts w:hAnsi="宋体" w:cs="宋体"/>
          <w:b/>
          <w:sz w:val="36"/>
          <w:szCs w:val="36"/>
        </w:rPr>
      </w:pPr>
      <w:r>
        <w:rPr>
          <w:rFonts w:hint="eastAsia" w:hAnsi="宋体" w:cs="宋体"/>
          <w:b/>
          <w:sz w:val="36"/>
          <w:szCs w:val="36"/>
        </w:rPr>
        <w:t>第四章 合同条款</w:t>
      </w:r>
      <w:bookmarkEnd w:id="70"/>
    </w:p>
    <w:p>
      <w:pPr>
        <w:tabs>
          <w:tab w:val="left" w:pos="5000"/>
        </w:tabs>
        <w:spacing w:line="360" w:lineRule="auto"/>
        <w:ind w:firstLine="490"/>
        <w:rPr>
          <w:rFonts w:hAnsi="宋体" w:cs="宋体"/>
          <w:bCs/>
          <w:sz w:val="28"/>
          <w:szCs w:val="28"/>
        </w:rPr>
      </w:pPr>
      <w:bookmarkStart w:id="75" w:name="_Toc278443514"/>
    </w:p>
    <w:p>
      <w:pPr>
        <w:tabs>
          <w:tab w:val="left" w:pos="5000"/>
        </w:tabs>
        <w:spacing w:line="360" w:lineRule="auto"/>
        <w:ind w:firstLine="490"/>
        <w:rPr>
          <w:rFonts w:hAnsi="宋体" w:cs="宋体"/>
          <w:b/>
          <w:sz w:val="32"/>
          <w:szCs w:val="32"/>
        </w:rPr>
      </w:pPr>
      <w:r>
        <w:rPr>
          <w:rFonts w:hint="eastAsia" w:hAnsi="宋体" w:cs="宋体"/>
          <w:bCs/>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sz w:val="28"/>
          <w:szCs w:val="28"/>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40"/>
      </w:pPr>
    </w:p>
    <w:p>
      <w:pPr>
        <w:pStyle w:val="2"/>
        <w:ind w:firstLine="340"/>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(5) 建设工程设计文件及相关资料；</w:t>
      </w:r>
    </w:p>
    <w:p>
      <w:pPr>
        <w:spacing w:line="440" w:lineRule="exact"/>
        <w:ind w:left="1" w:firstLine="480" w:firstLineChars="200"/>
        <w:rPr>
          <w:rFonts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(7) 与建设项目相关的标准、规定等技术资料；</w:t>
      </w:r>
    </w:p>
    <w:p>
      <w:pPr>
        <w:spacing w:line="440" w:lineRule="exact"/>
        <w:ind w:left="1" w:firstLine="480" w:firstLineChars="200"/>
        <w:rPr>
          <w:rFonts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widowControl/>
        <w:jc w:val="center"/>
        <w:rPr>
          <w:rFonts w:hAnsi="宋体" w:cs="宋体"/>
          <w:b/>
          <w:sz w:val="36"/>
          <w:szCs w:val="36"/>
        </w:rPr>
      </w:pPr>
    </w:p>
    <w:p>
      <w:pPr>
        <w:widowControl/>
        <w:jc w:val="center"/>
        <w:rPr>
          <w:rFonts w:hAnsi="宋体" w:cs="宋体"/>
          <w:b/>
          <w:sz w:val="36"/>
          <w:szCs w:val="36"/>
        </w:rPr>
      </w:pPr>
    </w:p>
    <w:p>
      <w:pPr>
        <w:widowControl/>
        <w:jc w:val="center"/>
        <w:rPr>
          <w:rFonts w:hAnsi="宋体" w:cs="宋体"/>
          <w:b/>
          <w:sz w:val="36"/>
          <w:szCs w:val="36"/>
        </w:rPr>
      </w:pPr>
    </w:p>
    <w:p>
      <w:pPr>
        <w:widowControl/>
        <w:jc w:val="center"/>
        <w:rPr>
          <w:rFonts w:hAnsi="宋体" w:cs="宋体"/>
          <w:b/>
          <w:sz w:val="36"/>
          <w:szCs w:val="36"/>
        </w:rPr>
      </w:pPr>
    </w:p>
    <w:p>
      <w:pPr>
        <w:widowControl/>
        <w:jc w:val="center"/>
        <w:rPr>
          <w:rFonts w:hAnsi="宋体" w:cs="宋体"/>
          <w:b/>
          <w:sz w:val="36"/>
          <w:szCs w:val="36"/>
        </w:rPr>
      </w:pPr>
    </w:p>
    <w:p>
      <w:pPr>
        <w:widowControl/>
        <w:jc w:val="center"/>
        <w:rPr>
          <w:rFonts w:hAnsi="宋体" w:cs="宋体"/>
          <w:b/>
          <w:sz w:val="36"/>
          <w:szCs w:val="36"/>
        </w:rPr>
      </w:pPr>
      <w:r>
        <w:rPr>
          <w:rFonts w:hAnsi="宋体" w:cs="宋体"/>
          <w:b/>
          <w:sz w:val="36"/>
          <w:szCs w:val="36"/>
        </w:rPr>
        <w:br w:type="page"/>
      </w:r>
    </w:p>
    <w:p>
      <w:pPr>
        <w:widowControl/>
        <w:jc w:val="center"/>
        <w:rPr>
          <w:rFonts w:hAnsi="宋体" w:cs="宋体"/>
          <w:b/>
          <w:sz w:val="36"/>
          <w:szCs w:val="36"/>
        </w:rPr>
      </w:pPr>
    </w:p>
    <w:p>
      <w:pPr>
        <w:widowControl/>
        <w:jc w:val="center"/>
        <w:rPr>
          <w:rFonts w:hAnsi="宋体" w:cs="宋体"/>
          <w:b/>
          <w:sz w:val="36"/>
          <w:szCs w:val="36"/>
        </w:rPr>
      </w:pPr>
    </w:p>
    <w:p>
      <w:pPr>
        <w:widowControl/>
        <w:jc w:val="center"/>
        <w:rPr>
          <w:rFonts w:hAnsi="宋体" w:cs="宋体"/>
          <w:b/>
          <w:sz w:val="36"/>
          <w:szCs w:val="36"/>
        </w:rPr>
      </w:pPr>
    </w:p>
    <w:p>
      <w:pPr>
        <w:widowControl/>
        <w:jc w:val="center"/>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  </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 xml:space="preserve">年  月  日 </w:t>
      </w: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jc w:val="center"/>
        <w:rPr>
          <w:rFonts w:hAnsi="宋体" w:cs="宋体"/>
          <w:b/>
          <w:sz w:val="36"/>
          <w:szCs w:val="36"/>
        </w:rPr>
      </w:pPr>
    </w:p>
    <w:p>
      <w:pPr>
        <w:autoSpaceDE w:val="0"/>
        <w:autoSpaceDN w:val="0"/>
        <w:adjustRightInd w:val="0"/>
        <w:jc w:val="center"/>
        <w:rPr>
          <w:rFonts w:hAnsi="宋体" w:cs="宋体"/>
          <w:b/>
          <w:sz w:val="36"/>
          <w:szCs w:val="36"/>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 </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1048" w:firstLineChars="437"/>
        <w:rPr>
          <w:rFonts w:hAnsi="宋体" w:cs="宋体"/>
          <w:sz w:val="24"/>
        </w:rPr>
      </w:pPr>
      <w:r>
        <w:rPr>
          <w:rFonts w:hint="eastAsia" w:hAnsi="宋体" w:cs="宋体"/>
          <w:sz w:val="24"/>
        </w:rPr>
        <w:t>暂列金额RMB￥：元</w:t>
      </w:r>
    </w:p>
    <w:p>
      <w:pPr>
        <w:spacing w:line="480" w:lineRule="exact"/>
        <w:ind w:firstLine="1048" w:firstLineChars="437"/>
        <w:rPr>
          <w:rFonts w:hAnsi="宋体" w:cs="宋体"/>
          <w:sz w:val="24"/>
        </w:rPr>
      </w:pPr>
      <w:r>
        <w:rPr>
          <w:rFonts w:hint="eastAsia" w:hAnsi="宋体" w:cs="宋体"/>
          <w:sz w:val="24"/>
        </w:rPr>
        <w:t>专业暂估价RMB￥：元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天</w:t>
      </w:r>
      <w:r>
        <w:rPr>
          <w:rFonts w:hint="eastAsia" w:hAnsi="宋体" w:cs="宋体"/>
          <w:sz w:val="24"/>
        </w:rPr>
        <w:t>（日历天）内竣工，并确保工程质量达到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0"/>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规费RMB￥：元</w:t>
            </w:r>
          </w:p>
          <w:p>
            <w:pPr>
              <w:spacing w:line="480" w:lineRule="exact"/>
              <w:ind w:firstLine="600" w:firstLineChars="250"/>
              <w:rPr>
                <w:rFonts w:hAnsi="宋体" w:eastAsia="宋体" w:cs="宋体"/>
                <w:sz w:val="24"/>
              </w:rPr>
            </w:pPr>
            <w:r>
              <w:rPr>
                <w:rFonts w:hint="eastAsia" w:hAnsi="宋体" w:eastAsia="宋体" w:cs="宋体"/>
                <w:sz w:val="24"/>
              </w:rPr>
              <w:t>税金RMB￥：元</w:t>
            </w:r>
          </w:p>
          <w:p>
            <w:pPr>
              <w:spacing w:line="480" w:lineRule="exact"/>
              <w:ind w:firstLine="600" w:firstLineChars="250"/>
              <w:rPr>
                <w:rFonts w:hAnsi="宋体" w:eastAsia="宋体" w:cs="宋体"/>
                <w:sz w:val="24"/>
              </w:rPr>
            </w:pPr>
            <w:r>
              <w:rPr>
                <w:rFonts w:hint="eastAsia" w:hAnsi="宋体" w:eastAsia="宋体" w:cs="宋体"/>
                <w:sz w:val="24"/>
              </w:rPr>
              <w:t>安全文明措施费RMB￥：元</w:t>
            </w:r>
          </w:p>
          <w:p>
            <w:pPr>
              <w:spacing w:line="480" w:lineRule="exact"/>
              <w:ind w:firstLine="600" w:firstLineChars="250"/>
              <w:rPr>
                <w:rFonts w:hAnsi="宋体" w:cs="宋体"/>
                <w:sz w:val="24"/>
              </w:rPr>
            </w:pPr>
            <w:r>
              <w:rPr>
                <w:rFonts w:hint="eastAsia" w:hAnsi="宋体" w:cs="宋体"/>
                <w:sz w:val="24"/>
              </w:rPr>
              <w:t>暂列金额RMB￥：元</w:t>
            </w:r>
          </w:p>
          <w:p>
            <w:pPr>
              <w:spacing w:line="480" w:lineRule="exact"/>
              <w:ind w:firstLine="600" w:firstLineChars="250"/>
              <w:rPr>
                <w:rFonts w:hAnsi="宋体" w:cs="宋体"/>
                <w:sz w:val="24"/>
              </w:rPr>
            </w:pPr>
            <w:r>
              <w:rPr>
                <w:rFonts w:hint="eastAsia" w:hAnsi="宋体" w:cs="宋体"/>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spacing w:line="276" w:lineRule="auto"/>
              <w:rPr>
                <w:rFonts w:hAnsi="宋体"/>
                <w:sz w:val="24"/>
              </w:rPr>
            </w:pPr>
            <w:r>
              <w:rPr>
                <w:rFonts w:hint="eastAsia" w:hAnsi="宋体"/>
                <w:sz w:val="24"/>
              </w:rPr>
              <w:t>承  诺：</w:t>
            </w:r>
          </w:p>
          <w:p>
            <w:pPr>
              <w:spacing w:line="276" w:lineRule="auto"/>
              <w:rPr>
                <w:rFonts w:hAnsi="宋体"/>
                <w:sz w:val="24"/>
              </w:rPr>
            </w:pPr>
          </w:p>
          <w:p>
            <w:pPr>
              <w:spacing w:line="276" w:lineRule="auto"/>
              <w:rPr>
                <w:rFonts w:hAnsi="宋体"/>
                <w:sz w:val="24"/>
              </w:rPr>
            </w:pPr>
          </w:p>
          <w:p>
            <w:pPr>
              <w:spacing w:line="276" w:lineRule="auto"/>
              <w:rPr>
                <w:rFonts w:hAnsi="宋体"/>
                <w:sz w:val="24"/>
              </w:rPr>
            </w:pPr>
          </w:p>
          <w:p>
            <w:pPr>
              <w:rPr>
                <w:rFonts w:hAnsi="宋体" w:eastAsia="宋体" w:cs="宋体"/>
                <w:sz w:val="24"/>
              </w:rPr>
            </w:pPr>
            <w:r>
              <w:rPr>
                <w:rFonts w:hint="eastAsia" w:ascii="新宋体" w:hAnsi="新宋体" w:eastAsia="新宋体"/>
                <w:sz w:val="24"/>
              </w:rPr>
              <w:t>（包含优惠承诺、质量承诺、服务承诺及按扬尘污染整治标准进行各工序的施工等）</w:t>
            </w:r>
          </w:p>
        </w:tc>
      </w:tr>
    </w:tbl>
    <w:p>
      <w:pPr>
        <w:ind w:right="475"/>
        <w:jc w:val="right"/>
        <w:rPr>
          <w:rFonts w:hAnsi="宋体" w:cs="宋体"/>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color w:val="000000" w:themeColor="text1"/>
          <w:sz w:val="32"/>
        </w:rPr>
      </w:pPr>
      <w:r>
        <w:rPr>
          <w:rFonts w:hint="eastAsia" w:hAnsi="宋体" w:cs="宋体"/>
          <w:sz w:val="28"/>
          <w:szCs w:val="28"/>
        </w:rPr>
        <w:br w:type="page"/>
      </w:r>
      <w:r>
        <w:rPr>
          <w:rFonts w:hint="eastAsia" w:hAnsi="宋体" w:cs="宋体"/>
          <w:b/>
          <w:color w:val="000000" w:themeColor="text1"/>
          <w:sz w:val="32"/>
        </w:rPr>
        <w:t>二、</w:t>
      </w:r>
      <w:bookmarkEnd w:id="78"/>
      <w:bookmarkStart w:id="79" w:name="_Toc271787731"/>
      <w:r>
        <w:rPr>
          <w:rFonts w:hint="eastAsia" w:hAnsi="宋体" w:cs="宋体"/>
          <w:b/>
          <w:color w:val="000000" w:themeColor="text1"/>
          <w:sz w:val="32"/>
        </w:rPr>
        <w:t>法定代表人身份证明、授权委托书</w:t>
      </w:r>
    </w:p>
    <w:bookmarkEnd w:id="79"/>
    <w:p>
      <w:pPr>
        <w:autoSpaceDE w:val="0"/>
        <w:autoSpaceDN w:val="0"/>
        <w:adjustRightInd w:val="0"/>
        <w:spacing w:beforeLines="100" w:afterLines="100" w:line="420" w:lineRule="exact"/>
        <w:jc w:val="center"/>
        <w:outlineLvl w:val="0"/>
        <w:rPr>
          <w:rFonts w:hAnsi="宋体" w:cs="宋体"/>
          <w:b/>
          <w:bCs/>
          <w:color w:val="000000" w:themeColor="text1"/>
          <w:sz w:val="28"/>
          <w:szCs w:val="28"/>
        </w:rPr>
      </w:pPr>
      <w:r>
        <w:rPr>
          <w:rFonts w:hint="eastAsia" w:hAnsi="宋体" w:cs="宋体"/>
          <w:b/>
          <w:bCs/>
          <w:color w:val="000000" w:themeColor="text1"/>
          <w:sz w:val="28"/>
          <w:szCs w:val="28"/>
        </w:rPr>
        <w:t>（一）法定代表人身份证明</w:t>
      </w:r>
    </w:p>
    <w:p>
      <w:pPr>
        <w:autoSpaceDE w:val="0"/>
        <w:autoSpaceDN w:val="0"/>
        <w:adjustRightInd w:val="0"/>
        <w:spacing w:line="420" w:lineRule="exact"/>
        <w:ind w:firstLine="480" w:firstLineChars="200"/>
        <w:jc w:val="left"/>
        <w:rPr>
          <w:rFonts w:hAnsi="宋体" w:cs="宋体"/>
          <w:color w:val="000000" w:themeColor="text1"/>
          <w:sz w:val="24"/>
          <w:u w:val="single"/>
        </w:rPr>
      </w:pPr>
      <w:r>
        <w:rPr>
          <w:rFonts w:hint="eastAsia" w:hAnsi="宋体" w:cs="宋体"/>
          <w:color w:val="000000" w:themeColor="text1"/>
          <w:sz w:val="24"/>
        </w:rPr>
        <w:t>投标人名称：</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单位性质：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地址：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成立时间：年月日</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经营期限：</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姓名：性别：年龄：职务： 联系电话:</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系（投标人名称）的法定代表人。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特此证明。</w:t>
      </w:r>
    </w:p>
    <w:p>
      <w:pPr>
        <w:autoSpaceDE w:val="0"/>
        <w:autoSpaceDN w:val="0"/>
        <w:adjustRightInd w:val="0"/>
        <w:spacing w:line="420" w:lineRule="exact"/>
        <w:ind w:firstLine="480" w:firstLineChars="200"/>
        <w:jc w:val="right"/>
        <w:rPr>
          <w:rFonts w:hAnsi="宋体" w:cs="宋体"/>
          <w:color w:val="000000" w:themeColor="text1"/>
          <w:sz w:val="24"/>
        </w:rPr>
      </w:pPr>
    </w:p>
    <w:p>
      <w:pPr>
        <w:autoSpaceDE w:val="0"/>
        <w:autoSpaceDN w:val="0"/>
        <w:adjustRightInd w:val="0"/>
        <w:spacing w:line="420" w:lineRule="exact"/>
        <w:ind w:firstLine="480" w:firstLineChars="200"/>
        <w:jc w:val="right"/>
        <w:rPr>
          <w:rFonts w:hAnsi="宋体" w:cs="宋体"/>
          <w:color w:val="000000" w:themeColor="text1"/>
          <w:sz w:val="24"/>
        </w:rPr>
      </w:pPr>
      <w:r>
        <w:rPr>
          <w:rFonts w:hint="eastAsia" w:hAnsi="宋体" w:cs="宋体"/>
          <w:color w:val="000000" w:themeColor="text1"/>
          <w:sz w:val="24"/>
        </w:rPr>
        <w:t>投标人：（盖单位章）</w:t>
      </w:r>
    </w:p>
    <w:p>
      <w:pPr>
        <w:autoSpaceDE w:val="0"/>
        <w:autoSpaceDN w:val="0"/>
        <w:adjustRightInd w:val="0"/>
        <w:spacing w:line="420" w:lineRule="exact"/>
        <w:ind w:firstLine="480" w:firstLineChars="200"/>
        <w:jc w:val="right"/>
        <w:rPr>
          <w:rFonts w:hAnsi="宋体" w:cs="宋体"/>
          <w:color w:val="000000" w:themeColor="text1"/>
          <w:sz w:val="24"/>
        </w:rPr>
      </w:pPr>
      <w:r>
        <w:rPr>
          <w:rFonts w:hint="eastAsia" w:hAnsi="宋体" w:cs="宋体"/>
          <w:color w:val="000000" w:themeColor="text1"/>
          <w:sz w:val="24"/>
        </w:rPr>
        <w:t>年  月  日</w:t>
      </w:r>
    </w:p>
    <w:p>
      <w:pPr>
        <w:autoSpaceDE w:val="0"/>
        <w:autoSpaceDN w:val="0"/>
        <w:adjustRightInd w:val="0"/>
        <w:spacing w:line="420" w:lineRule="exact"/>
        <w:ind w:firstLine="680" w:firstLineChars="200"/>
        <w:jc w:val="right"/>
        <w:rPr>
          <w:rFonts w:hAnsi="宋体" w:cs="宋体"/>
          <w:color w:val="000000" w:themeColor="text1"/>
          <w:szCs w:val="21"/>
        </w:rPr>
      </w:pPr>
    </w:p>
    <w:p>
      <w:pPr>
        <w:autoSpaceDE w:val="0"/>
        <w:autoSpaceDN w:val="0"/>
        <w:adjustRightInd w:val="0"/>
        <w:spacing w:line="420" w:lineRule="exact"/>
        <w:jc w:val="center"/>
        <w:outlineLvl w:val="0"/>
        <w:rPr>
          <w:rFonts w:hAnsi="宋体" w:cs="宋体"/>
          <w:b/>
          <w:bCs/>
          <w:color w:val="000000" w:themeColor="text1"/>
          <w:sz w:val="28"/>
          <w:szCs w:val="28"/>
        </w:rPr>
      </w:pPr>
      <w:bookmarkStart w:id="80" w:name="_Toc271787732"/>
      <w:r>
        <w:rPr>
          <w:rFonts w:hint="eastAsia" w:hAnsi="宋体" w:cs="宋体"/>
          <w:b/>
          <w:bCs/>
          <w:color w:val="000000" w:themeColor="text1"/>
          <w:sz w:val="28"/>
          <w:szCs w:val="28"/>
        </w:rPr>
        <w:t>（二）授权委托书</w:t>
      </w:r>
      <w:bookmarkEnd w:id="80"/>
    </w:p>
    <w:p>
      <w:pPr>
        <w:autoSpaceDE w:val="0"/>
        <w:autoSpaceDN w:val="0"/>
        <w:adjustRightInd w:val="0"/>
        <w:spacing w:line="420" w:lineRule="exact"/>
        <w:jc w:val="center"/>
        <w:rPr>
          <w:rFonts w:hAnsi="宋体" w:cs="宋体"/>
          <w:color w:val="000000" w:themeColor="text1"/>
          <w:sz w:val="28"/>
          <w:szCs w:val="28"/>
        </w:rPr>
      </w:pPr>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委托期限：。</w:t>
      </w:r>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color w:val="000000" w:themeColor="text1"/>
          <w:sz w:val="24"/>
        </w:rPr>
        <w:t>附：</w:t>
      </w:r>
      <w:r>
        <w:rPr>
          <w:rFonts w:hint="eastAsia" w:hAnsi="宋体" w:cs="宋体"/>
          <w:sz w:val="24"/>
        </w:rPr>
        <w:t>法定代表人身份证和其委托代理人身份证的扫描件（或图片）</w:t>
      </w:r>
    </w:p>
    <w:p>
      <w:pPr>
        <w:autoSpaceDE w:val="0"/>
        <w:autoSpaceDN w:val="0"/>
        <w:adjustRightInd w:val="0"/>
        <w:spacing w:line="440" w:lineRule="exact"/>
        <w:ind w:firstLine="480" w:firstLineChars="200"/>
        <w:jc w:val="left"/>
        <w:rPr>
          <w:rFonts w:hAnsi="宋体" w:cs="宋体"/>
          <w:color w:val="000000" w:themeColor="text1"/>
          <w:sz w:val="24"/>
        </w:rPr>
      </w:pPr>
    </w:p>
    <w:p>
      <w:pPr>
        <w:autoSpaceDE w:val="0"/>
        <w:autoSpaceDN w:val="0"/>
        <w:adjustRightInd w:val="0"/>
        <w:spacing w:line="420" w:lineRule="exact"/>
        <w:ind w:firstLine="480" w:firstLineChars="200"/>
        <w:jc w:val="center"/>
        <w:rPr>
          <w:rFonts w:hAnsi="宋体" w:cs="宋体"/>
          <w:color w:val="000000" w:themeColor="text1"/>
          <w:sz w:val="24"/>
        </w:rPr>
      </w:pPr>
      <w:r>
        <w:rPr>
          <w:rFonts w:hint="eastAsia" w:hAnsi="宋体" w:cs="宋体"/>
          <w:color w:val="000000" w:themeColor="text1"/>
          <w:sz w:val="24"/>
        </w:rPr>
        <w:t>投标人：（盖单位章）</w:t>
      </w:r>
    </w:p>
    <w:p>
      <w:pPr>
        <w:autoSpaceDE w:val="0"/>
        <w:autoSpaceDN w:val="0"/>
        <w:adjustRightInd w:val="0"/>
        <w:spacing w:line="420" w:lineRule="exact"/>
        <w:ind w:firstLine="480" w:firstLineChars="200"/>
        <w:jc w:val="center"/>
        <w:rPr>
          <w:rFonts w:hAnsi="宋体" w:cs="宋体"/>
          <w:color w:val="000000" w:themeColor="text1"/>
          <w:sz w:val="24"/>
        </w:rPr>
      </w:pPr>
      <w:r>
        <w:rPr>
          <w:rFonts w:hint="eastAsia" w:hAnsi="宋体" w:cs="宋体"/>
          <w:color w:val="000000" w:themeColor="text1"/>
          <w:sz w:val="24"/>
        </w:rPr>
        <w:t>法定代表人： （签字）</w:t>
      </w:r>
    </w:p>
    <w:p>
      <w:pPr>
        <w:autoSpaceDE w:val="0"/>
        <w:autoSpaceDN w:val="0"/>
        <w:adjustRightInd w:val="0"/>
        <w:spacing w:line="420" w:lineRule="exact"/>
        <w:ind w:firstLine="480" w:firstLineChars="200"/>
        <w:jc w:val="center"/>
        <w:rPr>
          <w:rFonts w:hAnsi="宋体" w:cs="宋体"/>
          <w:color w:val="000000" w:themeColor="text1"/>
          <w:sz w:val="24"/>
        </w:rPr>
      </w:pPr>
      <w:r>
        <w:rPr>
          <w:rFonts w:hint="eastAsia" w:hAnsi="宋体" w:cs="宋体"/>
          <w:color w:val="000000" w:themeColor="text1"/>
          <w:sz w:val="24"/>
        </w:rPr>
        <w:t>身份证号码：</w:t>
      </w:r>
    </w:p>
    <w:p>
      <w:pPr>
        <w:autoSpaceDE w:val="0"/>
        <w:autoSpaceDN w:val="0"/>
        <w:adjustRightInd w:val="0"/>
        <w:spacing w:line="420" w:lineRule="exact"/>
        <w:ind w:firstLine="480" w:firstLineChars="200"/>
        <w:jc w:val="center"/>
        <w:rPr>
          <w:rFonts w:hAnsi="宋体" w:cs="宋体"/>
          <w:color w:val="000000" w:themeColor="text1"/>
          <w:sz w:val="24"/>
        </w:rPr>
      </w:pPr>
      <w:r>
        <w:rPr>
          <w:rFonts w:hint="eastAsia" w:hAnsi="宋体" w:cs="宋体"/>
          <w:color w:val="000000" w:themeColor="text1"/>
          <w:sz w:val="24"/>
        </w:rPr>
        <w:t>委托代理人： （签字）</w:t>
      </w:r>
    </w:p>
    <w:p>
      <w:pPr>
        <w:autoSpaceDE w:val="0"/>
        <w:autoSpaceDN w:val="0"/>
        <w:adjustRightInd w:val="0"/>
        <w:spacing w:line="420" w:lineRule="exact"/>
        <w:ind w:firstLine="480" w:firstLineChars="200"/>
        <w:jc w:val="center"/>
        <w:rPr>
          <w:rFonts w:hAnsi="宋体" w:cs="宋体"/>
          <w:color w:val="000000" w:themeColor="text1"/>
          <w:sz w:val="24"/>
        </w:rPr>
      </w:pPr>
      <w:r>
        <w:rPr>
          <w:rFonts w:hint="eastAsia" w:hAnsi="宋体" w:cs="宋体"/>
          <w:color w:val="000000" w:themeColor="text1"/>
          <w:sz w:val="24"/>
        </w:rPr>
        <w:t>身份证号码：</w:t>
      </w:r>
    </w:p>
    <w:p>
      <w:pPr>
        <w:autoSpaceDE w:val="0"/>
        <w:autoSpaceDN w:val="0"/>
        <w:adjustRightInd w:val="0"/>
        <w:spacing w:line="420" w:lineRule="exact"/>
        <w:ind w:firstLine="480" w:firstLineChars="200"/>
        <w:jc w:val="center"/>
        <w:rPr>
          <w:rFonts w:hAnsi="宋体" w:cs="宋体"/>
          <w:color w:val="000000" w:themeColor="text1"/>
          <w:sz w:val="24"/>
        </w:rPr>
      </w:pPr>
      <w:r>
        <w:rPr>
          <w:rFonts w:hint="eastAsia" w:hAnsi="宋体" w:cs="宋体"/>
          <w:color w:val="000000" w:themeColor="text1"/>
          <w:sz w:val="24"/>
        </w:rPr>
        <w:t>联系电话:</w:t>
      </w:r>
    </w:p>
    <w:p>
      <w:pPr>
        <w:autoSpaceDE w:val="0"/>
        <w:autoSpaceDN w:val="0"/>
        <w:adjustRightInd w:val="0"/>
        <w:spacing w:line="420" w:lineRule="exact"/>
        <w:ind w:firstLine="480" w:firstLineChars="200"/>
        <w:jc w:val="center"/>
        <w:rPr>
          <w:rFonts w:hAnsi="宋体" w:cs="宋体"/>
          <w:color w:val="000000" w:themeColor="text1"/>
          <w:sz w:val="24"/>
        </w:rPr>
      </w:pPr>
      <w:r>
        <w:rPr>
          <w:rFonts w:hint="eastAsia" w:hAnsi="宋体" w:cs="宋体"/>
          <w:color w:val="000000" w:themeColor="text1"/>
          <w:sz w:val="24"/>
        </w:rPr>
        <w:t xml:space="preserve">      年  月 日</w:t>
      </w:r>
    </w:p>
    <w:p>
      <w:pPr>
        <w:spacing w:line="360" w:lineRule="auto"/>
        <w:ind w:firstLine="3080" w:firstLineChars="1100"/>
        <w:rPr>
          <w:rFonts w:hAnsi="宋体" w:cs="宋体"/>
          <w:b/>
          <w:bCs/>
          <w:sz w:val="28"/>
          <w:szCs w:val="28"/>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0"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color w:val="000000" w:themeColor="text1"/>
          <w:sz w:val="21"/>
          <w:szCs w:val="21"/>
        </w:rPr>
      </w:pPr>
    </w:p>
    <w:p>
      <w:pPr>
        <w:autoSpaceDE w:val="0"/>
        <w:autoSpaceDN w:val="0"/>
        <w:adjustRightInd w:val="0"/>
        <w:spacing w:line="340" w:lineRule="exact"/>
        <w:rPr>
          <w:rFonts w:hAnsi="宋体" w:cs="宋体"/>
          <w:sz w:val="24"/>
        </w:rPr>
      </w:pPr>
      <w:r>
        <w:rPr>
          <w:rFonts w:hint="eastAsia" w:hAnsi="宋体" w:cs="宋体"/>
          <w:sz w:val="24"/>
        </w:rPr>
        <w:t>附提交凭证：</w:t>
      </w:r>
    </w:p>
    <w:p>
      <w:pPr>
        <w:numPr>
          <w:ilvl w:val="0"/>
          <w:numId w:val="4"/>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附本项目本标段</w:t>
      </w:r>
      <w:r>
        <w:rPr>
          <w:rFonts w:hint="eastAsia" w:hAnsi="宋体" w:cs="宋体"/>
          <w:sz w:val="24"/>
          <w:lang w:val="zh-CN"/>
        </w:rPr>
        <w:t>“许昌公共资源交易中心保证金缴纳回执”。</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ind w:firstLine="2720" w:firstLineChars="800"/>
        <w:rPr>
          <w:rFonts w:hAnsi="宋体" w:cs="宋体"/>
          <w:szCs w:val="21"/>
        </w:rPr>
      </w:pPr>
      <w:r>
        <w:rPr>
          <w:rFonts w:hint="eastAsia" w:hAnsi="宋体" w:cs="宋体"/>
          <w:szCs w:val="21"/>
        </w:rPr>
        <w:br w:type="page"/>
      </w:r>
    </w:p>
    <w:p>
      <w:pPr>
        <w:autoSpaceDE w:val="0"/>
        <w:autoSpaceDN w:val="0"/>
        <w:adjustRightInd w:val="0"/>
        <w:spacing w:line="340" w:lineRule="exact"/>
        <w:ind w:firstLine="2720" w:firstLineChars="800"/>
        <w:rPr>
          <w:rFonts w:hAnsi="宋体" w:cs="宋体"/>
          <w:szCs w:val="21"/>
        </w:rPr>
      </w:pPr>
    </w:p>
    <w:p>
      <w:pPr>
        <w:autoSpaceDE w:val="0"/>
        <w:autoSpaceDN w:val="0"/>
        <w:adjustRightInd w:val="0"/>
        <w:spacing w:line="340" w:lineRule="exact"/>
        <w:ind w:firstLine="2560" w:firstLineChars="800"/>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0"/>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tbl>
      <w:tblPr>
        <w:tblStyle w:val="1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color w:val="000000" w:themeColor="text1"/>
          <w:sz w:val="24"/>
          <w:szCs w:val="24"/>
        </w:rPr>
      </w:pPr>
      <w:r>
        <w:rPr>
          <w:rFonts w:hint="eastAsia" w:hAnsi="宋体" w:cs="宋体"/>
          <w:color w:val="000000" w:themeColor="text1"/>
          <w:sz w:val="24"/>
          <w:szCs w:val="24"/>
        </w:rPr>
        <w:t>主要项目管理人员是指技术负责人、专职安全生产管理员等岗位人员。</w:t>
      </w:r>
    </w:p>
    <w:tbl>
      <w:tblPr>
        <w:tblStyle w:val="10"/>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sz w:val="24"/>
        </w:rPr>
      </w:pPr>
    </w:p>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 月 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tbl>
      <w:tblPr>
        <w:tblStyle w:val="10"/>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 xml:space="preserve"> </w:t>
      </w:r>
    </w:p>
    <w:p>
      <w:pPr>
        <w:autoSpaceDE w:val="0"/>
        <w:autoSpaceDN w:val="0"/>
        <w:adjustRightInd w:val="0"/>
        <w:spacing w:line="360" w:lineRule="auto"/>
        <w:ind w:right="215" w:firstLine="3600" w:firstLineChars="1500"/>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0"/>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0"/>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（工程名称、标段）</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  月  日</w:t>
      </w:r>
    </w:p>
    <w:p>
      <w:pPr>
        <w:autoSpaceDE w:val="0"/>
        <w:autoSpaceDN w:val="0"/>
        <w:spacing w:line="540" w:lineRule="exact"/>
        <w:jc w:val="center"/>
        <w:rPr>
          <w:rFonts w:hAnsi="宋体" w:cs="宋体"/>
          <w:b/>
          <w:sz w:val="44"/>
          <w:szCs w:val="44"/>
        </w:rPr>
      </w:pPr>
      <w:r>
        <w:rPr>
          <w:rFonts w:hint="eastAsia" w:hAnsi="宋体" w:cs="宋体"/>
          <w:b/>
          <w:sz w:val="36"/>
          <w:szCs w:val="36"/>
        </w:rPr>
        <w:br w:type="page"/>
      </w: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tabs>
          <w:tab w:val="center" w:pos="4739"/>
        </w:tabs>
        <w:ind w:left="180"/>
        <w:rPr>
          <w:rFonts w:hAnsi="宋体" w:cs="宋体"/>
          <w:b/>
          <w:bCs/>
          <w:sz w:val="26"/>
          <w:szCs w:val="26"/>
        </w:rPr>
      </w:pPr>
      <w:r>
        <w:rPr>
          <w:rFonts w:hint="eastAsia" w:hAnsi="宋体" w:cs="宋体"/>
          <w:b/>
          <w:bCs/>
          <w:sz w:val="26"/>
          <w:szCs w:val="26"/>
        </w:rPr>
        <w:t>（1）内容完整性</w:t>
      </w:r>
    </w:p>
    <w:p>
      <w:pPr>
        <w:tabs>
          <w:tab w:val="center" w:pos="4739"/>
        </w:tabs>
        <w:ind w:left="180"/>
        <w:rPr>
          <w:rFonts w:hAnsi="宋体" w:cs="宋体"/>
          <w:b/>
          <w:bCs/>
          <w:sz w:val="26"/>
          <w:szCs w:val="26"/>
        </w:rPr>
      </w:pPr>
      <w:r>
        <w:rPr>
          <w:rFonts w:hint="eastAsia" w:hAnsi="宋体" w:cs="宋体"/>
          <w:b/>
          <w:bCs/>
          <w:sz w:val="26"/>
          <w:szCs w:val="26"/>
        </w:rPr>
        <w:t>（2）主要施工方案与技术措施</w:t>
      </w:r>
    </w:p>
    <w:p>
      <w:pPr>
        <w:tabs>
          <w:tab w:val="center" w:pos="4739"/>
        </w:tabs>
        <w:ind w:left="180"/>
        <w:rPr>
          <w:rFonts w:hAnsi="宋体" w:cs="宋体"/>
          <w:b/>
          <w:bCs/>
          <w:sz w:val="26"/>
          <w:szCs w:val="26"/>
        </w:rPr>
      </w:pPr>
      <w:r>
        <w:rPr>
          <w:rFonts w:hint="eastAsia" w:hAnsi="宋体" w:cs="宋体"/>
          <w:b/>
          <w:bCs/>
          <w:sz w:val="26"/>
          <w:szCs w:val="26"/>
        </w:rPr>
        <w:t>（3）质量管理体系与措施</w:t>
      </w:r>
    </w:p>
    <w:p>
      <w:pPr>
        <w:tabs>
          <w:tab w:val="center" w:pos="4739"/>
        </w:tabs>
        <w:ind w:left="180"/>
        <w:rPr>
          <w:rFonts w:hAnsi="宋体" w:cs="宋体"/>
          <w:b/>
          <w:bCs/>
          <w:sz w:val="26"/>
          <w:szCs w:val="26"/>
        </w:rPr>
      </w:pPr>
      <w:r>
        <w:rPr>
          <w:rFonts w:hint="eastAsia" w:hAnsi="宋体" w:cs="宋体"/>
          <w:b/>
          <w:bCs/>
          <w:sz w:val="26"/>
          <w:szCs w:val="26"/>
        </w:rPr>
        <w:t>（4）安全管理体系与措施</w:t>
      </w:r>
    </w:p>
    <w:p>
      <w:pPr>
        <w:tabs>
          <w:tab w:val="center" w:pos="4739"/>
        </w:tabs>
        <w:ind w:left="180"/>
        <w:rPr>
          <w:rFonts w:hAnsi="宋体" w:cs="宋体"/>
          <w:b/>
          <w:bCs/>
          <w:sz w:val="26"/>
          <w:szCs w:val="26"/>
        </w:rPr>
      </w:pPr>
      <w:r>
        <w:rPr>
          <w:rFonts w:hint="eastAsia" w:hAnsi="宋体" w:cs="宋体"/>
          <w:b/>
          <w:bCs/>
          <w:sz w:val="26"/>
          <w:szCs w:val="26"/>
        </w:rPr>
        <w:t>（5）文明施工、环境保护管理体系及施工现场扬尘治理措施</w:t>
      </w:r>
    </w:p>
    <w:p>
      <w:pPr>
        <w:tabs>
          <w:tab w:val="center" w:pos="4739"/>
        </w:tabs>
        <w:ind w:left="180"/>
        <w:rPr>
          <w:rFonts w:hAnsi="宋体" w:cs="宋体"/>
          <w:b/>
          <w:bCs/>
          <w:sz w:val="26"/>
          <w:szCs w:val="26"/>
        </w:rPr>
      </w:pPr>
      <w:r>
        <w:rPr>
          <w:rFonts w:hint="eastAsia" w:hAnsi="宋体" w:cs="宋体"/>
          <w:b/>
          <w:bCs/>
          <w:sz w:val="26"/>
          <w:szCs w:val="26"/>
        </w:rPr>
        <w:t>（6）工期保证措施</w:t>
      </w:r>
    </w:p>
    <w:p>
      <w:pPr>
        <w:tabs>
          <w:tab w:val="center" w:pos="4739"/>
        </w:tabs>
        <w:ind w:left="180"/>
        <w:rPr>
          <w:rFonts w:hAnsi="宋体" w:cs="宋体"/>
          <w:b/>
          <w:bCs/>
          <w:sz w:val="26"/>
          <w:szCs w:val="26"/>
        </w:rPr>
      </w:pPr>
      <w:r>
        <w:rPr>
          <w:rFonts w:hint="eastAsia" w:hAnsi="宋体" w:cs="宋体"/>
          <w:b/>
          <w:bCs/>
          <w:sz w:val="26"/>
          <w:szCs w:val="26"/>
        </w:rPr>
        <w:t>（7）拟投入资源配备计划</w:t>
      </w:r>
    </w:p>
    <w:p>
      <w:pPr>
        <w:tabs>
          <w:tab w:val="center" w:pos="4739"/>
        </w:tabs>
        <w:ind w:left="180"/>
        <w:rPr>
          <w:rFonts w:hAnsi="宋体" w:cs="宋体"/>
          <w:b/>
          <w:bCs/>
          <w:sz w:val="26"/>
          <w:szCs w:val="26"/>
        </w:rPr>
      </w:pPr>
      <w:r>
        <w:rPr>
          <w:rFonts w:hint="eastAsia" w:hAnsi="宋体" w:cs="宋体"/>
          <w:b/>
          <w:bCs/>
          <w:sz w:val="26"/>
          <w:szCs w:val="26"/>
        </w:rPr>
        <w:t>（8）施工进度表与网络计划图</w:t>
      </w:r>
    </w:p>
    <w:p>
      <w:pPr>
        <w:tabs>
          <w:tab w:val="center" w:pos="4739"/>
        </w:tabs>
        <w:ind w:left="180"/>
        <w:rPr>
          <w:rFonts w:hAnsi="宋体" w:cs="宋体"/>
          <w:b/>
          <w:bCs/>
          <w:sz w:val="26"/>
          <w:szCs w:val="26"/>
        </w:rPr>
      </w:pPr>
      <w:r>
        <w:rPr>
          <w:rFonts w:hint="eastAsia" w:hAnsi="宋体" w:cs="宋体"/>
          <w:b/>
          <w:bCs/>
          <w:sz w:val="26"/>
          <w:szCs w:val="26"/>
        </w:rPr>
        <w:t>（9）施工总平面图布置</w:t>
      </w:r>
    </w:p>
    <w:p>
      <w:pPr>
        <w:tabs>
          <w:tab w:val="center" w:pos="4739"/>
        </w:tabs>
        <w:ind w:left="180"/>
        <w:rPr>
          <w:rFonts w:hAnsi="宋体" w:cs="宋体"/>
          <w:b/>
          <w:bCs/>
          <w:sz w:val="26"/>
          <w:szCs w:val="26"/>
        </w:rPr>
      </w:pPr>
      <w:r>
        <w:rPr>
          <w:rFonts w:hint="eastAsia" w:hAnsi="宋体" w:cs="宋体"/>
          <w:b/>
          <w:bCs/>
          <w:sz w:val="26"/>
          <w:szCs w:val="26"/>
        </w:rPr>
        <w:t>（10）技术创新的应用实施措施</w:t>
      </w:r>
    </w:p>
    <w:p>
      <w:pPr>
        <w:tabs>
          <w:tab w:val="center" w:pos="4739"/>
        </w:tabs>
        <w:ind w:left="180"/>
        <w:rPr>
          <w:rFonts w:hAnsi="宋体" w:cs="宋体"/>
          <w:b/>
          <w:bCs/>
          <w:sz w:val="26"/>
          <w:szCs w:val="26"/>
        </w:rPr>
      </w:pPr>
      <w:r>
        <w:rPr>
          <w:rFonts w:hint="eastAsia" w:hAnsi="宋体" w:cs="宋体"/>
          <w:b/>
          <w:bCs/>
          <w:sz w:val="26"/>
          <w:szCs w:val="26"/>
        </w:rPr>
        <w:t>（11）采用新工艺、新技术、新设备、新材料、BIM等的程度</w:t>
      </w:r>
    </w:p>
    <w:p>
      <w:pPr>
        <w:tabs>
          <w:tab w:val="center" w:pos="4739"/>
        </w:tabs>
        <w:ind w:left="180"/>
        <w:rPr>
          <w:rFonts w:hAnsi="宋体" w:cs="宋体"/>
          <w:b/>
          <w:bCs/>
          <w:sz w:val="26"/>
          <w:szCs w:val="26"/>
        </w:rPr>
      </w:pPr>
      <w:r>
        <w:rPr>
          <w:rFonts w:hint="eastAsia" w:hAnsi="宋体" w:cs="宋体"/>
          <w:b/>
          <w:bCs/>
          <w:sz w:val="26"/>
          <w:szCs w:val="26"/>
        </w:rPr>
        <w:t>（12）施工现场实施信息化监控和数据处理</w:t>
      </w:r>
    </w:p>
    <w:p>
      <w:pPr>
        <w:autoSpaceDE w:val="0"/>
        <w:autoSpaceDN w:val="0"/>
        <w:spacing w:line="540" w:lineRule="exact"/>
        <w:ind w:firstLine="130" w:firstLineChars="50"/>
        <w:jc w:val="left"/>
        <w:rPr>
          <w:rFonts w:hAnsi="宋体" w:cs="宋体"/>
          <w:b/>
          <w:sz w:val="26"/>
          <w:szCs w:val="26"/>
        </w:rPr>
      </w:pPr>
      <w:r>
        <w:rPr>
          <w:rFonts w:hint="eastAsia" w:hAnsi="宋体" w:cs="宋体"/>
          <w:b/>
          <w:bCs/>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8" w:type="first"/>
      <w:footerReference r:id="rId7"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r>
      <w:pict>
        <v:shape id="Text Box 3" o:spid="_x0000_s4098" o:spt="202" type="#_x0000_t202" style="position:absolute;left:0pt;margin-top:0pt;height:10.85pt;width:27.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v:path/>
          <v:fill on="f" focussize="0,0"/>
          <v:stroke on="f" joinstyle="miter"/>
          <v:imagedata o:title=""/>
          <o:lock v:ext="edit"/>
          <v:textbox inset="0mm,0mm,0mm,0mm" style="mso-fit-shape-to-text:t;">
            <w:txbxContent>
              <w:p>
                <w:pPr>
                  <w:pStyle w:val="7"/>
                  <w:pBdr>
                    <w:top w:val="single" w:color="auto" w:sz="4" w:space="0"/>
                  </w:pBdr>
                  <w:ind w:right="360"/>
                  <w:jc w:val="center"/>
                </w:pPr>
                <w:r>
                  <w:fldChar w:fldCharType="begin"/>
                </w:r>
                <w:r>
                  <w:rPr>
                    <w:rStyle w:val="13"/>
                  </w:rPr>
                  <w:instrText xml:space="preserve"> PAGE </w:instrText>
                </w:r>
                <w:r>
                  <w:fldChar w:fldCharType="separate"/>
                </w:r>
                <w:r>
                  <w:rPr>
                    <w:rStyle w:val="13"/>
                  </w:rPr>
                  <w:t>31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Text Box 4" o:spid="_x0000_s4097"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abstractNum w:abstractNumId="4">
    <w:nsid w:val="5C1A1351"/>
    <w:multiLevelType w:val="multilevel"/>
    <w:tmpl w:val="5C1A13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1673"/>
    <w:rsid w:val="000310D4"/>
    <w:rsid w:val="0003356A"/>
    <w:rsid w:val="0003560A"/>
    <w:rsid w:val="000406C7"/>
    <w:rsid w:val="00040B20"/>
    <w:rsid w:val="000432ED"/>
    <w:rsid w:val="00054F3F"/>
    <w:rsid w:val="0006136C"/>
    <w:rsid w:val="00062202"/>
    <w:rsid w:val="00063A9E"/>
    <w:rsid w:val="000661B4"/>
    <w:rsid w:val="0007083C"/>
    <w:rsid w:val="00071018"/>
    <w:rsid w:val="00072178"/>
    <w:rsid w:val="00076ED2"/>
    <w:rsid w:val="0008005E"/>
    <w:rsid w:val="000865C5"/>
    <w:rsid w:val="00090A37"/>
    <w:rsid w:val="000A4B94"/>
    <w:rsid w:val="000B1FA5"/>
    <w:rsid w:val="000D46AA"/>
    <w:rsid w:val="000E5DE8"/>
    <w:rsid w:val="000F3E50"/>
    <w:rsid w:val="000F459D"/>
    <w:rsid w:val="000F66D9"/>
    <w:rsid w:val="000F6F95"/>
    <w:rsid w:val="001015B8"/>
    <w:rsid w:val="00104D09"/>
    <w:rsid w:val="00106D22"/>
    <w:rsid w:val="00107D98"/>
    <w:rsid w:val="001101EB"/>
    <w:rsid w:val="001101FD"/>
    <w:rsid w:val="00112BE9"/>
    <w:rsid w:val="001149D8"/>
    <w:rsid w:val="001158A0"/>
    <w:rsid w:val="001175D0"/>
    <w:rsid w:val="001230C6"/>
    <w:rsid w:val="00123585"/>
    <w:rsid w:val="00124BEC"/>
    <w:rsid w:val="00124C0C"/>
    <w:rsid w:val="001316B0"/>
    <w:rsid w:val="001459AF"/>
    <w:rsid w:val="00147A04"/>
    <w:rsid w:val="00151B3C"/>
    <w:rsid w:val="00153D65"/>
    <w:rsid w:val="00153F56"/>
    <w:rsid w:val="00177A3D"/>
    <w:rsid w:val="00184B91"/>
    <w:rsid w:val="00190CA3"/>
    <w:rsid w:val="001B115C"/>
    <w:rsid w:val="001B3FB5"/>
    <w:rsid w:val="001C7169"/>
    <w:rsid w:val="001D1431"/>
    <w:rsid w:val="001D32A6"/>
    <w:rsid w:val="001D6C4E"/>
    <w:rsid w:val="001F2568"/>
    <w:rsid w:val="001F5720"/>
    <w:rsid w:val="0020445D"/>
    <w:rsid w:val="002144EB"/>
    <w:rsid w:val="002415A9"/>
    <w:rsid w:val="002639F8"/>
    <w:rsid w:val="00276551"/>
    <w:rsid w:val="002827CF"/>
    <w:rsid w:val="00294330"/>
    <w:rsid w:val="00294ACF"/>
    <w:rsid w:val="00296B80"/>
    <w:rsid w:val="002A37BF"/>
    <w:rsid w:val="002A696E"/>
    <w:rsid w:val="002B535B"/>
    <w:rsid w:val="002B616B"/>
    <w:rsid w:val="002C20C1"/>
    <w:rsid w:val="002C3C34"/>
    <w:rsid w:val="002C5322"/>
    <w:rsid w:val="002C5BF9"/>
    <w:rsid w:val="002C61C6"/>
    <w:rsid w:val="002D33A7"/>
    <w:rsid w:val="002D5911"/>
    <w:rsid w:val="002E24EB"/>
    <w:rsid w:val="002E2FFB"/>
    <w:rsid w:val="002F3CC3"/>
    <w:rsid w:val="002F7606"/>
    <w:rsid w:val="0031627C"/>
    <w:rsid w:val="003179A4"/>
    <w:rsid w:val="003247E1"/>
    <w:rsid w:val="00336A88"/>
    <w:rsid w:val="00342650"/>
    <w:rsid w:val="00355C18"/>
    <w:rsid w:val="00366874"/>
    <w:rsid w:val="003702A0"/>
    <w:rsid w:val="003A2235"/>
    <w:rsid w:val="003A2C84"/>
    <w:rsid w:val="003B1B4C"/>
    <w:rsid w:val="003B534F"/>
    <w:rsid w:val="003B538E"/>
    <w:rsid w:val="003B59AA"/>
    <w:rsid w:val="003B5B15"/>
    <w:rsid w:val="003B7097"/>
    <w:rsid w:val="003C299D"/>
    <w:rsid w:val="003C4002"/>
    <w:rsid w:val="003D240A"/>
    <w:rsid w:val="003D29CC"/>
    <w:rsid w:val="003D73FB"/>
    <w:rsid w:val="00402F24"/>
    <w:rsid w:val="00406024"/>
    <w:rsid w:val="00425696"/>
    <w:rsid w:val="004327D9"/>
    <w:rsid w:val="004334F9"/>
    <w:rsid w:val="004362EF"/>
    <w:rsid w:val="004444E6"/>
    <w:rsid w:val="00467835"/>
    <w:rsid w:val="00470530"/>
    <w:rsid w:val="00472957"/>
    <w:rsid w:val="00473344"/>
    <w:rsid w:val="00494200"/>
    <w:rsid w:val="00497426"/>
    <w:rsid w:val="00497C4B"/>
    <w:rsid w:val="004A5D3E"/>
    <w:rsid w:val="004B37FB"/>
    <w:rsid w:val="004B60DD"/>
    <w:rsid w:val="004B7AB0"/>
    <w:rsid w:val="004D1964"/>
    <w:rsid w:val="004D5D1D"/>
    <w:rsid w:val="004F4CCA"/>
    <w:rsid w:val="004F5208"/>
    <w:rsid w:val="004F5DC5"/>
    <w:rsid w:val="00500738"/>
    <w:rsid w:val="0050085D"/>
    <w:rsid w:val="0052069B"/>
    <w:rsid w:val="005222FE"/>
    <w:rsid w:val="00524065"/>
    <w:rsid w:val="005247DE"/>
    <w:rsid w:val="00527B05"/>
    <w:rsid w:val="00547524"/>
    <w:rsid w:val="00547C3E"/>
    <w:rsid w:val="00554DD9"/>
    <w:rsid w:val="00566481"/>
    <w:rsid w:val="00591170"/>
    <w:rsid w:val="005A22AB"/>
    <w:rsid w:val="005B546A"/>
    <w:rsid w:val="005C3C27"/>
    <w:rsid w:val="005D27A6"/>
    <w:rsid w:val="005D3872"/>
    <w:rsid w:val="005E3AB5"/>
    <w:rsid w:val="005F15C0"/>
    <w:rsid w:val="005F4DED"/>
    <w:rsid w:val="0061290A"/>
    <w:rsid w:val="0061481C"/>
    <w:rsid w:val="00615E17"/>
    <w:rsid w:val="006259AD"/>
    <w:rsid w:val="00631E65"/>
    <w:rsid w:val="00634E07"/>
    <w:rsid w:val="006370B3"/>
    <w:rsid w:val="006532EA"/>
    <w:rsid w:val="00657BDD"/>
    <w:rsid w:val="006670AF"/>
    <w:rsid w:val="00682561"/>
    <w:rsid w:val="00682B17"/>
    <w:rsid w:val="00687258"/>
    <w:rsid w:val="006916ED"/>
    <w:rsid w:val="006B072C"/>
    <w:rsid w:val="006B0E39"/>
    <w:rsid w:val="006B72F0"/>
    <w:rsid w:val="006B7778"/>
    <w:rsid w:val="006C1CE6"/>
    <w:rsid w:val="006D04E7"/>
    <w:rsid w:val="006D4835"/>
    <w:rsid w:val="006D5D6D"/>
    <w:rsid w:val="006E08B6"/>
    <w:rsid w:val="006F2988"/>
    <w:rsid w:val="006F74D0"/>
    <w:rsid w:val="0070276D"/>
    <w:rsid w:val="00710FBA"/>
    <w:rsid w:val="007122BF"/>
    <w:rsid w:val="00720D43"/>
    <w:rsid w:val="00725B9F"/>
    <w:rsid w:val="007318DC"/>
    <w:rsid w:val="0074012E"/>
    <w:rsid w:val="007408B4"/>
    <w:rsid w:val="00747C10"/>
    <w:rsid w:val="00760BF1"/>
    <w:rsid w:val="00772CBC"/>
    <w:rsid w:val="00772E5C"/>
    <w:rsid w:val="00776137"/>
    <w:rsid w:val="00777C93"/>
    <w:rsid w:val="00784CA7"/>
    <w:rsid w:val="00790DBC"/>
    <w:rsid w:val="00791B2A"/>
    <w:rsid w:val="00792C2C"/>
    <w:rsid w:val="007956AC"/>
    <w:rsid w:val="00797E42"/>
    <w:rsid w:val="007A0956"/>
    <w:rsid w:val="007A0D6B"/>
    <w:rsid w:val="007B0E36"/>
    <w:rsid w:val="007B6D1A"/>
    <w:rsid w:val="007C0EAF"/>
    <w:rsid w:val="007C1FB6"/>
    <w:rsid w:val="007C3511"/>
    <w:rsid w:val="007C7EA5"/>
    <w:rsid w:val="007D3C1B"/>
    <w:rsid w:val="007D3DA1"/>
    <w:rsid w:val="007E1335"/>
    <w:rsid w:val="007E5D3B"/>
    <w:rsid w:val="007E6EC1"/>
    <w:rsid w:val="00807369"/>
    <w:rsid w:val="008076A8"/>
    <w:rsid w:val="0082371C"/>
    <w:rsid w:val="008240FF"/>
    <w:rsid w:val="0082606C"/>
    <w:rsid w:val="008305A0"/>
    <w:rsid w:val="008370FD"/>
    <w:rsid w:val="00841029"/>
    <w:rsid w:val="00856E3A"/>
    <w:rsid w:val="008612AE"/>
    <w:rsid w:val="008663C6"/>
    <w:rsid w:val="00882E9E"/>
    <w:rsid w:val="0089070B"/>
    <w:rsid w:val="00892C13"/>
    <w:rsid w:val="008948D5"/>
    <w:rsid w:val="008B1552"/>
    <w:rsid w:val="008B4F00"/>
    <w:rsid w:val="008B563C"/>
    <w:rsid w:val="008B75EB"/>
    <w:rsid w:val="008D074E"/>
    <w:rsid w:val="008D2093"/>
    <w:rsid w:val="008D54F0"/>
    <w:rsid w:val="008D5B30"/>
    <w:rsid w:val="008D72CC"/>
    <w:rsid w:val="008E174F"/>
    <w:rsid w:val="008E640B"/>
    <w:rsid w:val="008E6A24"/>
    <w:rsid w:val="0090127E"/>
    <w:rsid w:val="00902390"/>
    <w:rsid w:val="0090456B"/>
    <w:rsid w:val="00914CB9"/>
    <w:rsid w:val="00924FB2"/>
    <w:rsid w:val="009305D9"/>
    <w:rsid w:val="009357F6"/>
    <w:rsid w:val="009403EC"/>
    <w:rsid w:val="00942073"/>
    <w:rsid w:val="009425BA"/>
    <w:rsid w:val="00946144"/>
    <w:rsid w:val="009465B8"/>
    <w:rsid w:val="0095421D"/>
    <w:rsid w:val="0095656E"/>
    <w:rsid w:val="00957C23"/>
    <w:rsid w:val="009611E7"/>
    <w:rsid w:val="00964592"/>
    <w:rsid w:val="009725E8"/>
    <w:rsid w:val="009746CD"/>
    <w:rsid w:val="009837F4"/>
    <w:rsid w:val="00984322"/>
    <w:rsid w:val="00994109"/>
    <w:rsid w:val="009A0CD6"/>
    <w:rsid w:val="009A243D"/>
    <w:rsid w:val="009A5E0F"/>
    <w:rsid w:val="009B403B"/>
    <w:rsid w:val="009C494A"/>
    <w:rsid w:val="009D4DFC"/>
    <w:rsid w:val="009E56BE"/>
    <w:rsid w:val="009F1C32"/>
    <w:rsid w:val="009F3A01"/>
    <w:rsid w:val="00A016E5"/>
    <w:rsid w:val="00A04DA3"/>
    <w:rsid w:val="00A07EB2"/>
    <w:rsid w:val="00A11AEA"/>
    <w:rsid w:val="00A11B8C"/>
    <w:rsid w:val="00A15A7E"/>
    <w:rsid w:val="00A22B8E"/>
    <w:rsid w:val="00A25601"/>
    <w:rsid w:val="00A335BB"/>
    <w:rsid w:val="00A34834"/>
    <w:rsid w:val="00A36C98"/>
    <w:rsid w:val="00A410F4"/>
    <w:rsid w:val="00A422F6"/>
    <w:rsid w:val="00A72F81"/>
    <w:rsid w:val="00A7544A"/>
    <w:rsid w:val="00A837E2"/>
    <w:rsid w:val="00A948AA"/>
    <w:rsid w:val="00A9722F"/>
    <w:rsid w:val="00AC1B4F"/>
    <w:rsid w:val="00AC42D2"/>
    <w:rsid w:val="00AD0A34"/>
    <w:rsid w:val="00AD2461"/>
    <w:rsid w:val="00AD3C74"/>
    <w:rsid w:val="00AD79EB"/>
    <w:rsid w:val="00AE07B7"/>
    <w:rsid w:val="00AE1046"/>
    <w:rsid w:val="00AE1A2D"/>
    <w:rsid w:val="00AE282B"/>
    <w:rsid w:val="00AF431D"/>
    <w:rsid w:val="00B119E6"/>
    <w:rsid w:val="00B1556F"/>
    <w:rsid w:val="00B16685"/>
    <w:rsid w:val="00B22804"/>
    <w:rsid w:val="00B2280C"/>
    <w:rsid w:val="00B258EF"/>
    <w:rsid w:val="00B30A35"/>
    <w:rsid w:val="00B31840"/>
    <w:rsid w:val="00B325AC"/>
    <w:rsid w:val="00B354CE"/>
    <w:rsid w:val="00B41467"/>
    <w:rsid w:val="00B5742F"/>
    <w:rsid w:val="00B63108"/>
    <w:rsid w:val="00B64E10"/>
    <w:rsid w:val="00B66F77"/>
    <w:rsid w:val="00B80677"/>
    <w:rsid w:val="00B85265"/>
    <w:rsid w:val="00B9315F"/>
    <w:rsid w:val="00B953FC"/>
    <w:rsid w:val="00BA0A80"/>
    <w:rsid w:val="00BA2B8A"/>
    <w:rsid w:val="00BB360C"/>
    <w:rsid w:val="00BC1F1F"/>
    <w:rsid w:val="00BC5B90"/>
    <w:rsid w:val="00BD2744"/>
    <w:rsid w:val="00BE0598"/>
    <w:rsid w:val="00BE788E"/>
    <w:rsid w:val="00BE795E"/>
    <w:rsid w:val="00BF1958"/>
    <w:rsid w:val="00C01940"/>
    <w:rsid w:val="00C12C54"/>
    <w:rsid w:val="00C26601"/>
    <w:rsid w:val="00C26BCD"/>
    <w:rsid w:val="00C30888"/>
    <w:rsid w:val="00C43D25"/>
    <w:rsid w:val="00C602A7"/>
    <w:rsid w:val="00C63C42"/>
    <w:rsid w:val="00C66149"/>
    <w:rsid w:val="00C669B1"/>
    <w:rsid w:val="00C70C78"/>
    <w:rsid w:val="00C81278"/>
    <w:rsid w:val="00C82ECD"/>
    <w:rsid w:val="00C84D4F"/>
    <w:rsid w:val="00C90355"/>
    <w:rsid w:val="00C92076"/>
    <w:rsid w:val="00C920E9"/>
    <w:rsid w:val="00C9674F"/>
    <w:rsid w:val="00CA199F"/>
    <w:rsid w:val="00CA2F93"/>
    <w:rsid w:val="00CC4693"/>
    <w:rsid w:val="00CC5433"/>
    <w:rsid w:val="00CC64E7"/>
    <w:rsid w:val="00CE106D"/>
    <w:rsid w:val="00CF1BCA"/>
    <w:rsid w:val="00D04AD8"/>
    <w:rsid w:val="00D05BAA"/>
    <w:rsid w:val="00D14155"/>
    <w:rsid w:val="00D53044"/>
    <w:rsid w:val="00D55744"/>
    <w:rsid w:val="00D70280"/>
    <w:rsid w:val="00D77007"/>
    <w:rsid w:val="00D86B96"/>
    <w:rsid w:val="00D91EF8"/>
    <w:rsid w:val="00D92564"/>
    <w:rsid w:val="00DB135E"/>
    <w:rsid w:val="00DB7688"/>
    <w:rsid w:val="00DC0FB8"/>
    <w:rsid w:val="00DC36A3"/>
    <w:rsid w:val="00DC5756"/>
    <w:rsid w:val="00DD5E46"/>
    <w:rsid w:val="00DD68BE"/>
    <w:rsid w:val="00DF0B8E"/>
    <w:rsid w:val="00DF203A"/>
    <w:rsid w:val="00DF4505"/>
    <w:rsid w:val="00DF5F4A"/>
    <w:rsid w:val="00DF67C1"/>
    <w:rsid w:val="00E05C9F"/>
    <w:rsid w:val="00E12124"/>
    <w:rsid w:val="00E31005"/>
    <w:rsid w:val="00E52957"/>
    <w:rsid w:val="00E52DAF"/>
    <w:rsid w:val="00E65D2F"/>
    <w:rsid w:val="00E65E03"/>
    <w:rsid w:val="00E72BFC"/>
    <w:rsid w:val="00E75BFF"/>
    <w:rsid w:val="00E9545E"/>
    <w:rsid w:val="00E96193"/>
    <w:rsid w:val="00EA1FF6"/>
    <w:rsid w:val="00EA2378"/>
    <w:rsid w:val="00EA7812"/>
    <w:rsid w:val="00EB1ECD"/>
    <w:rsid w:val="00EB4EE3"/>
    <w:rsid w:val="00EB7A53"/>
    <w:rsid w:val="00EC41B4"/>
    <w:rsid w:val="00EC55D2"/>
    <w:rsid w:val="00ED5480"/>
    <w:rsid w:val="00EE0A33"/>
    <w:rsid w:val="00EE25BA"/>
    <w:rsid w:val="00EF567C"/>
    <w:rsid w:val="00EF6448"/>
    <w:rsid w:val="00EF6724"/>
    <w:rsid w:val="00EF70A1"/>
    <w:rsid w:val="00EF7D94"/>
    <w:rsid w:val="00F07D3D"/>
    <w:rsid w:val="00F11597"/>
    <w:rsid w:val="00F14C24"/>
    <w:rsid w:val="00F21EAE"/>
    <w:rsid w:val="00F23030"/>
    <w:rsid w:val="00F244BB"/>
    <w:rsid w:val="00F30FE4"/>
    <w:rsid w:val="00F375E1"/>
    <w:rsid w:val="00F45404"/>
    <w:rsid w:val="00F51DBA"/>
    <w:rsid w:val="00F57B89"/>
    <w:rsid w:val="00F65359"/>
    <w:rsid w:val="00F65C07"/>
    <w:rsid w:val="00F67A2C"/>
    <w:rsid w:val="00F80A81"/>
    <w:rsid w:val="00F83385"/>
    <w:rsid w:val="00F844C2"/>
    <w:rsid w:val="00F902A2"/>
    <w:rsid w:val="00F92325"/>
    <w:rsid w:val="00F9449A"/>
    <w:rsid w:val="00F95ABF"/>
    <w:rsid w:val="00FD27E3"/>
    <w:rsid w:val="00FD5B29"/>
    <w:rsid w:val="00FE0EDB"/>
    <w:rsid w:val="00FE45CB"/>
    <w:rsid w:val="00FE4A3E"/>
    <w:rsid w:val="01DB434E"/>
    <w:rsid w:val="025A1A0E"/>
    <w:rsid w:val="05B347DC"/>
    <w:rsid w:val="06E835F7"/>
    <w:rsid w:val="07E778CA"/>
    <w:rsid w:val="08CA67DF"/>
    <w:rsid w:val="08F576CB"/>
    <w:rsid w:val="09230C30"/>
    <w:rsid w:val="0A4866D0"/>
    <w:rsid w:val="0A8E6F0E"/>
    <w:rsid w:val="0A9A38CE"/>
    <w:rsid w:val="0B0010DA"/>
    <w:rsid w:val="0B4C6956"/>
    <w:rsid w:val="0BAC12EB"/>
    <w:rsid w:val="0D8116DE"/>
    <w:rsid w:val="0E274A96"/>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2"/>
    <w:basedOn w:val="1"/>
    <w:next w:val="1"/>
    <w:link w:val="2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6">
    <w:name w:val="Balloon Text"/>
    <w:basedOn w:val="1"/>
    <w:link w:val="30"/>
    <w:qFormat/>
    <w:uiPriority w:val="0"/>
    <w:rPr>
      <w:sz w:val="18"/>
      <w:szCs w:val="18"/>
    </w:rPr>
  </w:style>
  <w:style w:type="paragraph" w:styleId="7">
    <w:name w:val="footer"/>
    <w:basedOn w:val="1"/>
    <w:qFormat/>
    <w:uiPriority w:val="0"/>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Autospacing="1" w:afterAutospacing="1"/>
      <w:jc w:val="left"/>
    </w:pPr>
    <w:rPr>
      <w:rFonts w:hAnsi="宋体" w:cs="宋体"/>
      <w:sz w:val="24"/>
    </w:rPr>
  </w:style>
  <w:style w:type="table" w:styleId="11">
    <w:name w:val="Table Grid"/>
    <w:basedOn w:val="10"/>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basedOn w:val="12"/>
    <w:qFormat/>
    <w:uiPriority w:val="0"/>
    <w:rPr>
      <w:color w:val="000000"/>
      <w:u w:val="none"/>
    </w:rPr>
  </w:style>
  <w:style w:type="character" w:styleId="15">
    <w:name w:val="Emphasis"/>
    <w:basedOn w:val="12"/>
    <w:qFormat/>
    <w:uiPriority w:val="0"/>
  </w:style>
  <w:style w:type="character" w:styleId="16">
    <w:name w:val="Hyperlink"/>
    <w:basedOn w:val="12"/>
    <w:qFormat/>
    <w:uiPriority w:val="0"/>
    <w:rPr>
      <w:color w:val="000000"/>
      <w:u w:val="none"/>
    </w:rPr>
  </w:style>
  <w:style w:type="paragraph" w:customStyle="1" w:styleId="1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8">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character" w:customStyle="1" w:styleId="19">
    <w:name w:val="red"/>
    <w:basedOn w:val="12"/>
    <w:qFormat/>
    <w:uiPriority w:val="0"/>
    <w:rPr>
      <w:color w:val="FF0000"/>
      <w:sz w:val="18"/>
      <w:szCs w:val="18"/>
    </w:rPr>
  </w:style>
  <w:style w:type="character" w:customStyle="1" w:styleId="20">
    <w:name w:val="red1"/>
    <w:basedOn w:val="12"/>
    <w:qFormat/>
    <w:uiPriority w:val="0"/>
    <w:rPr>
      <w:color w:val="FF0000"/>
      <w:sz w:val="18"/>
      <w:szCs w:val="18"/>
    </w:rPr>
  </w:style>
  <w:style w:type="character" w:customStyle="1" w:styleId="21">
    <w:name w:val="red2"/>
    <w:basedOn w:val="12"/>
    <w:qFormat/>
    <w:uiPriority w:val="0"/>
    <w:rPr>
      <w:color w:val="CC0000"/>
    </w:rPr>
  </w:style>
  <w:style w:type="character" w:customStyle="1" w:styleId="22">
    <w:name w:val="red3"/>
    <w:basedOn w:val="12"/>
    <w:qFormat/>
    <w:uiPriority w:val="0"/>
    <w:rPr>
      <w:color w:val="FF0000"/>
    </w:rPr>
  </w:style>
  <w:style w:type="character" w:customStyle="1" w:styleId="23">
    <w:name w:val="hover25"/>
    <w:basedOn w:val="12"/>
    <w:qFormat/>
    <w:uiPriority w:val="0"/>
  </w:style>
  <w:style w:type="character" w:customStyle="1" w:styleId="24">
    <w:name w:val="green"/>
    <w:basedOn w:val="12"/>
    <w:qFormat/>
    <w:uiPriority w:val="0"/>
    <w:rPr>
      <w:color w:val="66AE00"/>
      <w:sz w:val="18"/>
      <w:szCs w:val="18"/>
    </w:rPr>
  </w:style>
  <w:style w:type="character" w:customStyle="1" w:styleId="25">
    <w:name w:val="green1"/>
    <w:basedOn w:val="12"/>
    <w:uiPriority w:val="0"/>
    <w:rPr>
      <w:color w:val="66AE00"/>
      <w:sz w:val="18"/>
      <w:szCs w:val="18"/>
    </w:rPr>
  </w:style>
  <w:style w:type="character" w:customStyle="1" w:styleId="26">
    <w:name w:val="blue"/>
    <w:basedOn w:val="12"/>
    <w:uiPriority w:val="0"/>
    <w:rPr>
      <w:color w:val="0371C6"/>
      <w:sz w:val="21"/>
      <w:szCs w:val="21"/>
    </w:rPr>
  </w:style>
  <w:style w:type="character" w:customStyle="1" w:styleId="27">
    <w:name w:val="gb-jt"/>
    <w:basedOn w:val="12"/>
    <w:uiPriority w:val="0"/>
  </w:style>
  <w:style w:type="character" w:customStyle="1" w:styleId="28">
    <w:name w:val="right"/>
    <w:basedOn w:val="12"/>
    <w:uiPriority w:val="0"/>
    <w:rPr>
      <w:color w:val="999999"/>
      <w:sz w:val="18"/>
      <w:szCs w:val="18"/>
    </w:rPr>
  </w:style>
  <w:style w:type="character" w:customStyle="1" w:styleId="29">
    <w:name w:val="标题 2 Char"/>
    <w:basedOn w:val="12"/>
    <w:link w:val="4"/>
    <w:semiHidden/>
    <w:uiPriority w:val="0"/>
    <w:rPr>
      <w:rFonts w:asciiTheme="majorHAnsi" w:hAnsiTheme="majorHAnsi" w:eastAsiaTheme="majorEastAsia" w:cstheme="majorBidi"/>
      <w:b/>
      <w:bCs/>
      <w:sz w:val="32"/>
      <w:szCs w:val="32"/>
    </w:rPr>
  </w:style>
  <w:style w:type="character" w:customStyle="1" w:styleId="30">
    <w:name w:val="批注框文本 Char"/>
    <w:basedOn w:val="12"/>
    <w:link w:val="6"/>
    <w:uiPriority w:val="0"/>
    <w:rPr>
      <w:rFonts w:ascii="宋体" w:hAnsiTheme="minorHAnsi" w:eastAsiaTheme="minorEastAsia" w:cstheme="minorBidi"/>
      <w:sz w:val="18"/>
      <w:szCs w:val="18"/>
    </w:rPr>
  </w:style>
  <w:style w:type="paragraph" w:styleId="3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32663</Words>
  <Characters>5205</Characters>
  <Lines>43</Lines>
  <Paragraphs>75</Paragraphs>
  <TotalTime>847</TotalTime>
  <ScaleCrop>false</ScaleCrop>
  <LinksUpToDate>false</LinksUpToDate>
  <CharactersWithSpaces>37793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2019-10-10T07:05:00Z</dcterms:created>
  <dc:creator>Administrator</dc:creator>
  <cp:lastModifiedBy>许昌建设工程项目管理有限公司:许昌建设工程项目管理有限公司</cp:lastModifiedBy>
  <cp:lastPrinted>2020-04-17T00:15:00Z</cp:lastPrinted>
  <dcterms:modified xsi:type="dcterms:W3CDTF">2020-04-21T05:40:01Z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