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禹州市交通运输局农村公路危桥安全等级评定项目评标报告</w:t>
      </w:r>
    </w:p>
    <w:p>
      <w:pPr>
        <w:pStyle w:val="6"/>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hint="default" w:ascii="仿宋" w:hAnsi="仿宋" w:eastAsia="仿宋" w:cs="仿宋"/>
          <w:sz w:val="32"/>
          <w:szCs w:val="32"/>
          <w:lang w:val="en-US"/>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禹州市交通运输局</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00" w:lineRule="exact"/>
        <w:ind w:right="0"/>
        <w:jc w:val="left"/>
        <w:textAlignment w:val="auto"/>
        <w:rPr>
          <w:rFonts w:hint="eastAsia" w:ascii="仿宋" w:hAnsi="仿宋" w:eastAsia="仿宋" w:cs="仿宋"/>
          <w:color w:val="000000"/>
          <w:sz w:val="32"/>
          <w:szCs w:val="32"/>
          <w:u w:val="none"/>
          <w:shd w:val="clear" w:color="auto" w:fill="FFFFFF"/>
          <w:lang w:val="en-US" w:eastAsia="zh-CN"/>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sz w:val="32"/>
          <w:szCs w:val="32"/>
          <w:u w:val="none"/>
          <w:shd w:val="clear" w:color="auto" w:fill="FFFFFF"/>
          <w:lang w:val="en-US" w:eastAsia="zh-CN"/>
        </w:rPr>
        <w:t>禹州市交通运输局农村公路危桥安全等级评定项目</w:t>
      </w:r>
    </w:p>
    <w:p>
      <w:pPr>
        <w:adjustRightInd w:val="0"/>
        <w:spacing w:line="600" w:lineRule="exact"/>
        <w:ind w:right="-691" w:rightChars="-329"/>
        <w:rPr>
          <w:rFonts w:hint="default" w:ascii="仿宋" w:hAnsi="仿宋" w:eastAsia="仿宋" w:cs="仿宋"/>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color w:val="000000"/>
          <w:sz w:val="32"/>
          <w:szCs w:val="32"/>
          <w:u w:val="none"/>
          <w:shd w:val="clear" w:color="auto" w:fill="FFFFFF"/>
          <w:lang w:val="en-US" w:eastAsia="zh-CN"/>
        </w:rPr>
        <w:t>YZCG-G2020058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4、招标公告发布日期：2020年3月27日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5、开标日期：2020年4月17日9时00分</w:t>
      </w:r>
    </w:p>
    <w:p>
      <w:pPr>
        <w:widowControl/>
        <w:shd w:val="clear" w:color="auto" w:fill="FFFFFF"/>
        <w:spacing w:line="400" w:lineRule="exact"/>
        <w:jc w:val="left"/>
        <w:rPr>
          <w:rFonts w:hint="eastAsia" w:ascii="仿宋" w:hAnsi="仿宋" w:eastAsia="仿宋" w:cs="仿宋"/>
          <w:sz w:val="32"/>
          <w:szCs w:val="32"/>
          <w:lang w:val="en-US" w:eastAsia="zh-CN"/>
        </w:rPr>
      </w:pPr>
    </w:p>
    <w:p>
      <w:pPr>
        <w:pStyle w:val="7"/>
        <w:ind w:left="0" w:leftChars="0" w:firstLine="0" w:firstLineChars="0"/>
        <w:rPr>
          <w:rFonts w:hint="eastAsia" w:ascii="仿宋" w:hAnsi="仿宋" w:eastAsia="仿宋" w:cs="仿宋"/>
          <w:lang w:val="en-US" w:eastAsia="zh-CN"/>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、项目需求：</w:t>
      </w:r>
      <w:r>
        <w:rPr>
          <w:rFonts w:hint="eastAsia" w:ascii="仿宋" w:hAnsi="仿宋" w:eastAsia="仿宋" w:cs="仿宋"/>
          <w:color w:val="000000"/>
          <w:kern w:val="0"/>
          <w:sz w:val="32"/>
          <w:szCs w:val="32"/>
          <w:lang w:val="en-US" w:eastAsia="zh-CN"/>
        </w:rPr>
        <w:t>工程检测服务</w:t>
      </w:r>
      <w:r>
        <w:rPr>
          <w:rFonts w:hint="eastAsia" w:ascii="仿宋" w:hAnsi="仿宋" w:eastAsia="仿宋" w:cs="仿宋"/>
          <w:color w:val="000000"/>
          <w:kern w:val="0"/>
          <w:sz w:val="32"/>
          <w:szCs w:val="32"/>
        </w:rPr>
        <w:t>（详见招标文件）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、采购预算：</w:t>
      </w:r>
      <w:r>
        <w:rPr>
          <w:rFonts w:hint="eastAsia" w:ascii="仿宋" w:hAnsi="仿宋" w:eastAsia="仿宋" w:cs="仿宋"/>
          <w:color w:val="000000"/>
          <w:kern w:val="0"/>
          <w:sz w:val="32"/>
          <w:szCs w:val="32"/>
          <w:lang w:val="en-US" w:eastAsia="zh-CN"/>
        </w:rPr>
        <w:t>52.6729</w:t>
      </w:r>
      <w:r>
        <w:rPr>
          <w:rFonts w:hint="eastAsia" w:ascii="仿宋" w:hAnsi="仿宋" w:eastAsia="仿宋" w:cs="仿宋"/>
          <w:sz w:val="30"/>
          <w:szCs w:val="30"/>
        </w:rPr>
        <w:t>万元</w:t>
      </w:r>
      <w:r>
        <w:rPr>
          <w:rFonts w:hint="eastAsia" w:ascii="仿宋" w:hAnsi="仿宋" w:eastAsia="仿宋" w:cs="仿宋"/>
          <w:color w:val="000000"/>
          <w:kern w:val="0"/>
          <w:sz w:val="32"/>
          <w:szCs w:val="32"/>
          <w:lang w:val="en-US" w:eastAsia="zh-CN"/>
        </w:rPr>
        <w:t>；</w:t>
      </w:r>
    </w:p>
    <w:p>
      <w:pPr>
        <w:widowControl/>
        <w:shd w:val="clear" w:color="auto" w:fill="FFFFFF"/>
        <w:spacing w:line="400" w:lineRule="exact"/>
        <w:jc w:val="left"/>
        <w:rPr>
          <w:rFonts w:hint="eastAsia" w:ascii="仿宋" w:hAnsi="仿宋" w:eastAsia="仿宋" w:cs="仿宋"/>
          <w:sz w:val="32"/>
          <w:szCs w:val="32"/>
          <w:lang w:val="en-US" w:eastAsia="zh-CN"/>
        </w:rPr>
      </w:pPr>
    </w:p>
    <w:p>
      <w:pPr>
        <w:widowControl/>
        <w:shd w:val="clear" w:color="auto" w:fill="FFFFFF"/>
        <w:spacing w:line="40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、采购限价：</w:t>
      </w:r>
      <w:r>
        <w:rPr>
          <w:rFonts w:hint="eastAsia" w:ascii="仿宋" w:hAnsi="仿宋" w:eastAsia="仿宋" w:cs="仿宋"/>
          <w:color w:val="000000"/>
          <w:kern w:val="0"/>
          <w:sz w:val="32"/>
          <w:szCs w:val="32"/>
          <w:lang w:val="en-US" w:eastAsia="zh-CN"/>
        </w:rPr>
        <w:t>52.6729</w:t>
      </w:r>
      <w:r>
        <w:rPr>
          <w:rFonts w:hint="eastAsia" w:ascii="仿宋" w:hAnsi="仿宋" w:eastAsia="仿宋" w:cs="仿宋"/>
          <w:sz w:val="30"/>
          <w:szCs w:val="30"/>
        </w:rPr>
        <w:t>万元</w:t>
      </w:r>
      <w:r>
        <w:rPr>
          <w:rFonts w:hint="eastAsia" w:ascii="仿宋" w:hAnsi="仿宋" w:eastAsia="仿宋" w:cs="仿宋"/>
          <w:color w:val="000000"/>
          <w:kern w:val="0"/>
          <w:sz w:val="32"/>
          <w:szCs w:val="32"/>
          <w:lang w:val="en-US" w:eastAsia="zh-CN"/>
        </w:rPr>
        <w:t>；</w:t>
      </w:r>
    </w:p>
    <w:p>
      <w:pPr>
        <w:spacing w:line="600" w:lineRule="exact"/>
        <w:jc w:val="both"/>
        <w:rPr>
          <w:rFonts w:hint="eastAsia" w:ascii="仿宋" w:hAnsi="仿宋" w:eastAsia="仿宋" w:cs="仿宋"/>
          <w:sz w:val="32"/>
          <w:szCs w:val="32"/>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sz w:val="32"/>
          <w:szCs w:val="32"/>
        </w:rPr>
        <w:t>：</w:t>
      </w:r>
      <w:r>
        <w:rPr>
          <w:rFonts w:hint="eastAsia" w:ascii="仿宋" w:hAnsi="仿宋" w:eastAsia="仿宋" w:cs="仿宋"/>
          <w:sz w:val="32"/>
          <w:szCs w:val="32"/>
          <w:lang w:val="zh-CN"/>
        </w:rPr>
        <w:t>最低评标价法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开标结束后，采购人依法对投标人的资格进行审查。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 招标公告刊登的媒体：中国政府采购网、河南省政府采购网、许昌市政府采购网、全国公共资源交易平台（河南省·许昌市）。</w:t>
      </w:r>
    </w:p>
    <w:tbl>
      <w:tblPr>
        <w:tblStyle w:val="8"/>
        <w:tblpPr w:leftFromText="180" w:rightFromText="180" w:vertAnchor="text" w:horzAnchor="page" w:tblpX="1403" w:tblpY="519"/>
        <w:tblOverlap w:val="never"/>
        <w:tblW w:w="8904"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104"/>
        <w:gridCol w:w="3930"/>
        <w:gridCol w:w="1815"/>
        <w:gridCol w:w="2055"/>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11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93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1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20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1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93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河南万里交通科技集团检测咨询有限公司</w:t>
            </w:r>
          </w:p>
        </w:tc>
        <w:tc>
          <w:tcPr>
            <w:tcW w:w="181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524070.00</w:t>
            </w:r>
          </w:p>
        </w:tc>
        <w:tc>
          <w:tcPr>
            <w:tcW w:w="20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11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93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许昌华盛公路工程检测有限公司</w:t>
            </w:r>
          </w:p>
        </w:tc>
        <w:tc>
          <w:tcPr>
            <w:tcW w:w="181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520700.00</w:t>
            </w:r>
          </w:p>
        </w:tc>
        <w:tc>
          <w:tcPr>
            <w:tcW w:w="20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是</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97" w:hRule="atLeast"/>
          <w:tblCellSpacing w:w="0" w:type="dxa"/>
        </w:trPr>
        <w:tc>
          <w:tcPr>
            <w:tcW w:w="11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93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平顶山市公路工程质量检测中心</w:t>
            </w:r>
          </w:p>
        </w:tc>
        <w:tc>
          <w:tcPr>
            <w:tcW w:w="181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522160.00</w:t>
            </w:r>
          </w:p>
        </w:tc>
        <w:tc>
          <w:tcPr>
            <w:tcW w:w="20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p>
      <w:pPr>
        <w:pStyle w:val="6"/>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三家供应商均通过了业主组织的资格审查。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tbl>
      <w:tblPr>
        <w:tblStyle w:val="8"/>
        <w:tblpPr w:leftFromText="180" w:rightFromText="180" w:vertAnchor="text" w:horzAnchor="page" w:tblpXSpec="center" w:tblpY="113"/>
        <w:tblOverlap w:val="never"/>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432"/>
        <w:gridCol w:w="1476"/>
        <w:gridCol w:w="1598"/>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63" w:type="dxa"/>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3602" w:type="dxa"/>
            <w:noWrap w:val="0"/>
            <w:vAlign w:val="center"/>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245" w:type="dxa"/>
            <w:noWrap w:val="0"/>
            <w:vAlign w:val="center"/>
          </w:tcPr>
          <w:p>
            <w:pPr>
              <w:spacing w:line="4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报价（元）</w:t>
            </w:r>
          </w:p>
        </w:tc>
        <w:tc>
          <w:tcPr>
            <w:tcW w:w="1600" w:type="dxa"/>
            <w:noWrap w:val="0"/>
            <w:vAlign w:val="center"/>
          </w:tcPr>
          <w:p>
            <w:pPr>
              <w:spacing w:line="440" w:lineRule="exact"/>
              <w:jc w:val="center"/>
              <w:rPr>
                <w:rFonts w:hint="default" w:ascii="仿宋" w:hAnsi="仿宋" w:eastAsia="仿宋"/>
                <w:sz w:val="28"/>
                <w:szCs w:val="28"/>
                <w:lang w:val="en-US" w:eastAsia="zh-CN"/>
              </w:rPr>
            </w:pPr>
            <w:r>
              <w:rPr>
                <w:rFonts w:hint="eastAsia" w:ascii="仿宋" w:hAnsi="仿宋" w:eastAsia="仿宋"/>
                <w:sz w:val="28"/>
                <w:szCs w:val="28"/>
                <w:lang w:val="en-US" w:eastAsia="zh-CN"/>
              </w:rPr>
              <w:t>计算报价（元）</w:t>
            </w:r>
          </w:p>
        </w:tc>
        <w:tc>
          <w:tcPr>
            <w:tcW w:w="1213" w:type="dxa"/>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63"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3602" w:type="dxa"/>
            <w:noWrap w:val="0"/>
            <w:vAlign w:val="center"/>
          </w:tcPr>
          <w:p>
            <w:pPr>
              <w:spacing w:line="320" w:lineRule="exact"/>
              <w:jc w:val="center"/>
              <w:textAlignment w:val="baseline"/>
              <w:rPr>
                <w:rFonts w:hint="eastAsia" w:ascii="仿宋" w:hAnsi="仿宋" w:eastAsia="仿宋"/>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河南万里交通科技集团检测咨询有限公司</w:t>
            </w:r>
          </w:p>
        </w:tc>
        <w:tc>
          <w:tcPr>
            <w:tcW w:w="1245" w:type="dxa"/>
            <w:noWrap w:val="0"/>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524070.00</w:t>
            </w:r>
          </w:p>
        </w:tc>
        <w:tc>
          <w:tcPr>
            <w:tcW w:w="1600" w:type="dxa"/>
            <w:noWrap w:val="0"/>
            <w:vAlign w:val="center"/>
          </w:tcPr>
          <w:p>
            <w:pPr>
              <w:spacing w:line="440" w:lineRule="exact"/>
              <w:jc w:val="center"/>
              <w:rPr>
                <w:rFonts w:hint="default" w:ascii="仿宋" w:hAnsi="仿宋" w:eastAsia="仿宋"/>
                <w:sz w:val="30"/>
                <w:szCs w:val="30"/>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524070.00</w:t>
            </w:r>
          </w:p>
        </w:tc>
        <w:tc>
          <w:tcPr>
            <w:tcW w:w="1213"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63"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3602" w:type="dxa"/>
            <w:noWrap w:val="0"/>
            <w:vAlign w:val="center"/>
          </w:tcPr>
          <w:p>
            <w:pPr>
              <w:spacing w:line="320" w:lineRule="exact"/>
              <w:jc w:val="center"/>
              <w:textAlignment w:val="baseline"/>
              <w:rPr>
                <w:rFonts w:hint="default" w:ascii="仿宋" w:hAnsi="仿宋" w:eastAsia="仿宋"/>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许昌华盛公路工程检测有限公司</w:t>
            </w:r>
          </w:p>
        </w:tc>
        <w:tc>
          <w:tcPr>
            <w:tcW w:w="1245" w:type="dxa"/>
            <w:noWrap w:val="0"/>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520700.00</w:t>
            </w:r>
          </w:p>
        </w:tc>
        <w:tc>
          <w:tcPr>
            <w:tcW w:w="1600"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489458.00</w:t>
            </w:r>
          </w:p>
        </w:tc>
        <w:tc>
          <w:tcPr>
            <w:tcW w:w="1213"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3" w:type="dxa"/>
            <w:noWrap w:val="0"/>
            <w:vAlign w:val="center"/>
          </w:tcPr>
          <w:p>
            <w:pPr>
              <w:pStyle w:val="6"/>
              <w:keepNext w:val="0"/>
              <w:keepLines w:val="0"/>
              <w:widowControl/>
              <w:suppressLineNumbers w:val="0"/>
              <w:spacing w:line="330" w:lineRule="atLeast"/>
              <w:ind w:right="0" w:rightChars="0"/>
              <w:jc w:val="center"/>
              <w:rPr>
                <w:rFonts w:hint="default"/>
                <w:lang w:val="en-US" w:eastAsia="zh-CN"/>
              </w:rPr>
            </w:pPr>
            <w:r>
              <w:rPr>
                <w:rFonts w:hint="eastAsia"/>
                <w:lang w:val="en-US" w:eastAsia="zh-CN"/>
              </w:rPr>
              <w:t>3</w:t>
            </w:r>
          </w:p>
        </w:tc>
        <w:tc>
          <w:tcPr>
            <w:tcW w:w="3602" w:type="dxa"/>
            <w:noWrap w:val="0"/>
            <w:vAlign w:val="center"/>
          </w:tcPr>
          <w:p>
            <w:pPr>
              <w:spacing w:line="320" w:lineRule="exact"/>
              <w:jc w:val="center"/>
              <w:textAlignment w:val="baseline"/>
              <w:rPr>
                <w:rFonts w:hint="eastAsia" w:ascii="仿宋" w:hAnsi="仿宋" w:eastAsia="仿宋" w:cs="仿宋"/>
                <w:color w:val="000000"/>
                <w:kern w:val="0"/>
                <w:sz w:val="32"/>
                <w:szCs w:val="32"/>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平顶山市公路工程质量检测中心</w:t>
            </w:r>
          </w:p>
        </w:tc>
        <w:tc>
          <w:tcPr>
            <w:tcW w:w="1245" w:type="dxa"/>
            <w:noWrap w:val="0"/>
            <w:vAlign w:val="center"/>
          </w:tcPr>
          <w:p>
            <w:pPr>
              <w:spacing w:line="320" w:lineRule="exact"/>
              <w:jc w:val="center"/>
              <w:textAlignment w:val="baseline"/>
              <w:rPr>
                <w:rFonts w:hint="default" w:ascii="宋体" w:hAnsi="宋体" w:eastAsia="宋体" w:cs="宋体"/>
                <w:b w:val="0"/>
                <w:i w:val="0"/>
                <w:color w:val="000000"/>
                <w:kern w:val="0"/>
                <w:sz w:val="28"/>
                <w:szCs w:val="28"/>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522160.00</w:t>
            </w:r>
          </w:p>
        </w:tc>
        <w:tc>
          <w:tcPr>
            <w:tcW w:w="1600" w:type="dxa"/>
            <w:noWrap w:val="0"/>
            <w:vAlign w:val="center"/>
          </w:tcPr>
          <w:p>
            <w:pPr>
              <w:spacing w:line="440" w:lineRule="exact"/>
              <w:jc w:val="center"/>
              <w:rPr>
                <w:rFonts w:hint="default" w:ascii="仿宋" w:hAnsi="仿宋" w:eastAsia="仿宋"/>
                <w:sz w:val="30"/>
                <w:szCs w:val="30"/>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522160.00</w:t>
            </w:r>
          </w:p>
        </w:tc>
        <w:tc>
          <w:tcPr>
            <w:tcW w:w="1213"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第一中标候选人：许昌华盛公路工程检测有限公司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 xml:space="preserve">地    址：许昌市东城区邓庄乡马庄村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话：0374-5670858  邮政编号：461000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中标金额：伍拾贰万零柒佰元整（￥</w:t>
      </w:r>
      <w:r>
        <w:rPr>
          <w:rFonts w:hint="eastAsia" w:ascii="宋体" w:hAnsi="宋体" w:eastAsia="宋体" w:cs="宋体"/>
          <w:b w:val="0"/>
          <w:i w:val="0"/>
          <w:color w:val="000000"/>
          <w:kern w:val="0"/>
          <w:sz w:val="28"/>
          <w:szCs w:val="28"/>
          <w:u w:val="none"/>
          <w:shd w:val="clear" w:color="auto" w:fill="FFFFFF"/>
          <w:lang w:val="en-US" w:eastAsia="zh-CN" w:bidi="ar"/>
        </w:rPr>
        <w:t>520700.00元</w:t>
      </w:r>
      <w:r>
        <w:rPr>
          <w:rFonts w:hint="eastAsia" w:ascii="仿宋" w:hAnsi="仿宋" w:eastAsia="仿宋" w:cs="仿宋"/>
          <w:sz w:val="32"/>
          <w:szCs w:val="32"/>
          <w:lang w:val="en-US" w:eastAsia="zh-CN"/>
        </w:rPr>
        <w:t>）</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color w:val="000000"/>
          <w:kern w:val="0"/>
          <w:sz w:val="32"/>
          <w:szCs w:val="32"/>
          <w:u w:val="none"/>
          <w:shd w:val="clear" w:color="auto" w:fill="FFFFFF"/>
          <w:lang w:val="en-US" w:eastAsia="zh-CN" w:bidi="ar"/>
        </w:rPr>
        <w:t>平顶山市公路工程质量检测中心</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地址： 平顶山市新城区庙红线北（原老井营收费站院内）</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话：0375-2236083  邮政编码：467000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中标金额：伍拾贰万贰仟壹佰陆拾元整（￥</w:t>
      </w:r>
      <w:r>
        <w:rPr>
          <w:rFonts w:hint="eastAsia" w:ascii="宋体" w:hAnsi="宋体" w:eastAsia="宋体" w:cs="宋体"/>
          <w:b w:val="0"/>
          <w:i w:val="0"/>
          <w:color w:val="000000"/>
          <w:kern w:val="0"/>
          <w:sz w:val="28"/>
          <w:szCs w:val="28"/>
          <w:u w:val="none"/>
          <w:shd w:val="clear" w:color="auto" w:fill="FFFFFF"/>
          <w:lang w:val="en-US" w:eastAsia="zh-CN" w:bidi="ar"/>
        </w:rPr>
        <w:t>522160.00元</w:t>
      </w:r>
      <w:r>
        <w:rPr>
          <w:rFonts w:hint="eastAsia" w:ascii="仿宋" w:hAnsi="仿宋" w:eastAsia="仿宋" w:cs="仿宋"/>
          <w:sz w:val="32"/>
          <w:szCs w:val="32"/>
          <w:lang w:val="en-US" w:eastAsia="zh-CN"/>
        </w:rPr>
        <w:t>）</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28"/>
          <w:szCs w:val="28"/>
        </w:rPr>
      </w:pPr>
      <w:r>
        <w:rPr>
          <w:rFonts w:hint="eastAsia" w:ascii="仿宋" w:hAnsi="仿宋" w:eastAsia="仿宋" w:cs="仿宋"/>
          <w:color w:val="000000"/>
          <w:sz w:val="32"/>
          <w:szCs w:val="32"/>
          <w:u w:val="none"/>
          <w:shd w:val="clear" w:fill="FFFFFF"/>
          <w:lang w:val="en-US" w:eastAsia="zh-CN"/>
        </w:rPr>
        <w:t>第三中标候选人：河南万里交通科技集团检测咨询有限公司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    址：：许昌市陈庄街与灞陵路交叉口西南角666号</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话：0374-8319457   邮政编码：461000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default" w:ascii="仿宋" w:hAnsi="仿宋" w:eastAsia="仿宋" w:cs="仿宋"/>
          <w:sz w:val="28"/>
          <w:szCs w:val="28"/>
          <w:lang w:val="en-US" w:eastAsia="zh-CN"/>
        </w:rPr>
      </w:pPr>
      <w:r>
        <w:rPr>
          <w:rFonts w:hint="eastAsia" w:ascii="仿宋" w:hAnsi="仿宋" w:eastAsia="仿宋" w:cs="仿宋"/>
          <w:color w:val="000000"/>
          <w:sz w:val="32"/>
          <w:szCs w:val="32"/>
          <w:u w:val="none"/>
          <w:shd w:val="clear" w:fill="FFFFFF"/>
          <w:lang w:val="en-US" w:eastAsia="zh-CN"/>
        </w:rPr>
        <w:t>中标金额：伍拾贰万肆仟零柒拾元整（￥</w:t>
      </w:r>
      <w:r>
        <w:rPr>
          <w:rFonts w:hint="eastAsia" w:ascii="宋体" w:hAnsi="宋体" w:eastAsia="宋体" w:cs="宋体"/>
          <w:b w:val="0"/>
          <w:i w:val="0"/>
          <w:color w:val="000000"/>
          <w:kern w:val="0"/>
          <w:sz w:val="28"/>
          <w:szCs w:val="28"/>
          <w:u w:val="none"/>
          <w:shd w:val="clear" w:color="auto" w:fill="FFFFFF"/>
          <w:lang w:val="en-US" w:eastAsia="zh-CN" w:bidi="ar"/>
        </w:rPr>
        <w:t>524070.00元</w:t>
      </w:r>
      <w:r>
        <w:rPr>
          <w:rFonts w:hint="eastAsia" w:ascii="仿宋" w:hAnsi="仿宋" w:eastAsia="仿宋" w:cs="仿宋"/>
          <w:color w:val="000000"/>
          <w:sz w:val="32"/>
          <w:szCs w:val="32"/>
          <w:u w:val="none"/>
          <w:shd w:val="clear" w:fill="FFFFFF"/>
          <w:lang w:val="en-US" w:eastAsia="zh-CN"/>
        </w:rPr>
        <w:t>）</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default" w:ascii="仿宋" w:hAnsi="仿宋" w:eastAsia="仿宋" w:cs="仿宋"/>
          <w:sz w:val="32"/>
          <w:szCs w:val="32"/>
          <w:lang w:val="en-US" w:eastAsia="zh-CN"/>
        </w:rPr>
      </w:pPr>
      <w:r>
        <w:rPr>
          <w:rFonts w:hint="eastAsia" w:ascii="仿宋" w:hAnsi="仿宋" w:eastAsia="仿宋" w:cs="仿宋"/>
          <w:color w:val="000000"/>
          <w:kern w:val="2"/>
          <w:sz w:val="28"/>
          <w:szCs w:val="28"/>
          <w:u w:val="none"/>
          <w:shd w:val="clear" w:fill="FFFFFF"/>
          <w:lang w:val="en-US" w:eastAsia="zh-CN" w:bidi="ar-SA"/>
        </w:rPr>
        <w:t xml:space="preserve">                                 2020年4月20</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222B1D"/>
    <w:rsid w:val="07E44978"/>
    <w:rsid w:val="07F800D3"/>
    <w:rsid w:val="08D75275"/>
    <w:rsid w:val="091D1846"/>
    <w:rsid w:val="099C3E00"/>
    <w:rsid w:val="09F03305"/>
    <w:rsid w:val="0D21183A"/>
    <w:rsid w:val="0E3D02A4"/>
    <w:rsid w:val="0F6B7734"/>
    <w:rsid w:val="0FD802D1"/>
    <w:rsid w:val="109A17DA"/>
    <w:rsid w:val="12BB5366"/>
    <w:rsid w:val="13A7762A"/>
    <w:rsid w:val="14245DBC"/>
    <w:rsid w:val="143425F3"/>
    <w:rsid w:val="144A3A3E"/>
    <w:rsid w:val="1499695F"/>
    <w:rsid w:val="15033594"/>
    <w:rsid w:val="157129DD"/>
    <w:rsid w:val="15FC2A9B"/>
    <w:rsid w:val="17D926FA"/>
    <w:rsid w:val="192006A8"/>
    <w:rsid w:val="1A5042D6"/>
    <w:rsid w:val="1BD00BD8"/>
    <w:rsid w:val="1C456B87"/>
    <w:rsid w:val="1D03587C"/>
    <w:rsid w:val="1D2F1724"/>
    <w:rsid w:val="1D577B34"/>
    <w:rsid w:val="1D8063EF"/>
    <w:rsid w:val="1D863BDB"/>
    <w:rsid w:val="1DA95CDC"/>
    <w:rsid w:val="1DEF5AD4"/>
    <w:rsid w:val="1E196947"/>
    <w:rsid w:val="2004781A"/>
    <w:rsid w:val="203854D7"/>
    <w:rsid w:val="21581C83"/>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03571AD"/>
    <w:rsid w:val="30784B2B"/>
    <w:rsid w:val="30DC346F"/>
    <w:rsid w:val="313C2C12"/>
    <w:rsid w:val="31534C8B"/>
    <w:rsid w:val="31833D59"/>
    <w:rsid w:val="31A42F31"/>
    <w:rsid w:val="32084038"/>
    <w:rsid w:val="321D771D"/>
    <w:rsid w:val="33A37472"/>
    <w:rsid w:val="33DB07DB"/>
    <w:rsid w:val="3423363F"/>
    <w:rsid w:val="34E763F5"/>
    <w:rsid w:val="363A185F"/>
    <w:rsid w:val="37337795"/>
    <w:rsid w:val="37362008"/>
    <w:rsid w:val="386B5961"/>
    <w:rsid w:val="387E3CE9"/>
    <w:rsid w:val="3A745AA5"/>
    <w:rsid w:val="3B1C631F"/>
    <w:rsid w:val="3B9F5F6E"/>
    <w:rsid w:val="3BDA5757"/>
    <w:rsid w:val="3C2C4265"/>
    <w:rsid w:val="3C492603"/>
    <w:rsid w:val="3C7C4CD6"/>
    <w:rsid w:val="3CC736A9"/>
    <w:rsid w:val="3CC9487F"/>
    <w:rsid w:val="3D375DAF"/>
    <w:rsid w:val="3D90594C"/>
    <w:rsid w:val="3DD7020A"/>
    <w:rsid w:val="3E504CFE"/>
    <w:rsid w:val="413E399E"/>
    <w:rsid w:val="41A4580B"/>
    <w:rsid w:val="41CD71DB"/>
    <w:rsid w:val="42A668D7"/>
    <w:rsid w:val="448222F2"/>
    <w:rsid w:val="44EB3951"/>
    <w:rsid w:val="4522252F"/>
    <w:rsid w:val="45B82664"/>
    <w:rsid w:val="462721B8"/>
    <w:rsid w:val="463B1FB6"/>
    <w:rsid w:val="471813B4"/>
    <w:rsid w:val="493123CC"/>
    <w:rsid w:val="499E0CFB"/>
    <w:rsid w:val="49DE41DD"/>
    <w:rsid w:val="4AFD0F3D"/>
    <w:rsid w:val="4B171E5C"/>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7475E7"/>
    <w:rsid w:val="604133F7"/>
    <w:rsid w:val="609B7DDD"/>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B970672"/>
    <w:rsid w:val="6C191A6E"/>
    <w:rsid w:val="6C2D42C5"/>
    <w:rsid w:val="6C6726DC"/>
    <w:rsid w:val="6E902FFD"/>
    <w:rsid w:val="6EC648B5"/>
    <w:rsid w:val="6F2D1DE0"/>
    <w:rsid w:val="6F3D47A3"/>
    <w:rsid w:val="6F7613B8"/>
    <w:rsid w:val="6F87576C"/>
    <w:rsid w:val="6FC82958"/>
    <w:rsid w:val="6FCB3031"/>
    <w:rsid w:val="70B91580"/>
    <w:rsid w:val="71336BEC"/>
    <w:rsid w:val="716031FF"/>
    <w:rsid w:val="72FB3E82"/>
    <w:rsid w:val="74B27047"/>
    <w:rsid w:val="74FD2C39"/>
    <w:rsid w:val="75B75AFB"/>
    <w:rsid w:val="75ED24AD"/>
    <w:rsid w:val="763860D4"/>
    <w:rsid w:val="766A47F3"/>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link w:val="82"/>
    <w:qFormat/>
    <w:uiPriority w:val="0"/>
    <w:pPr>
      <w:tabs>
        <w:tab w:val="center" w:pos="4153"/>
        <w:tab w:val="right" w:pos="8306"/>
      </w:tabs>
      <w:snapToGrid w:val="0"/>
      <w:jc w:val="left"/>
    </w:pPr>
    <w:rPr>
      <w:sz w:val="18"/>
    </w:rPr>
  </w:style>
  <w:style w:type="paragraph" w:styleId="5">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4"/>
    <w:uiPriority w:val="0"/>
  </w:style>
  <w:style w:type="character" w:customStyle="1" w:styleId="83">
    <w:name w:val="页眉 Char"/>
    <w:basedOn w:val="10"/>
    <w:link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2020-04-17T03:55:00Z</cp:lastPrinted>
  <dcterms:modified xsi:type="dcterms:W3CDTF">2020-04-20T00:56:44Z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