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440" w:firstLineChars="300"/>
        <w:rPr>
          <w:rFonts w:hAnsi="宋体" w:cs="宋体"/>
          <w:b/>
          <w:sz w:val="48"/>
          <w:szCs w:val="48"/>
        </w:rPr>
      </w:pPr>
    </w:p>
    <w:p>
      <w:pPr>
        <w:autoSpaceDE w:val="0"/>
        <w:autoSpaceDN w:val="0"/>
        <w:adjustRightInd w:val="0"/>
        <w:ind w:firstLine="1560" w:firstLineChars="300"/>
        <w:rPr>
          <w:rFonts w:hint="eastAsia" w:hAnsi="宋体" w:cs="宋体" w:eastAsiaTheme="minorEastAsia"/>
          <w:b/>
          <w:sz w:val="52"/>
          <w:szCs w:val="52"/>
          <w:lang w:eastAsia="zh-CN"/>
        </w:rPr>
      </w:pPr>
      <w:r>
        <w:rPr>
          <w:rFonts w:hint="eastAsia" w:hAnsi="宋体" w:cs="宋体"/>
          <w:b/>
          <w:sz w:val="52"/>
          <w:szCs w:val="52"/>
          <w:lang w:eastAsia="zh-CN"/>
        </w:rPr>
        <w:t>许昌瑞新建设有限责任公司</w:t>
      </w:r>
    </w:p>
    <w:p>
      <w:pPr>
        <w:autoSpaceDE w:val="0"/>
        <w:autoSpaceDN w:val="0"/>
        <w:adjustRightInd w:val="0"/>
        <w:jc w:val="center"/>
        <w:rPr>
          <w:rFonts w:hAnsi="宋体" w:cs="宋体"/>
          <w:b/>
          <w:sz w:val="52"/>
          <w:szCs w:val="52"/>
        </w:rPr>
      </w:pPr>
      <w:r>
        <w:rPr>
          <w:rFonts w:hint="eastAsia" w:hAnsi="宋体" w:cs="宋体"/>
          <w:b/>
          <w:sz w:val="52"/>
          <w:szCs w:val="52"/>
        </w:rPr>
        <w:t>“</w:t>
      </w:r>
      <w:r>
        <w:rPr>
          <w:rFonts w:hint="eastAsia" w:hAnsi="宋体" w:cs="宋体"/>
          <w:b/>
          <w:sz w:val="52"/>
          <w:szCs w:val="52"/>
          <w:lang w:eastAsia="zh-CN"/>
        </w:rPr>
        <w:t>德荣路、宏兴路、莲韵路、隆昌路、尚集街、尚荣街新建电缆土建工程</w:t>
      </w:r>
      <w:r>
        <w:rPr>
          <w:rFonts w:hint="eastAsia" w:hAnsi="宋体" w:cs="宋体"/>
          <w:b/>
          <w:sz w:val="52"/>
          <w:szCs w:val="52"/>
        </w:rPr>
        <w:t xml:space="preserve">” </w:t>
      </w:r>
    </w:p>
    <w:p>
      <w:pPr>
        <w:autoSpaceDE w:val="0"/>
        <w:autoSpaceDN w:val="0"/>
        <w:adjustRightInd w:val="0"/>
        <w:jc w:val="center"/>
        <w:rPr>
          <w:rFonts w:hAnsi="宋体" w:cs="宋体"/>
          <w:b/>
          <w:sz w:val="40"/>
          <w:szCs w:val="40"/>
        </w:rPr>
      </w:pPr>
      <w:r>
        <w:rPr>
          <w:rFonts w:hint="eastAsia" w:hAnsi="宋体" w:cs="宋体"/>
          <w:b/>
          <w:sz w:val="52"/>
          <w:szCs w:val="52"/>
        </w:rPr>
        <w:t>（不见面开标）</w:t>
      </w:r>
    </w:p>
    <w:p>
      <w:pPr>
        <w:pStyle w:val="2"/>
        <w:ind w:firstLine="402"/>
        <w:rPr>
          <w:rFonts w:hAnsi="宋体" w:cs="宋体"/>
          <w:b/>
          <w:sz w:val="40"/>
          <w:szCs w:val="40"/>
        </w:rPr>
      </w:pPr>
    </w:p>
    <w:p>
      <w:pPr>
        <w:pStyle w:val="2"/>
        <w:ind w:firstLine="402"/>
        <w:rPr>
          <w:rFonts w:hAnsi="宋体" w:cs="宋体"/>
          <w:b/>
          <w:sz w:val="40"/>
          <w:szCs w:val="40"/>
        </w:rPr>
      </w:pPr>
    </w:p>
    <w:p>
      <w:pPr>
        <w:autoSpaceDE w:val="0"/>
        <w:autoSpaceDN w:val="0"/>
        <w:adjustRightInd w:val="0"/>
        <w:jc w:val="center"/>
        <w:rPr>
          <w:rFonts w:hAnsi="宋体" w:cs="宋体"/>
          <w:b/>
          <w:sz w:val="72"/>
          <w:szCs w:val="72"/>
        </w:rPr>
      </w:pPr>
      <w:r>
        <w:rPr>
          <w:rFonts w:hint="eastAsia" w:hAnsi="宋体" w:cs="宋体"/>
          <w:b/>
          <w:sz w:val="72"/>
          <w:szCs w:val="72"/>
        </w:rPr>
        <w:t>招标文件</w:t>
      </w:r>
    </w:p>
    <w:p>
      <w:pPr>
        <w:autoSpaceDE w:val="0"/>
        <w:autoSpaceDN w:val="0"/>
        <w:adjustRightInd w:val="0"/>
        <w:jc w:val="center"/>
        <w:rPr>
          <w:rFonts w:hAnsi="宋体" w:cs="宋体"/>
          <w:b/>
          <w:sz w:val="32"/>
          <w:szCs w:val="32"/>
        </w:rPr>
      </w:pPr>
      <w:r>
        <w:rPr>
          <w:rFonts w:hint="eastAsia" w:hAnsi="宋体" w:cs="宋体"/>
          <w:b/>
          <w:sz w:val="32"/>
          <w:szCs w:val="32"/>
        </w:rPr>
        <w:t>项目编号：XCGC-F2020</w:t>
      </w:r>
      <w:r>
        <w:rPr>
          <w:rFonts w:hint="eastAsia" w:hAnsi="宋体" w:cs="宋体"/>
          <w:b/>
          <w:sz w:val="32"/>
          <w:szCs w:val="32"/>
          <w:lang w:val="en-US" w:eastAsia="zh-CN"/>
        </w:rPr>
        <w:t>083</w:t>
      </w:r>
      <w:r>
        <w:rPr>
          <w:rFonts w:hint="eastAsia" w:hAnsi="宋体" w:cs="宋体"/>
          <w:b/>
          <w:sz w:val="32"/>
          <w:szCs w:val="32"/>
        </w:rPr>
        <w:t xml:space="preserve">     </w:t>
      </w:r>
    </w:p>
    <w:p>
      <w:pPr>
        <w:pStyle w:val="2"/>
        <w:ind w:firstLine="341"/>
        <w:rPr>
          <w:rFonts w:eastAsia="宋体"/>
          <w:b/>
          <w:bCs/>
        </w:rPr>
      </w:pPr>
      <w:r>
        <w:rPr>
          <w:rFonts w:hint="eastAsia"/>
          <w:b/>
          <w:bCs/>
        </w:rPr>
        <w:t xml:space="preserve">                    </w:t>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pPr>
    </w:p>
    <w:p>
      <w:pPr>
        <w:pStyle w:val="2"/>
        <w:ind w:firstLine="0" w:firstLineChars="0"/>
      </w:pPr>
    </w:p>
    <w:p>
      <w:pPr>
        <w:autoSpaceDE w:val="0"/>
        <w:autoSpaceDN w:val="0"/>
        <w:adjustRightInd w:val="0"/>
        <w:ind w:firstLine="1920" w:firstLineChars="600"/>
      </w:pPr>
      <w:r>
        <w:rPr>
          <w:rFonts w:hint="eastAsia" w:hAnsi="宋体" w:cs="宋体"/>
          <w:b/>
          <w:sz w:val="32"/>
          <w:szCs w:val="32"/>
        </w:rPr>
        <w:t>招标单位：</w:t>
      </w:r>
      <w:r>
        <w:rPr>
          <w:rFonts w:hint="eastAsia" w:hAnsi="宋体" w:cs="宋体"/>
          <w:b/>
          <w:sz w:val="32"/>
          <w:szCs w:val="32"/>
          <w:lang w:eastAsia="zh-CN"/>
        </w:rPr>
        <w:t>许昌瑞新建设有限责任公司</w:t>
      </w:r>
    </w:p>
    <w:p>
      <w:pPr>
        <w:rPr>
          <w:rFonts w:hint="eastAsia" w:hAnsi="宋体" w:cs="宋体" w:eastAsiaTheme="minorEastAsia"/>
          <w:b/>
          <w:sz w:val="32"/>
          <w:szCs w:val="32"/>
          <w:lang w:eastAsia="zh-CN"/>
        </w:rPr>
      </w:pPr>
      <w:r>
        <w:rPr>
          <w:rFonts w:hint="eastAsia" w:hAnsi="宋体" w:cs="宋体"/>
          <w:b/>
          <w:sz w:val="32"/>
          <w:szCs w:val="32"/>
        </w:rPr>
        <w:t xml:space="preserve">            代理机构：</w:t>
      </w:r>
      <w:r>
        <w:rPr>
          <w:rFonts w:hint="eastAsia" w:hAnsi="宋体" w:cs="宋体"/>
          <w:b/>
          <w:sz w:val="32"/>
          <w:szCs w:val="32"/>
          <w:lang w:eastAsia="zh-CN"/>
        </w:rPr>
        <w:t>河南建标工程管理有限公司</w:t>
      </w:r>
    </w:p>
    <w:p>
      <w:pPr>
        <w:jc w:val="center"/>
        <w:rPr>
          <w:rFonts w:hAnsi="宋体" w:cs="黑体"/>
          <w:b/>
          <w:sz w:val="32"/>
          <w:szCs w:val="32"/>
        </w:rPr>
      </w:pP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0"/>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投标人须知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p>
    <w:p>
      <w:pPr>
        <w:tabs>
          <w:tab w:val="left" w:pos="3185"/>
          <w:tab w:val="center" w:pos="5452"/>
        </w:tabs>
        <w:snapToGrid w:val="0"/>
        <w:spacing w:beforeLines="50" w:line="400" w:lineRule="exact"/>
        <w:jc w:val="center"/>
        <w:rPr>
          <w:rFonts w:hAnsi="宋体" w:cs="宋体"/>
          <w:b/>
          <w:sz w:val="30"/>
          <w:szCs w:val="30"/>
        </w:rPr>
      </w:pPr>
      <w:r>
        <w:rPr>
          <w:rFonts w:hint="eastAsia" w:hAnsi="宋体" w:cs="黑体"/>
          <w:b/>
          <w:sz w:val="36"/>
          <w:szCs w:val="36"/>
        </w:rPr>
        <w:t>XCGC-F2020</w:t>
      </w:r>
      <w:r>
        <w:rPr>
          <w:rFonts w:hint="eastAsia" w:hAnsi="宋体" w:cs="黑体"/>
          <w:b/>
          <w:sz w:val="36"/>
          <w:szCs w:val="36"/>
          <w:lang w:val="en-US" w:eastAsia="zh-CN"/>
        </w:rPr>
        <w:t xml:space="preserve">083 </w:t>
      </w:r>
      <w:r>
        <w:rPr>
          <w:rFonts w:hint="eastAsia" w:hAnsi="宋体" w:cs="黑体"/>
          <w:b/>
          <w:sz w:val="36"/>
          <w:szCs w:val="36"/>
          <w:lang w:eastAsia="zh-CN"/>
        </w:rPr>
        <w:t>许昌瑞新建设有限责任公司</w:t>
      </w:r>
      <w:r>
        <w:rPr>
          <w:rFonts w:hint="eastAsia" w:hAnsi="宋体" w:cs="黑体"/>
          <w:b/>
          <w:sz w:val="36"/>
          <w:szCs w:val="36"/>
        </w:rPr>
        <w:t>“</w:t>
      </w:r>
      <w:r>
        <w:rPr>
          <w:rFonts w:hint="eastAsia" w:hAnsi="宋体" w:cs="黑体"/>
          <w:b/>
          <w:sz w:val="36"/>
          <w:szCs w:val="36"/>
          <w:lang w:eastAsia="zh-CN"/>
        </w:rPr>
        <w:t>德荣路、宏兴路、莲韵路、隆昌路、尚集街、尚荣街新建电缆土建工程</w:t>
      </w:r>
      <w:r>
        <w:rPr>
          <w:rFonts w:hint="eastAsia" w:hAnsi="宋体" w:cs="黑体"/>
          <w:b/>
          <w:sz w:val="36"/>
          <w:szCs w:val="36"/>
        </w:rPr>
        <w:t>” （不见面开标）招标公告</w:t>
      </w:r>
    </w:p>
    <w:p>
      <w:pPr>
        <w:widowControl/>
        <w:numPr>
          <w:ilvl w:val="0"/>
          <w:numId w:val="2"/>
        </w:numPr>
        <w:spacing w:line="312" w:lineRule="auto"/>
        <w:rPr>
          <w:rFonts w:hAnsi="宋体"/>
          <w:b/>
          <w:sz w:val="24"/>
        </w:rPr>
      </w:pPr>
      <w:r>
        <w:rPr>
          <w:rFonts w:hint="eastAsia" w:hAnsi="宋体"/>
          <w:b/>
          <w:sz w:val="24"/>
        </w:rPr>
        <w:t>招标条件</w:t>
      </w:r>
    </w:p>
    <w:p>
      <w:pPr>
        <w:widowControl/>
        <w:spacing w:line="312" w:lineRule="auto"/>
        <w:ind w:firstLine="480" w:firstLineChars="200"/>
        <w:rPr>
          <w:rFonts w:hAnsi="宋体"/>
          <w:sz w:val="24"/>
        </w:rPr>
      </w:pPr>
      <w:r>
        <w:rPr>
          <w:rFonts w:hint="eastAsia" w:hAnsi="宋体" w:cs="Times New Roman"/>
          <w:sz w:val="24"/>
          <w:szCs w:val="24"/>
          <w:lang w:eastAsia="zh-CN"/>
        </w:rPr>
        <w:t>许昌瑞新建设有限责任公司</w:t>
      </w:r>
      <w:r>
        <w:rPr>
          <w:rFonts w:hint="eastAsia" w:hAnsi="宋体" w:cs="Times New Roman"/>
          <w:sz w:val="24"/>
          <w:szCs w:val="24"/>
        </w:rPr>
        <w:t>“</w:t>
      </w:r>
      <w:r>
        <w:rPr>
          <w:rFonts w:hint="eastAsia" w:hAnsi="宋体" w:cs="Times New Roman"/>
          <w:sz w:val="24"/>
          <w:szCs w:val="24"/>
          <w:lang w:eastAsia="zh-CN"/>
        </w:rPr>
        <w:t>德荣路、宏兴路、莲韵路、隆昌路、</w:t>
      </w:r>
      <w:bookmarkStart w:id="83" w:name="_GoBack"/>
      <w:bookmarkEnd w:id="83"/>
      <w:r>
        <w:rPr>
          <w:rFonts w:hint="eastAsia" w:hAnsi="宋体" w:cs="Times New Roman"/>
          <w:sz w:val="24"/>
          <w:szCs w:val="24"/>
          <w:lang w:eastAsia="zh-CN"/>
        </w:rPr>
        <w:t>尚集街、尚荣街新建电缆土建工程</w:t>
      </w:r>
      <w:r>
        <w:rPr>
          <w:rFonts w:hint="eastAsia" w:hAnsi="宋体" w:cs="Times New Roman"/>
          <w:sz w:val="24"/>
          <w:szCs w:val="24"/>
        </w:rPr>
        <w:t>”，</w:t>
      </w:r>
      <w:r>
        <w:rPr>
          <w:rFonts w:hint="eastAsia" w:hAnsi="宋体"/>
          <w:sz w:val="24"/>
          <w:szCs w:val="24"/>
        </w:rPr>
        <w:t>已由许昌市</w:t>
      </w:r>
      <w:r>
        <w:rPr>
          <w:rFonts w:hint="eastAsia" w:hAnsi="宋体"/>
          <w:sz w:val="24"/>
          <w:szCs w:val="24"/>
          <w:lang w:val="en-US" w:eastAsia="zh-CN"/>
        </w:rPr>
        <w:t>城乡一体化示范区发展和改革局</w:t>
      </w:r>
      <w:r>
        <w:rPr>
          <w:rFonts w:hint="eastAsia" w:hAnsi="宋体"/>
          <w:sz w:val="24"/>
          <w:szCs w:val="24"/>
        </w:rPr>
        <w:t>以许</w:t>
      </w:r>
      <w:r>
        <w:rPr>
          <w:rFonts w:hint="eastAsia" w:hAnsi="宋体"/>
          <w:sz w:val="24"/>
          <w:szCs w:val="24"/>
          <w:lang w:eastAsia="zh-CN"/>
        </w:rPr>
        <w:t>示范发改</w:t>
      </w:r>
      <w:r>
        <w:rPr>
          <w:rFonts w:hint="eastAsia" w:hAnsi="宋体"/>
          <w:sz w:val="24"/>
          <w:szCs w:val="24"/>
        </w:rPr>
        <w:t>【201</w:t>
      </w:r>
      <w:r>
        <w:rPr>
          <w:rFonts w:hint="eastAsia" w:hAnsi="宋体"/>
          <w:sz w:val="24"/>
          <w:szCs w:val="24"/>
          <w:lang w:val="en-US" w:eastAsia="zh-CN"/>
        </w:rPr>
        <w:t>8</w:t>
      </w:r>
      <w:r>
        <w:rPr>
          <w:rFonts w:hint="eastAsia" w:hAnsi="宋体"/>
          <w:sz w:val="24"/>
          <w:szCs w:val="24"/>
        </w:rPr>
        <w:t>】</w:t>
      </w:r>
      <w:r>
        <w:rPr>
          <w:rFonts w:hint="eastAsia" w:hAnsi="宋体"/>
          <w:sz w:val="24"/>
          <w:szCs w:val="24"/>
          <w:lang w:val="en-US" w:eastAsia="zh-CN"/>
        </w:rPr>
        <w:t>20、25、26、【2017】24、26、【2016】28</w:t>
      </w:r>
      <w:r>
        <w:rPr>
          <w:rFonts w:hint="eastAsia" w:hAnsi="宋体"/>
          <w:sz w:val="24"/>
          <w:szCs w:val="24"/>
        </w:rPr>
        <w:t>号</w:t>
      </w:r>
      <w:r>
        <w:rPr>
          <w:rFonts w:hint="eastAsia" w:hAnsi="宋体" w:cs="Times New Roman"/>
          <w:sz w:val="24"/>
          <w:szCs w:val="24"/>
        </w:rPr>
        <w:t>文批准建</w:t>
      </w:r>
      <w:r>
        <w:rPr>
          <w:rFonts w:hint="eastAsia" w:hAnsi="宋体"/>
          <w:sz w:val="24"/>
          <w:szCs w:val="24"/>
        </w:rPr>
        <w:t>设，建设资金已落实。招标人为</w:t>
      </w:r>
      <w:r>
        <w:rPr>
          <w:rFonts w:hint="eastAsia" w:hAnsi="宋体" w:cs="Times New Roman"/>
          <w:sz w:val="24"/>
          <w:szCs w:val="24"/>
          <w:lang w:eastAsia="zh-CN"/>
        </w:rPr>
        <w:t>许昌瑞新建设有限责任公司</w:t>
      </w:r>
      <w:r>
        <w:rPr>
          <w:rFonts w:hint="eastAsia" w:hAnsi="宋体"/>
          <w:sz w:val="24"/>
          <w:szCs w:val="24"/>
        </w:rPr>
        <w:t>，建设资金为自筹资金。项目已具备招标条件，现对该项目施工进行公开招标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eastAsiaTheme="minorEastAsia"/>
          <w:sz w:val="24"/>
          <w:lang w:val="en-US" w:eastAsia="zh-CN"/>
        </w:rPr>
      </w:pPr>
      <w:r>
        <w:rPr>
          <w:rFonts w:hint="eastAsia" w:hAnsi="宋体"/>
          <w:sz w:val="24"/>
        </w:rPr>
        <w:t xml:space="preserve">    2.1项目编号：XCGC-F2020</w:t>
      </w:r>
      <w:r>
        <w:rPr>
          <w:rFonts w:hint="eastAsia" w:hAnsi="宋体"/>
          <w:sz w:val="24"/>
          <w:lang w:val="en-US" w:eastAsia="zh-CN"/>
        </w:rPr>
        <w:t xml:space="preserve">083  </w:t>
      </w:r>
    </w:p>
    <w:p>
      <w:pPr>
        <w:widowControl/>
        <w:spacing w:line="312" w:lineRule="auto"/>
        <w:ind w:firstLine="480" w:firstLineChars="200"/>
        <w:rPr>
          <w:rFonts w:hAnsi="宋体"/>
          <w:sz w:val="24"/>
        </w:rPr>
      </w:pPr>
      <w:r>
        <w:rPr>
          <w:rFonts w:hint="eastAsia" w:hAnsi="宋体"/>
          <w:sz w:val="24"/>
        </w:rPr>
        <w:t>2.2项目建设地点：</w:t>
      </w:r>
      <w:r>
        <w:rPr>
          <w:rFonts w:hint="eastAsia" w:hAnsi="宋体"/>
          <w:sz w:val="24"/>
          <w:lang w:eastAsia="zh-CN"/>
        </w:rPr>
        <w:t>许昌市城乡一体化示范区</w:t>
      </w:r>
      <w:r>
        <w:rPr>
          <w:rFonts w:hint="eastAsia" w:hAnsi="宋体"/>
          <w:sz w:val="24"/>
        </w:rPr>
        <w:t>。</w:t>
      </w:r>
    </w:p>
    <w:p>
      <w:pPr>
        <w:spacing w:line="360" w:lineRule="auto"/>
        <w:ind w:firstLine="480"/>
        <w:rPr>
          <w:rFonts w:hAnsi="宋体"/>
          <w:color w:val="auto"/>
          <w:sz w:val="24"/>
        </w:rPr>
      </w:pPr>
      <w:r>
        <w:rPr>
          <w:rFonts w:hint="eastAsia" w:hAnsi="宋体"/>
          <w:color w:val="auto"/>
          <w:sz w:val="24"/>
        </w:rPr>
        <w:t>2.3工程概况：一标段为德荣路新建电缆土建工程</w:t>
      </w:r>
      <w:r>
        <w:rPr>
          <w:rFonts w:hint="eastAsia" w:hAnsi="宋体"/>
          <w:color w:val="auto"/>
          <w:sz w:val="24"/>
          <w:lang w:eastAsia="zh-CN"/>
        </w:rPr>
        <w:t>、宏兴路新建电缆土建工程、莲韵路新建电缆土建工程</w:t>
      </w:r>
      <w:r>
        <w:rPr>
          <w:rFonts w:hint="eastAsia" w:hAnsi="宋体"/>
          <w:color w:val="auto"/>
          <w:sz w:val="24"/>
        </w:rPr>
        <w:t>，二标段为隆昌路新建电缆土建工程</w:t>
      </w:r>
      <w:r>
        <w:rPr>
          <w:rFonts w:hint="eastAsia" w:hAnsi="宋体"/>
          <w:color w:val="auto"/>
          <w:sz w:val="24"/>
          <w:lang w:eastAsia="zh-CN"/>
        </w:rPr>
        <w:t>、尚集街道路电缆土建工程、尚荣街新建电缆土建工程</w:t>
      </w:r>
      <w:r>
        <w:rPr>
          <w:rFonts w:hint="eastAsia" w:hAnsi="宋体"/>
          <w:color w:val="auto"/>
          <w:sz w:val="24"/>
        </w:rPr>
        <w:t>。</w:t>
      </w:r>
    </w:p>
    <w:p>
      <w:pPr>
        <w:widowControl/>
        <w:spacing w:line="312" w:lineRule="auto"/>
        <w:ind w:firstLine="480" w:firstLineChars="200"/>
        <w:rPr>
          <w:rFonts w:hAnsi="宋体"/>
          <w:color w:val="auto"/>
          <w:sz w:val="24"/>
        </w:rPr>
      </w:pPr>
      <w:r>
        <w:rPr>
          <w:rFonts w:hint="eastAsia" w:hAnsi="宋体"/>
          <w:color w:val="auto"/>
          <w:sz w:val="24"/>
        </w:rPr>
        <w:t>2.4招标范围：施工招标范围为招标文件、工程量清单、施工图纸、答疑纪要和补充文件（如有）范围内的所有建设内容。</w:t>
      </w:r>
    </w:p>
    <w:p>
      <w:pPr>
        <w:spacing w:line="360" w:lineRule="auto"/>
        <w:ind w:firstLine="480"/>
        <w:rPr>
          <w:rFonts w:hAnsi="宋体"/>
          <w:color w:val="auto"/>
          <w:sz w:val="24"/>
        </w:rPr>
      </w:pPr>
      <w:r>
        <w:rPr>
          <w:rFonts w:hint="eastAsia" w:hAnsi="宋体"/>
          <w:color w:val="auto"/>
          <w:sz w:val="24"/>
        </w:rPr>
        <w:t>2.5标段划分：本工程共设两个标段。一标段为德荣路新建电缆土建工程</w:t>
      </w:r>
      <w:r>
        <w:rPr>
          <w:rFonts w:hint="eastAsia" w:hAnsi="宋体"/>
          <w:color w:val="auto"/>
          <w:sz w:val="24"/>
          <w:lang w:eastAsia="zh-CN"/>
        </w:rPr>
        <w:t>、宏兴路新建电缆土建工程、莲韵路新建电缆土建工程</w:t>
      </w:r>
      <w:r>
        <w:rPr>
          <w:rFonts w:hint="eastAsia" w:hAnsi="宋体"/>
          <w:color w:val="auto"/>
          <w:sz w:val="24"/>
        </w:rPr>
        <w:t>，二标段为隆昌路新建电缆土建工程</w:t>
      </w:r>
      <w:r>
        <w:rPr>
          <w:rFonts w:hint="eastAsia" w:hAnsi="宋体"/>
          <w:color w:val="auto"/>
          <w:sz w:val="24"/>
          <w:lang w:eastAsia="zh-CN"/>
        </w:rPr>
        <w:t>、尚集街道路电缆土建工程、尚荣街新建电缆土建工程</w:t>
      </w:r>
      <w:r>
        <w:rPr>
          <w:rFonts w:hint="eastAsia" w:hAnsi="宋体"/>
          <w:color w:val="auto"/>
          <w:sz w:val="24"/>
        </w:rPr>
        <w:t>。</w:t>
      </w:r>
    </w:p>
    <w:p>
      <w:pPr>
        <w:spacing w:line="360" w:lineRule="auto"/>
        <w:ind w:firstLine="480"/>
        <w:rPr>
          <w:rFonts w:hAnsi="宋体" w:cs="Times New Roman"/>
          <w:color w:val="auto"/>
          <w:sz w:val="24"/>
        </w:rPr>
      </w:pPr>
      <w:r>
        <w:rPr>
          <w:rFonts w:hint="eastAsia" w:hAnsi="宋体"/>
          <w:color w:val="auto"/>
          <w:sz w:val="24"/>
        </w:rPr>
        <w:t>2.6招标</w:t>
      </w:r>
      <w:r>
        <w:rPr>
          <w:rFonts w:hint="eastAsia" w:hAnsi="宋体" w:cs="Times New Roman"/>
          <w:color w:val="auto"/>
          <w:sz w:val="24"/>
        </w:rPr>
        <w:t>控制价: 一标段：</w:t>
      </w:r>
      <w:r>
        <w:rPr>
          <w:rFonts w:hint="eastAsia" w:hAnsi="宋体" w:cs="Times New Roman"/>
          <w:color w:val="auto"/>
          <w:sz w:val="24"/>
          <w:lang w:val="en-US" w:eastAsia="zh-CN"/>
        </w:rPr>
        <w:t>1634119.13</w:t>
      </w:r>
      <w:r>
        <w:rPr>
          <w:rFonts w:hint="eastAsia" w:hAnsi="宋体" w:cs="Times New Roman"/>
          <w:color w:val="auto"/>
          <w:sz w:val="24"/>
        </w:rPr>
        <w:t xml:space="preserve"> 元，二标段：</w:t>
      </w:r>
      <w:r>
        <w:rPr>
          <w:rFonts w:hint="eastAsia" w:hAnsi="宋体" w:cs="Times New Roman"/>
          <w:color w:val="auto"/>
          <w:sz w:val="24"/>
          <w:lang w:val="en-US" w:eastAsia="zh-CN"/>
        </w:rPr>
        <w:t>2475681.33</w:t>
      </w:r>
      <w:r>
        <w:rPr>
          <w:rFonts w:hint="eastAsia" w:hAnsi="宋体" w:cs="Times New Roman"/>
          <w:color w:val="auto"/>
          <w:sz w:val="24"/>
        </w:rPr>
        <w:t>元。</w:t>
      </w:r>
    </w:p>
    <w:p>
      <w:pPr>
        <w:widowControl/>
        <w:spacing w:line="300" w:lineRule="auto"/>
        <w:ind w:firstLine="480"/>
        <w:rPr>
          <w:rFonts w:hAnsi="宋体"/>
          <w:color w:val="auto"/>
          <w:sz w:val="24"/>
        </w:rPr>
      </w:pPr>
      <w:r>
        <w:rPr>
          <w:rFonts w:hint="eastAsia" w:hAnsi="宋体"/>
          <w:color w:val="auto"/>
          <w:sz w:val="24"/>
        </w:rPr>
        <w:t>2.7计划工期：</w:t>
      </w:r>
      <w:r>
        <w:rPr>
          <w:rFonts w:hint="eastAsia" w:hAnsi="宋体"/>
          <w:color w:val="auto"/>
          <w:sz w:val="24"/>
          <w:lang w:val="en-US" w:eastAsia="zh-CN"/>
        </w:rPr>
        <w:t>60</w:t>
      </w:r>
      <w:r>
        <w:rPr>
          <w:rFonts w:hint="eastAsia" w:hAnsi="宋体"/>
          <w:color w:val="auto"/>
          <w:sz w:val="24"/>
        </w:rPr>
        <w:t>日历天。</w:t>
      </w:r>
    </w:p>
    <w:p>
      <w:pPr>
        <w:widowControl/>
        <w:spacing w:line="300" w:lineRule="auto"/>
        <w:rPr>
          <w:rFonts w:hAnsi="宋体"/>
          <w:sz w:val="24"/>
        </w:rPr>
      </w:pPr>
      <w:r>
        <w:rPr>
          <w:rFonts w:hint="eastAsia" w:hAnsi="宋体"/>
          <w:sz w:val="24"/>
        </w:rPr>
        <w:t xml:space="preserve">    2.8质量要求：合格</w:t>
      </w:r>
      <w:r>
        <w:rPr>
          <w:rFonts w:hint="eastAsia" w:hAnsi="宋体" w:cs="黑体"/>
          <w:sz w:val="24"/>
        </w:rPr>
        <w:t>（</w:t>
      </w:r>
      <w:r>
        <w:rPr>
          <w:rFonts w:hint="eastAsia"/>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rPr>
        <w:t>3.1</w:t>
      </w:r>
      <w:r>
        <w:rPr>
          <w:rFonts w:hint="eastAsia" w:cs="Times New Roman"/>
          <w:szCs w:val="24"/>
          <w:lang w:val="en-US" w:eastAsia="zh-CN"/>
        </w:rPr>
        <w:t>投标人须具备独立法人资格，并具备市政公用工程施工总承包三级及以上资质或电力工程施工总承包三级及以上资质，具有有效的安全生产许可证，拟派项目负责人具有市政公用工程专业贰级及以上注册建造师证（不含临时）或机电工程专业贰级及以上注册建造师证（不含临时）和有效的安全生产考核合格证，且未担任其它在施建设工程的项目负责人。</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rPr>
        <w:t>3.3本次招标不接受联合体投标。</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12"/>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2"/>
        <w:wordWrap w:val="0"/>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pStyle w:val="12"/>
        <w:wordWrap w:val="0"/>
        <w:spacing w:beforeAutospacing="0" w:afterAutospacing="0" w:line="440" w:lineRule="exact"/>
        <w:ind w:firstLine="480" w:firstLineChars="200"/>
        <w:rPr>
          <w:bCs/>
        </w:rPr>
      </w:pPr>
      <w:r>
        <w:rPr>
          <w:rFonts w:hint="eastAsia"/>
          <w:bCs/>
        </w:rPr>
        <w:t xml:space="preserve"> 5.3招标文件每套售价</w:t>
      </w:r>
      <w:r>
        <w:rPr>
          <w:rFonts w:hint="eastAsia"/>
          <w:bCs/>
          <w:u w:val="single"/>
        </w:rPr>
        <w:t xml:space="preserve"> 300</w:t>
      </w:r>
      <w:r>
        <w:rPr>
          <w:rFonts w:hint="eastAsia"/>
          <w:bCs/>
        </w:rPr>
        <w:t>元/标段，</w:t>
      </w:r>
      <w:r>
        <w:rPr>
          <w:rFonts w:hint="eastAsia" w:cs="Times New Roman"/>
          <w:szCs w:val="24"/>
        </w:rPr>
        <w:t>投标人于开标结束后转账至支付宝账户：</w:t>
      </w:r>
      <w:r>
        <w:rPr>
          <w:rFonts w:hint="eastAsia" w:cs="Times New Roman"/>
          <w:szCs w:val="24"/>
          <w:lang w:val="en-US" w:eastAsia="zh-CN"/>
        </w:rPr>
        <w:t>17637961058</w:t>
      </w:r>
      <w:r>
        <w:rPr>
          <w:rFonts w:hint="eastAsia" w:cs="Times New Roman"/>
          <w:szCs w:val="24"/>
        </w:rPr>
        <w:t>（转账时请备注项目编号、所属标段及公司名称）。</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sz w:val="24"/>
        </w:rPr>
      </w:pPr>
      <w:r>
        <w:rPr>
          <w:rFonts w:hint="eastAsia" w:hAnsi="宋体"/>
          <w:bCs/>
          <w:sz w:val="24"/>
        </w:rPr>
        <w:t>6.2 投标截止时间及开标时间：2020年</w:t>
      </w:r>
      <w:r>
        <w:rPr>
          <w:rFonts w:hint="eastAsia" w:hAnsi="宋体"/>
          <w:bCs/>
          <w:sz w:val="24"/>
          <w:lang w:val="en-US" w:eastAsia="zh-CN"/>
        </w:rPr>
        <w:t>5</w:t>
      </w:r>
      <w:r>
        <w:rPr>
          <w:rFonts w:hint="eastAsia" w:hAnsi="宋体"/>
          <w:bCs/>
          <w:sz w:val="24"/>
        </w:rPr>
        <w:t>月</w:t>
      </w:r>
      <w:r>
        <w:rPr>
          <w:rFonts w:hint="eastAsia" w:hAnsi="宋体"/>
          <w:bCs/>
          <w:sz w:val="24"/>
          <w:lang w:val="en-US" w:eastAsia="zh-CN"/>
        </w:rPr>
        <w:t>13</w:t>
      </w:r>
      <w:r>
        <w:rPr>
          <w:rFonts w:hint="eastAsia" w:hAnsi="宋体"/>
          <w:bCs/>
          <w:sz w:val="24"/>
        </w:rPr>
        <w:t>日8时30分。</w:t>
      </w:r>
    </w:p>
    <w:p>
      <w:pPr>
        <w:widowControl/>
        <w:spacing w:line="360" w:lineRule="auto"/>
        <w:ind w:firstLine="480" w:firstLineChars="200"/>
        <w:rPr>
          <w:rFonts w:hAnsi="宋体"/>
          <w:bCs/>
          <w:sz w:val="24"/>
        </w:rPr>
      </w:pPr>
      <w:r>
        <w:rPr>
          <w:rFonts w:hint="eastAsia" w:hAnsi="宋体"/>
          <w:bCs/>
          <w:sz w:val="24"/>
        </w:rPr>
        <w:t>6.3招标人（代理机构）线上开标地点：许昌市公共资源交易中心（龙兴路与竹林路交汇处创业服务中心C 座）三楼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30" w:lineRule="exact"/>
        <w:ind w:firstLine="240" w:firstLineChars="100"/>
        <w:rPr>
          <w:rFonts w:hint="eastAsia" w:hAnsi="宋体" w:cs="宋体"/>
          <w:sz w:val="24"/>
          <w:szCs w:val="22"/>
        </w:rPr>
      </w:pPr>
      <w:r>
        <w:rPr>
          <w:rFonts w:hint="eastAsia" w:hAnsi="宋体" w:cs="宋体"/>
          <w:sz w:val="24"/>
          <w:szCs w:val="22"/>
        </w:rPr>
        <w:t xml:space="preserve">招 标 人：许昌瑞新建设有限责任公司             </w:t>
      </w:r>
    </w:p>
    <w:p>
      <w:pPr>
        <w:spacing w:line="530" w:lineRule="exact"/>
        <w:ind w:firstLine="240" w:firstLineChars="100"/>
        <w:rPr>
          <w:rFonts w:hint="eastAsia" w:hAnsi="宋体" w:cs="宋体"/>
          <w:sz w:val="24"/>
          <w:szCs w:val="22"/>
        </w:rPr>
      </w:pPr>
      <w:r>
        <w:rPr>
          <w:rFonts w:hint="eastAsia" w:hAnsi="宋体" w:cs="宋体"/>
          <w:sz w:val="24"/>
          <w:szCs w:val="22"/>
        </w:rPr>
        <w:t>地    址：</w:t>
      </w:r>
      <w:bookmarkStart w:id="0" w:name="OLE_LINK1"/>
      <w:r>
        <w:rPr>
          <w:rFonts w:hint="eastAsia" w:hAnsi="宋体" w:cs="宋体"/>
          <w:sz w:val="24"/>
          <w:szCs w:val="22"/>
        </w:rPr>
        <w:t>许昌市魏武大道</w:t>
      </w:r>
      <w:bookmarkEnd w:id="0"/>
    </w:p>
    <w:p>
      <w:pPr>
        <w:spacing w:line="530" w:lineRule="exact"/>
        <w:ind w:firstLine="240" w:firstLineChars="100"/>
        <w:rPr>
          <w:rFonts w:hint="eastAsia" w:hAnsi="宋体" w:cs="宋体"/>
          <w:sz w:val="24"/>
          <w:szCs w:val="22"/>
        </w:rPr>
      </w:pPr>
      <w:r>
        <w:rPr>
          <w:rFonts w:hint="eastAsia" w:hAnsi="宋体" w:cs="宋体"/>
          <w:sz w:val="24"/>
          <w:szCs w:val="22"/>
        </w:rPr>
        <w:t>联 系 人：陆先生</w:t>
      </w:r>
    </w:p>
    <w:p>
      <w:pPr>
        <w:spacing w:line="530" w:lineRule="exact"/>
        <w:ind w:firstLine="240" w:firstLineChars="100"/>
        <w:rPr>
          <w:rFonts w:hint="eastAsia" w:hAnsi="宋体"/>
          <w:sz w:val="24"/>
        </w:rPr>
      </w:pPr>
      <w:r>
        <w:rPr>
          <w:rFonts w:hint="eastAsia" w:hAnsi="宋体"/>
          <w:sz w:val="24"/>
        </w:rPr>
        <w:t>联系方式：15993609550</w:t>
      </w:r>
    </w:p>
    <w:p>
      <w:pPr>
        <w:spacing w:line="530" w:lineRule="exact"/>
        <w:ind w:firstLine="240" w:firstLineChars="100"/>
        <w:rPr>
          <w:rFonts w:hAnsi="宋体"/>
          <w:sz w:val="24"/>
        </w:rPr>
      </w:pPr>
      <w:r>
        <w:rPr>
          <w:rFonts w:hint="eastAsia" w:hAnsi="宋体"/>
          <w:sz w:val="24"/>
        </w:rPr>
        <w:t>代理机构：河南建标工程管理有限公司</w:t>
      </w:r>
    </w:p>
    <w:p>
      <w:pPr>
        <w:spacing w:line="530" w:lineRule="exact"/>
        <w:ind w:firstLine="240" w:firstLineChars="100"/>
        <w:rPr>
          <w:rFonts w:hAnsi="宋体"/>
          <w:sz w:val="24"/>
        </w:rPr>
      </w:pPr>
      <w:r>
        <w:rPr>
          <w:rFonts w:hint="eastAsia" w:hAnsi="宋体"/>
          <w:sz w:val="24"/>
        </w:rPr>
        <w:t>地</w:t>
      </w:r>
      <w:r>
        <w:rPr>
          <w:rFonts w:hAnsi="宋体"/>
          <w:sz w:val="24"/>
        </w:rPr>
        <w:t>  </w:t>
      </w:r>
      <w:r>
        <w:rPr>
          <w:rFonts w:hint="eastAsia" w:hAnsi="宋体"/>
          <w:sz w:val="24"/>
        </w:rPr>
        <w:t>址：许昌市劳动路</w:t>
      </w:r>
      <w:r>
        <w:rPr>
          <w:rFonts w:hAnsi="宋体"/>
          <w:sz w:val="24"/>
        </w:rPr>
        <w:t>1567</w:t>
      </w:r>
      <w:r>
        <w:rPr>
          <w:rFonts w:hint="eastAsia" w:hAnsi="宋体"/>
          <w:sz w:val="24"/>
        </w:rPr>
        <w:t>号</w:t>
      </w:r>
    </w:p>
    <w:p>
      <w:pPr>
        <w:spacing w:line="530" w:lineRule="exact"/>
        <w:ind w:firstLine="240" w:firstLineChars="100"/>
        <w:rPr>
          <w:rFonts w:hAnsi="宋体"/>
          <w:sz w:val="24"/>
        </w:rPr>
      </w:pPr>
      <w:r>
        <w:rPr>
          <w:rFonts w:hint="eastAsia" w:hAnsi="宋体"/>
          <w:sz w:val="24"/>
        </w:rPr>
        <w:t>联</w:t>
      </w:r>
      <w:r>
        <w:rPr>
          <w:rFonts w:hAnsi="宋体"/>
          <w:sz w:val="24"/>
        </w:rPr>
        <w:t xml:space="preserve"> </w:t>
      </w:r>
      <w:r>
        <w:rPr>
          <w:rFonts w:hint="eastAsia" w:hAnsi="宋体"/>
          <w:sz w:val="24"/>
        </w:rPr>
        <w:t>系</w:t>
      </w:r>
      <w:r>
        <w:rPr>
          <w:rFonts w:hAnsi="宋体"/>
          <w:sz w:val="24"/>
        </w:rPr>
        <w:t xml:space="preserve"> </w:t>
      </w:r>
      <w:r>
        <w:rPr>
          <w:rFonts w:hint="eastAsia" w:hAnsi="宋体"/>
          <w:sz w:val="24"/>
        </w:rPr>
        <w:t>人：万女士</w:t>
      </w:r>
    </w:p>
    <w:p>
      <w:pPr>
        <w:spacing w:line="530" w:lineRule="exact"/>
        <w:ind w:firstLine="240" w:firstLineChars="100"/>
        <w:rPr>
          <w:rFonts w:hAnsi="宋体"/>
          <w:sz w:val="24"/>
        </w:rPr>
      </w:pPr>
      <w:r>
        <w:rPr>
          <w:rFonts w:hint="eastAsia" w:hAnsi="宋体"/>
          <w:sz w:val="24"/>
        </w:rPr>
        <w:t>联系电话：</w:t>
      </w:r>
      <w:r>
        <w:rPr>
          <w:rFonts w:hAnsi="宋体"/>
          <w:sz w:val="24"/>
        </w:rPr>
        <w:t>0374-2771160  13782222730</w:t>
      </w:r>
    </w:p>
    <w:p>
      <w:pPr>
        <w:widowControl/>
        <w:spacing w:line="360" w:lineRule="auto"/>
        <w:rPr>
          <w:rFonts w:hint="eastAsia" w:hAnsi="宋体" w:cs="宋体"/>
          <w:sz w:val="24"/>
          <w:szCs w:val="22"/>
        </w:rPr>
      </w:pPr>
    </w:p>
    <w:p>
      <w:pPr>
        <w:widowControl/>
        <w:spacing w:line="360" w:lineRule="auto"/>
        <w:jc w:val="right"/>
        <w:rPr>
          <w:rFonts w:hint="eastAsia" w:hAnsi="宋体" w:cs="宋体"/>
          <w:sz w:val="24"/>
          <w:szCs w:val="22"/>
        </w:rPr>
      </w:pPr>
    </w:p>
    <w:p>
      <w:pPr>
        <w:widowControl/>
        <w:spacing w:line="360" w:lineRule="auto"/>
        <w:jc w:val="right"/>
        <w:rPr>
          <w:rFonts w:hint="eastAsia" w:hAnsi="宋体" w:cs="宋体"/>
          <w:sz w:val="24"/>
          <w:szCs w:val="22"/>
        </w:rPr>
      </w:pPr>
      <w:r>
        <w:rPr>
          <w:rFonts w:hint="eastAsia" w:hAnsi="宋体" w:cs="宋体"/>
          <w:sz w:val="24"/>
          <w:szCs w:val="22"/>
        </w:rPr>
        <w:t>许昌瑞新建设有限责任公司</w:t>
      </w:r>
    </w:p>
    <w:p>
      <w:pPr>
        <w:widowControl/>
        <w:spacing w:line="360" w:lineRule="auto"/>
        <w:jc w:val="right"/>
        <w:rPr>
          <w:rFonts w:hAnsi="宋体" w:cs="宋体"/>
          <w:sz w:val="24"/>
          <w:szCs w:val="22"/>
        </w:rPr>
      </w:pPr>
      <w:r>
        <w:rPr>
          <w:rFonts w:hint="eastAsia" w:hAnsi="宋体" w:cs="宋体"/>
          <w:sz w:val="24"/>
          <w:szCs w:val="22"/>
        </w:rPr>
        <w:t>20</w:t>
      </w:r>
      <w:r>
        <w:rPr>
          <w:rFonts w:hint="eastAsia" w:hAnsi="宋体" w:cs="宋体"/>
          <w:sz w:val="24"/>
          <w:szCs w:val="22"/>
          <w:lang w:val="en-US" w:eastAsia="zh-CN"/>
        </w:rPr>
        <w:t>20</w:t>
      </w:r>
      <w:r>
        <w:rPr>
          <w:rFonts w:hint="eastAsia" w:hAnsi="宋体" w:cs="宋体"/>
          <w:sz w:val="24"/>
          <w:szCs w:val="22"/>
        </w:rPr>
        <w:t>年</w:t>
      </w:r>
      <w:r>
        <w:rPr>
          <w:rFonts w:hint="eastAsia" w:hAnsi="宋体" w:cs="宋体"/>
          <w:sz w:val="24"/>
          <w:szCs w:val="22"/>
          <w:lang w:val="en-US" w:eastAsia="zh-CN"/>
        </w:rPr>
        <w:t>4</w:t>
      </w:r>
      <w:r>
        <w:rPr>
          <w:rFonts w:hint="eastAsia" w:hAnsi="宋体" w:cs="宋体"/>
          <w:sz w:val="24"/>
          <w:szCs w:val="22"/>
        </w:rPr>
        <w:t>月</w:t>
      </w:r>
      <w:r>
        <w:rPr>
          <w:rFonts w:hint="eastAsia" w:hAnsi="宋体" w:cs="宋体"/>
          <w:sz w:val="24"/>
          <w:szCs w:val="22"/>
          <w:lang w:val="en-US" w:eastAsia="zh-CN"/>
        </w:rPr>
        <w:t>20</w:t>
      </w:r>
      <w:r>
        <w:rPr>
          <w:rFonts w:hint="eastAsia" w:hAnsi="宋体" w:cs="宋体"/>
          <w:sz w:val="24"/>
          <w:szCs w:val="22"/>
        </w:rPr>
        <w:t>日</w:t>
      </w: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sz w:val="24"/>
        </w:rPr>
      </w:pPr>
      <w:r>
        <w:rPr>
          <w:rFonts w:hint="eastAsia" w:hAnsi="宋体"/>
          <w:b/>
          <w:bCs/>
          <w:sz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w:t>
      </w:r>
      <w:r>
        <w:rPr>
          <w:rFonts w:hint="eastAsia" w:hAnsi="宋体" w:cs="宋体"/>
          <w:sz w:val="24"/>
          <w:lang w:val="zh-CN"/>
        </w:rPr>
        <w:t>使用银行转帐方式</w:t>
      </w:r>
      <w:r>
        <w:rPr>
          <w:rFonts w:hint="eastAsia" w:hAnsi="宋体" w:cs="宋体"/>
          <w:sz w:val="24"/>
        </w:rPr>
        <w:t>提交</w:t>
      </w:r>
      <w:r>
        <w:rPr>
          <w:rFonts w:hint="eastAsia" w:hAnsi="宋体" w:cs="宋体"/>
          <w:sz w:val="24"/>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sz w:val="24"/>
        </w:rPr>
      </w:pPr>
      <w:r>
        <w:rPr>
          <w:rFonts w:hint="eastAsia" w:hAnsi="宋体" w:cs="宋体"/>
          <w:sz w:val="24"/>
        </w:rPr>
        <w:t>4.1.1</w:t>
      </w:r>
      <w:r>
        <w:rPr>
          <w:rFonts w:hint="eastAsia" w:hAnsi="宋体" w:cs="宋体"/>
          <w:sz w:val="24"/>
          <w:lang w:val="zh-CN"/>
        </w:rPr>
        <w:t>投标人网上</w:t>
      </w:r>
      <w:r>
        <w:rPr>
          <w:rFonts w:hint="eastAsia" w:hAnsi="宋体" w:cs="宋体"/>
          <w:sz w:val="24"/>
        </w:rPr>
        <w:t>下载招标文件并</w:t>
      </w:r>
      <w:r>
        <w:rPr>
          <w:rFonts w:hint="eastAsia" w:hAnsi="宋体" w:cs="宋体"/>
          <w:sz w:val="24"/>
          <w:lang w:val="zh-CN"/>
        </w:rPr>
        <w:t>根据每个标段的缴纳说明单在</w:t>
      </w:r>
      <w:r>
        <w:rPr>
          <w:rFonts w:hint="eastAsia" w:hAnsi="宋体" w:cs="宋体"/>
          <w:sz w:val="24"/>
        </w:rPr>
        <w:t>开标</w:t>
      </w:r>
      <w:r>
        <w:rPr>
          <w:rFonts w:hint="eastAsia" w:hAnsi="宋体" w:cs="宋体"/>
          <w:sz w:val="24"/>
          <w:lang w:val="zh-CN"/>
        </w:rPr>
        <w:t>截止时间前</w:t>
      </w:r>
      <w:r>
        <w:rPr>
          <w:rFonts w:hint="eastAsia" w:hAnsi="宋体" w:cs="宋体"/>
          <w:sz w:val="24"/>
        </w:rPr>
        <w:t>提交。</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ind w:firstLine="480" w:firstLineChars="200"/>
        <w:rPr>
          <w:rFonts w:hAnsi="宋体" w:cs="宋体"/>
          <w:sz w:val="24"/>
        </w:rPr>
      </w:pPr>
      <w:r>
        <w:rPr>
          <w:rFonts w:hint="eastAsia" w:hAnsi="宋体" w:cs="宋体"/>
          <w:sz w:val="24"/>
        </w:rPr>
        <w:t>4.1.2提交</w:t>
      </w:r>
      <w:r>
        <w:rPr>
          <w:rFonts w:hint="eastAsia" w:hAnsi="宋体" w:cs="宋体"/>
          <w:sz w:val="24"/>
          <w:lang w:val="zh-CN"/>
        </w:rPr>
        <w:t>后</w:t>
      </w:r>
      <w:r>
        <w:rPr>
          <w:rFonts w:hint="eastAsia" w:hAnsi="宋体" w:cs="宋体"/>
          <w:sz w:val="24"/>
        </w:rPr>
        <w:t>再次</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r>
        <w:rPr>
          <w:rFonts w:hint="eastAsia" w:hAnsi="宋体" w:cs="宋体"/>
          <w:sz w:val="24"/>
        </w:rPr>
        <w:t>，前述系统显示“</w:t>
      </w:r>
      <w:r>
        <w:rPr>
          <w:rFonts w:hint="eastAsia" w:hAnsi="宋体" w:cs="宋体"/>
          <w:sz w:val="24"/>
          <w:lang w:val="zh-CN"/>
        </w:rPr>
        <w:t>许昌公共资源交易中心保证金缴纳回执</w:t>
      </w:r>
      <w:r>
        <w:rPr>
          <w:rFonts w:hint="eastAsia" w:hAnsi="宋体" w:cs="宋体"/>
          <w:sz w:val="24"/>
        </w:rPr>
        <w:t>”表示投标保证金提交完成。</w:t>
      </w:r>
      <w:r>
        <w:rPr>
          <w:rFonts w:hint="eastAsia" w:hAnsi="宋体" w:cs="宋体"/>
          <w:sz w:val="24"/>
          <w:lang w:val="zh-CN"/>
        </w:rPr>
        <w:t>未绑定标段的投标保证金，视为未按</w:t>
      </w:r>
      <w:r>
        <w:rPr>
          <w:rFonts w:hint="eastAsia" w:hAnsi="宋体" w:cs="宋体"/>
          <w:sz w:val="24"/>
        </w:rPr>
        <w:t>规定提交。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4.1.3投标人按照所投项目及标段</w:t>
      </w:r>
      <w:r>
        <w:rPr>
          <w:rFonts w:hint="eastAsia" w:hAnsi="宋体" w:cs="宋体"/>
          <w:sz w:val="24"/>
          <w:lang w:val="zh-CN"/>
        </w:rPr>
        <w:t>将缴纳凭证“许昌公共资源交易中心保证金缴纳回执”附于投标文件中。</w:t>
      </w:r>
    </w:p>
    <w:p>
      <w:pPr>
        <w:autoSpaceDE w:val="0"/>
        <w:autoSpaceDN w:val="0"/>
        <w:adjustRightInd w:val="0"/>
        <w:spacing w:line="340" w:lineRule="exact"/>
        <w:ind w:firstLine="480" w:firstLineChars="200"/>
        <w:rPr>
          <w:rFonts w:hAnsi="宋体"/>
          <w:sz w:val="24"/>
        </w:rPr>
      </w:pPr>
      <w:r>
        <w:rPr>
          <w:rFonts w:hint="eastAsia" w:hAnsi="宋体" w:cs="宋体"/>
          <w:sz w:val="24"/>
        </w:rPr>
        <w:t>4.2</w:t>
      </w:r>
      <w:r>
        <w:rPr>
          <w:rFonts w:hint="eastAsia" w:hAnsi="宋体" w:cs="宋体"/>
          <w:sz w:val="24"/>
          <w:lang w:val="zh-CN"/>
        </w:rPr>
        <w:t>使用银行</w:t>
      </w:r>
      <w:r>
        <w:rPr>
          <w:rFonts w:hint="eastAsia" w:hAnsi="宋体" w:cs="宋体"/>
          <w:sz w:val="24"/>
        </w:rPr>
        <w:t>保函</w:t>
      </w:r>
      <w:r>
        <w:rPr>
          <w:rFonts w:hint="eastAsia" w:hAnsi="宋体" w:cs="宋体"/>
          <w:sz w:val="24"/>
          <w:lang w:val="zh-CN"/>
        </w:rPr>
        <w:t>方式</w:t>
      </w:r>
      <w:r>
        <w:rPr>
          <w:rFonts w:hint="eastAsia" w:hAnsi="宋体" w:cs="宋体"/>
          <w:sz w:val="24"/>
        </w:rPr>
        <w:t>提交</w:t>
      </w:r>
      <w:r>
        <w:rPr>
          <w:rFonts w:hint="eastAsia" w:hAnsi="宋体" w:cs="宋体"/>
          <w:sz w:val="24"/>
          <w:lang w:val="zh-CN"/>
        </w:rPr>
        <w:t>的，投标人</w:t>
      </w:r>
      <w:r>
        <w:rPr>
          <w:rFonts w:hint="eastAsia" w:hAnsi="宋体" w:cs="宋体"/>
          <w:sz w:val="24"/>
        </w:rPr>
        <w:t>办理投标</w:t>
      </w:r>
      <w:r>
        <w:rPr>
          <w:rFonts w:hint="eastAsia" w:hAnsi="宋体" w:cs="宋体"/>
          <w:sz w:val="24"/>
          <w:lang w:val="zh-CN"/>
        </w:rPr>
        <w:t>银行保函，银行保函</w:t>
      </w:r>
      <w:r>
        <w:rPr>
          <w:rFonts w:hint="eastAsia" w:hAnsi="宋体" w:cs="宋体"/>
          <w:sz w:val="24"/>
        </w:rPr>
        <w:t>应</w:t>
      </w:r>
      <w:r>
        <w:rPr>
          <w:rFonts w:hint="eastAsia" w:hAnsi="宋体" w:cs="宋体"/>
          <w:sz w:val="24"/>
          <w:lang w:val="zh-CN"/>
        </w:rPr>
        <w:t>明确</w:t>
      </w:r>
      <w:r>
        <w:rPr>
          <w:rFonts w:hint="eastAsia" w:hAnsi="宋体" w:cs="宋体"/>
          <w:sz w:val="24"/>
        </w:rPr>
        <w:t>所投</w:t>
      </w:r>
      <w:r>
        <w:rPr>
          <w:rFonts w:hint="eastAsia" w:hAnsi="宋体" w:cs="宋体"/>
          <w:sz w:val="24"/>
          <w:lang w:val="zh-CN"/>
        </w:rPr>
        <w:t>项目名称、项目编号及标段、受益人（招标人）、有效期（不低于本项目投标有效期）、担保金额（不低于本项目本标段投标保证金数额）。投标人应将</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规定提交投标保证金</w:t>
      </w:r>
      <w:r>
        <w:rPr>
          <w:rFonts w:hint="eastAsia" w:hAnsi="宋体" w:cs="宋体"/>
          <w:sz w:val="24"/>
          <w:lang w:val="zh-CN"/>
        </w:rPr>
        <w:t>。</w:t>
      </w:r>
    </w:p>
    <w:p>
      <w:pPr>
        <w:spacing w:line="360" w:lineRule="auto"/>
        <w:ind w:firstLine="480" w:firstLineChars="200"/>
        <w:rPr>
          <w:rFonts w:hAnsi="宋体"/>
          <w:b/>
          <w:bCs/>
          <w:sz w:val="24"/>
        </w:rPr>
      </w:pPr>
      <w:r>
        <w:rPr>
          <w:rFonts w:hint="eastAsia" w:hAnsi="宋体"/>
          <w:b/>
          <w:bCs/>
          <w:sz w:val="24"/>
        </w:rPr>
        <w:t>5.加密电子投标文件的提交</w:t>
      </w:r>
    </w:p>
    <w:p>
      <w:pPr>
        <w:spacing w:line="360" w:lineRule="auto"/>
        <w:ind w:firstLine="480" w:firstLineChars="200"/>
        <w:rPr>
          <w:rFonts w:hAnsi="宋体"/>
          <w:sz w:val="24"/>
        </w:rPr>
      </w:pPr>
      <w:r>
        <w:rPr>
          <w:rFonts w:hint="eastAsia" w:hAnsi="宋体"/>
          <w:sz w:val="24"/>
        </w:rPr>
        <w:t>5.1加密电子投标文件应按规定在投标截止时间（开标时间）之前成功提交至《全国公共资源交易平台(河南省▪许昌市)》公共资源交易系统（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w:t>
      </w:r>
    </w:p>
    <w:p>
      <w:pPr>
        <w:spacing w:line="360" w:lineRule="auto"/>
        <w:ind w:firstLine="480" w:firstLineChars="200"/>
        <w:rPr>
          <w:rFonts w:hAnsi="宋体"/>
          <w:sz w:val="24"/>
        </w:rPr>
      </w:pPr>
      <w:r>
        <w:rPr>
          <w:rFonts w:hint="eastAsia" w:hAnsi="宋体"/>
          <w:sz w:val="24"/>
        </w:rPr>
        <w:t>投标人应充分考虑并预留技术处理和上传数据所需时间。</w:t>
      </w:r>
    </w:p>
    <w:p>
      <w:pPr>
        <w:spacing w:line="360" w:lineRule="auto"/>
        <w:ind w:firstLine="480" w:firstLineChars="200"/>
        <w:rPr>
          <w:rFonts w:hAnsi="宋体"/>
          <w:sz w:val="24"/>
        </w:rPr>
      </w:pPr>
      <w:r>
        <w:rPr>
          <w:rFonts w:hint="eastAsia" w:hAnsi="宋体"/>
          <w:sz w:val="24"/>
        </w:rPr>
        <w:t>5.2 投标人对同一项目多个标段进行投标的，加密电子投标文件应按标段分别提交。</w:t>
      </w:r>
    </w:p>
    <w:p>
      <w:pPr>
        <w:spacing w:line="360" w:lineRule="auto"/>
        <w:ind w:firstLine="480" w:firstLineChars="200"/>
        <w:rPr>
          <w:rFonts w:hAnsi="宋体"/>
          <w:sz w:val="24"/>
        </w:rPr>
      </w:pPr>
      <w:r>
        <w:rPr>
          <w:rFonts w:hint="eastAsia" w:hAnsi="宋体"/>
          <w:sz w:val="24"/>
        </w:rPr>
        <w:t>5.3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）生成“投标文件提交回执单”。</w:t>
      </w:r>
    </w:p>
    <w:p>
      <w:pPr>
        <w:spacing w:line="360" w:lineRule="auto"/>
        <w:ind w:firstLine="480" w:firstLineChars="200"/>
        <w:rPr>
          <w:rFonts w:hAnsi="宋体"/>
          <w:b/>
          <w:bCs/>
          <w:sz w:val="24"/>
        </w:rPr>
      </w:pPr>
      <w:r>
        <w:rPr>
          <w:rFonts w:hint="eastAsia" w:hAnsi="宋体"/>
          <w:b/>
          <w:bCs/>
          <w:sz w:val="24"/>
        </w:rPr>
        <w:t>6.远程不见面开标（电子投标文件的解密）</w:t>
      </w:r>
    </w:p>
    <w:p>
      <w:pPr>
        <w:spacing w:line="360" w:lineRule="auto"/>
        <w:ind w:firstLine="480" w:firstLineChars="200"/>
        <w:rPr>
          <w:rFonts w:hAnsi="宋体"/>
          <w:sz w:val="24"/>
        </w:rPr>
      </w:pPr>
      <w:r>
        <w:rPr>
          <w:rFonts w:hint="eastAsia" w:hAnsi="宋体"/>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sz w:val="24"/>
        </w:rPr>
        <w:t>6.2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sz w:val="24"/>
        </w:rPr>
        <w:t>6.3开标时间前投标人应登录本项目不见面开标大厅，按照招标文件确定的开标时间准时参加网上开标。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sz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sz w:val="24"/>
        </w:rPr>
      </w:pPr>
      <w:r>
        <w:rPr>
          <w:rFonts w:hint="eastAsia" w:hAnsi="宋体"/>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spacing w:line="360" w:lineRule="auto"/>
        <w:ind w:firstLine="480" w:firstLineChars="200"/>
        <w:rPr>
          <w:rFonts w:hint="eastAsia" w:hAnsi="宋体"/>
          <w:sz w:val="24"/>
        </w:rPr>
      </w:pPr>
      <w:r>
        <w:rPr>
          <w:rFonts w:hint="eastAsia" w:hAnsi="宋体"/>
          <w:sz w:val="24"/>
        </w:rPr>
        <w:t>7.1全流程电子化交易（远程不见面开标）项目，评标委员会以成功上传、解密的电子投标文件为评标依据。</w:t>
      </w:r>
      <w:bookmarkStart w:id="1" w:name="_Toc215282124"/>
    </w:p>
    <w:p>
      <w:pPr>
        <w:spacing w:line="360" w:lineRule="auto"/>
        <w:ind w:firstLine="480" w:firstLineChars="200"/>
        <w:rPr>
          <w:rFonts w:hint="eastAsia" w:hAnsi="宋体"/>
          <w:sz w:val="24"/>
        </w:rPr>
      </w:pPr>
      <w:r>
        <w:rPr>
          <w:rFonts w:hint="eastAsia" w:hAnsi="宋体"/>
          <w:sz w:val="24"/>
        </w:rPr>
        <w:t>7.2 评审期间，保持投标文件提供的联系方式畅通，评标委员会随时可能对投标文件内容质询，投标人应及时进行答复（包括但不限于电子文档、电子邮件等）。</w:t>
      </w:r>
    </w:p>
    <w:p>
      <w:pPr>
        <w:spacing w:line="360" w:lineRule="auto"/>
        <w:ind w:firstLine="480" w:firstLineChars="200"/>
        <w:rPr>
          <w:rFonts w:hint="eastAsia" w:hAnsi="宋体"/>
          <w:sz w:val="24"/>
        </w:rPr>
      </w:pPr>
      <w:r>
        <w:rPr>
          <w:rFonts w:hint="eastAsia" w:hAnsi="宋体"/>
          <w:sz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rPr>
          <w:rFonts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1"/>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2" w:name="_Toc283559940"/>
      <w:r>
        <w:rPr>
          <w:rFonts w:hint="eastAsia" w:hAnsi="宋体" w:cs="宋体"/>
          <w:b/>
          <w:sz w:val="28"/>
          <w:szCs w:val="28"/>
        </w:rPr>
        <w:t>投标人须知前附表</w:t>
      </w:r>
      <w:bookmarkEnd w:id="2"/>
    </w:p>
    <w:tbl>
      <w:tblPr>
        <w:tblStyle w:val="1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320" w:lineRule="exact"/>
              <w:jc w:val="left"/>
              <w:rPr>
                <w:rFonts w:hint="eastAsia" w:hAnsi="宋体"/>
                <w:sz w:val="24"/>
              </w:rPr>
            </w:pPr>
            <w:r>
              <w:rPr>
                <w:rFonts w:hint="eastAsia" w:hAnsi="宋体"/>
                <w:sz w:val="24"/>
              </w:rPr>
              <w:t xml:space="preserve">招 标 人：许昌瑞新建设有限责任公司             </w:t>
            </w:r>
          </w:p>
          <w:p>
            <w:pPr>
              <w:autoSpaceDE w:val="0"/>
              <w:autoSpaceDN w:val="0"/>
              <w:adjustRightInd w:val="0"/>
              <w:spacing w:line="320" w:lineRule="exact"/>
              <w:jc w:val="left"/>
              <w:rPr>
                <w:rFonts w:hint="eastAsia" w:hAnsi="宋体"/>
                <w:sz w:val="24"/>
              </w:rPr>
            </w:pPr>
            <w:r>
              <w:rPr>
                <w:rFonts w:hint="eastAsia" w:hAnsi="宋体"/>
                <w:sz w:val="24"/>
              </w:rPr>
              <w:t>地    址：许昌市魏武大道</w:t>
            </w:r>
          </w:p>
          <w:p>
            <w:pPr>
              <w:autoSpaceDE w:val="0"/>
              <w:autoSpaceDN w:val="0"/>
              <w:adjustRightInd w:val="0"/>
              <w:spacing w:line="320" w:lineRule="exact"/>
              <w:jc w:val="left"/>
              <w:rPr>
                <w:rFonts w:hint="eastAsia" w:hAnsi="宋体"/>
                <w:sz w:val="24"/>
              </w:rPr>
            </w:pPr>
            <w:r>
              <w:rPr>
                <w:rFonts w:hint="eastAsia" w:hAnsi="宋体"/>
                <w:sz w:val="24"/>
              </w:rPr>
              <w:t>联 系 人：陆先生</w:t>
            </w:r>
          </w:p>
          <w:p>
            <w:pPr>
              <w:autoSpaceDE w:val="0"/>
              <w:autoSpaceDN w:val="0"/>
              <w:adjustRightInd w:val="0"/>
              <w:spacing w:line="420" w:lineRule="exact"/>
              <w:jc w:val="left"/>
              <w:rPr>
                <w:rFonts w:hAnsi="宋体" w:cs="宋体"/>
                <w:sz w:val="24"/>
                <w:szCs w:val="24"/>
              </w:rPr>
            </w:pPr>
            <w:r>
              <w:rPr>
                <w:rFonts w:hint="eastAsia" w:hAnsi="宋体"/>
                <w:sz w:val="24"/>
              </w:rPr>
              <w:t>联系方式：15993609550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320" w:lineRule="exact"/>
              <w:jc w:val="left"/>
              <w:rPr>
                <w:rFonts w:hAnsi="宋体"/>
                <w:sz w:val="24"/>
              </w:rPr>
            </w:pPr>
            <w:r>
              <w:rPr>
                <w:rFonts w:hint="eastAsia" w:hAnsi="宋体"/>
                <w:sz w:val="24"/>
              </w:rPr>
              <w:t>代理机构：河南建标工程管理有限公司</w:t>
            </w:r>
          </w:p>
          <w:p>
            <w:pPr>
              <w:autoSpaceDE w:val="0"/>
              <w:autoSpaceDN w:val="0"/>
              <w:adjustRightInd w:val="0"/>
              <w:spacing w:line="320" w:lineRule="exact"/>
              <w:jc w:val="left"/>
              <w:rPr>
                <w:rFonts w:hAnsi="宋体"/>
                <w:sz w:val="24"/>
              </w:rPr>
            </w:pPr>
            <w:r>
              <w:rPr>
                <w:rFonts w:hint="eastAsia" w:hAnsi="宋体"/>
                <w:sz w:val="24"/>
              </w:rPr>
              <w:t>地</w:t>
            </w:r>
            <w:r>
              <w:rPr>
                <w:rFonts w:hAnsi="宋体"/>
                <w:sz w:val="24"/>
              </w:rPr>
              <w:t>  </w:t>
            </w:r>
            <w:r>
              <w:rPr>
                <w:rFonts w:hint="eastAsia" w:hAnsi="宋体"/>
                <w:sz w:val="24"/>
              </w:rPr>
              <w:t>址：许昌市劳动路</w:t>
            </w:r>
            <w:r>
              <w:rPr>
                <w:rFonts w:hAnsi="宋体"/>
                <w:sz w:val="24"/>
              </w:rPr>
              <w:t>1567</w:t>
            </w:r>
            <w:r>
              <w:rPr>
                <w:rFonts w:hint="eastAsia" w:hAnsi="宋体"/>
                <w:sz w:val="24"/>
              </w:rPr>
              <w:t>号</w:t>
            </w:r>
          </w:p>
          <w:p>
            <w:pPr>
              <w:autoSpaceDE w:val="0"/>
              <w:autoSpaceDN w:val="0"/>
              <w:adjustRightInd w:val="0"/>
              <w:spacing w:line="320" w:lineRule="exact"/>
              <w:jc w:val="left"/>
              <w:rPr>
                <w:rFonts w:hAnsi="宋体"/>
                <w:sz w:val="24"/>
              </w:rPr>
            </w:pPr>
            <w:r>
              <w:rPr>
                <w:rFonts w:hint="eastAsia" w:hAnsi="宋体"/>
                <w:sz w:val="24"/>
              </w:rPr>
              <w:t>联</w:t>
            </w:r>
            <w:r>
              <w:rPr>
                <w:rFonts w:hAnsi="宋体"/>
                <w:sz w:val="24"/>
              </w:rPr>
              <w:t xml:space="preserve"> </w:t>
            </w:r>
            <w:r>
              <w:rPr>
                <w:rFonts w:hint="eastAsia" w:hAnsi="宋体"/>
                <w:sz w:val="24"/>
              </w:rPr>
              <w:t>系</w:t>
            </w:r>
            <w:r>
              <w:rPr>
                <w:rFonts w:hAnsi="宋体"/>
                <w:sz w:val="24"/>
              </w:rPr>
              <w:t xml:space="preserve"> </w:t>
            </w:r>
            <w:r>
              <w:rPr>
                <w:rFonts w:hint="eastAsia" w:hAnsi="宋体"/>
                <w:sz w:val="24"/>
              </w:rPr>
              <w:t>人：万女士</w:t>
            </w:r>
          </w:p>
          <w:p>
            <w:pPr>
              <w:autoSpaceDE w:val="0"/>
              <w:autoSpaceDN w:val="0"/>
              <w:adjustRightInd w:val="0"/>
              <w:spacing w:line="420" w:lineRule="exact"/>
              <w:jc w:val="left"/>
              <w:rPr>
                <w:rFonts w:hAnsi="宋体" w:eastAsia="宋体" w:cs="宋体"/>
                <w:sz w:val="24"/>
              </w:rPr>
            </w:pPr>
            <w:r>
              <w:rPr>
                <w:rFonts w:hint="eastAsia" w:hAnsi="宋体"/>
                <w:sz w:val="24"/>
              </w:rPr>
              <w:t>联系电话：</w:t>
            </w:r>
            <w:r>
              <w:rPr>
                <w:rFonts w:hAnsi="宋体"/>
                <w:sz w:val="24"/>
              </w:rPr>
              <w:t>0374-2771160  13782222730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360" w:lineRule="auto"/>
              <w:jc w:val="left"/>
              <w:rPr>
                <w:rFonts w:hint="eastAsia" w:hAnsi="宋体" w:cs="宋体" w:eastAsiaTheme="minorEastAsia"/>
                <w:b/>
                <w:sz w:val="30"/>
                <w:szCs w:val="30"/>
                <w:lang w:eastAsia="zh-CN"/>
              </w:rPr>
            </w:pPr>
            <w:r>
              <w:rPr>
                <w:rFonts w:hint="eastAsia" w:hAnsi="宋体" w:eastAsia="宋体" w:cs="宋体"/>
                <w:sz w:val="24"/>
                <w:lang w:eastAsia="zh-CN"/>
              </w:rPr>
              <w:t>德荣路、宏兴路、莲韵路、隆昌路、尚集街、尚荣街新建电缆土建工程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300" w:lineRule="auto"/>
              <w:rPr>
                <w:rFonts w:hAnsi="宋体" w:eastAsia="宋体" w:cs="宋体"/>
                <w:sz w:val="24"/>
              </w:rPr>
            </w:pPr>
            <w:r>
              <w:rPr>
                <w:rFonts w:hint="eastAsia" w:hAnsi="宋体" w:eastAsia="宋体" w:cs="宋体"/>
                <w:sz w:val="24"/>
              </w:rPr>
              <w:t>该项目位于</w:t>
            </w:r>
            <w:r>
              <w:rPr>
                <w:rFonts w:hint="eastAsia" w:hAnsi="宋体"/>
                <w:sz w:val="24"/>
                <w:lang w:eastAsia="zh-CN"/>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320" w:lineRule="exact"/>
              <w:jc w:val="left"/>
              <w:rPr>
                <w:rFonts w:hAnsi="宋体" w:eastAsia="宋体" w:cs="宋体"/>
                <w:sz w:val="24"/>
              </w:rPr>
            </w:pPr>
            <w:r>
              <w:rPr>
                <w:rFonts w:hint="eastAsia" w:hAnsi="宋体" w:eastAsia="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sz w:val="24"/>
                <w:szCs w:val="24"/>
              </w:rPr>
            </w:pPr>
            <w:r>
              <w:rPr>
                <w:rFonts w:hint="eastAsia" w:hAnsi="宋体" w:cs="仿宋_GB2312"/>
                <w:sz w:val="24"/>
                <w:lang w:val="en-US" w:eastAsia="zh-CN"/>
              </w:rPr>
              <w:t>60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4"/>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4"/>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2020年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日8时30分（</w:t>
            </w:r>
            <w:r>
              <w:rPr>
                <w:rFonts w:hint="eastAsia" w:hAnsi="宋体" w:eastAsia="宋体" w:cs="宋体"/>
                <w:sz w:val="24"/>
              </w:rPr>
              <w:t>北京时间</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4"/>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   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3" w:name="OLE_LINK4" w:colFirst="0" w:colLast="2"/>
            <w:bookmarkStart w:id="4" w:name="_Hlk424659721"/>
            <w:bookmarkStart w:id="5" w:name="OLE_LINK3" w:colFirst="0" w:colLast="2"/>
            <w:r>
              <w:rPr>
                <w:rFonts w:hint="eastAsia" w:hAnsi="宋体" w:eastAsia="宋体" w:cs="宋体"/>
                <w:sz w:val="24"/>
              </w:rPr>
              <w:t>3.4.2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w:t>
            </w:r>
            <w:r>
              <w:rPr>
                <w:rFonts w:hint="eastAsia" w:hAnsi="宋体" w:cs="宋体"/>
                <w:sz w:val="24"/>
                <w:lang w:val="zh-CN"/>
              </w:rPr>
              <w:t>止时间：（同投标截止时间）。</w:t>
            </w:r>
          </w:p>
          <w:p>
            <w:pPr>
              <w:autoSpaceDE w:val="0"/>
              <w:autoSpaceDN w:val="0"/>
              <w:adjustRightInd w:val="0"/>
              <w:spacing w:line="276" w:lineRule="auto"/>
              <w:jc w:val="left"/>
              <w:rPr>
                <w:rFonts w:hint="eastAsia" w:hAnsi="宋体" w:cs="仿宋_GB2312"/>
                <w:b/>
                <w:bCs/>
                <w:sz w:val="24"/>
              </w:rPr>
            </w:pPr>
            <w:r>
              <w:rPr>
                <w:rFonts w:hint="eastAsia" w:hAnsi="宋体" w:cs="仿宋_GB2312"/>
                <w:b/>
                <w:bCs/>
                <w:sz w:val="24"/>
              </w:rPr>
              <w:t>金额：</w:t>
            </w:r>
          </w:p>
          <w:p>
            <w:pPr>
              <w:autoSpaceDE w:val="0"/>
              <w:autoSpaceDN w:val="0"/>
              <w:adjustRightInd w:val="0"/>
              <w:spacing w:line="276" w:lineRule="auto"/>
              <w:jc w:val="left"/>
              <w:rPr>
                <w:rFonts w:hint="eastAsia" w:hAnsi="宋体" w:cs="仿宋_GB2312"/>
                <w:b/>
                <w:bCs/>
                <w:sz w:val="24"/>
              </w:rPr>
            </w:pPr>
            <w:r>
              <w:rPr>
                <w:rFonts w:hint="eastAsia" w:hAnsi="宋体" w:cs="仿宋_GB2312"/>
                <w:b/>
                <w:bCs/>
                <w:sz w:val="24"/>
                <w:lang w:eastAsia="zh-CN"/>
              </w:rPr>
              <w:t>第一标段：</w:t>
            </w:r>
            <w:r>
              <w:rPr>
                <w:rFonts w:hint="eastAsia" w:hAnsi="宋体" w:cs="仿宋_GB2312"/>
                <w:b/>
                <w:bCs/>
                <w:sz w:val="24"/>
              </w:rPr>
              <w:t>人民币</w:t>
            </w:r>
            <w:r>
              <w:rPr>
                <w:rFonts w:hint="eastAsia" w:hAnsi="宋体" w:cs="仿宋_GB2312"/>
                <w:b/>
                <w:bCs/>
                <w:sz w:val="24"/>
                <w:lang w:eastAsia="zh-CN"/>
              </w:rPr>
              <w:t>叁万贰仟元整</w:t>
            </w:r>
            <w:r>
              <w:rPr>
                <w:rFonts w:hint="eastAsia" w:hAnsi="宋体" w:cs="仿宋_GB2312"/>
                <w:b/>
                <w:bCs/>
                <w:sz w:val="24"/>
              </w:rPr>
              <w:t>（￥</w:t>
            </w:r>
            <w:r>
              <w:rPr>
                <w:rFonts w:hint="eastAsia" w:hAnsi="宋体" w:cs="仿宋_GB2312"/>
                <w:b/>
                <w:bCs/>
                <w:sz w:val="24"/>
                <w:lang w:val="en-US" w:eastAsia="zh-CN"/>
              </w:rPr>
              <w:t>32000.00</w:t>
            </w:r>
            <w:r>
              <w:rPr>
                <w:rFonts w:hint="eastAsia" w:hAnsi="宋体" w:cs="仿宋_GB2312"/>
                <w:b/>
                <w:bCs/>
                <w:sz w:val="24"/>
              </w:rPr>
              <w:t>元）</w:t>
            </w:r>
          </w:p>
          <w:p>
            <w:pPr>
              <w:autoSpaceDE w:val="0"/>
              <w:autoSpaceDN w:val="0"/>
              <w:adjustRightInd w:val="0"/>
              <w:spacing w:line="276" w:lineRule="auto"/>
              <w:jc w:val="left"/>
            </w:pPr>
            <w:r>
              <w:rPr>
                <w:rFonts w:hint="eastAsia" w:hAnsi="宋体" w:cs="仿宋_GB2312"/>
                <w:b/>
                <w:bCs/>
                <w:sz w:val="24"/>
                <w:lang w:eastAsia="zh-CN"/>
              </w:rPr>
              <w:t>第二标段：</w:t>
            </w:r>
            <w:r>
              <w:rPr>
                <w:rFonts w:hint="eastAsia" w:hAnsi="宋体" w:cs="仿宋_GB2312"/>
                <w:b/>
                <w:bCs/>
                <w:sz w:val="24"/>
              </w:rPr>
              <w:t>人民币</w:t>
            </w:r>
            <w:r>
              <w:rPr>
                <w:rFonts w:hint="eastAsia" w:hAnsi="宋体" w:cs="仿宋_GB2312"/>
                <w:b/>
                <w:bCs/>
                <w:sz w:val="24"/>
                <w:lang w:eastAsia="zh-CN"/>
              </w:rPr>
              <w:t>肆万玖仟元整</w:t>
            </w:r>
            <w:r>
              <w:rPr>
                <w:rFonts w:hint="eastAsia" w:hAnsi="宋体" w:cs="仿宋_GB2312"/>
                <w:b/>
                <w:bCs/>
                <w:sz w:val="24"/>
              </w:rPr>
              <w:t>（￥</w:t>
            </w:r>
            <w:r>
              <w:rPr>
                <w:rFonts w:hint="eastAsia" w:hAnsi="宋体" w:cs="仿宋_GB2312"/>
                <w:b/>
                <w:bCs/>
                <w:sz w:val="24"/>
                <w:lang w:val="en-US" w:eastAsia="zh-CN"/>
              </w:rPr>
              <w:t>49000.00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cs="宋体"/>
                <w:sz w:val="24"/>
                <w:lang w:val="zh-CN"/>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4"/>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szCs w:val="24"/>
              </w:rPr>
              <w:t>2016年、2017年、2018年</w:t>
            </w:r>
            <w:r>
              <w:rPr>
                <w:rFonts w:hint="eastAsia" w:hAnsi="宋体" w:eastAsia="宋体" w:cs="宋体"/>
                <w:sz w:val="24"/>
              </w:rPr>
              <w:t>。（</w:t>
            </w:r>
            <w:r>
              <w:rPr>
                <w:rFonts w:hint="eastAsia" w:hAnsi="宋体" w:cs="宋体"/>
                <w:sz w:val="24"/>
              </w:rPr>
              <w:t>近年，指2016、2017、2018年。（若公司成立未满三年，需提供自成立起至2018年度财务状况）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cs="TimesNewRomanPSMT"/>
                <w:sz w:val="24"/>
              </w:rPr>
              <w:t>近年，指201</w:t>
            </w:r>
            <w:r>
              <w:rPr>
                <w:rFonts w:hint="eastAsia" w:hAnsi="宋体" w:cs="TimesNewRomanPSMT"/>
                <w:sz w:val="24"/>
                <w:lang w:val="en-US" w:eastAsia="zh-CN"/>
              </w:rPr>
              <w:t>7</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4.2.2</w:t>
            </w:r>
          </w:p>
        </w:tc>
        <w:tc>
          <w:tcPr>
            <w:tcW w:w="2590" w:type="dxa"/>
            <w:gridSpan w:val="4"/>
            <w:vAlign w:val="center"/>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电子投标文件递交地点：电子投标文件应按规定在投标截止时间（开标时间）之前成功提交至《全国公共资源交易平台</w:t>
            </w:r>
            <w:r>
              <w:rPr>
                <w:rFonts w:hAnsi="宋体" w:eastAsia="宋体" w:cs="宋体"/>
                <w:sz w:val="24"/>
              </w:rPr>
              <w:t>(</w:t>
            </w:r>
            <w:r>
              <w:rPr>
                <w:rFonts w:hint="eastAsia" w:hAnsi="宋体" w:eastAsia="宋体" w:cs="宋体"/>
                <w:sz w:val="24"/>
              </w:rPr>
              <w:t>河南省</w:t>
            </w:r>
            <w:r>
              <w:rPr>
                <w:rFonts w:hint="eastAsia" w:ascii="MS Mincho" w:hAnsi="MS Mincho" w:eastAsia="MS Mincho" w:cs="MS Mincho"/>
                <w:sz w:val="24"/>
              </w:rPr>
              <w:t>▪</w:t>
            </w:r>
            <w:r>
              <w:rPr>
                <w:rFonts w:hint="eastAsia" w:hAnsi="宋体" w:eastAsia="宋体" w:cs="宋体"/>
                <w:sz w:val="24"/>
              </w:rPr>
              <w:t>许昌市》公共资源交易系统（</w:t>
            </w:r>
            <w:r>
              <w:rPr>
                <w:rFonts w:hAnsi="宋体" w:eastAsia="宋体" w:cs="宋体"/>
                <w:sz w:val="24"/>
              </w:rPr>
              <w:t>http://221.14.6.70:8088/ggzy/</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440" w:lineRule="exact"/>
              <w:rPr>
                <w:rFonts w:hAnsi="宋体" w:cs="宋体"/>
                <w:sz w:val="24"/>
                <w:szCs w:val="24"/>
              </w:rPr>
            </w:pPr>
            <w:r>
              <w:rPr>
                <w:rFonts w:hint="eastAsia" w:hAnsi="宋体" w:eastAsia="宋体" w:cs="宋体"/>
                <w:sz w:val="24"/>
              </w:rPr>
              <w:t>开标地点：</w:t>
            </w:r>
            <w:r>
              <w:rPr>
                <w:rFonts w:hint="eastAsia" w:hAnsi="宋体" w:cs="宋体"/>
                <w:sz w:val="24"/>
                <w:szCs w:val="24"/>
              </w:rPr>
              <w:t>许昌市公共资源交易中心（龙兴路与竹林路交汇处创业服务中心C 座）三楼开标 二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520" w:lineRule="exact"/>
              <w:rPr>
                <w:rFonts w:hAnsi="宋体" w:eastAsia="宋体" w:cs="宋体"/>
                <w:sz w:val="24"/>
              </w:rPr>
            </w:pPr>
            <w:r>
              <w:rPr>
                <w:rFonts w:hint="eastAsia" w:hAnsi="宋体" w:eastAsia="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sz w:val="24"/>
              </w:rPr>
            </w:pPr>
            <w:r>
              <w:rPr>
                <w:rFonts w:hint="eastAsia" w:hAnsi="宋体" w:eastAsia="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sz w:val="24"/>
              </w:rPr>
            </w:pPr>
            <w:r>
              <w:rPr>
                <w:rFonts w:hint="eastAsia" w:hAnsi="宋体" w:eastAsia="宋体" w:cs="宋体"/>
                <w:sz w:val="24"/>
              </w:rPr>
              <w:t>(3)解密完成后，招标人（代理机构）点击“系数抽取”按钮进行系数抽取，系数抽取情况在“公告通知”处显示。</w:t>
            </w:r>
          </w:p>
          <w:p>
            <w:pPr>
              <w:spacing w:line="520" w:lineRule="exact"/>
              <w:rPr>
                <w:rFonts w:hAnsi="宋体" w:eastAsia="宋体" w:cs="宋体"/>
                <w:sz w:val="24"/>
              </w:rPr>
            </w:pPr>
            <w:r>
              <w:rPr>
                <w:rFonts w:hint="eastAsia" w:hAnsi="宋体" w:eastAsia="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sz w:val="24"/>
              </w:rPr>
            </w:pPr>
            <w:r>
              <w:rPr>
                <w:rFonts w:hint="eastAsia" w:hAnsi="宋体" w:eastAsia="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520" w:lineRule="exact"/>
              <w:rPr>
                <w:rFonts w:hAnsi="宋体" w:eastAsia="宋体" w:cs="宋体"/>
                <w:sz w:val="24"/>
              </w:rPr>
            </w:pPr>
            <w:r>
              <w:rPr>
                <w:rFonts w:hint="eastAsia" w:hAnsi="宋体" w:eastAsia="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ascii="新宋体" w:hAnsi="新宋体" w:eastAsia="新宋体"/>
                <w:sz w:val="24"/>
              </w:rPr>
            </w:pPr>
            <w:r>
              <w:rPr>
                <w:rFonts w:hint="eastAsia" w:hAnsi="宋体" w:eastAsia="宋体" w:cs="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sz w:val="24"/>
              </w:rPr>
            </w:pPr>
            <w:r>
              <w:rPr>
                <w:rFonts w:hint="eastAsia" w:hAnsi="宋体" w:eastAsia="宋体" w:cs="宋体"/>
                <w:b/>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4"/>
              </w:rPr>
            </w:pPr>
            <w:r>
              <w:rPr>
                <w:rFonts w:hint="eastAsia" w:hAnsi="宋体" w:cs="TimesNewRomanPSMT"/>
                <w:sz w:val="24"/>
              </w:rPr>
              <w:t>指201</w:t>
            </w:r>
            <w:r>
              <w:rPr>
                <w:rFonts w:hint="eastAsia" w:hAnsi="宋体" w:cs="TimesNewRomanPSMT"/>
                <w:sz w:val="24"/>
                <w:lang w:val="en-US" w:eastAsia="zh-CN"/>
              </w:rPr>
              <w:t>7</w:t>
            </w:r>
            <w:r>
              <w:rPr>
                <w:rFonts w:hint="eastAsia" w:hAnsi="宋体" w:cs="TimesNewRomanPSMT"/>
                <w:sz w:val="24"/>
              </w:rPr>
              <w:t>年1月1日以来承接过的</w:t>
            </w:r>
            <w:r>
              <w:rPr>
                <w:rFonts w:hint="eastAsia" w:hAnsi="宋体" w:cs="TimesNewRomanPSMT"/>
                <w:sz w:val="24"/>
                <w:lang w:eastAsia="zh-CN"/>
              </w:rPr>
              <w:t>市政公用工程或电力</w:t>
            </w:r>
            <w:r>
              <w:rPr>
                <w:rFonts w:hint="eastAsia" w:hAnsi="宋体" w:cs="TimesNewRomanPSMT"/>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eastAsiaTheme="minorEastAsia"/>
                <w:b/>
                <w:bCs/>
                <w:sz w:val="24"/>
                <w:lang w:eastAsia="zh-CN"/>
              </w:rPr>
            </w:pPr>
            <w:r>
              <w:rPr>
                <w:rFonts w:hint="eastAsia" w:hAnsi="宋体" w:cs="Times New Roman"/>
                <w:b/>
                <w:bCs/>
                <w:sz w:val="24"/>
              </w:rPr>
              <w:t>一标段：</w:t>
            </w:r>
            <w:r>
              <w:rPr>
                <w:rFonts w:hint="eastAsia" w:hAnsi="宋体" w:cs="宋体"/>
                <w:b/>
                <w:bCs/>
                <w:sz w:val="24"/>
              </w:rPr>
              <w:t>大写：</w:t>
            </w:r>
            <w:r>
              <w:rPr>
                <w:rFonts w:hint="eastAsia" w:hAnsi="宋体" w:cs="宋体"/>
                <w:b/>
                <w:bCs/>
                <w:sz w:val="24"/>
                <w:lang w:eastAsia="zh-CN"/>
              </w:rPr>
              <w:t>壹佰陆拾叁万肆仟壹佰壹拾玖元壹角叁分</w:t>
            </w:r>
          </w:p>
          <w:p>
            <w:pPr>
              <w:keepNext/>
              <w:spacing w:line="276" w:lineRule="auto"/>
              <w:rPr>
                <w:rFonts w:hAnsi="宋体" w:cs="宋体"/>
                <w:b/>
                <w:bCs/>
                <w:sz w:val="24"/>
              </w:rPr>
            </w:pPr>
            <w:r>
              <w:rPr>
                <w:rFonts w:hint="eastAsia" w:hAnsi="宋体" w:cs="宋体"/>
                <w:b/>
                <w:bCs/>
                <w:sz w:val="24"/>
              </w:rPr>
              <w:t>小写：￥</w:t>
            </w:r>
            <w:r>
              <w:rPr>
                <w:rFonts w:hint="eastAsia" w:hAnsi="宋体" w:cs="Times New Roman"/>
                <w:b/>
                <w:bCs/>
                <w:sz w:val="24"/>
                <w:lang w:val="en-US" w:eastAsia="zh-CN"/>
              </w:rPr>
              <w:t>1634119.13</w:t>
            </w:r>
            <w:r>
              <w:rPr>
                <w:rFonts w:hint="eastAsia" w:hAnsi="宋体" w:cs="宋体"/>
                <w:b/>
                <w:bCs/>
                <w:sz w:val="24"/>
              </w:rPr>
              <w:t>元</w:t>
            </w:r>
          </w:p>
          <w:p>
            <w:pPr>
              <w:keepNext/>
              <w:spacing w:line="276" w:lineRule="auto"/>
              <w:rPr>
                <w:rFonts w:hint="eastAsia" w:hAnsi="宋体" w:cs="宋体" w:eastAsiaTheme="minorEastAsia"/>
                <w:b/>
                <w:bCs/>
                <w:sz w:val="24"/>
                <w:lang w:eastAsia="zh-CN"/>
              </w:rPr>
            </w:pPr>
            <w:r>
              <w:rPr>
                <w:rFonts w:hint="eastAsia" w:hAnsi="宋体" w:cs="Times New Roman"/>
                <w:b/>
                <w:bCs/>
                <w:sz w:val="24"/>
              </w:rPr>
              <w:t>二标段：</w:t>
            </w:r>
            <w:r>
              <w:rPr>
                <w:rFonts w:hint="eastAsia" w:hAnsi="宋体" w:cs="宋体"/>
                <w:b/>
                <w:bCs/>
                <w:sz w:val="24"/>
              </w:rPr>
              <w:t>大写：</w:t>
            </w:r>
            <w:r>
              <w:rPr>
                <w:rFonts w:hint="eastAsia" w:hAnsi="宋体" w:cs="宋体"/>
                <w:b/>
                <w:bCs/>
                <w:sz w:val="24"/>
                <w:lang w:eastAsia="zh-CN"/>
              </w:rPr>
              <w:t>贰佰肆拾柒万伍仟陆佰捌拾壹元叁角叁分</w:t>
            </w:r>
          </w:p>
          <w:p>
            <w:pPr>
              <w:keepNext/>
              <w:spacing w:line="276" w:lineRule="auto"/>
              <w:rPr>
                <w:b/>
                <w:bCs/>
              </w:rPr>
            </w:pPr>
            <w:r>
              <w:rPr>
                <w:rFonts w:hint="eastAsia" w:hAnsi="宋体" w:cs="宋体"/>
                <w:b/>
                <w:bCs/>
                <w:sz w:val="24"/>
              </w:rPr>
              <w:t>小写：￥</w:t>
            </w:r>
            <w:r>
              <w:rPr>
                <w:rFonts w:hint="eastAsia" w:hAnsi="宋体" w:cs="Times New Roman"/>
                <w:b/>
                <w:bCs/>
                <w:sz w:val="24"/>
                <w:lang w:val="en-US" w:eastAsia="zh-CN"/>
              </w:rPr>
              <w:t>2475681.33</w:t>
            </w:r>
            <w:r>
              <w:rPr>
                <w:rFonts w:hint="eastAsia" w:hAnsi="宋体" w:cs="Times New Roman"/>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4"/>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cs="宋体"/>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r>
              <w:rPr>
                <w:rFonts w:hint="eastAsia" w:hAnsi="宋体" w:eastAsia="宋体" w:cs="宋体"/>
                <w:sz w:val="24"/>
              </w:rPr>
              <w:t>10.11</w:t>
            </w: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sz w:val="24"/>
              </w:rPr>
            </w:pPr>
          </w:p>
        </w:tc>
        <w:tc>
          <w:tcPr>
            <w:tcW w:w="8759" w:type="dxa"/>
            <w:gridSpan w:val="4"/>
            <w:vAlign w:val="center"/>
          </w:tcPr>
          <w:p>
            <w:pPr>
              <w:spacing w:line="360" w:lineRule="auto"/>
              <w:rPr>
                <w:rFonts w:hAnsi="宋体" w:eastAsia="宋体" w:cs="宋体"/>
                <w:sz w:val="24"/>
              </w:rPr>
            </w:pPr>
            <w:r>
              <w:rPr>
                <w:rFonts w:hint="eastAsia" w:hAnsi="宋体" w:eastAsia="宋体" w:cs="宋体"/>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sz w:val="24"/>
              </w:rPr>
            </w:pPr>
          </w:p>
        </w:tc>
        <w:tc>
          <w:tcPr>
            <w:tcW w:w="8759" w:type="dxa"/>
            <w:gridSpan w:val="4"/>
            <w:vAlign w:val="center"/>
          </w:tcPr>
          <w:p>
            <w:pPr>
              <w:spacing w:line="360" w:lineRule="auto"/>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5、招标人及其代理机构需留存项目电子档案时，可在质疑期满后使用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6、商务标投标文件制作注意事项：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pPr>
            <w:r>
              <w:rPr>
                <w:rFonts w:hint="eastAsia" w:hAnsi="宋体" w:eastAsia="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6"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7" w:name="_Toc179632552"/>
      <w:bookmarkStart w:id="8" w:name="_Toc152042311"/>
      <w:bookmarkStart w:id="9" w:name="_Toc144974503"/>
      <w:bookmarkStart w:id="10" w:name="_Toc152045535"/>
      <w:r>
        <w:rPr>
          <w:rFonts w:hint="eastAsia" w:hAnsi="宋体" w:cs="宋体"/>
          <w:b/>
          <w:sz w:val="24"/>
        </w:rPr>
        <w:t>1.5 费用承担</w:t>
      </w:r>
      <w:bookmarkEnd w:id="7"/>
      <w:bookmarkEnd w:id="8"/>
      <w:bookmarkEnd w:id="9"/>
      <w:bookmarkEnd w:id="1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1" w:name="_Toc179632553"/>
      <w:bookmarkStart w:id="12" w:name="_Toc152042312"/>
      <w:bookmarkStart w:id="13" w:name="_Toc144974504"/>
      <w:bookmarkStart w:id="14" w:name="_Toc152045536"/>
      <w:r>
        <w:rPr>
          <w:rFonts w:hint="eastAsia" w:hAnsi="宋体" w:cs="宋体"/>
          <w:b/>
          <w:sz w:val="24"/>
        </w:rPr>
        <w:t>1.6 保密</w:t>
      </w:r>
      <w:bookmarkEnd w:id="11"/>
      <w:bookmarkEnd w:id="12"/>
      <w:bookmarkEnd w:id="13"/>
      <w:bookmarkEnd w:id="1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5" w:name="_Toc144974505"/>
      <w:bookmarkStart w:id="16" w:name="_Toc152042313"/>
      <w:bookmarkStart w:id="17" w:name="_Toc152045537"/>
      <w:bookmarkStart w:id="18" w:name="_Toc179632554"/>
      <w:r>
        <w:rPr>
          <w:rFonts w:hint="eastAsia" w:hAnsi="宋体" w:cs="宋体"/>
          <w:b/>
          <w:sz w:val="24"/>
        </w:rPr>
        <w:t>1.7 语言</w:t>
      </w:r>
      <w:bookmarkEnd w:id="15"/>
      <w:r>
        <w:rPr>
          <w:rFonts w:hint="eastAsia" w:hAnsi="宋体" w:cs="宋体"/>
          <w:b/>
          <w:sz w:val="24"/>
        </w:rPr>
        <w:t>文字</w:t>
      </w:r>
      <w:bookmarkEnd w:id="16"/>
      <w:bookmarkEnd w:id="17"/>
      <w:bookmarkEnd w:id="1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19" w:name="_Toc152042314"/>
      <w:bookmarkStart w:id="20" w:name="_Toc144974506"/>
      <w:bookmarkStart w:id="21" w:name="_Toc152045538"/>
      <w:bookmarkStart w:id="22" w:name="_Toc179632555"/>
      <w:r>
        <w:rPr>
          <w:rFonts w:hint="eastAsia" w:hAnsi="宋体" w:cs="宋体"/>
          <w:b/>
          <w:sz w:val="24"/>
        </w:rPr>
        <w:t>1.8 计量单位</w:t>
      </w:r>
      <w:bookmarkEnd w:id="19"/>
      <w:bookmarkEnd w:id="20"/>
      <w:bookmarkEnd w:id="21"/>
      <w:bookmarkEnd w:id="2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6"/>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3" w:name="_Toc283559948"/>
      <w:r>
        <w:rPr>
          <w:rFonts w:hint="eastAsia" w:hAnsi="宋体" w:cs="宋体"/>
          <w:b/>
          <w:sz w:val="24"/>
        </w:rPr>
        <w:t>1.10 投标预备会</w:t>
      </w:r>
      <w:bookmarkEnd w:id="23"/>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4" w:name="_Toc283559949"/>
      <w:r>
        <w:rPr>
          <w:rFonts w:hint="eastAsia" w:hAnsi="宋体" w:cs="宋体"/>
          <w:b/>
          <w:sz w:val="24"/>
        </w:rPr>
        <w:t>1.11 分包</w:t>
      </w:r>
      <w:bookmarkEnd w:id="24"/>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5" w:name="_Toc283559950"/>
      <w:r>
        <w:rPr>
          <w:rFonts w:hint="eastAsia" w:hAnsi="宋体" w:cs="宋体"/>
          <w:b/>
          <w:sz w:val="24"/>
        </w:rPr>
        <w:t>1.12 偏离</w:t>
      </w:r>
      <w:bookmarkEnd w:id="25"/>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6" w:name="_Toc283559951"/>
      <w:r>
        <w:rPr>
          <w:rFonts w:hint="eastAsia" w:hAnsi="宋体"/>
          <w:b/>
          <w:color w:val="auto"/>
        </w:rPr>
        <w:t>2. 招标文件</w:t>
      </w:r>
      <w:bookmarkEnd w:id="26"/>
    </w:p>
    <w:p>
      <w:pPr>
        <w:autoSpaceDE w:val="0"/>
        <w:autoSpaceDN w:val="0"/>
        <w:spacing w:line="450" w:lineRule="exact"/>
        <w:jc w:val="left"/>
        <w:outlineLvl w:val="0"/>
        <w:rPr>
          <w:rFonts w:hAnsi="宋体" w:cs="宋体"/>
          <w:b/>
          <w:sz w:val="24"/>
        </w:rPr>
      </w:pPr>
      <w:bookmarkStart w:id="27" w:name="_Toc283559952"/>
      <w:r>
        <w:rPr>
          <w:rFonts w:hint="eastAsia" w:hAnsi="宋体" w:cs="宋体"/>
          <w:b/>
          <w:sz w:val="24"/>
        </w:rPr>
        <w:t>2.1 招标文件的组成</w:t>
      </w:r>
      <w:bookmarkEnd w:id="27"/>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8" w:name="_Toc283559953"/>
      <w:r>
        <w:rPr>
          <w:rFonts w:hint="eastAsia" w:hAnsi="宋体" w:cs="宋体"/>
          <w:b/>
          <w:sz w:val="24"/>
        </w:rPr>
        <w:t>2.2 招标文件的澄清</w:t>
      </w:r>
      <w:bookmarkEnd w:id="28"/>
    </w:p>
    <w:p>
      <w:pPr>
        <w:autoSpaceDE w:val="0"/>
        <w:autoSpaceDN w:val="0"/>
        <w:adjustRightInd w:val="0"/>
        <w:spacing w:line="450" w:lineRule="exact"/>
        <w:ind w:firstLine="616" w:firstLineChars="257"/>
        <w:jc w:val="left"/>
        <w:rPr>
          <w:rFonts w:hAnsi="宋体" w:cs="宋体"/>
          <w:sz w:val="24"/>
        </w:rPr>
      </w:pPr>
      <w:bookmarkStart w:id="29"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2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0" w:name="_Toc152042322"/>
      <w:bookmarkStart w:id="31" w:name="_Toc152045546"/>
      <w:bookmarkStart w:id="32" w:name="_Toc144974514"/>
      <w:bookmarkStart w:id="33" w:name="_Toc179632564"/>
      <w:r>
        <w:rPr>
          <w:rFonts w:hint="eastAsia" w:hAnsi="宋体" w:cs="宋体"/>
          <w:b/>
          <w:sz w:val="24"/>
        </w:rPr>
        <w:t>3. 投标文件</w:t>
      </w:r>
      <w:bookmarkEnd w:id="30"/>
      <w:bookmarkEnd w:id="31"/>
      <w:bookmarkEnd w:id="32"/>
      <w:bookmarkEnd w:id="33"/>
    </w:p>
    <w:p>
      <w:pPr>
        <w:autoSpaceDE w:val="0"/>
        <w:autoSpaceDN w:val="0"/>
        <w:spacing w:line="420" w:lineRule="exact"/>
        <w:jc w:val="left"/>
        <w:outlineLvl w:val="0"/>
        <w:rPr>
          <w:rFonts w:hAnsi="宋体" w:cs="宋体"/>
          <w:b/>
          <w:sz w:val="24"/>
        </w:rPr>
      </w:pPr>
      <w:bookmarkStart w:id="34"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（8）施工进度表和网络计划图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5"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规费、税金、安全文明施工措施费、暂列金额与专业暂估价计入投标总报价，并在投标函、投标函附录中单列，不参与商务标评审。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5"/>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4"/>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6" w:name="_Toc282436964"/>
      <w:bookmarkStart w:id="37" w:name="_Toc283559960"/>
      <w:r>
        <w:rPr>
          <w:rFonts w:hint="eastAsia" w:hAnsi="宋体" w:cs="宋体"/>
          <w:b/>
          <w:bCs/>
          <w:sz w:val="24"/>
        </w:rPr>
        <w:t xml:space="preserve">3.4 </w:t>
      </w:r>
      <w:bookmarkEnd w:id="36"/>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jc w:val="left"/>
        <w:rPr>
          <w:rFonts w:hAnsi="宋体" w:cs="宋体"/>
          <w:sz w:val="24"/>
        </w:rPr>
      </w:pPr>
      <w:r>
        <w:rPr>
          <w:rFonts w:hint="eastAsia" w:hAnsi="宋体" w:cs="宋体"/>
          <w:sz w:val="24"/>
          <w:lang w:val="zh-CN"/>
        </w:rPr>
        <w:t>3.5.5 “近年发生的诉讼及仲裁情况”应说明相关情况，并附投标人法院或仲裁机构作出的判决、裁决等有关法律文书原件扫描件，具体年份要求见投标人须知前附表。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sz w:val="24"/>
        </w:rPr>
      </w:pPr>
      <w:r>
        <w:rPr>
          <w:rFonts w:hint="eastAsia" w:hAnsi="宋体" w:cs="宋体"/>
          <w:sz w:val="24"/>
        </w:rPr>
        <w:t>3.5.6</w:t>
      </w:r>
      <w:r>
        <w:rPr>
          <w:rFonts w:hint="eastAsia" w:ascii="新宋体" w:hAnsi="新宋体" w:eastAsia="新宋体" w:cs="仿宋_GB2312"/>
          <w:sz w:val="24"/>
        </w:rPr>
        <w:t>未按规定提交投标保证金的，由评标委员会否决其投标。</w:t>
      </w:r>
    </w:p>
    <w:p>
      <w:pPr>
        <w:pStyle w:val="2"/>
        <w:ind w:firstLine="241"/>
        <w:rPr>
          <w:rFonts w:eastAsia="新宋体"/>
          <w:b/>
          <w:bCs/>
        </w:rPr>
      </w:pPr>
      <w:r>
        <w:rPr>
          <w:rFonts w:hint="eastAsia" w:ascii="新宋体" w:hAnsi="新宋体" w:eastAsia="新宋体" w:cs="仿宋_GB2312"/>
          <w:b/>
          <w:bCs/>
          <w:sz w:val="24"/>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7"/>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sz w:val="24"/>
          <w:szCs w:val="24"/>
        </w:rPr>
      </w:pPr>
      <w:r>
        <w:rPr>
          <w:rFonts w:hint="eastAsia" w:hAnsi="宋体"/>
          <w:sz w:val="24"/>
          <w:szCs w:val="24"/>
        </w:rPr>
        <w:t>3.7.5</w:t>
      </w:r>
      <w:bookmarkStart w:id="42" w:name="_Toc283559961"/>
      <w:r>
        <w:rPr>
          <w:rFonts w:hint="eastAsia" w:hAnsi="宋体"/>
          <w:sz w:val="24"/>
          <w:szCs w:val="24"/>
        </w:rPr>
        <w:t>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2"/>
    </w:p>
    <w:p>
      <w:pPr>
        <w:autoSpaceDE w:val="0"/>
        <w:autoSpaceDN w:val="0"/>
        <w:spacing w:line="440" w:lineRule="exact"/>
        <w:jc w:val="left"/>
        <w:outlineLvl w:val="0"/>
        <w:rPr>
          <w:rFonts w:hAnsi="宋体" w:cs="宋体"/>
          <w:b/>
          <w:sz w:val="24"/>
        </w:rPr>
      </w:pPr>
      <w:r>
        <w:rPr>
          <w:rFonts w:hint="eastAsia" w:hAnsi="宋体" w:cs="宋体"/>
          <w:b/>
          <w:sz w:val="24"/>
        </w:rPr>
        <w:t>4.1投标文件的提交</w:t>
      </w:r>
    </w:p>
    <w:p>
      <w:pPr>
        <w:autoSpaceDE w:val="0"/>
        <w:autoSpaceDN w:val="0"/>
        <w:spacing w:line="440" w:lineRule="exact"/>
        <w:ind w:firstLine="480" w:firstLineChars="200"/>
        <w:jc w:val="left"/>
        <w:outlineLvl w:val="0"/>
        <w:rPr>
          <w:rFonts w:hAnsi="宋体" w:cs="宋体"/>
          <w:strike/>
          <w:sz w:val="24"/>
        </w:rPr>
      </w:pPr>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autoSpaceDE w:val="0"/>
        <w:autoSpaceDN w:val="0"/>
        <w:spacing w:line="440" w:lineRule="exact"/>
        <w:jc w:val="left"/>
        <w:outlineLvl w:val="0"/>
        <w:rPr>
          <w:rFonts w:hAnsi="宋体" w:cs="宋体"/>
          <w:b/>
          <w:sz w:val="24"/>
        </w:rPr>
      </w:pPr>
      <w:bookmarkStart w:id="43" w:name="_Toc283559964"/>
      <w:r>
        <w:rPr>
          <w:rFonts w:hint="eastAsia" w:hAnsi="宋体" w:cs="宋体"/>
          <w:b/>
          <w:sz w:val="24"/>
        </w:rPr>
        <w:t>4.2 投标文件的修改与撤回</w:t>
      </w:r>
      <w:bookmarkEnd w:id="43"/>
    </w:p>
    <w:p>
      <w:pPr>
        <w:autoSpaceDE w:val="0"/>
        <w:autoSpaceDN w:val="0"/>
        <w:spacing w:line="440" w:lineRule="exact"/>
        <w:ind w:firstLine="480" w:firstLineChars="200"/>
        <w:jc w:val="left"/>
        <w:rPr>
          <w:rFonts w:hAnsi="宋体" w:cs="宋体"/>
          <w:sz w:val="24"/>
        </w:rPr>
      </w:pPr>
      <w:r>
        <w:rPr>
          <w:rFonts w:hint="eastAsia" w:hAnsi="宋体" w:cs="宋体"/>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4" w:name="_Toc283559967"/>
      <w:r>
        <w:rPr>
          <w:rFonts w:hint="eastAsia" w:hAnsi="宋体"/>
          <w:b/>
          <w:color w:val="auto"/>
        </w:rPr>
        <w:t>5. 开标</w:t>
      </w:r>
      <w:bookmarkEnd w:id="44"/>
    </w:p>
    <w:p>
      <w:pPr>
        <w:autoSpaceDE w:val="0"/>
        <w:autoSpaceDN w:val="0"/>
        <w:adjustRightInd w:val="0"/>
        <w:spacing w:line="440" w:lineRule="exact"/>
        <w:jc w:val="left"/>
        <w:outlineLvl w:val="0"/>
        <w:rPr>
          <w:rFonts w:hAnsi="宋体" w:cs="宋体"/>
          <w:b/>
          <w:sz w:val="24"/>
        </w:rPr>
      </w:pPr>
      <w:bookmarkStart w:id="45" w:name="_Toc283559968"/>
      <w:r>
        <w:rPr>
          <w:rFonts w:hint="eastAsia" w:hAnsi="宋体" w:cs="宋体"/>
          <w:b/>
          <w:sz w:val="24"/>
        </w:rPr>
        <w:t>5.1 开标时间和地点</w:t>
      </w:r>
      <w:bookmarkEnd w:id="45"/>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spacing w:line="520" w:lineRule="exact"/>
        <w:rPr>
          <w:sz w:val="28"/>
          <w:szCs w:val="28"/>
        </w:rPr>
      </w:pPr>
      <w:bookmarkStart w:id="46" w:name="_Toc283559970"/>
      <w:r>
        <w:rPr>
          <w:rFonts w:hint="eastAsia"/>
          <w:sz w:val="28"/>
          <w:szCs w:val="28"/>
        </w:rPr>
        <w:t>5.2 开标程序</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(2)投标截止时间到达时，招标代理机构点击“开标”按钮，开标开始</w:t>
      </w:r>
      <w:r>
        <w:rPr>
          <w:rFonts w:hint="eastAsia" w:hAnsi="宋体" w:eastAsia="宋体" w:cs="宋体"/>
          <w:sz w:val="24"/>
        </w:rPr>
        <w:t>并进行解密，解密时限为60分钟，各投标人可以远程进行解密投标文件。</w:t>
      </w:r>
      <w:r>
        <w:rPr>
          <w:rFonts w:hint="eastAsia" w:hAnsi="宋体" w:cs="宋体"/>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6"/>
    </w:p>
    <w:p>
      <w:pPr>
        <w:autoSpaceDE w:val="0"/>
        <w:autoSpaceDN w:val="0"/>
        <w:adjustRightInd w:val="0"/>
        <w:spacing w:line="440" w:lineRule="exact"/>
        <w:jc w:val="left"/>
        <w:outlineLvl w:val="0"/>
        <w:rPr>
          <w:rFonts w:hAnsi="宋体" w:cs="宋体"/>
          <w:b/>
          <w:sz w:val="24"/>
        </w:rPr>
      </w:pPr>
      <w:bookmarkStart w:id="47" w:name="_Toc283559971"/>
      <w:r>
        <w:rPr>
          <w:rFonts w:hint="eastAsia" w:hAnsi="宋体" w:cs="宋体"/>
          <w:b/>
          <w:sz w:val="24"/>
        </w:rPr>
        <w:t>6.1 评标委员会</w:t>
      </w:r>
      <w:bookmarkEnd w:id="4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8" w:name="_Toc283559972"/>
      <w:r>
        <w:rPr>
          <w:rFonts w:hint="eastAsia" w:hAnsi="宋体" w:cs="宋体"/>
          <w:b/>
          <w:sz w:val="24"/>
        </w:rPr>
        <w:t>6.2 评标原则</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49" w:name="_Toc283559973"/>
      <w:r>
        <w:rPr>
          <w:rFonts w:hint="eastAsia" w:hAnsi="宋体" w:cs="宋体"/>
          <w:b/>
          <w:sz w:val="24"/>
        </w:rPr>
        <w:t>6.3 评标</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50" w:name="_Toc283559974"/>
      <w:r>
        <w:rPr>
          <w:rFonts w:hint="eastAsia" w:hAnsi="宋体"/>
          <w:b/>
          <w:color w:val="auto"/>
        </w:rPr>
        <w:t>7. 合同授予</w:t>
      </w:r>
      <w:bookmarkEnd w:id="50"/>
    </w:p>
    <w:p>
      <w:pPr>
        <w:autoSpaceDE w:val="0"/>
        <w:autoSpaceDN w:val="0"/>
        <w:spacing w:line="440" w:lineRule="exact"/>
        <w:jc w:val="left"/>
        <w:outlineLvl w:val="0"/>
        <w:rPr>
          <w:rFonts w:hAnsi="宋体" w:cs="宋体"/>
          <w:b/>
          <w:sz w:val="24"/>
        </w:rPr>
      </w:pPr>
      <w:bookmarkStart w:id="51" w:name="_Toc283559975"/>
      <w:r>
        <w:rPr>
          <w:rFonts w:hint="eastAsia" w:hAnsi="宋体" w:cs="宋体"/>
          <w:b/>
          <w:sz w:val="24"/>
        </w:rPr>
        <w:t>7.1 定标方式</w:t>
      </w:r>
      <w:bookmarkEnd w:id="51"/>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2" w:name="_Toc283559976"/>
      <w:r>
        <w:rPr>
          <w:rFonts w:hint="eastAsia" w:hAnsi="宋体" w:cs="宋体"/>
          <w:b/>
          <w:sz w:val="24"/>
        </w:rPr>
        <w:t>7.2 中标通知</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3"/>
      <w:bookmarkEnd w:id="54"/>
      <w:bookmarkEnd w:id="55"/>
      <w:bookmarkEnd w:id="56"/>
      <w:bookmarkStart w:id="57" w:name="_Toc283559977"/>
      <w:r>
        <w:rPr>
          <w:rFonts w:hint="eastAsia" w:hAnsi="宋体" w:cs="宋体"/>
          <w:b/>
          <w:sz w:val="24"/>
        </w:rPr>
        <w:t>3签订合同</w:t>
      </w:r>
      <w:bookmarkEnd w:id="5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int="eastAsia" w:hAnsi="宋体" w:cs="宋体"/>
          <w:b/>
          <w:sz w:val="24"/>
        </w:rPr>
        <w:t>8. 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int="eastAsia" w:hAnsi="宋体" w:cs="宋体"/>
          <w:b/>
          <w:sz w:val="24"/>
        </w:rPr>
        <w:t>8.1 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int="eastAsia" w:hAnsi="宋体" w:cs="宋体"/>
          <w:b/>
          <w:sz w:val="24"/>
        </w:rPr>
        <w:t>8.2 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1" w:name="_Toc283559981"/>
      <w:r>
        <w:rPr>
          <w:rFonts w:hint="eastAsia" w:hAnsi="宋体"/>
          <w:b/>
          <w:color w:val="auto"/>
        </w:rPr>
        <w:t>9. 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int="eastAsia" w:hAnsi="宋体" w:cs="宋体"/>
          <w:b/>
          <w:sz w:val="24"/>
        </w:rPr>
        <w:t>9.1 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int="eastAsia" w:hAnsi="宋体" w:cs="宋体"/>
          <w:b/>
          <w:sz w:val="24"/>
        </w:rPr>
        <w:t>9.2 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int="eastAsia" w:hAnsi="宋体" w:cs="宋体"/>
          <w:b/>
          <w:sz w:val="24"/>
        </w:rPr>
        <w:t>9.3 对评标委员会成员的纪律要求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int="eastAsia" w:hAnsi="宋体" w:cs="宋体"/>
          <w:b/>
          <w:sz w:val="24"/>
        </w:rPr>
        <w:t>9.4 对与评标活动有关的工作人员的纪律要求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int="eastAsia" w:hAnsi="宋体" w:cs="宋体"/>
          <w:b/>
          <w:sz w:val="24"/>
        </w:rPr>
        <w:t>9.5 投诉</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7" w:name="_Toc283559987"/>
      <w:r>
        <w:rPr>
          <w:rFonts w:hint="eastAsia" w:hAnsi="宋体"/>
          <w:b/>
          <w:color w:val="auto"/>
        </w:rPr>
        <w:t>10. 需要补充的其他内容</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b/>
          <w:bCs/>
          <w:sz w:val="36"/>
          <w:szCs w:val="36"/>
        </w:rPr>
      </w:pPr>
      <w:r>
        <w:rPr>
          <w:rFonts w:hint="eastAsia" w:hAnsi="宋体" w:cs="宋体"/>
          <w:sz w:val="24"/>
        </w:rPr>
        <w:br w:type="page"/>
      </w:r>
    </w:p>
    <w:p>
      <w:pPr>
        <w:snapToGrid w:val="0"/>
        <w:spacing w:line="360" w:lineRule="auto"/>
        <w:jc w:val="center"/>
        <w:rPr>
          <w:rFonts w:hAnsi="宋体" w:cs="宋体"/>
          <w:sz w:val="24"/>
        </w:rPr>
      </w:pPr>
      <w:bookmarkStart w:id="68" w:name="_Toc283559990"/>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8"/>
        <w:tblW w:w="92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69" w:name="_Toc273546398"/>
            <w:bookmarkStart w:id="70" w:name="_Toc295572535"/>
            <w:bookmarkStart w:id="71" w:name="_Toc272833453"/>
            <w:bookmarkStart w:id="72" w:name="_Toc270931534"/>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3"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3"/>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pPr>
        <w:spacing w:line="360" w:lineRule="auto"/>
        <w:rPr>
          <w:b/>
          <w:bCs/>
          <w:sz w:val="24"/>
          <w:szCs w:val="24"/>
        </w:rPr>
      </w:pPr>
      <w:r>
        <w:rPr>
          <w:rFonts w:hint="eastAsia" w:cs="宋体"/>
          <w:b/>
          <w:bCs/>
          <w:sz w:val="24"/>
          <w:szCs w:val="24"/>
        </w:rPr>
        <w:t>（三）综合标的评标分值（25分）</w:t>
      </w:r>
    </w:p>
    <w:tbl>
      <w:tblPr>
        <w:tblStyle w:val="18"/>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57"/>
        <w:gridCol w:w="492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24"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1457" w:type="dxa"/>
            <w:vAlign w:val="center"/>
          </w:tcPr>
          <w:p>
            <w:pPr>
              <w:jc w:val="center"/>
              <w:rPr>
                <w:rFonts w:ascii="Times New Roman"/>
                <w:color w:val="auto"/>
                <w:kern w:val="2"/>
                <w:sz w:val="21"/>
                <w:szCs w:val="21"/>
              </w:rPr>
            </w:pPr>
            <w:r>
              <w:rPr>
                <w:rFonts w:hint="eastAsia" w:ascii="Times New Roman"/>
                <w:color w:val="auto"/>
                <w:kern w:val="2"/>
                <w:sz w:val="21"/>
                <w:szCs w:val="21"/>
              </w:rPr>
              <w:t>项目</w:t>
            </w:r>
          </w:p>
        </w:tc>
        <w:tc>
          <w:tcPr>
            <w:tcW w:w="4928" w:type="dxa"/>
            <w:vAlign w:val="center"/>
          </w:tcPr>
          <w:p>
            <w:pPr>
              <w:jc w:val="center"/>
              <w:rPr>
                <w:rFonts w:ascii="Times New Roman"/>
                <w:color w:val="auto"/>
                <w:kern w:val="2"/>
                <w:sz w:val="21"/>
                <w:szCs w:val="21"/>
              </w:rPr>
            </w:pPr>
            <w:r>
              <w:rPr>
                <w:rFonts w:hint="eastAsia" w:ascii="Times New Roman"/>
                <w:color w:val="auto"/>
                <w:kern w:val="2"/>
                <w:sz w:val="21"/>
                <w:szCs w:val="21"/>
              </w:rPr>
              <w:t>评审标准</w:t>
            </w:r>
          </w:p>
        </w:tc>
        <w:tc>
          <w:tcPr>
            <w:tcW w:w="1491" w:type="dxa"/>
            <w:vAlign w:val="center"/>
          </w:tcPr>
          <w:p>
            <w:pPr>
              <w:jc w:val="center"/>
              <w:rPr>
                <w:rFonts w:ascii="Times New Roman"/>
                <w:color w:val="auto"/>
                <w:kern w:val="2"/>
                <w:sz w:val="21"/>
                <w:szCs w:val="21"/>
              </w:rPr>
            </w:pPr>
            <w:r>
              <w:rPr>
                <w:rFonts w:hint="eastAsia" w:ascii="Times New Roman"/>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企业业绩</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年1月1日以来（以合同签订时间为准）企业具有类似项目业绩者，每项得2分，最高得4分。（以</w:t>
            </w:r>
            <w:r>
              <w:rPr>
                <w:rFonts w:hint="eastAsia" w:ascii="Times New Roman"/>
                <w:color w:val="auto"/>
                <w:kern w:val="2"/>
                <w:sz w:val="21"/>
                <w:szCs w:val="21"/>
                <w:lang w:val="zh-CN"/>
              </w:rPr>
              <w:t>合同为准</w:t>
            </w:r>
            <w:r>
              <w:rPr>
                <w:rFonts w:hint="eastAsia" w:ascii="Times New Roman"/>
                <w:color w:val="auto"/>
                <w:kern w:val="2"/>
                <w:sz w:val="21"/>
                <w:szCs w:val="21"/>
              </w:rPr>
              <w:t>。）</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2</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项目负责人业绩</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年1月1日以来（以合同签订时间为准）：拟派项目负责人具有类似项目业绩者，每项得6分，最高得6分（以</w:t>
            </w:r>
            <w:r>
              <w:rPr>
                <w:rFonts w:hint="eastAsia" w:ascii="Times New Roman"/>
                <w:color w:val="auto"/>
                <w:kern w:val="2"/>
                <w:sz w:val="21"/>
                <w:szCs w:val="21"/>
                <w:lang w:val="zh-CN"/>
              </w:rPr>
              <w:t>合同为准</w:t>
            </w:r>
            <w:r>
              <w:rPr>
                <w:rFonts w:hint="eastAsia" w:ascii="Times New Roman"/>
                <w:color w:val="auto"/>
                <w:kern w:val="2"/>
                <w:sz w:val="21"/>
                <w:szCs w:val="21"/>
              </w:rPr>
              <w:t>。）</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24"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3</w:t>
            </w:r>
          </w:p>
        </w:tc>
        <w:tc>
          <w:tcPr>
            <w:tcW w:w="1457"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优惠承诺</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优惠承诺应是书面的符合工程实际情况，确保依法依规，优惠合理，详实可行。</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Merge w:val="continue"/>
            <w:vAlign w:val="center"/>
          </w:tcPr>
          <w:p>
            <w:pPr>
              <w:spacing w:line="240" w:lineRule="exact"/>
              <w:jc w:val="center"/>
              <w:rPr>
                <w:rFonts w:ascii="Times New Roman"/>
                <w:color w:val="auto"/>
                <w:kern w:val="2"/>
                <w:sz w:val="21"/>
                <w:szCs w:val="21"/>
              </w:rPr>
            </w:pPr>
          </w:p>
        </w:tc>
        <w:tc>
          <w:tcPr>
            <w:tcW w:w="1457" w:type="dxa"/>
            <w:vMerge w:val="continue"/>
            <w:vAlign w:val="center"/>
          </w:tcPr>
          <w:p>
            <w:pPr>
              <w:spacing w:line="240" w:lineRule="exact"/>
              <w:jc w:val="center"/>
              <w:rPr>
                <w:rFonts w:ascii="Times New Roman"/>
                <w:color w:val="auto"/>
                <w:kern w:val="2"/>
                <w:sz w:val="21"/>
                <w:szCs w:val="21"/>
              </w:rPr>
            </w:pP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优惠承诺符合工程实际情况，确保依法依规，优惠基本合理，基本详实可行。</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24"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4</w:t>
            </w:r>
          </w:p>
        </w:tc>
        <w:tc>
          <w:tcPr>
            <w:tcW w:w="1457"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履职尽责承诺</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24" w:type="dxa"/>
            <w:vMerge w:val="continue"/>
            <w:vAlign w:val="center"/>
          </w:tcPr>
          <w:p>
            <w:pPr>
              <w:spacing w:line="240" w:lineRule="exact"/>
              <w:jc w:val="center"/>
              <w:rPr>
                <w:rFonts w:ascii="Times New Roman"/>
                <w:color w:val="auto"/>
                <w:kern w:val="2"/>
                <w:sz w:val="21"/>
                <w:szCs w:val="21"/>
              </w:rPr>
            </w:pPr>
          </w:p>
        </w:tc>
        <w:tc>
          <w:tcPr>
            <w:tcW w:w="1457" w:type="dxa"/>
            <w:vMerge w:val="continue"/>
            <w:vAlign w:val="center"/>
          </w:tcPr>
          <w:p>
            <w:pPr>
              <w:spacing w:line="240" w:lineRule="exact"/>
              <w:jc w:val="center"/>
              <w:rPr>
                <w:rFonts w:ascii="Times New Roman"/>
                <w:color w:val="auto"/>
                <w:kern w:val="2"/>
                <w:sz w:val="21"/>
                <w:szCs w:val="21"/>
              </w:rPr>
            </w:pP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5</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企业信用（含纳税诚信）</w:t>
            </w:r>
          </w:p>
        </w:tc>
        <w:tc>
          <w:tcPr>
            <w:tcW w:w="4928" w:type="dxa"/>
            <w:vAlign w:val="center"/>
          </w:tcPr>
          <w:p>
            <w:pPr>
              <w:spacing w:line="240" w:lineRule="exact"/>
              <w:jc w:val="left"/>
              <w:rPr>
                <w:rFonts w:hint="eastAsia" w:ascii="Times New Roman"/>
                <w:color w:val="auto"/>
                <w:kern w:val="2"/>
                <w:sz w:val="21"/>
                <w:szCs w:val="21"/>
              </w:rPr>
            </w:pPr>
            <w:r>
              <w:rPr>
                <w:rFonts w:hint="eastAsia" w:ascii="Times New Roman"/>
                <w:color w:val="auto"/>
                <w:kern w:val="2"/>
                <w:sz w:val="21"/>
                <w:szCs w:val="21"/>
              </w:rPr>
              <w:t>1、提供企业所在地税务主管部门出具的纳税情况证明，纳税情况良好得</w:t>
            </w:r>
            <w:r>
              <w:rPr>
                <w:rFonts w:hint="eastAsia" w:ascii="Times New Roman"/>
                <w:color w:val="auto"/>
                <w:kern w:val="2"/>
                <w:sz w:val="21"/>
                <w:szCs w:val="21"/>
                <w:lang w:val="en-US" w:eastAsia="zh-CN"/>
              </w:rPr>
              <w:t>3</w:t>
            </w:r>
            <w:r>
              <w:rPr>
                <w:rFonts w:hint="eastAsia" w:ascii="Times New Roman"/>
                <w:color w:val="auto"/>
                <w:kern w:val="2"/>
                <w:sz w:val="21"/>
                <w:szCs w:val="21"/>
              </w:rPr>
              <w:t>分。</w:t>
            </w:r>
          </w:p>
          <w:p>
            <w:pPr>
              <w:spacing w:line="240" w:lineRule="exact"/>
              <w:jc w:val="left"/>
              <w:rPr>
                <w:rFonts w:ascii="Times New Roman"/>
                <w:color w:val="auto"/>
                <w:kern w:val="2"/>
                <w:sz w:val="21"/>
                <w:szCs w:val="21"/>
              </w:rPr>
            </w:pPr>
            <w:r>
              <w:rPr>
                <w:rFonts w:hint="eastAsia" w:ascii="Times New Roman"/>
                <w:color w:val="auto"/>
                <w:kern w:val="2"/>
                <w:sz w:val="21"/>
                <w:szCs w:val="21"/>
              </w:rPr>
              <w:t>2、企业近三年在质量或安全方面获得过地市级及以上建设行政主管部门或相关行业颁发的诚信先进或先进企业的，得</w:t>
            </w:r>
            <w:r>
              <w:rPr>
                <w:rFonts w:hint="eastAsia" w:ascii="Times New Roman"/>
                <w:color w:val="auto"/>
                <w:kern w:val="2"/>
                <w:sz w:val="21"/>
                <w:szCs w:val="21"/>
                <w:lang w:val="en-US" w:eastAsia="zh-CN"/>
              </w:rPr>
              <w:t>1</w:t>
            </w:r>
            <w:r>
              <w:rPr>
                <w:rFonts w:hint="eastAsia" w:ascii="Times New Roman"/>
                <w:color w:val="auto"/>
                <w:kern w:val="2"/>
                <w:sz w:val="21"/>
                <w:szCs w:val="21"/>
              </w:rPr>
              <w:t>分。【以证书原件扫描件为准】。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6</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项目负责人信用</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项目负责人连续三年获得过省级安全文明标准工地奖并附相关网页截图的得2分，本项最高得2分。（以有效期内的证书原件扫描件为准）。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24" w:type="dxa"/>
          </w:tcPr>
          <w:p>
            <w:pPr>
              <w:jc w:val="center"/>
              <w:rPr>
                <w:rFonts w:ascii="Times New Roman"/>
                <w:color w:val="auto"/>
                <w:kern w:val="2"/>
                <w:sz w:val="21"/>
                <w:szCs w:val="21"/>
              </w:rPr>
            </w:pPr>
            <w:r>
              <w:rPr>
                <w:rFonts w:ascii="Times New Roman"/>
                <w:color w:val="auto"/>
                <w:kern w:val="2"/>
                <w:sz w:val="21"/>
                <w:szCs w:val="21"/>
              </w:rPr>
              <w:t>7</w:t>
            </w:r>
          </w:p>
        </w:tc>
        <w:tc>
          <w:tcPr>
            <w:tcW w:w="1457"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w:t>
            </w:r>
          </w:p>
        </w:tc>
        <w:tc>
          <w:tcPr>
            <w:tcW w:w="4928"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招标人意见均为2分</w:t>
            </w:r>
          </w:p>
        </w:tc>
        <w:tc>
          <w:tcPr>
            <w:tcW w:w="1491" w:type="dxa"/>
            <w:vAlign w:val="center"/>
          </w:tcPr>
          <w:p>
            <w:pPr>
              <w:jc w:val="center"/>
              <w:rPr>
                <w:rFonts w:ascii="Times New Roman"/>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≤2</w:t>
            </w:r>
            <w:r>
              <w:rPr>
                <w:rFonts w:hint="eastAsia" w:asci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600" w:type="dxa"/>
            <w:gridSpan w:val="4"/>
            <w:vAlign w:val="center"/>
          </w:tcPr>
          <w:p>
            <w:pPr>
              <w:jc w:val="center"/>
              <w:rPr>
                <w:rFonts w:ascii="Times New Roman"/>
                <w:color w:val="auto"/>
                <w:kern w:val="2"/>
                <w:sz w:val="21"/>
                <w:szCs w:val="21"/>
              </w:rPr>
            </w:pPr>
            <w:r>
              <w:rPr>
                <w:rFonts w:hint="eastAsia" w:ascii="Times New Roman"/>
                <w:color w:val="auto"/>
                <w:kern w:val="2"/>
                <w:sz w:val="21"/>
                <w:szCs w:val="21"/>
              </w:rPr>
              <w:t>以上各项评审内容缺项不得分</w:t>
            </w:r>
          </w:p>
        </w:tc>
      </w:tr>
    </w:tbl>
    <w:p>
      <w:pPr>
        <w:snapToGrid w:val="0"/>
        <w:spacing w:line="420" w:lineRule="exact"/>
        <w:ind w:firstLine="480" w:firstLineChars="200"/>
        <w:rPr>
          <w:rFonts w:hAnsi="宋体" w:cs="宋体"/>
          <w:b/>
          <w:bCs/>
          <w:sz w:val="24"/>
        </w:rPr>
      </w:pPr>
      <w:r>
        <w:rPr>
          <w:rFonts w:hint="eastAsia" w:hAnsi="宋体" w:cs="宋体"/>
          <w:b/>
          <w:bCs/>
          <w:sz w:val="24"/>
        </w:rPr>
        <w:t>注：1）近年年份要求：201</w:t>
      </w:r>
      <w:r>
        <w:rPr>
          <w:rFonts w:hint="eastAsia" w:hAnsi="宋体" w:cs="宋体"/>
          <w:b/>
          <w:bCs/>
          <w:sz w:val="24"/>
          <w:lang w:val="en-US" w:eastAsia="zh-CN"/>
        </w:rPr>
        <w:t>7</w:t>
      </w:r>
      <w:r>
        <w:rPr>
          <w:rFonts w:hint="eastAsia" w:hAnsi="宋体" w:cs="宋体"/>
          <w:b/>
          <w:bCs/>
          <w:sz w:val="24"/>
        </w:rPr>
        <w:t>年1月1日以来；</w:t>
      </w:r>
    </w:p>
    <w:p>
      <w:pPr>
        <w:snapToGrid w:val="0"/>
        <w:spacing w:line="420" w:lineRule="exact"/>
        <w:ind w:firstLine="960" w:firstLineChars="400"/>
        <w:rPr>
          <w:rFonts w:hAnsi="宋体" w:cs="宋体"/>
          <w:b/>
          <w:bCs/>
          <w:sz w:val="24"/>
        </w:rPr>
      </w:pPr>
      <w:r>
        <w:rPr>
          <w:rFonts w:hint="eastAsia" w:hAnsi="宋体" w:cs="宋体"/>
          <w:b/>
          <w:bCs/>
          <w:sz w:val="24"/>
        </w:rPr>
        <w:t>2）类似工程：指201</w:t>
      </w:r>
      <w:r>
        <w:rPr>
          <w:rFonts w:hint="eastAsia" w:hAnsi="宋体" w:cs="宋体"/>
          <w:b/>
          <w:bCs/>
          <w:sz w:val="24"/>
          <w:lang w:val="en-US" w:eastAsia="zh-CN"/>
        </w:rPr>
        <w:t>7</w:t>
      </w:r>
      <w:r>
        <w:rPr>
          <w:rFonts w:hint="eastAsia" w:hAnsi="宋体" w:cs="宋体"/>
          <w:b/>
          <w:bCs/>
          <w:sz w:val="24"/>
        </w:rPr>
        <w:t>年1月1日以来承接过的</w:t>
      </w:r>
      <w:r>
        <w:rPr>
          <w:rFonts w:hint="eastAsia" w:hAnsi="宋体" w:cs="宋体"/>
          <w:b/>
          <w:bCs/>
          <w:sz w:val="24"/>
          <w:lang w:eastAsia="zh-CN"/>
        </w:rPr>
        <w:t>市政公用工程或电力工程</w:t>
      </w:r>
      <w:r>
        <w:rPr>
          <w:rFonts w:hint="eastAsia" w:hAnsi="宋体" w:cs="宋体"/>
          <w:b/>
          <w:bCs/>
          <w:sz w:val="24"/>
        </w:rPr>
        <w:t>；</w:t>
      </w:r>
    </w:p>
    <w:p>
      <w:pPr>
        <w:snapToGrid w:val="0"/>
        <w:spacing w:line="420" w:lineRule="exact"/>
        <w:ind w:firstLine="960" w:firstLineChars="400"/>
        <w:rPr>
          <w:rFonts w:hAnsi="宋体" w:cs="宋体"/>
          <w:b/>
          <w:bCs/>
          <w:sz w:val="24"/>
        </w:rPr>
      </w:pPr>
      <w:r>
        <w:rPr>
          <w:rFonts w:hint="eastAsia" w:hAnsi="宋体" w:cs="宋体"/>
          <w:b/>
          <w:bCs/>
          <w:sz w:val="24"/>
        </w:rPr>
        <w:t>3）业绩合同以合同签订日期为准；</w:t>
      </w:r>
    </w:p>
    <w:p>
      <w:pPr>
        <w:snapToGrid w:val="0"/>
        <w:spacing w:line="420" w:lineRule="exact"/>
        <w:ind w:firstLine="240" w:firstLineChars="100"/>
        <w:rPr>
          <w:rFonts w:hAnsi="宋体" w:cs="宋体"/>
          <w:b/>
          <w:bCs/>
          <w:sz w:val="24"/>
        </w:rPr>
      </w:pPr>
      <w:r>
        <w:rPr>
          <w:rFonts w:hint="eastAsia" w:hAnsi="宋体" w:cs="宋体"/>
          <w:b/>
          <w:bCs/>
          <w:sz w:val="24"/>
        </w:rPr>
        <w:t>（四）投标人综合得分按下列公式计算：</w:t>
      </w:r>
    </w:p>
    <w:p>
      <w:pPr>
        <w:snapToGrid w:val="0"/>
        <w:spacing w:line="420" w:lineRule="exact"/>
        <w:ind w:firstLine="960" w:firstLineChars="400"/>
        <w:rPr>
          <w:rFonts w:hAnsi="宋体" w:cs="宋体"/>
          <w:b/>
          <w:bCs/>
          <w:sz w:val="24"/>
        </w:rPr>
      </w:pPr>
      <w:r>
        <w:rPr>
          <w:rFonts w:hint="eastAsia" w:hAnsi="宋体" w:cs="宋体"/>
          <w:sz w:val="24"/>
          <w:szCs w:val="24"/>
        </w:rPr>
        <w:t>投标人综合得分＝技术标得分＋商务标得分＋综合标得分。</w:t>
      </w:r>
    </w:p>
    <w:p>
      <w:pPr>
        <w:snapToGrid w:val="0"/>
        <w:spacing w:line="420" w:lineRule="exact"/>
        <w:ind w:firstLine="240" w:firstLineChars="100"/>
        <w:rPr>
          <w:rFonts w:hAnsi="宋体" w:cs="宋体"/>
          <w:b/>
          <w:bCs/>
          <w:sz w:val="24"/>
        </w:rPr>
      </w:pPr>
      <w:r>
        <w:rPr>
          <w:rFonts w:hint="eastAsia" w:hAnsi="宋体" w:cs="宋体"/>
          <w:b/>
          <w:bCs/>
          <w:sz w:val="24"/>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1.评标委员会完成对技术标、商务标和综合标的汇总后，从中去掉一个最高分和一个最低分，取平均值作为该投标人的最终得分。计算分值均保留两位小数。</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4" w:name="_Toc23277"/>
      <w:r>
        <w:rPr>
          <w:rFonts w:hint="eastAsia" w:ascii="新宋体" w:eastAsia="新宋体"/>
          <w:b/>
          <w:szCs w:val="24"/>
        </w:rPr>
        <w:t>九、评标报告</w:t>
      </w:r>
      <w:bookmarkEnd w:id="74"/>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5" w:name="_Toc8686"/>
      <w:r>
        <w:rPr>
          <w:rFonts w:hint="eastAsia" w:ascii="新宋体" w:eastAsia="新宋体"/>
          <w:b/>
        </w:rPr>
        <w:t>十、</w:t>
      </w:r>
      <w:r>
        <w:rPr>
          <w:rFonts w:hint="eastAsia" w:ascii="新宋体" w:eastAsia="新宋体"/>
          <w:b/>
          <w:szCs w:val="24"/>
        </w:rPr>
        <w:t>公示</w:t>
      </w:r>
      <w:bookmarkEnd w:id="75"/>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spacing w:beforeLines="100" w:afterLines="100" w:line="400" w:lineRule="exact"/>
        <w:rPr>
          <w:rFonts w:hAnsi="宋体" w:cs="宋体"/>
          <w:sz w:val="24"/>
        </w:rPr>
      </w:pPr>
    </w:p>
    <w:p>
      <w:pPr>
        <w:spacing w:beforeLines="100" w:afterLines="100" w:line="400" w:lineRule="exact"/>
        <w:rPr>
          <w:rFonts w:hint="eastAsia"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adjustRightInd w:val="0"/>
        <w:snapToGrid w:val="0"/>
        <w:spacing w:line="440" w:lineRule="exact"/>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jc w:val="center"/>
        <w:rPr>
          <w:rFonts w:hAnsi="宋体" w:cs="宋体"/>
          <w:b/>
          <w:sz w:val="36"/>
          <w:szCs w:val="36"/>
        </w:rPr>
      </w:pPr>
    </w:p>
    <w:p>
      <w:pPr>
        <w:adjustRightInd w:val="0"/>
        <w:snapToGrid w:val="0"/>
        <w:spacing w:line="440" w:lineRule="exact"/>
        <w:jc w:val="center"/>
        <w:rPr>
          <w:rFonts w:hAnsi="宋体" w:cs="宋体"/>
          <w:b/>
          <w:sz w:val="36"/>
          <w:szCs w:val="36"/>
        </w:rPr>
      </w:pPr>
      <w:r>
        <w:rPr>
          <w:rFonts w:hint="eastAsia" w:hAnsi="宋体" w:cs="宋体"/>
          <w:b/>
          <w:sz w:val="36"/>
          <w:szCs w:val="36"/>
        </w:rPr>
        <w:t>第四章 合同条款</w:t>
      </w:r>
      <w:bookmarkEnd w:id="68"/>
    </w:p>
    <w:p>
      <w:pPr>
        <w:tabs>
          <w:tab w:val="left" w:pos="5000"/>
        </w:tabs>
        <w:spacing w:line="360" w:lineRule="auto"/>
        <w:ind w:firstLine="490"/>
        <w:rPr>
          <w:rFonts w:hAnsi="宋体" w:cs="宋体"/>
          <w:bCs/>
          <w:sz w:val="28"/>
          <w:szCs w:val="28"/>
        </w:rPr>
      </w:pPr>
      <w:bookmarkStart w:id="76"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6"/>
      <w:bookmarkStart w:id="77"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pStyle w:val="2"/>
        <w:ind w:firstLine="340"/>
      </w:pPr>
    </w:p>
    <w:p>
      <w:pPr>
        <w:pStyle w:val="2"/>
        <w:ind w:firstLine="340"/>
      </w:pPr>
    </w:p>
    <w:p>
      <w:pPr>
        <w:autoSpaceDE w:val="0"/>
        <w:autoSpaceDN w:val="0"/>
        <w:adjustRightInd w:val="0"/>
        <w:jc w:val="center"/>
        <w:outlineLvl w:val="0"/>
        <w:rPr>
          <w:rFonts w:hAnsi="宋体" w:cs="宋体"/>
          <w:b/>
          <w:sz w:val="36"/>
          <w:szCs w:val="36"/>
        </w:rPr>
      </w:pPr>
    </w:p>
    <w:p>
      <w:pPr>
        <w:pStyle w:val="2"/>
        <w:ind w:firstLine="340"/>
      </w:pPr>
    </w:p>
    <w:p>
      <w:pPr>
        <w:pStyle w:val="2"/>
        <w:ind w:firstLine="340"/>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 本招标文件。</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(2)《建设工程工程量清单计价规范2013》及《河南省房屋建筑与装饰工程预算定额》（HA01-31-2016）、《河南省</w:t>
      </w:r>
      <w:r>
        <w:rPr>
          <w:rFonts w:hint="eastAsia" w:hAnsi="宋体" w:cs="宋体"/>
          <w:sz w:val="24"/>
          <w:lang w:eastAsia="zh-CN"/>
        </w:rPr>
        <w:t>市政工程</w:t>
      </w:r>
      <w:r>
        <w:rPr>
          <w:rFonts w:hint="eastAsia" w:hAnsi="宋体" w:cs="宋体"/>
          <w:sz w:val="24"/>
        </w:rPr>
        <w:t>工程预算定额》（HA</w:t>
      </w:r>
      <w:r>
        <w:rPr>
          <w:rFonts w:hint="eastAsia" w:hAnsi="宋体" w:cs="宋体"/>
          <w:sz w:val="24"/>
          <w:lang w:val="en-US" w:eastAsia="zh-CN"/>
        </w:rPr>
        <w:t>A1</w:t>
      </w:r>
      <w:r>
        <w:rPr>
          <w:rFonts w:hint="eastAsia" w:hAnsi="宋体" w:cs="宋体"/>
          <w:sz w:val="24"/>
        </w:rPr>
        <w:t>-31-2016）及相关配套文件的规定。</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（3）材料价按《许昌工程造价信息》</w:t>
      </w:r>
      <w:r>
        <w:rPr>
          <w:rFonts w:hint="eastAsia" w:hAnsi="宋体" w:cs="宋体"/>
          <w:sz w:val="24"/>
          <w:lang w:eastAsia="zh-CN"/>
        </w:rPr>
        <w:t>（</w:t>
      </w:r>
      <w:r>
        <w:rPr>
          <w:rFonts w:hint="eastAsia" w:hAnsi="宋体" w:cs="宋体"/>
          <w:sz w:val="24"/>
          <w:lang w:val="en-US" w:eastAsia="zh-CN"/>
        </w:rPr>
        <w:t>2019年10月</w:t>
      </w:r>
      <w:r>
        <w:rPr>
          <w:rFonts w:hint="eastAsia" w:hAnsi="宋体" w:cs="宋体"/>
          <w:sz w:val="24"/>
          <w:lang w:eastAsia="zh-CN"/>
        </w:rPr>
        <w:t>）指导价及有关配套文件</w:t>
      </w:r>
      <w:r>
        <w:rPr>
          <w:rFonts w:hint="eastAsia" w:hAnsi="宋体" w:cs="宋体"/>
          <w:sz w:val="24"/>
        </w:rPr>
        <w:t>。</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（4）人工费调整按豫建标定【2019】26号文执行。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8"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 xml:space="preserve">  元（如有则填）</w:t>
      </w:r>
    </w:p>
    <w:p>
      <w:pPr>
        <w:spacing w:line="480" w:lineRule="exact"/>
        <w:ind w:firstLine="960" w:firstLineChars="400"/>
        <w:rPr>
          <w:rFonts w:hAnsi="宋体" w:cs="宋体"/>
          <w:sz w:val="24"/>
        </w:rPr>
      </w:pPr>
      <w:r>
        <w:rPr>
          <w:rFonts w:hint="eastAsia" w:hAnsi="宋体" w:cs="宋体"/>
          <w:sz w:val="24"/>
        </w:rPr>
        <w:t>专业暂估价RMB￥：</w:t>
      </w:r>
      <w:r>
        <w:rPr>
          <w:rFonts w:hint="eastAsia" w:hAnsi="宋体" w:cs="宋体"/>
          <w:sz w:val="24"/>
          <w:u w:val="single"/>
        </w:rPr>
        <w:t xml:space="preserve">       </w:t>
      </w:r>
      <w:r>
        <w:rPr>
          <w:rFonts w:hint="eastAsia" w:hAnsi="宋体" w:cs="宋体"/>
          <w:sz w:val="24"/>
        </w:rPr>
        <w:t xml:space="preserve"> 元（如有则填）</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bookmarkStart w:id="80" w:name="_Toc250616672"/>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1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 xml:space="preserve">  元（如有则填）</w:t>
            </w:r>
          </w:p>
          <w:p>
            <w:pPr>
              <w:spacing w:line="480" w:lineRule="exact"/>
              <w:rPr>
                <w:rFonts w:hAnsi="宋体" w:cs="宋体"/>
                <w:sz w:val="24"/>
              </w:rPr>
            </w:pPr>
            <w:r>
              <w:rPr>
                <w:rFonts w:hint="eastAsia" w:hAnsi="宋体" w:cs="宋体"/>
                <w:sz w:val="24"/>
              </w:rPr>
              <w:t>专业暂估价RMB￥：</w:t>
            </w:r>
            <w:r>
              <w:rPr>
                <w:rFonts w:hint="eastAsia" w:hAnsi="宋体" w:cs="宋体"/>
                <w:sz w:val="24"/>
                <w:u w:val="single"/>
              </w:rPr>
              <w:t xml:space="preserve">       </w:t>
            </w:r>
            <w:r>
              <w:rPr>
                <w:rFonts w:hint="eastAsia" w:hAnsi="宋体" w:cs="宋体"/>
                <w:sz w:val="24"/>
              </w:rPr>
              <w:t xml:space="preserve"> 元（如有则填）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宋体"/>
          <w:b/>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b/>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8"/>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3020" w:firstLineChars="944"/>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1" w:type="first"/>
      <w:headerReference r:id="rId9" w:type="defaul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AdV37gBAABU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3031490</wp:posOffset>
              </wp:positionH>
              <wp:positionV relativeFrom="paragraph">
                <wp:posOffset>0</wp:posOffset>
              </wp:positionV>
              <wp:extent cx="342900" cy="214630"/>
              <wp:effectExtent l="0" t="0" r="0" b="0"/>
              <wp:wrapNone/>
              <wp:docPr id="4" name="文本框 6"/>
              <wp:cNvGraphicFramePr/>
              <a:graphic xmlns:a="http://schemas.openxmlformats.org/drawingml/2006/main">
                <a:graphicData uri="http://schemas.microsoft.com/office/word/2010/wordprocessingShape">
                  <wps:wsp>
                    <wps:cNvSpPr txBox="1"/>
                    <wps:spPr>
                      <a:xfrm>
                        <a:off x="0" y="0"/>
                        <a:ext cx="342900" cy="21463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6" o:spid="_x0000_s1026" o:spt="202" type="#_x0000_t202" style="position:absolute;left:0pt;margin-left:238.7pt;margin-top:0pt;height:16.9pt;width:27pt;mso-position-horizontal-relative:margin;z-index:251659264;mso-width-relative:page;mso-height-relative:page;" filled="f" stroked="f" coordsize="21600,21600"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Ah7Bh1gAAAAcBAAAP&#10;AAAAAAAAAAEAIAAAACIAAABkcnMvZG93bnJldi54bWxQSwECFAAUAAAACACHTuJA9iJ/DKgBAAAt&#10;AwAADgAAAAAAAAABACAAAAAlAQAAZHJzL2Uyb0RvYy54bWxQSwUGAAAAAAYABgBZAQAAPwUA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4D1LgBAABV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hzXOzWYrDavhyGAF7Q6J9bgCjDrcUUrMrUOF87aMRhiN1WhsfNDrDnuclnrR&#10;f94k7KY0mSscYI+FcXaF5nHP8nL87Zes89+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b4D1LgBAABV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u w:val="single"/>
      </w:rPr>
      <w:t xml:space="preserve">许昌市魏都区西大街道办事处“62号院等19个老旧小区基础设施改造项目”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r>
      <w:rPr>
        <w:rFonts w:hint="eastAsia" w:hAnsi="宋体" w:cs="宋体"/>
        <w:b/>
        <w:sz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4F3C"/>
    <w:rsid w:val="0007755C"/>
    <w:rsid w:val="00081130"/>
    <w:rsid w:val="000914B6"/>
    <w:rsid w:val="00095A17"/>
    <w:rsid w:val="000A2055"/>
    <w:rsid w:val="000A4B94"/>
    <w:rsid w:val="000A4E4D"/>
    <w:rsid w:val="000A674C"/>
    <w:rsid w:val="000A6F5F"/>
    <w:rsid w:val="000B2183"/>
    <w:rsid w:val="000B4A65"/>
    <w:rsid w:val="000B59D3"/>
    <w:rsid w:val="000B71DA"/>
    <w:rsid w:val="000C40D4"/>
    <w:rsid w:val="000E2401"/>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7A3D"/>
    <w:rsid w:val="00184B91"/>
    <w:rsid w:val="00190CA3"/>
    <w:rsid w:val="00195F13"/>
    <w:rsid w:val="00197E54"/>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23E1"/>
    <w:rsid w:val="0020445D"/>
    <w:rsid w:val="00205103"/>
    <w:rsid w:val="002063D3"/>
    <w:rsid w:val="00211F09"/>
    <w:rsid w:val="002120C1"/>
    <w:rsid w:val="00212912"/>
    <w:rsid w:val="00216D61"/>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6A88"/>
    <w:rsid w:val="00355398"/>
    <w:rsid w:val="00360DF3"/>
    <w:rsid w:val="00361726"/>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44E27"/>
    <w:rsid w:val="0045679A"/>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A49AE"/>
    <w:rsid w:val="006B072C"/>
    <w:rsid w:val="006B0E39"/>
    <w:rsid w:val="006B1BA3"/>
    <w:rsid w:val="006B5271"/>
    <w:rsid w:val="006B651C"/>
    <w:rsid w:val="006B7778"/>
    <w:rsid w:val="006C0399"/>
    <w:rsid w:val="006C1CE6"/>
    <w:rsid w:val="006C3964"/>
    <w:rsid w:val="006C4C28"/>
    <w:rsid w:val="006C5CC9"/>
    <w:rsid w:val="006D04E7"/>
    <w:rsid w:val="006D5D6D"/>
    <w:rsid w:val="006D682C"/>
    <w:rsid w:val="006E08B6"/>
    <w:rsid w:val="006E0BDF"/>
    <w:rsid w:val="006E1E8D"/>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6287"/>
    <w:rsid w:val="008E640B"/>
    <w:rsid w:val="008E6A24"/>
    <w:rsid w:val="008F6D84"/>
    <w:rsid w:val="0090127E"/>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9EB"/>
    <w:rsid w:val="00AE07B7"/>
    <w:rsid w:val="00AE1046"/>
    <w:rsid w:val="00AE1A2D"/>
    <w:rsid w:val="00AE26F5"/>
    <w:rsid w:val="00AF1136"/>
    <w:rsid w:val="00AF1A3A"/>
    <w:rsid w:val="00AF431D"/>
    <w:rsid w:val="00B1556F"/>
    <w:rsid w:val="00B22804"/>
    <w:rsid w:val="00B2280C"/>
    <w:rsid w:val="00B23CFE"/>
    <w:rsid w:val="00B258EF"/>
    <w:rsid w:val="00B31840"/>
    <w:rsid w:val="00B325AC"/>
    <w:rsid w:val="00B335B8"/>
    <w:rsid w:val="00B354CE"/>
    <w:rsid w:val="00B36DE9"/>
    <w:rsid w:val="00B37DBE"/>
    <w:rsid w:val="00B41467"/>
    <w:rsid w:val="00B43078"/>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CD"/>
    <w:rsid w:val="00CE6A99"/>
    <w:rsid w:val="00CF1BCA"/>
    <w:rsid w:val="00CF52F7"/>
    <w:rsid w:val="00CF5735"/>
    <w:rsid w:val="00D0063D"/>
    <w:rsid w:val="00D022CD"/>
    <w:rsid w:val="00D0555A"/>
    <w:rsid w:val="00D05BAA"/>
    <w:rsid w:val="00D14155"/>
    <w:rsid w:val="00D36BF8"/>
    <w:rsid w:val="00D55744"/>
    <w:rsid w:val="00D62E94"/>
    <w:rsid w:val="00D6681E"/>
    <w:rsid w:val="00D70280"/>
    <w:rsid w:val="00D7522A"/>
    <w:rsid w:val="00D77007"/>
    <w:rsid w:val="00D91EF8"/>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391A"/>
    <w:rsid w:val="00E05C9F"/>
    <w:rsid w:val="00E06B87"/>
    <w:rsid w:val="00E12124"/>
    <w:rsid w:val="00E25A77"/>
    <w:rsid w:val="00E31005"/>
    <w:rsid w:val="00E4008C"/>
    <w:rsid w:val="00E5156C"/>
    <w:rsid w:val="00E52957"/>
    <w:rsid w:val="00E52DAF"/>
    <w:rsid w:val="00E54195"/>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7C03"/>
    <w:rsid w:val="00F65359"/>
    <w:rsid w:val="00F65C07"/>
    <w:rsid w:val="00F67A2C"/>
    <w:rsid w:val="00F80A81"/>
    <w:rsid w:val="00F83385"/>
    <w:rsid w:val="00F844C2"/>
    <w:rsid w:val="00F8516B"/>
    <w:rsid w:val="00F943E9"/>
    <w:rsid w:val="00F9449A"/>
    <w:rsid w:val="00F95ABF"/>
    <w:rsid w:val="00F95E08"/>
    <w:rsid w:val="00FD27E3"/>
    <w:rsid w:val="00FD5B29"/>
    <w:rsid w:val="00FE4A3E"/>
    <w:rsid w:val="00FF0E62"/>
    <w:rsid w:val="01DB434E"/>
    <w:rsid w:val="025A1A0E"/>
    <w:rsid w:val="03253C4A"/>
    <w:rsid w:val="03F970F0"/>
    <w:rsid w:val="05B347DC"/>
    <w:rsid w:val="06C47A51"/>
    <w:rsid w:val="06E835F7"/>
    <w:rsid w:val="07E778CA"/>
    <w:rsid w:val="08CA67DF"/>
    <w:rsid w:val="08F576CB"/>
    <w:rsid w:val="0A4866D0"/>
    <w:rsid w:val="0A8E6F0E"/>
    <w:rsid w:val="0A9A38CE"/>
    <w:rsid w:val="0B0010DA"/>
    <w:rsid w:val="0B4C6956"/>
    <w:rsid w:val="0BAC12EB"/>
    <w:rsid w:val="0CAE38C3"/>
    <w:rsid w:val="0D8116DE"/>
    <w:rsid w:val="0D9065DF"/>
    <w:rsid w:val="0DF52C1B"/>
    <w:rsid w:val="0E274A96"/>
    <w:rsid w:val="0E4D3374"/>
    <w:rsid w:val="0EB217EF"/>
    <w:rsid w:val="0F3930AA"/>
    <w:rsid w:val="0FDD387F"/>
    <w:rsid w:val="0FE557E4"/>
    <w:rsid w:val="10085E52"/>
    <w:rsid w:val="11623F9C"/>
    <w:rsid w:val="13CC49C6"/>
    <w:rsid w:val="14407B2F"/>
    <w:rsid w:val="14D972B5"/>
    <w:rsid w:val="14EC08FF"/>
    <w:rsid w:val="151E2293"/>
    <w:rsid w:val="156E75B8"/>
    <w:rsid w:val="159627BF"/>
    <w:rsid w:val="15AC6033"/>
    <w:rsid w:val="1600080D"/>
    <w:rsid w:val="16E3391D"/>
    <w:rsid w:val="1769612C"/>
    <w:rsid w:val="176C0E13"/>
    <w:rsid w:val="17E111D2"/>
    <w:rsid w:val="18B063A0"/>
    <w:rsid w:val="19DE0663"/>
    <w:rsid w:val="1A6627AB"/>
    <w:rsid w:val="1A8C3E4C"/>
    <w:rsid w:val="1AC14286"/>
    <w:rsid w:val="1ADA0CB9"/>
    <w:rsid w:val="1BB07F17"/>
    <w:rsid w:val="1C063260"/>
    <w:rsid w:val="1C834951"/>
    <w:rsid w:val="1CE276BD"/>
    <w:rsid w:val="1D004958"/>
    <w:rsid w:val="1D726CFF"/>
    <w:rsid w:val="1EB9143E"/>
    <w:rsid w:val="1F0E36CA"/>
    <w:rsid w:val="203866A1"/>
    <w:rsid w:val="206742E9"/>
    <w:rsid w:val="2119095A"/>
    <w:rsid w:val="21421D01"/>
    <w:rsid w:val="21784572"/>
    <w:rsid w:val="217D427D"/>
    <w:rsid w:val="220075A0"/>
    <w:rsid w:val="223B5597"/>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DF806F1"/>
    <w:rsid w:val="2E7653E1"/>
    <w:rsid w:val="2F3A012D"/>
    <w:rsid w:val="2FFD3C00"/>
    <w:rsid w:val="30D23E37"/>
    <w:rsid w:val="30E64908"/>
    <w:rsid w:val="30F03510"/>
    <w:rsid w:val="32D53070"/>
    <w:rsid w:val="3427237C"/>
    <w:rsid w:val="343B2BE1"/>
    <w:rsid w:val="343C7DB6"/>
    <w:rsid w:val="350E4C40"/>
    <w:rsid w:val="35254EA4"/>
    <w:rsid w:val="358E19EB"/>
    <w:rsid w:val="35DC23A2"/>
    <w:rsid w:val="375271E8"/>
    <w:rsid w:val="37B71904"/>
    <w:rsid w:val="3945175B"/>
    <w:rsid w:val="39D40903"/>
    <w:rsid w:val="3A4820C8"/>
    <w:rsid w:val="3A4C2479"/>
    <w:rsid w:val="3AC55F82"/>
    <w:rsid w:val="3C526FDA"/>
    <w:rsid w:val="3E052E0D"/>
    <w:rsid w:val="3E0C767D"/>
    <w:rsid w:val="3E9D677D"/>
    <w:rsid w:val="3EDE5F9D"/>
    <w:rsid w:val="3F4D647A"/>
    <w:rsid w:val="3F557D77"/>
    <w:rsid w:val="3F653ECD"/>
    <w:rsid w:val="40B1193E"/>
    <w:rsid w:val="40C5430D"/>
    <w:rsid w:val="40EF27CC"/>
    <w:rsid w:val="41145E73"/>
    <w:rsid w:val="41A24648"/>
    <w:rsid w:val="42B750E0"/>
    <w:rsid w:val="42E171A3"/>
    <w:rsid w:val="43AB669C"/>
    <w:rsid w:val="44C73DB6"/>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94CED"/>
    <w:rsid w:val="52CB4273"/>
    <w:rsid w:val="5477406D"/>
    <w:rsid w:val="55272503"/>
    <w:rsid w:val="554B55F7"/>
    <w:rsid w:val="559558C2"/>
    <w:rsid w:val="56362A84"/>
    <w:rsid w:val="566A5FED"/>
    <w:rsid w:val="56BD391A"/>
    <w:rsid w:val="56E35A9C"/>
    <w:rsid w:val="58140E50"/>
    <w:rsid w:val="59120F59"/>
    <w:rsid w:val="591D3BA7"/>
    <w:rsid w:val="596E7B6E"/>
    <w:rsid w:val="5A826B2E"/>
    <w:rsid w:val="5AA9798C"/>
    <w:rsid w:val="5B244A5A"/>
    <w:rsid w:val="5B621989"/>
    <w:rsid w:val="5B74382F"/>
    <w:rsid w:val="5BE05BAB"/>
    <w:rsid w:val="5C691376"/>
    <w:rsid w:val="5C7134DE"/>
    <w:rsid w:val="5C8C6A48"/>
    <w:rsid w:val="5CAF735A"/>
    <w:rsid w:val="5E352002"/>
    <w:rsid w:val="5E8C3D9E"/>
    <w:rsid w:val="5F1C7AED"/>
    <w:rsid w:val="5F90413A"/>
    <w:rsid w:val="60565855"/>
    <w:rsid w:val="60CA64EE"/>
    <w:rsid w:val="60F56473"/>
    <w:rsid w:val="60F86FD4"/>
    <w:rsid w:val="610A4B5F"/>
    <w:rsid w:val="616E4CF3"/>
    <w:rsid w:val="61C663C7"/>
    <w:rsid w:val="61ED3E3C"/>
    <w:rsid w:val="6235073D"/>
    <w:rsid w:val="633B3EAB"/>
    <w:rsid w:val="63B35027"/>
    <w:rsid w:val="63CC1250"/>
    <w:rsid w:val="647916AF"/>
    <w:rsid w:val="64B31810"/>
    <w:rsid w:val="650D1C96"/>
    <w:rsid w:val="6514181E"/>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8B52F60"/>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Body Text First Indent 2"/>
    <w:basedOn w:val="7"/>
    <w:next w:val="1"/>
    <w:qFormat/>
    <w:uiPriority w:val="99"/>
    <w:pPr>
      <w:ind w:firstLine="420" w:firstLineChars="2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hAnsi="宋体" w:cs="宋体"/>
      <w:sz w:val="24"/>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table" w:styleId="19">
    <w:name w:val="Table Grid"/>
    <w:basedOn w:val="1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hover25"/>
    <w:basedOn w:val="13"/>
    <w:qFormat/>
    <w:uiPriority w:val="0"/>
  </w:style>
  <w:style w:type="character" w:customStyle="1" w:styleId="27">
    <w:name w:val="green"/>
    <w:basedOn w:val="13"/>
    <w:qFormat/>
    <w:uiPriority w:val="0"/>
    <w:rPr>
      <w:color w:val="66AE00"/>
      <w:sz w:val="18"/>
      <w:szCs w:val="18"/>
    </w:rPr>
  </w:style>
  <w:style w:type="character" w:customStyle="1" w:styleId="28">
    <w:name w:val="green1"/>
    <w:basedOn w:val="13"/>
    <w:qFormat/>
    <w:uiPriority w:val="0"/>
    <w:rPr>
      <w:color w:val="66AE00"/>
      <w:sz w:val="18"/>
      <w:szCs w:val="18"/>
    </w:rPr>
  </w:style>
  <w:style w:type="character" w:customStyle="1" w:styleId="29">
    <w:name w:val="blue"/>
    <w:basedOn w:val="13"/>
    <w:qFormat/>
    <w:uiPriority w:val="0"/>
    <w:rPr>
      <w:color w:val="0371C6"/>
      <w:sz w:val="21"/>
      <w:szCs w:val="21"/>
    </w:rPr>
  </w:style>
  <w:style w:type="character" w:customStyle="1" w:styleId="30">
    <w:name w:val="gb-jt"/>
    <w:basedOn w:val="13"/>
    <w:qFormat/>
    <w:uiPriority w:val="0"/>
  </w:style>
  <w:style w:type="character" w:customStyle="1" w:styleId="31">
    <w:name w:val="right"/>
    <w:basedOn w:val="13"/>
    <w:qFormat/>
    <w:uiPriority w:val="0"/>
    <w:rPr>
      <w:color w:val="999999"/>
      <w:sz w:val="18"/>
      <w:szCs w:val="18"/>
    </w:rPr>
  </w:style>
  <w:style w:type="character" w:customStyle="1" w:styleId="32">
    <w:name w:val="标题 2 Char"/>
    <w:basedOn w:val="13"/>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3"/>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5649</Words>
  <Characters>32203</Characters>
  <Lines>268</Lines>
  <Paragraphs>75</Paragraphs>
  <TotalTime>26</TotalTime>
  <ScaleCrop>false</ScaleCrop>
  <LinksUpToDate>false</LinksUpToDate>
  <CharactersWithSpaces>37777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河南建标工程管理有限公司:姚争妍1</cp:lastModifiedBy>
  <cp:lastPrinted>2020-04-17T01:46:00Z</cp:lastPrinted>
  <dcterms:modified xsi:type="dcterms:W3CDTF">2020-04-17T06:44:25Z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