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82" w:firstLineChars="100"/>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禹州市民政局</w:t>
      </w:r>
    </w:p>
    <w:p>
      <w:pPr>
        <w:ind w:firstLine="482" w:firstLineChars="100"/>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编码制作安装乡镇二维码门牌采购项目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宋体" w:hAnsi="宋体" w:eastAsia="宋体" w:cs="宋体"/>
          <w:sz w:val="36"/>
          <w:szCs w:val="36"/>
          <w:lang w:val="en-US" w:eastAsia="zh-CN"/>
        </w:rPr>
      </w:pPr>
      <w:r>
        <w:rPr>
          <w:rFonts w:hint="eastAsia" w:ascii="宋体" w:hAnsi="宋体" w:eastAsia="宋体" w:cs="宋体"/>
          <w:b/>
          <w:bCs/>
          <w:sz w:val="36"/>
          <w:szCs w:val="36"/>
        </w:rPr>
        <w:t xml:space="preserve">     </w:t>
      </w:r>
      <w:r>
        <w:rPr>
          <w:rFonts w:hint="eastAsia" w:ascii="宋体" w:hAnsi="宋体" w:eastAsia="宋体" w:cs="宋体"/>
          <w:sz w:val="36"/>
          <w:szCs w:val="36"/>
        </w:rPr>
        <w:t xml:space="preserve"> 项目编号：YZCG-T20</w:t>
      </w:r>
      <w:r>
        <w:rPr>
          <w:rFonts w:hint="eastAsia" w:ascii="宋体" w:hAnsi="宋体" w:eastAsia="宋体" w:cs="宋体"/>
          <w:sz w:val="36"/>
          <w:szCs w:val="36"/>
          <w:lang w:val="en-US" w:eastAsia="zh-CN"/>
        </w:rPr>
        <w:t>20065</w:t>
      </w:r>
    </w:p>
    <w:p>
      <w:pPr>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rPr>
        <w:t>采购单位：</w:t>
      </w:r>
      <w:r>
        <w:rPr>
          <w:rFonts w:hint="eastAsia" w:ascii="宋体" w:hAnsi="宋体" w:eastAsia="宋体" w:cs="宋体"/>
          <w:sz w:val="36"/>
          <w:szCs w:val="36"/>
          <w:lang w:val="en-US" w:eastAsia="zh-CN"/>
        </w:rPr>
        <w:t>禹州市民政局</w:t>
      </w:r>
    </w:p>
    <w:p>
      <w:pPr>
        <w:ind w:firstLine="1080" w:firstLineChars="300"/>
        <w:rPr>
          <w:rFonts w:ascii="宋体" w:hAnsi="宋体" w:eastAsia="宋体" w:cs="宋体"/>
          <w:sz w:val="36"/>
          <w:szCs w:val="36"/>
        </w:rPr>
      </w:pPr>
      <w:r>
        <w:rPr>
          <w:rFonts w:hint="eastAsia" w:ascii="宋体" w:hAnsi="宋体" w:eastAsia="宋体" w:cs="宋体"/>
          <w:sz w:val="36"/>
          <w:szCs w:val="36"/>
        </w:rPr>
        <w:t>代理机构：禹州市政府采购中心</w:t>
      </w:r>
    </w:p>
    <w:p>
      <w:pPr>
        <w:rPr>
          <w:rFonts w:ascii="宋体" w:hAnsi="宋体" w:eastAsia="宋体" w:cs="宋体"/>
          <w:b/>
          <w:bCs/>
          <w:sz w:val="36"/>
          <w:szCs w:val="36"/>
        </w:rPr>
      </w:pPr>
    </w:p>
    <w:p>
      <w:pPr>
        <w:pStyle w:val="22"/>
        <w:ind w:firstLine="340"/>
      </w:pPr>
    </w:p>
    <w:p>
      <w:pPr>
        <w:jc w:val="center"/>
        <w:rPr>
          <w:rFonts w:ascii="宋体" w:hAnsi="宋体" w:eastAsia="宋体" w:cs="宋体"/>
          <w:b/>
          <w:bCs/>
          <w:sz w:val="36"/>
          <w:szCs w:val="36"/>
        </w:rPr>
      </w:pPr>
      <w:r>
        <w:rPr>
          <w:rFonts w:hint="eastAsia" w:ascii="宋体" w:hAnsi="宋体" w:eastAsia="宋体" w:cs="宋体"/>
          <w:b/>
          <w:bCs/>
          <w:sz w:val="36"/>
          <w:szCs w:val="36"/>
        </w:rPr>
        <w:t>二〇二〇年</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五、谈判和评审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numPr>
          <w:ilvl w:val="0"/>
          <w:numId w:val="4"/>
        </w:numPr>
        <w:jc w:val="center"/>
        <w:rPr>
          <w:rFonts w:ascii="宋体" w:hAnsi="宋体" w:eastAsia="宋体" w:cs="宋体"/>
          <w:b/>
          <w:kern w:val="0"/>
          <w:sz w:val="32"/>
          <w:szCs w:val="32"/>
        </w:rPr>
      </w:pPr>
      <w:r>
        <w:rPr>
          <w:rFonts w:hint="eastAsia" w:ascii="宋体" w:hAnsi="宋体" w:eastAsia="宋体" w:cs="宋体"/>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禹州市民政局编码制作安装乡镇二维码门牌采购项目</w:t>
      </w:r>
    </w:p>
    <w:p>
      <w:pPr>
        <w:spacing w:line="600" w:lineRule="exact"/>
        <w:jc w:val="center"/>
        <w:rPr>
          <w:rFonts w:hint="eastAsia" w:eastAsia="宋体"/>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禹州市民政局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禹州市民政局编码制作安装乡镇二维码门牌采购项目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禹州市民政局</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禹州市民政局编码制作安装乡镇二维码门牌采购项目</w:t>
      </w:r>
    </w:p>
    <w:p>
      <w:pPr>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20065</w:t>
      </w:r>
      <w:r>
        <w:rPr>
          <w:rFonts w:hint="eastAsia" w:ascii="新宋体" w:hAnsi="新宋体" w:eastAsia="新宋体" w:cs="新宋体"/>
          <w:sz w:val="24"/>
          <w:szCs w:val="24"/>
          <w:lang w:val="en-US" w:eastAsia="zh-CN"/>
        </w:rPr>
        <w:tab/>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编码制作安装乡镇二维码门牌</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54.23</w:t>
      </w:r>
      <w:r>
        <w:rPr>
          <w:rFonts w:hint="eastAsia" w:ascii="新宋体" w:hAnsi="新宋体" w:eastAsia="新宋体" w:cs="新宋体"/>
          <w:sz w:val="24"/>
          <w:szCs w:val="24"/>
        </w:rPr>
        <w:t>万元</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1、符合《政府采购法》第二十二条之规定，供应商须具有独立法人资格及相应的经营范围（营业执照经营范围须具有地名标识牌制作、安装、门牌信息服务及相关技术服务等经营范围）；</w:t>
      </w:r>
    </w:p>
    <w:p>
      <w:pPr>
        <w:numPr>
          <w:ilvl w:val="0"/>
          <w:numId w:val="5"/>
        </w:numPr>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被委托人须是本单位职工，须提供公司为本人缴纳社会保险证明；</w:t>
      </w:r>
    </w:p>
    <w:p>
      <w:pPr>
        <w:numPr>
          <w:ilvl w:val="0"/>
          <w:numId w:val="0"/>
        </w:num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9 ：00 </w:t>
      </w:r>
      <w:r>
        <w:rPr>
          <w:rFonts w:hint="eastAsia" w:ascii="新宋体" w:hAnsi="新宋体" w:eastAsia="新宋体" w:cs="新宋体"/>
          <w:sz w:val="24"/>
          <w:szCs w:val="24"/>
        </w:rPr>
        <w:t>（北京时间），逾期送达或不符合规定的投标文件不予接受。</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val="en-US" w:eastAsia="zh-CN"/>
        </w:rPr>
        <w:t>禹州市民政局</w:t>
      </w:r>
    </w:p>
    <w:p>
      <w:pPr>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钧台路</w:t>
      </w:r>
    </w:p>
    <w:p>
      <w:pPr>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13937427228</w:t>
      </w:r>
    </w:p>
    <w:p>
      <w:pPr>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widowControl/>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供应商登录《全国公共资源交易平台</w:t>
      </w:r>
      <w:r>
        <w:rPr>
          <w:rFonts w:hint="eastAsia" w:ascii="宋体" w:hAnsi="宋体" w:eastAsia="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宋体"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pStyle w:val="22"/>
        <w:ind w:firstLine="0" w:firstLineChars="0"/>
      </w:pPr>
    </w:p>
    <w:p>
      <w:pPr>
        <w:pStyle w:val="22"/>
        <w:ind w:firstLine="0" w:firstLineChars="0"/>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为全市经济社会发展和创新社会治理提供基础支撑，并为广大人民群众生产、生活、生产、工作等提供更加精准便利的地址信息服务。</w:t>
      </w:r>
    </w:p>
    <w:p>
      <w:pPr>
        <w:pStyle w:val="41"/>
        <w:numPr>
          <w:ilvl w:val="0"/>
          <w:numId w:val="6"/>
        </w:numPr>
        <w:autoSpaceDN w:val="0"/>
        <w:snapToGrid w:val="0"/>
        <w:spacing w:line="360" w:lineRule="auto"/>
        <w:ind w:left="602" w:leftChars="0" w:firstLine="0" w:firstLineChars="0"/>
        <w:textAlignment w:val="baseline"/>
        <w:rPr>
          <w:rFonts w:hint="eastAsia" w:ascii="新宋体" w:hAnsi="新宋体" w:eastAsia="新宋体" w:cs="新宋体"/>
          <w:b/>
          <w:bCs/>
          <w:color w:val="000000"/>
          <w:sz w:val="24"/>
          <w:szCs w:val="24"/>
          <w:lang w:val="en-US" w:eastAsia="zh-CN"/>
        </w:rPr>
      </w:pPr>
      <w:r>
        <w:rPr>
          <w:rFonts w:hint="eastAsia" w:ascii="新宋体" w:hAnsi="新宋体" w:eastAsia="新宋体" w:cs="新宋体"/>
          <w:b/>
          <w:bCs/>
          <w:color w:val="000000"/>
          <w:sz w:val="24"/>
          <w:szCs w:val="24"/>
          <w:lang w:val="en-US" w:eastAsia="zh-CN"/>
        </w:rPr>
        <w:t>采购清单：</w:t>
      </w:r>
    </w:p>
    <w:p>
      <w:pPr>
        <w:pStyle w:val="41"/>
        <w:numPr>
          <w:ilvl w:val="0"/>
          <w:numId w:val="0"/>
        </w:numPr>
        <w:autoSpaceDN w:val="0"/>
        <w:snapToGrid w:val="0"/>
        <w:spacing w:line="360" w:lineRule="auto"/>
        <w:ind w:left="602" w:leftChars="0"/>
        <w:textAlignment w:val="baseline"/>
        <w:rPr>
          <w:rFonts w:hint="default" w:ascii="新宋体" w:hAnsi="新宋体" w:eastAsia="新宋体" w:cs="新宋体"/>
          <w:b w:val="0"/>
          <w:bCs w:val="0"/>
          <w:color w:val="000000"/>
          <w:sz w:val="24"/>
          <w:szCs w:val="24"/>
          <w:lang w:val="en-US" w:eastAsia="zh-CN"/>
        </w:rPr>
      </w:pPr>
      <w:r>
        <w:rPr>
          <w:rFonts w:hint="default" w:ascii="新宋体" w:hAnsi="新宋体" w:eastAsia="新宋体" w:cs="新宋体"/>
          <w:b w:val="0"/>
          <w:bCs w:val="0"/>
          <w:color w:val="000000"/>
          <w:sz w:val="24"/>
          <w:szCs w:val="24"/>
          <w:lang w:val="en-US" w:eastAsia="zh-CN"/>
        </w:rPr>
        <w:t>对褚河镇、郭连镇、神垕镇、磨街乡四个乡镇编码制作安装51314块二维码门牌及二维码门牌查询管理系统软件一套。</w:t>
      </w:r>
    </w:p>
    <w:p>
      <w:pPr>
        <w:pStyle w:val="41"/>
        <w:numPr>
          <w:ilvl w:val="0"/>
          <w:numId w:val="0"/>
        </w:numPr>
        <w:autoSpaceDN w:val="0"/>
        <w:snapToGrid w:val="0"/>
        <w:spacing w:line="360" w:lineRule="auto"/>
        <w:ind w:left="602" w:leftChars="0"/>
        <w:textAlignment w:val="baseline"/>
        <w:rPr>
          <w:rFonts w:hint="default" w:ascii="新宋体" w:hAnsi="新宋体" w:eastAsia="新宋体" w:cs="新宋体"/>
          <w:b/>
          <w:bCs/>
          <w:color w:val="000000"/>
          <w:sz w:val="24"/>
          <w:szCs w:val="24"/>
          <w:lang w:val="en-US" w:eastAsia="zh-CN"/>
        </w:rPr>
      </w:pPr>
    </w:p>
    <w:tbl>
      <w:tblPr>
        <w:tblStyle w:val="23"/>
        <w:tblpPr w:leftFromText="180" w:rightFromText="180" w:vertAnchor="text" w:horzAnchor="page" w:tblpX="1420" w:tblpY="647"/>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575"/>
        <w:gridCol w:w="4140"/>
        <w:gridCol w:w="160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序号</w:t>
            </w:r>
          </w:p>
        </w:tc>
        <w:tc>
          <w:tcPr>
            <w:tcW w:w="157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类 别</w:t>
            </w:r>
          </w:p>
        </w:tc>
        <w:tc>
          <w:tcPr>
            <w:tcW w:w="4140"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规格及技术要求（mm）</w:t>
            </w:r>
          </w:p>
        </w:tc>
        <w:tc>
          <w:tcPr>
            <w:tcW w:w="160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数量（块）</w:t>
            </w:r>
          </w:p>
        </w:tc>
        <w:tc>
          <w:tcPr>
            <w:tcW w:w="1192"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门面房二维码门牌</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240×180，国标铝板，厚度1.0丝。正面所贴反光膜为工程级蓝底白色。</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1700</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企业单位二维码门牌</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400×280，国标铝板，厚度1.0丝。正面所贴反光膜为工程级蓝底白色。</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80</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住户二维码门牌</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170×110，国标铝板，厚度1.0丝。正面所贴反光膜为工程级蓝底白色。</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48934</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二维码</w:t>
            </w:r>
          </w:p>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楼栋牌</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660×380国标铝板，厚度1.0丝。正面所贴反光膜为工程级蓝底白色。</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150</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二维码单元牌</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300×130，国标铝板，厚度1.0丝。正面所贴反光膜为工程级蓝底白色。</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450</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3"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w:t>
            </w:r>
          </w:p>
        </w:tc>
        <w:tc>
          <w:tcPr>
            <w:tcW w:w="1575"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二维码门牌查询管理系统软件</w:t>
            </w:r>
          </w:p>
        </w:tc>
        <w:tc>
          <w:tcPr>
            <w:tcW w:w="4140" w:type="dxa"/>
            <w:vAlign w:val="center"/>
          </w:tcPr>
          <w:p>
            <w:pPr>
              <w:pStyle w:val="41"/>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电子档案信息数据自由导出导入并实现姓名查询，编码信息查询，村（居）委会查询，二维码门牌分布图录入和查询的基本要素。</w:t>
            </w:r>
          </w:p>
        </w:tc>
        <w:tc>
          <w:tcPr>
            <w:tcW w:w="1605"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1套</w:t>
            </w:r>
          </w:p>
        </w:tc>
        <w:tc>
          <w:tcPr>
            <w:tcW w:w="1192" w:type="dxa"/>
            <w:vAlign w:val="center"/>
          </w:tcPr>
          <w:p>
            <w:pPr>
              <w:pStyle w:val="41"/>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bl>
    <w:p>
      <w:pPr>
        <w:pStyle w:val="41"/>
        <w:numPr>
          <w:ilvl w:val="0"/>
          <w:numId w:val="0"/>
        </w:numPr>
        <w:autoSpaceDN w:val="0"/>
        <w:snapToGrid w:val="0"/>
        <w:spacing w:line="360" w:lineRule="auto"/>
        <w:ind w:firstLine="482" w:firstLineChars="200"/>
        <w:jc w:val="center"/>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kern w:val="2"/>
          <w:sz w:val="24"/>
          <w:szCs w:val="24"/>
          <w:lang w:val="en-US" w:eastAsia="zh-CN" w:bidi="ar-SA"/>
        </w:rPr>
        <w:t>禹州市乡镇二维码门牌规格数量一览表</w:t>
      </w:r>
    </w:p>
    <w:p>
      <w:pPr>
        <w:widowControl/>
        <w:numPr>
          <w:ilvl w:val="0"/>
          <w:numId w:val="7"/>
        </w:numPr>
        <w:shd w:val="clear" w:color="auto" w:fill="FFFFFF"/>
        <w:wordWrap/>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widowControl/>
        <w:shd w:val="clear" w:color="auto" w:fill="FFFFFF"/>
        <w:wordWrap/>
        <w:adjustRightInd/>
        <w:snapToGrid/>
        <w:spacing w:line="700" w:lineRule="exact"/>
        <w:ind w:firstLine="482" w:firstLineChars="200"/>
        <w:jc w:val="left"/>
        <w:textAlignment w:val="auto"/>
        <w:outlineLvl w:val="9"/>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b/>
          <w:bCs/>
          <w:kern w:val="2"/>
          <w:sz w:val="24"/>
          <w:szCs w:val="24"/>
          <w:lang w:val="en-US" w:eastAsia="zh-CN" w:bidi="ar-SA"/>
        </w:rPr>
        <w:t>按照国家《地名标志》（GB17733-2008）标准和河南省公安厅、河南省民政厅关于印发《河南省标准地址信息规范（试行）和二维码门牌制作规范（试行）》的通知（豫公通[2017]147号）文件执行。</w:t>
      </w:r>
      <w:bookmarkStart w:id="81" w:name="_GoBack"/>
      <w:bookmarkEnd w:id="81"/>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41"/>
        <w:autoSpaceDN w:val="0"/>
        <w:snapToGrid w:val="0"/>
        <w:spacing w:line="360" w:lineRule="auto"/>
        <w:ind w:firstLine="480" w:firstLineChars="200"/>
        <w:textAlignment w:val="baseline"/>
        <w:rPr>
          <w:rFonts w:hint="eastAsia" w:ascii="新宋体" w:hAnsi="新宋体" w:eastAsia="新宋体" w:cs="新宋体"/>
          <w:sz w:val="24"/>
          <w:szCs w:val="24"/>
          <w:lang w:eastAsia="zh-CN"/>
        </w:rPr>
      </w:pP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rPr>
        <w:t>验收标准</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widowControl/>
        <w:shd w:val="clear" w:color="auto" w:fill="FFFFFF"/>
        <w:wordWrap/>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五</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特别提示：</w:t>
      </w:r>
    </w:p>
    <w:p>
      <w:pPr>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二维码门牌一览表</w:t>
      </w:r>
      <w:r>
        <w:rPr>
          <w:rFonts w:hint="eastAsia" w:ascii="新宋体" w:hAnsi="新宋体" w:eastAsia="新宋体" w:cs="新宋体"/>
          <w:sz w:val="24"/>
          <w:szCs w:val="24"/>
        </w:rPr>
        <w:t>参数为参考，投标供应商所报产品应等于或优于以上参数，不得低于此参数，否则为无效投标。</w:t>
      </w:r>
    </w:p>
    <w:p>
      <w:pPr>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w:t>
      </w:r>
      <w:r>
        <w:rPr>
          <w:rFonts w:hint="eastAsia" w:ascii="新宋体" w:hAnsi="新宋体" w:eastAsia="新宋体" w:cs="新宋体"/>
          <w:sz w:val="24"/>
          <w:szCs w:val="24"/>
          <w:lang w:eastAsia="zh-CN"/>
        </w:rPr>
        <w:t>商</w:t>
      </w:r>
      <w:r>
        <w:rPr>
          <w:rFonts w:hint="eastAsia" w:ascii="新宋体" w:hAnsi="新宋体" w:eastAsia="新宋体" w:cs="新宋体"/>
          <w:sz w:val="24"/>
          <w:szCs w:val="24"/>
        </w:rPr>
        <w:t>须明确投标货品的厂家、产地、品牌、型号、详细参数等</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否则为无效投标。</w:t>
      </w:r>
    </w:p>
    <w:p>
      <w:pPr>
        <w:spacing w:line="420" w:lineRule="exact"/>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3.投标人须具有全国标准地名标志产品合格证书并提供所投产品检测报告(</w:t>
      </w:r>
      <w:r>
        <w:rPr>
          <w:rFonts w:hint="eastAsia" w:ascii="新宋体" w:hAnsi="新宋体" w:eastAsia="新宋体" w:cs="新宋体"/>
          <w:sz w:val="24"/>
          <w:szCs w:val="24"/>
          <w:lang w:eastAsia="zh-CN"/>
        </w:rPr>
        <w:t>二维码门牌查询管理系统除外</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否则为无效投标。</w:t>
      </w:r>
    </w:p>
    <w:p>
      <w:pPr>
        <w:spacing w:line="420" w:lineRule="exac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4.</w:t>
      </w:r>
      <w:r>
        <w:rPr>
          <w:rFonts w:hint="eastAsia" w:ascii="新宋体" w:hAnsi="新宋体" w:eastAsia="新宋体" w:cs="新宋体"/>
          <w:sz w:val="24"/>
          <w:szCs w:val="24"/>
        </w:rPr>
        <w:t>投标</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应就该项目完整投标（报价含运输费、安装费、</w:t>
      </w:r>
      <w:r>
        <w:rPr>
          <w:rFonts w:hint="eastAsia" w:ascii="新宋体" w:hAnsi="新宋体" w:eastAsia="新宋体" w:cs="新宋体"/>
          <w:sz w:val="24"/>
          <w:szCs w:val="24"/>
          <w:lang w:eastAsia="zh-CN"/>
        </w:rPr>
        <w:t>门牌管理系统、</w:t>
      </w:r>
      <w:r>
        <w:rPr>
          <w:rFonts w:hint="eastAsia" w:ascii="新宋体" w:hAnsi="新宋体" w:eastAsia="新宋体" w:cs="新宋体"/>
          <w:sz w:val="24"/>
          <w:szCs w:val="24"/>
        </w:rPr>
        <w:t>税费等综合费用），否则为无效投标。</w:t>
      </w:r>
      <w:r>
        <w:rPr>
          <w:rFonts w:hint="eastAsia" w:ascii="新宋体" w:hAnsi="新宋体" w:eastAsia="新宋体" w:cs="新宋体"/>
          <w:sz w:val="24"/>
          <w:szCs w:val="24"/>
          <w:lang w:val="en-US"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5.</w:t>
      </w:r>
      <w:r>
        <w:rPr>
          <w:rFonts w:hint="eastAsia" w:ascii="新宋体" w:hAnsi="新宋体" w:eastAsia="新宋体" w:cs="新宋体"/>
          <w:sz w:val="24"/>
          <w:szCs w:val="24"/>
        </w:rPr>
        <w:t>由法定代表人或委托代理人参加开标会议，随时接受评标委员会询问，并予作出书面解答。</w:t>
      </w:r>
      <w:r>
        <w:rPr>
          <w:rFonts w:hint="eastAsia" w:ascii="新宋体" w:hAnsi="新宋体" w:eastAsia="新宋体" w:cs="新宋体"/>
          <w:sz w:val="24"/>
          <w:szCs w:val="24"/>
          <w:lang w:eastAsia="zh-CN"/>
        </w:rPr>
        <w:t>采购方将在开标后两日内，对二维码门牌查询管理系统使用功能进行审验，如达不到采购方需求条件将取消中标资格。</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6</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国库直接支付。</w:t>
      </w:r>
    </w:p>
    <w:p>
      <w:pPr>
        <w:tabs>
          <w:tab w:val="left" w:pos="5963"/>
        </w:tabs>
        <w:spacing w:line="420" w:lineRule="exact"/>
        <w:ind w:firstLine="480" w:firstLineChars="200"/>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待该项目全部完成交付甲方验收合格后（</w:t>
      </w:r>
      <w:r>
        <w:rPr>
          <w:rFonts w:hint="eastAsia" w:ascii="新宋体" w:hAnsi="新宋体" w:eastAsia="新宋体" w:cs="新宋体"/>
          <w:sz w:val="24"/>
          <w:szCs w:val="24"/>
          <w:lang w:val="en-US" w:eastAsia="zh-CN"/>
        </w:rPr>
        <w:t>20日内</w:t>
      </w:r>
      <w:r>
        <w:rPr>
          <w:rFonts w:hint="eastAsia" w:ascii="新宋体" w:hAnsi="新宋体" w:eastAsia="新宋体" w:cs="新宋体"/>
          <w:sz w:val="24"/>
          <w:szCs w:val="24"/>
          <w:lang w:eastAsia="zh-CN"/>
        </w:rPr>
        <w:t>），按照合同约定支付该项目合同价款。</w:t>
      </w:r>
    </w:p>
    <w:p>
      <w:pPr>
        <w:numPr>
          <w:ilvl w:val="0"/>
          <w:numId w:val="0"/>
        </w:numPr>
        <w:autoSpaceDE w:val="0"/>
        <w:autoSpaceDN w:val="0"/>
        <w:adjustRightInd w:val="0"/>
        <w:ind w:firstLine="1928" w:firstLineChars="600"/>
        <w:jc w:val="both"/>
        <w:rPr>
          <w:rFonts w:ascii="宋体" w:hAnsi="宋体" w:eastAsia="宋体" w:cs="宋体"/>
          <w:b/>
          <w:kern w:val="0"/>
          <w:sz w:val="32"/>
          <w:szCs w:val="32"/>
        </w:rPr>
      </w:pPr>
      <w:r>
        <w:rPr>
          <w:rFonts w:hint="eastAsia" w:ascii="宋体" w:hAnsi="宋体" w:eastAsia="宋体" w:cs="宋体"/>
          <w:b/>
          <w:kern w:val="0"/>
          <w:sz w:val="32"/>
          <w:szCs w:val="32"/>
          <w:lang w:val="en-US" w:eastAsia="zh-CN"/>
        </w:rPr>
        <w:t xml:space="preserve">第三章     </w:t>
      </w:r>
      <w:r>
        <w:rPr>
          <w:rFonts w:hint="eastAsia" w:ascii="宋体" w:hAnsi="宋体" w:eastAsia="宋体" w:cs="宋体"/>
          <w:b/>
          <w:kern w:val="0"/>
          <w:sz w:val="32"/>
          <w:szCs w:val="32"/>
        </w:rPr>
        <w:t>供应商须知前附表</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禹州市民政局编码制作安装乡镇二维码门牌采购项目</w:t>
            </w:r>
          </w:p>
          <w:p>
            <w:pPr>
              <w:autoSpaceDE w:val="0"/>
              <w:autoSpaceDN w:val="0"/>
              <w:adjustRightInd w:val="0"/>
              <w:spacing w:line="360" w:lineRule="auto"/>
              <w:jc w:val="left"/>
              <w:rPr>
                <w:rFonts w:hint="default" w:eastAsia="宋体"/>
                <w:lang w:val="en-US" w:eastAsia="zh-CN"/>
              </w:rPr>
            </w:pPr>
            <w:r>
              <w:rPr>
                <w:rFonts w:hint="eastAsia"/>
              </w:rPr>
              <w:t>项目编号：YZCG-T20</w:t>
            </w:r>
            <w:r>
              <w:rPr>
                <w:rFonts w:hint="eastAsia"/>
                <w:lang w:val="en-US" w:eastAsia="zh-CN"/>
              </w:rPr>
              <w:t>20065</w:t>
            </w:r>
          </w:p>
          <w:p>
            <w:pPr>
              <w:autoSpaceDE w:val="0"/>
              <w:autoSpaceDN w:val="0"/>
              <w:adjustRightInd w:val="0"/>
              <w:spacing w:line="360" w:lineRule="auto"/>
              <w:jc w:val="left"/>
              <w:rPr>
                <w:rFonts w:hint="eastAsia" w:eastAsia="宋体"/>
                <w:lang w:val="en-US" w:eastAsia="zh-CN"/>
              </w:rPr>
            </w:pPr>
            <w:r>
              <w:rPr>
                <w:rFonts w:hint="eastAsia"/>
                <w:lang w:eastAsia="zh-CN"/>
              </w:rPr>
              <w:t>工期：</w:t>
            </w:r>
            <w:r>
              <w:rPr>
                <w:rFonts w:hint="eastAsia"/>
                <w:lang w:val="en-US" w:eastAsia="zh-CN"/>
              </w:rPr>
              <w:t>2020年6月30日前</w:t>
            </w:r>
          </w:p>
          <w:p>
            <w:pPr>
              <w:autoSpaceDE w:val="0"/>
              <w:autoSpaceDN w:val="0"/>
              <w:adjustRightInd w:val="0"/>
              <w:spacing w:line="360" w:lineRule="auto"/>
              <w:jc w:val="left"/>
              <w:rPr>
                <w:rFonts w:hint="eastAsia" w:ascii="宋体" w:hAnsi="宋体" w:eastAsia="宋体" w:cs="仿宋_GB2312"/>
                <w:szCs w:val="21"/>
                <w:lang w:val="en-US" w:eastAsia="zh-CN"/>
              </w:rPr>
            </w:pPr>
            <w:r>
              <w:rPr>
                <w:rFonts w:hint="eastAsia"/>
                <w:lang w:eastAsia="zh-CN"/>
              </w:rPr>
              <w:t>项目地址：褚河镇、郭连镇、神垕镇、磨街乡。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val="en-US" w:eastAsia="zh-CN"/>
              </w:rPr>
            </w:pPr>
            <w:r>
              <w:rPr>
                <w:rFonts w:hint="eastAsia" w:ascii="宋体" w:hAnsi="宋体" w:cs="仿宋_GB2312"/>
                <w:szCs w:val="21"/>
              </w:rPr>
              <w:t>名称：</w:t>
            </w:r>
            <w:r>
              <w:rPr>
                <w:rFonts w:hint="eastAsia" w:ascii="宋体" w:hAnsi="宋体" w:cs="仿宋_GB2312"/>
                <w:szCs w:val="21"/>
                <w:lang w:eastAsia="zh-CN"/>
              </w:rPr>
              <w:t>禹州市</w:t>
            </w:r>
            <w:r>
              <w:rPr>
                <w:rFonts w:hint="eastAsia" w:ascii="宋体" w:hAnsi="宋体" w:cs="仿宋_GB2312"/>
                <w:szCs w:val="21"/>
                <w:lang w:val="en-US" w:eastAsia="zh-CN"/>
              </w:rPr>
              <w:t>民政局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w:t>
            </w:r>
            <w:r>
              <w:rPr>
                <w:rFonts w:hint="eastAsia" w:ascii="宋体" w:hAnsi="宋体" w:cs="仿宋_GB2312"/>
                <w:szCs w:val="21"/>
                <w:lang w:val="en-US" w:eastAsia="zh-CN"/>
              </w:rPr>
              <w:t>李先生</w:t>
            </w: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联系电话：</w:t>
            </w:r>
            <w:r>
              <w:rPr>
                <w:rFonts w:hint="eastAsia" w:ascii="宋体" w:hAnsi="宋体" w:cs="仿宋_GB2312"/>
                <w:szCs w:val="21"/>
                <w:lang w:val="en-US" w:eastAsia="zh-CN"/>
              </w:rPr>
              <w:t>13937427228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地址：禹州市行政服务中心楼9楼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w:t>
            </w:r>
            <w:r>
              <w:rPr>
                <w:rFonts w:hint="eastAsia" w:ascii="宋体" w:hAnsi="宋体" w:cs="仿宋_GB2312"/>
                <w:szCs w:val="21"/>
                <w:lang w:val="en-US" w:eastAsia="zh-CN"/>
              </w:rPr>
              <w:t>李</w:t>
            </w:r>
            <w:r>
              <w:rPr>
                <w:rFonts w:hint="eastAsia" w:ascii="宋体" w:hAnsi="宋体" w:cs="仿宋_GB2312"/>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autoSpaceDE w:val="0"/>
              <w:autoSpaceDN w:val="0"/>
              <w:adjustRightInd w:val="0"/>
              <w:spacing w:line="360" w:lineRule="auto"/>
              <w:jc w:val="left"/>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auto"/>
                <w:szCs w:val="21"/>
              </w:rPr>
            </w:pPr>
            <w:r>
              <w:rPr>
                <w:rFonts w:hint="eastAsia" w:ascii="宋体" w:hAnsi="宋体"/>
                <w:bCs/>
                <w:color w:val="auto"/>
                <w:szCs w:val="21"/>
              </w:rPr>
              <w:t>（2）供应商（其他组织和自然人）提供本单位：</w:t>
            </w:r>
          </w:p>
          <w:p>
            <w:pPr>
              <w:spacing w:line="360" w:lineRule="auto"/>
              <w:rPr>
                <w:rFonts w:ascii="宋体" w:hAnsi="宋体"/>
                <w:bCs/>
                <w:color w:val="auto"/>
                <w:szCs w:val="21"/>
              </w:rPr>
            </w:pPr>
            <w:r>
              <w:rPr>
                <w:rFonts w:hint="eastAsia" w:ascii="宋体" w:hAnsi="宋体"/>
                <w:bCs/>
                <w:color w:val="auto"/>
                <w:szCs w:val="21"/>
              </w:rPr>
              <w:t>①2018年度经审计的财务报告，包括资产负债表、利润表、现金流量表、所有者权益变动表及其附注；</w:t>
            </w:r>
          </w:p>
          <w:p>
            <w:pPr>
              <w:spacing w:line="360" w:lineRule="auto"/>
              <w:rPr>
                <w:rFonts w:ascii="宋体" w:hAnsi="宋体"/>
                <w:bCs/>
                <w:color w:val="auto"/>
                <w:szCs w:val="21"/>
              </w:rPr>
            </w:pPr>
            <w:r>
              <w:rPr>
                <w:rFonts w:hint="eastAsia" w:ascii="宋体" w:hAnsi="宋体"/>
                <w:bCs/>
                <w:color w:val="auto"/>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w:t>
            </w:r>
            <w:r>
              <w:rPr>
                <w:rFonts w:hint="eastAsia" w:ascii="宋体" w:hAnsi="宋体" w:cs="仿宋_GB2312"/>
                <w:b/>
                <w:color w:val="000000"/>
                <w:szCs w:val="21"/>
                <w:shd w:val="clear" w:color="auto" w:fill="FFFFFF"/>
              </w:rPr>
              <w:t>供应商</w:t>
            </w:r>
            <w:r>
              <w:rPr>
                <w:rFonts w:hint="eastAsia" w:ascii="宋体" w:hAnsi="宋体" w:cs="宋体"/>
                <w:b/>
                <w:bCs/>
                <w:szCs w:val="21"/>
                <w:lang w:val="zh-CN"/>
              </w:rPr>
              <w:t>；</w:t>
            </w:r>
            <w:r>
              <w:rPr>
                <w:rFonts w:hint="eastAsia" w:ascii="宋体" w:hAnsi="宋体" w:cs="仿宋_GB2312"/>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2、截止时间：同谈判响应截止时间；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 xml:space="preserve">本项目 </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微软雅黑"/>
                <w:b/>
                <w:color w:val="FF0000"/>
                <w:szCs w:val="21"/>
                <w:lang w:val="en-US" w:eastAsia="zh-CN"/>
              </w:rPr>
              <w:t>54.23</w:t>
            </w:r>
            <w:r>
              <w:rPr>
                <w:rFonts w:hint="eastAsia" w:ascii="宋体" w:hAnsi="宋体" w:cs="微软雅黑"/>
                <w:b/>
                <w:color w:val="FF0000"/>
                <w:szCs w:val="21"/>
              </w:rPr>
              <w:t>万</w:t>
            </w:r>
            <w:r>
              <w:rPr>
                <w:rFonts w:hint="eastAsia" w:ascii="宋体" w:hAnsi="宋体" w:cs="微软雅黑"/>
                <w:b/>
                <w:color w:val="FF0000"/>
                <w:szCs w:val="21"/>
                <w:lang w:val="zh-CN"/>
              </w:rPr>
              <w:t>元</w:t>
            </w:r>
            <w:r>
              <w:rPr>
                <w:rFonts w:hint="eastAsia" w:ascii="宋体" w:hAnsi="宋体" w:cs="宋体"/>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谈判</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谈判有效期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提交谈判响应文件的截止之日起算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谈判响应截止及</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谈判时间</w:t>
            </w:r>
          </w:p>
        </w:tc>
        <w:tc>
          <w:tcPr>
            <w:tcW w:w="6813" w:type="dxa"/>
            <w:vAlign w:val="center"/>
          </w:tcPr>
          <w:p>
            <w:pPr>
              <w:autoSpaceDE w:val="0"/>
              <w:autoSpaceDN w:val="0"/>
              <w:adjustRightInd w:val="0"/>
              <w:spacing w:line="276" w:lineRule="auto"/>
              <w:rPr>
                <w:rFonts w:hint="eastAsia" w:ascii="宋体" w:hAnsi="宋体" w:cs="宋体"/>
                <w:bCs/>
                <w:szCs w:val="21"/>
                <w:lang w:val="zh-CN"/>
              </w:rPr>
            </w:pPr>
            <w:r>
              <w:rPr>
                <w:rFonts w:hint="eastAsia" w:ascii="宋体" w:hAnsi="宋体" w:cs="宋体"/>
                <w:bCs/>
                <w:szCs w:val="21"/>
                <w:lang w:val="zh-CN"/>
              </w:rPr>
              <w:t>2020年</w:t>
            </w:r>
            <w:r>
              <w:rPr>
                <w:rFonts w:hint="eastAsia" w:ascii="宋体" w:hAnsi="宋体" w:cs="宋体"/>
                <w:bCs/>
                <w:szCs w:val="21"/>
                <w:lang w:val="en-US" w:eastAsia="zh-CN"/>
              </w:rPr>
              <w:t>4</w:t>
            </w:r>
            <w:r>
              <w:rPr>
                <w:rFonts w:hint="eastAsia" w:ascii="宋体" w:hAnsi="宋体" w:cs="宋体"/>
                <w:bCs/>
                <w:szCs w:val="21"/>
                <w:lang w:val="zh-CN"/>
              </w:rPr>
              <w:t xml:space="preserve">月 </w:t>
            </w:r>
            <w:r>
              <w:rPr>
                <w:rFonts w:hint="eastAsia" w:ascii="宋体" w:hAnsi="宋体" w:cs="宋体"/>
                <w:bCs/>
                <w:szCs w:val="21"/>
                <w:lang w:val="en-US" w:eastAsia="zh-CN"/>
              </w:rPr>
              <w:t>27</w:t>
            </w:r>
            <w:r>
              <w:rPr>
                <w:rFonts w:hint="eastAsia" w:ascii="宋体" w:hAnsi="宋体" w:cs="宋体"/>
                <w:bCs/>
                <w:szCs w:val="21"/>
                <w:lang w:val="zh-CN"/>
              </w:rPr>
              <w:t xml:space="preserve">日 </w:t>
            </w:r>
            <w:r>
              <w:rPr>
                <w:rFonts w:hint="eastAsia" w:ascii="宋体" w:hAnsi="宋体" w:cs="宋体"/>
                <w:bCs/>
                <w:szCs w:val="21"/>
                <w:lang w:val="en-US" w:eastAsia="zh-CN"/>
              </w:rPr>
              <w:t>9</w:t>
            </w:r>
            <w:r>
              <w:rPr>
                <w:rFonts w:hint="eastAsia" w:ascii="宋体" w:hAnsi="宋体" w:cs="宋体"/>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递交谈判响应文件</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谈判保证金</w:t>
            </w:r>
          </w:p>
        </w:tc>
        <w:tc>
          <w:tcPr>
            <w:tcW w:w="6813" w:type="dxa"/>
            <w:vAlign w:val="center"/>
          </w:tcPr>
          <w:p>
            <w:pPr>
              <w:autoSpaceDE w:val="0"/>
              <w:autoSpaceDN w:val="0"/>
              <w:adjustRightInd w:val="0"/>
              <w:spacing w:line="276" w:lineRule="auto"/>
              <w:rPr>
                <w:rFonts w:hint="eastAsia" w:ascii="宋体" w:hAnsi="宋体" w:cs="宋体"/>
                <w:bCs/>
                <w:szCs w:val="21"/>
                <w:lang w:val="zh-CN" w:eastAsia="zh-CN"/>
              </w:rPr>
            </w:pPr>
            <w:r>
              <w:rPr>
                <w:rFonts w:hint="eastAsia" w:ascii="宋体" w:hAnsi="宋体" w:cs="宋体"/>
                <w:bCs/>
                <w:szCs w:val="21"/>
                <w:lang w:val="en-US" w:eastAsia="zh-CN"/>
              </w:rPr>
              <w:t>1、</w:t>
            </w:r>
            <w:r>
              <w:rPr>
                <w:rFonts w:hint="eastAsia" w:ascii="宋体" w:hAnsi="宋体" w:cs="宋体"/>
                <w:bCs/>
                <w:szCs w:val="21"/>
                <w:lang w:val="zh-CN" w:eastAsia="zh-CN"/>
              </w:rPr>
              <w:t>不缴纳。</w:t>
            </w:r>
          </w:p>
          <w:p>
            <w:pPr>
              <w:autoSpaceDE w:val="0"/>
              <w:autoSpaceDN w:val="0"/>
              <w:adjustRightInd w:val="0"/>
              <w:spacing w:line="276" w:lineRule="auto"/>
              <w:rPr>
                <w:rFonts w:ascii="宋体" w:hAnsi="宋体" w:cs="仿宋_GB2312"/>
                <w:szCs w:val="21"/>
                <w:lang w:val="zh-CN"/>
              </w:rPr>
            </w:pPr>
            <w:r>
              <w:rPr>
                <w:rFonts w:hint="eastAsia" w:ascii="宋体" w:hAnsi="宋体" w:cs="宋体"/>
                <w:bCs/>
                <w:szCs w:val="21"/>
                <w:lang w:val="en-US" w:eastAsia="zh-CN"/>
              </w:rPr>
              <w:t>2、</w:t>
            </w:r>
            <w:r>
              <w:rPr>
                <w:rFonts w:hint="eastAsia" w:ascii="宋体" w:hAnsi="宋体" w:cs="宋体"/>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谈判文件时间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谈判响应截止时间3个工作日前（</w:t>
            </w:r>
            <w:r>
              <w:rPr>
                <w:rFonts w:hint="eastAsia" w:ascii="宋体" w:hAnsi="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新宋体" w:hAnsi="新宋体" w:eastAsia="新宋体"/>
                <w:szCs w:val="21"/>
              </w:rPr>
              <w:t>副本一份</w:t>
            </w:r>
            <w:r>
              <w:rPr>
                <w:rFonts w:hint="eastAsia" w:ascii="宋体" w:hAnsi="宋体" w:cs="仿宋_GB2312"/>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ascii="宋体" w:hAnsi="宋体" w:cs="仿宋_GB2312"/>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谈判小组组建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采购单位委派代表参加谈判小组的，须向集中采购机构出具授权函。除授权代表外，采购单位委派纪检监察人员对谈判过程实施监督的须进入</w:t>
            </w:r>
            <w:r>
              <w:rPr>
                <w:rFonts w:hint="eastAsia" w:ascii="宋体" w:hAnsi="宋体" w:cs="仿宋_GB2312"/>
                <w:szCs w:val="21"/>
              </w:rPr>
              <w:t>g禹州</w:t>
            </w:r>
            <w:r>
              <w:rPr>
                <w:rFonts w:hint="eastAsia" w:ascii="宋体" w:hAnsi="宋体" w:cs="仿宋_GB2312"/>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hint="eastAsia" w:ascii="宋体" w:hAnsi="宋体" w:cs="仿宋_GB2312"/>
                <w:szCs w:val="21"/>
                <w:lang w:val="zh-CN"/>
              </w:rPr>
              <w:t>☑</w:t>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w:t>
            </w:r>
            <w:r>
              <w:rPr>
                <w:rFonts w:hint="eastAsia" w:ascii="宋体" w:hAnsi="宋体" w:cs="宋体"/>
                <w:color w:val="333333"/>
                <w:szCs w:val="21"/>
              </w:rPr>
              <w:t>要求提交。履约保证金的数额为合同金额</w:t>
            </w:r>
            <w:r>
              <w:rPr>
                <w:rFonts w:hint="eastAsia" w:ascii="新宋体" w:hAnsi="新宋体" w:eastAsia="新宋体"/>
                <w:szCs w:val="21"/>
              </w:rPr>
              <w:t>的3%</w:t>
            </w:r>
            <w:r>
              <w:rPr>
                <w:rFonts w:hint="eastAsia" w:ascii="宋体" w:hAnsi="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需提交的资料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ascii="宋体" w:hAnsi="宋体" w:cs="宋体"/>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 w:val="24"/>
                <w:szCs w:val="24"/>
                <w:lang w:val="zh-CN"/>
              </w:rPr>
              <w:t>联系电话：</w:t>
            </w:r>
            <w:r>
              <w:rPr>
                <w:rFonts w:hint="eastAsia" w:ascii="宋体" w:hAnsi="宋体" w:cs="宋体"/>
                <w:bCs/>
                <w:color w:val="FF0000"/>
                <w:sz w:val="24"/>
                <w:szCs w:val="24"/>
                <w:lang w:val="zh-CN"/>
              </w:rPr>
              <w:t>0374-</w:t>
            </w:r>
            <w:r>
              <w:rPr>
                <w:rFonts w:hint="eastAsia" w:ascii="宋体" w:hAnsi="宋体" w:cs="宋体"/>
                <w:bCs/>
                <w:color w:val="FF0000"/>
                <w:sz w:val="24"/>
                <w:szCs w:val="24"/>
              </w:rPr>
              <w:t>2077772</w:t>
            </w:r>
            <w:r>
              <w:rPr>
                <w:rFonts w:hint="eastAsia" w:ascii="宋体" w:hAnsi="宋体" w:cs="宋体"/>
                <w:bCs/>
                <w:color w:val="FF0000"/>
                <w:sz w:val="24"/>
                <w:szCs w:val="24"/>
                <w:lang w:val="zh-CN"/>
              </w:rPr>
              <w:t>，邮箱：</w:t>
            </w:r>
            <w:r>
              <w:rPr>
                <w:rFonts w:hint="eastAsia" w:ascii="新宋体" w:hAnsi="新宋体" w:eastAsia="新宋体" w:cs="新宋体"/>
                <w:color w:val="FF0000"/>
                <w:sz w:val="24"/>
                <w:szCs w:val="24"/>
              </w:rPr>
              <w:t>yzggzy</w:t>
            </w:r>
            <w:r>
              <w:rPr>
                <w:rFonts w:hint="eastAsia" w:ascii="宋体" w:hAnsi="宋体" w:cs="宋体"/>
                <w:bCs/>
                <w:color w:val="FF0000"/>
                <w:sz w:val="24"/>
                <w:szCs w:val="24"/>
              </w:rPr>
              <w:t>2076770</w:t>
            </w:r>
            <w:r>
              <w:rPr>
                <w:rFonts w:hint="eastAsia" w:ascii="宋体" w:hAnsi="宋体" w:cs="宋体"/>
                <w:bCs/>
                <w:color w:val="FF0000"/>
                <w:sz w:val="24"/>
                <w:szCs w:val="24"/>
                <w:lang w:val="zh-CN"/>
              </w:rPr>
              <w:t>@163.com。</w:t>
            </w:r>
            <w:r>
              <w:rPr>
                <w:rFonts w:hint="eastAsia"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color w:val="FF0000"/>
                <w:szCs w:val="21"/>
                <w:lang w:val="zh-CN"/>
              </w:rPr>
            </w:pPr>
            <w:r>
              <w:rPr>
                <w:rFonts w:hint="eastAsia" w:ascii="宋体" w:hAnsi="宋体" w:cs="宋体"/>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pStyle w:val="22"/>
        <w:ind w:firstLine="0" w:firstLineChars="0"/>
        <w:rPr>
          <w:rFonts w:ascii="宋体" w:hAnsi="宋体" w:eastAsia="宋体" w:cs="宋体"/>
          <w:b/>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本谈判文件仅适用于本次“采购邀请”</w:t>
      </w:r>
      <w:r>
        <w:rPr>
          <w:rFonts w:hint="eastAsia" w:ascii="宋体" w:hAnsi="宋体"/>
          <w:szCs w:val="21"/>
        </w:rPr>
        <w:t xml:space="preserve"> 和“供应商须知前附表”中所述采购项目的采购。</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olor w:val="000000"/>
          <w:szCs w:val="21"/>
        </w:rPr>
        <w:t>“甲方”系指采购人。</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“服务”系指磋商文件规定的供应商为完成采购项目所需承担的全部义务。</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w:t>
      </w:r>
      <w:r>
        <w:rPr>
          <w:rFonts w:ascii="宋体" w:hAnsi="宋体" w:cs="宋体"/>
          <w:kern w:val="0"/>
          <w:szCs w:val="21"/>
        </w:rPr>
        <w:t>文件列明不允许或未列明允许进口产品参加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31"/>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pStyle w:val="31"/>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31"/>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1"/>
        <w:autoSpaceDE w:val="0"/>
        <w:autoSpaceDN w:val="0"/>
        <w:spacing w:line="360" w:lineRule="auto"/>
        <w:contextualSpacing/>
        <w:rPr>
          <w:rFonts w:ascii="宋体" w:hAnsi="宋体" w:cs="宋体"/>
          <w:kern w:val="0"/>
          <w:szCs w:val="21"/>
        </w:rPr>
      </w:pPr>
      <w:r>
        <w:rPr>
          <w:rFonts w:hint="eastAsia" w:cs="微软雅黑"/>
          <w:color w:val="000000"/>
        </w:rPr>
        <w:t>集中采购机构除收取标书费用外，不收取费用</w:t>
      </w:r>
      <w:r>
        <w:rPr>
          <w:rFonts w:hint="eastAsia" w:ascii="宋体" w:hAnsi="宋体" w:cs="宋体"/>
          <w:kern w:val="0"/>
          <w:szCs w:val="21"/>
        </w:rPr>
        <w:t>。</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2、如“谈判邀请函</w:t>
      </w:r>
      <w:r>
        <w:rPr>
          <w:rFonts w:ascii="宋体" w:hAnsi="宋体" w:cs="宋体"/>
          <w:kern w:val="0"/>
          <w:szCs w:val="21"/>
        </w:rPr>
        <w:t>”</w:t>
      </w:r>
      <w:r>
        <w:rPr>
          <w:rFonts w:hint="eastAsia" w:ascii="宋体" w:hAnsi="宋体" w:cs="宋体"/>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ascii="宋体" w:hAnsi="宋体" w:cs="宋体"/>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31"/>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在谈判响应截止期前，无论出于何种原因，采购人可主动地或在解答供应商提出的澄清问题时对谈判文件进行修改。</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澄清或修改公告的内容为谈判文件的组成部分，并对供应商具有约束力。当谈判文件与澄清或修改公告就同一内容的表述不一致时，以最后发出的文件内容为准。</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本次谈判项目的报价均以人民币为计算单位。</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ascii="宋体" w:hAnsi="宋体" w:cs="宋体"/>
          <w:kern w:val="0"/>
          <w:szCs w:val="21"/>
        </w:rPr>
        <w:t>。</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响应文件的构成应符合法律法规及谈判文件的要求。</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供应商应按谈判文件提供的格式编写响应文件。谈判文件未提供标准格式的供应商可自行拟定。</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 xml:space="preserve">谈判保证金  </w:t>
      </w:r>
    </w:p>
    <w:p>
      <w:pPr>
        <w:pStyle w:val="31"/>
        <w:numPr>
          <w:ilvl w:val="0"/>
          <w:numId w:val="0"/>
        </w:numPr>
        <w:autoSpaceDE w:val="0"/>
        <w:autoSpaceDN w:val="0"/>
        <w:spacing w:line="360" w:lineRule="auto"/>
        <w:ind w:leftChars="0"/>
        <w:contextualSpacing/>
        <w:rPr>
          <w:rFonts w:hint="eastAsia" w:ascii="宋体" w:hAnsi="宋体" w:cs="宋体"/>
          <w:b/>
          <w:kern w:val="0"/>
          <w:szCs w:val="21"/>
        </w:rPr>
      </w:pPr>
      <w:r>
        <w:rPr>
          <w:rFonts w:hint="eastAsia" w:ascii="宋体" w:hAnsi="宋体" w:cs="宋体"/>
          <w:b/>
          <w:kern w:val="0"/>
          <w:szCs w:val="21"/>
          <w:lang w:val="en-US" w:eastAsia="zh-CN"/>
        </w:rPr>
        <w:t xml:space="preserve">16.1  </w:t>
      </w:r>
      <w:r>
        <w:rPr>
          <w:rFonts w:hint="eastAsia" w:ascii="宋体" w:hAnsi="宋体" w:cs="宋体"/>
          <w:b/>
          <w:kern w:val="0"/>
          <w:szCs w:val="21"/>
        </w:rPr>
        <w:t>不缴纳</w:t>
      </w:r>
    </w:p>
    <w:p>
      <w:pPr>
        <w:pStyle w:val="31"/>
        <w:numPr>
          <w:ilvl w:val="0"/>
          <w:numId w:val="0"/>
        </w:numPr>
        <w:autoSpaceDE w:val="0"/>
        <w:autoSpaceDN w:val="0"/>
        <w:spacing w:line="360" w:lineRule="auto"/>
        <w:ind w:leftChars="0"/>
        <w:contextualSpacing/>
        <w:rPr>
          <w:rFonts w:hint="default" w:ascii="宋体" w:hAnsi="宋体" w:eastAsia="宋体" w:cs="宋体"/>
          <w:b/>
          <w:kern w:val="0"/>
          <w:szCs w:val="21"/>
          <w:lang w:val="en-US" w:eastAsia="zh-CN"/>
        </w:rPr>
      </w:pPr>
      <w:r>
        <w:rPr>
          <w:rFonts w:hint="eastAsia" w:ascii="宋体" w:hAnsi="宋体" w:cs="宋体"/>
          <w:b/>
          <w:kern w:val="0"/>
          <w:szCs w:val="21"/>
          <w:lang w:val="en-US" w:eastAsia="zh-CN"/>
        </w:rPr>
        <w:t>16.2  投标人须提供投标承诺函</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31"/>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17.1</w:t>
      </w:r>
      <w:r>
        <w:rPr>
          <w:rFonts w:hint="eastAsia" w:ascii="宋体" w:hAnsi="宋体" w:cs="宋体"/>
          <w:kern w:val="0"/>
          <w:szCs w:val="21"/>
        </w:rPr>
        <w:t>供应商应提交响应文件份数见“供应商须知前附表”。</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在谈判文件中已明示需盖章及签名之处，电子响应文件应按谈判文件要求加盖供应商电子印章和法人电子印章或授权代表电子印章。</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ascii="宋体" w:hAnsi="宋体" w:cs="宋体"/>
          <w:kern w:val="0"/>
          <w:szCs w:val="21"/>
        </w:rPr>
        <w:t>采购人、集中采购机构</w:t>
      </w:r>
      <w:r>
        <w:rPr>
          <w:rFonts w:hint="eastAsia" w:cs="微软雅黑"/>
          <w:color w:val="000000"/>
        </w:rPr>
        <w:t>将予以拒绝。</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谈判响应文件截止时间之后送达/上传的响应文件，采购人、集中采购机构将将拒绝接收。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1"/>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供应商补充、修改的内容并作为响应文件的组成部分。补充或修改应当按谈判文件要求签署、盖章、密封、递交，并应注明“修改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仿宋_GB2312"/>
          <w:color w:val="000000"/>
          <w:szCs w:val="21"/>
        </w:rPr>
        <w:t>谈判响应截止时间</w:t>
      </w:r>
      <w:r>
        <w:rPr>
          <w:rFonts w:hint="eastAsia" w:ascii="宋体" w:hAnsi="宋体" w:cs="宋体"/>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（1）电子谈判文件的解密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供应商不足3家的，本项目谈判活动终止。</w:t>
      </w: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谈判小组组成</w:t>
      </w:r>
    </w:p>
    <w:p>
      <w:pPr>
        <w:pStyle w:val="31"/>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采购人将依法组建谈判小组，谈判小组由评审专家组成，成员人数应当为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31"/>
        <w:numPr>
          <w:ilvl w:val="1"/>
          <w:numId w:val="13"/>
        </w:numPr>
        <w:autoSpaceDE w:val="0"/>
        <w:autoSpaceDN w:val="0"/>
        <w:spacing w:line="360" w:lineRule="auto"/>
        <w:ind w:firstLineChars="0"/>
        <w:contextualSpacing/>
        <w:rPr>
          <w:rFonts w:ascii="ˎ̥" w:hAnsi="ˎ̥"/>
          <w:vanish/>
        </w:rPr>
      </w:pP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采购人不得担任谈判小组组长。</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谈判小组成员名单在成交结果公告前应当保密。</w:t>
      </w: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1"/>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资格审查：谈判小组依据有关法律法规和谈判文件的规定对供应商的资格进行审查。</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1"/>
        <w:numPr>
          <w:ilvl w:val="0"/>
          <w:numId w:val="8"/>
        </w:numPr>
        <w:autoSpaceDE w:val="0"/>
        <w:autoSpaceDN w:val="0"/>
        <w:spacing w:line="360" w:lineRule="auto"/>
        <w:ind w:firstLineChars="0"/>
        <w:contextualSpacing/>
        <w:rPr>
          <w:rFonts w:ascii="宋体" w:hAnsi="宋体" w:cs="宋体"/>
          <w:vanish/>
          <w:kern w:val="0"/>
          <w:szCs w:val="21"/>
        </w:rPr>
      </w:pPr>
    </w:p>
    <w:p>
      <w:pPr>
        <w:pStyle w:val="31"/>
        <w:numPr>
          <w:ilvl w:val="0"/>
          <w:numId w:val="8"/>
        </w:numPr>
        <w:autoSpaceDE w:val="0"/>
        <w:autoSpaceDN w:val="0"/>
        <w:spacing w:line="360" w:lineRule="auto"/>
        <w:ind w:firstLineChars="0"/>
        <w:contextualSpacing/>
        <w:rPr>
          <w:rFonts w:ascii="宋体" w:hAnsi="宋体" w:cs="宋体"/>
          <w:vanish/>
          <w:kern w:val="0"/>
          <w:szCs w:val="21"/>
        </w:rPr>
      </w:pPr>
    </w:p>
    <w:p>
      <w:pPr>
        <w:pStyle w:val="31"/>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1"/>
        <w:numPr>
          <w:ilvl w:val="0"/>
          <w:numId w:val="16"/>
        </w:numPr>
        <w:autoSpaceDE w:val="0"/>
        <w:autoSpaceDN w:val="0"/>
        <w:spacing w:line="360" w:lineRule="auto"/>
        <w:ind w:firstLineChars="0"/>
        <w:contextualSpacing/>
        <w:rPr>
          <w:rFonts w:ascii="宋体" w:hAnsi="宋体"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31"/>
        <w:numPr>
          <w:ilvl w:val="1"/>
          <w:numId w:val="13"/>
        </w:numPr>
        <w:autoSpaceDE w:val="0"/>
        <w:autoSpaceDN w:val="0"/>
        <w:spacing w:line="360" w:lineRule="auto"/>
        <w:ind w:firstLineChars="0"/>
        <w:contextualSpacing/>
        <w:rPr>
          <w:rFonts w:ascii="宋体" w:hAnsi="宋体" w:cs="宋体"/>
          <w:vanish/>
          <w:kern w:val="0"/>
          <w:szCs w:val="21"/>
        </w:rPr>
      </w:pP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7"/>
        </w:numPr>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未按照谈判文件的规定提交投标</w:t>
      </w:r>
      <w:r>
        <w:rPr>
          <w:rFonts w:hint="eastAsia" w:ascii="宋体" w:hAnsi="宋体" w:cs="宋体"/>
          <w:kern w:val="0"/>
          <w:szCs w:val="21"/>
          <w:lang w:eastAsia="zh-CN"/>
        </w:rPr>
        <w:t>承诺函</w:t>
      </w:r>
      <w:r>
        <w:rPr>
          <w:rFonts w:hint="eastAsia" w:ascii="宋体" w:hAnsi="宋体" w:cs="宋体"/>
          <w:kern w:val="0"/>
          <w:szCs w:val="21"/>
        </w:rPr>
        <w:t>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不具备谈判文件中规定的资格要求的；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报价超过谈判文件中规定的预算金额的；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响应文件内容模糊不清，无法辨认的；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28.1.6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有下列情形之一的，视为供应商串通谈判，其响应无效：</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不同供应商的响应文件异常一致或者投标报价呈规律性差异；</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响应文件评审与谈判</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cs="宋体"/>
          <w:kern w:val="0"/>
          <w:szCs w:val="21"/>
        </w:rPr>
        <w:t>。</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35"/>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31"/>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31"/>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31"/>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31"/>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1"/>
        <w:autoSpaceDE w:val="0"/>
        <w:autoSpaceDN w:val="0"/>
        <w:spacing w:line="360" w:lineRule="auto"/>
        <w:ind w:left="424" w:leftChars="202" w:firstLine="0" w:firstLineChars="0"/>
        <w:contextualSpacing/>
        <w:rPr>
          <w:rFonts w:ascii="宋体" w:hAnsi="宋体" w:cs="宋体"/>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ascii="宋体" w:hAnsi="宋体" w:cs="宋体"/>
          <w:b/>
          <w:kern w:val="0"/>
          <w:szCs w:val="21"/>
        </w:rPr>
      </w:pPr>
    </w:p>
    <w:p>
      <w:pPr>
        <w:numPr>
          <w:ilvl w:val="0"/>
          <w:numId w:val="18"/>
        </w:num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确定成交供应商和授予合同</w:t>
      </w:r>
    </w:p>
    <w:p>
      <w:pPr>
        <w:tabs>
          <w:tab w:val="left" w:pos="1260"/>
        </w:tabs>
        <w:autoSpaceDE w:val="0"/>
        <w:autoSpaceDN w:val="0"/>
        <w:spacing w:line="360" w:lineRule="auto"/>
        <w:contextualSpacing/>
        <w:rPr>
          <w:rFonts w:ascii="宋体" w:hAnsi="宋体" w:cs="宋体"/>
          <w:b/>
          <w:kern w:val="0"/>
          <w:szCs w:val="21"/>
        </w:rPr>
      </w:pPr>
    </w:p>
    <w:p>
      <w:pPr>
        <w:pStyle w:val="31"/>
        <w:numPr>
          <w:ilvl w:val="0"/>
          <w:numId w:val="13"/>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1"/>
        <w:numPr>
          <w:ilvl w:val="0"/>
          <w:numId w:val="19"/>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Cs w:val="21"/>
        </w:rPr>
        <w:t>。</w:t>
      </w:r>
    </w:p>
    <w:p>
      <w:pPr>
        <w:pStyle w:val="31"/>
        <w:numPr>
          <w:ilvl w:val="1"/>
          <w:numId w:val="20"/>
        </w:numPr>
        <w:autoSpaceDE w:val="0"/>
        <w:autoSpaceDN w:val="0"/>
        <w:spacing w:line="360" w:lineRule="auto"/>
        <w:ind w:firstLineChars="0"/>
        <w:contextualSpacing/>
        <w:rPr>
          <w:rFonts w:ascii="宋体" w:hAnsi="宋体" w:cs="宋体"/>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31"/>
        <w:numPr>
          <w:ilvl w:val="0"/>
          <w:numId w:val="20"/>
        </w:numPr>
        <w:autoSpaceDE w:val="0"/>
        <w:autoSpaceDN w:val="0"/>
        <w:spacing w:line="360" w:lineRule="auto"/>
        <w:ind w:firstLineChars="0"/>
        <w:contextualSpacing/>
        <w:rPr>
          <w:rFonts w:ascii="宋体" w:hAnsi="宋体" w:cs="宋体"/>
          <w:b/>
          <w:kern w:val="0"/>
          <w:szCs w:val="21"/>
        </w:rPr>
      </w:pPr>
      <w:r>
        <w:rPr>
          <w:rFonts w:hint="eastAsia" w:cs="微软雅黑"/>
        </w:rPr>
        <w:t>在谈判采购中，出现下列情形之一的，采购人应当终止竞争性谈判采购活动，发布项目终止公告并说明原因，重新开展采购活动：</w:t>
      </w:r>
    </w:p>
    <w:p>
      <w:pPr>
        <w:pStyle w:val="31"/>
        <w:numPr>
          <w:ilvl w:val="0"/>
          <w:numId w:val="13"/>
        </w:numPr>
        <w:autoSpaceDE w:val="0"/>
        <w:autoSpaceDN w:val="0"/>
        <w:spacing w:line="360" w:lineRule="auto"/>
        <w:ind w:firstLineChars="0"/>
        <w:contextualSpacing/>
        <w:rPr>
          <w:rFonts w:ascii="宋体" w:hAnsi="宋体" w:cs="宋体"/>
          <w:vanish/>
          <w:kern w:val="0"/>
          <w:szCs w:val="21"/>
        </w:rPr>
      </w:pP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因情况变化，不再符合规定的竞争性谈判采购方式适用情形的；</w:t>
      </w:r>
    </w:p>
    <w:p>
      <w:pPr>
        <w:pStyle w:val="31"/>
        <w:numPr>
          <w:ilvl w:val="1"/>
          <w:numId w:val="13"/>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1"/>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31"/>
        <w:numPr>
          <w:ilvl w:val="0"/>
          <w:numId w:val="2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1"/>
        <w:numPr>
          <w:ilvl w:val="0"/>
          <w:numId w:val="2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1"/>
        <w:numPr>
          <w:ilvl w:val="1"/>
          <w:numId w:val="2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1"/>
        <w:numPr>
          <w:ilvl w:val="1"/>
          <w:numId w:val="2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31"/>
        <w:numPr>
          <w:ilvl w:val="0"/>
          <w:numId w:val="2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1"/>
        <w:numPr>
          <w:ilvl w:val="0"/>
          <w:numId w:val="2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供应商认为谈判文件、采购过程和成交结果使自己的权益受到损害的，可以按照《政府采购质疑和投诉办法》（财政部令第94号）提出质疑。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1"/>
        <w:numPr>
          <w:ilvl w:val="0"/>
          <w:numId w:val="22"/>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对谈判文件提出质疑的，供应商应</w:t>
      </w:r>
      <w:r>
        <w:rPr>
          <w:rFonts w:ascii="宋体" w:hAnsi="宋体" w:cs="宋体"/>
          <w:kern w:val="0"/>
          <w:szCs w:val="21"/>
        </w:rPr>
        <w:t>已依法获取</w:t>
      </w:r>
      <w:r>
        <w:rPr>
          <w:rFonts w:hint="eastAsia" w:ascii="宋体" w:hAnsi="宋体" w:cs="宋体"/>
          <w:kern w:val="0"/>
          <w:szCs w:val="21"/>
        </w:rPr>
        <w:t>谈判</w:t>
      </w:r>
      <w:r>
        <w:rPr>
          <w:rFonts w:ascii="宋体" w:hAnsi="宋体" w:cs="宋体"/>
          <w:kern w:val="0"/>
          <w:szCs w:val="21"/>
        </w:rPr>
        <w:t>文件</w:t>
      </w:r>
      <w:r>
        <w:rPr>
          <w:rFonts w:hint="eastAsia" w:ascii="宋体" w:hAnsi="宋体" w:cs="宋体"/>
          <w:kern w:val="0"/>
          <w:szCs w:val="21"/>
        </w:rPr>
        <w:t>，且应当在</w:t>
      </w:r>
      <w:r>
        <w:rPr>
          <w:rFonts w:ascii="宋体" w:hAnsi="宋体" w:cs="宋体"/>
          <w:kern w:val="0"/>
          <w:szCs w:val="21"/>
        </w:rPr>
        <w:t>获取</w:t>
      </w:r>
      <w:r>
        <w:rPr>
          <w:rFonts w:hint="eastAsia" w:ascii="宋体" w:hAnsi="宋体" w:cs="宋体"/>
          <w:kern w:val="0"/>
          <w:szCs w:val="21"/>
        </w:rPr>
        <w:t>谈判</w:t>
      </w:r>
      <w:r>
        <w:rPr>
          <w:rFonts w:ascii="宋体" w:hAnsi="宋体" w:cs="宋体"/>
          <w:kern w:val="0"/>
          <w:szCs w:val="21"/>
        </w:rPr>
        <w:t>文件或者</w:t>
      </w:r>
      <w:r>
        <w:rPr>
          <w:rFonts w:hint="eastAsia" w:ascii="宋体" w:hAnsi="宋体" w:cs="宋体"/>
          <w:kern w:val="0"/>
          <w:szCs w:val="21"/>
        </w:rPr>
        <w:t>谈判</w:t>
      </w:r>
      <w:r>
        <w:rPr>
          <w:rFonts w:ascii="宋体" w:hAnsi="宋体" w:cs="宋体"/>
          <w:kern w:val="0"/>
          <w:szCs w:val="21"/>
        </w:rPr>
        <w:t>文件公告期限届满之日起7个工作日内</w:t>
      </w:r>
      <w:r>
        <w:rPr>
          <w:rFonts w:hint="eastAsia" w:ascii="宋体" w:hAnsi="宋体" w:cs="宋体"/>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1"/>
        <w:numPr>
          <w:ilvl w:val="1"/>
          <w:numId w:val="2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w:t>
      </w:r>
      <w:r>
        <w:rPr>
          <w:rFonts w:hint="eastAsia" w:ascii="宋体" w:hAnsi="宋体" w:cs="宋体"/>
          <w:kern w:val="0"/>
          <w:szCs w:val="21"/>
        </w:rPr>
        <w:t>成交</w:t>
      </w:r>
      <w:r>
        <w:rPr>
          <w:rFonts w:ascii="宋体" w:hAnsi="宋体" w:cs="宋体"/>
          <w:kern w:val="0"/>
          <w:szCs w:val="21"/>
        </w:rPr>
        <w:t>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谈判</w:t>
      </w:r>
      <w:r>
        <w:rPr>
          <w:rFonts w:ascii="宋体" w:hAnsi="宋体" w:cs="宋体"/>
          <w:kern w:val="0"/>
          <w:szCs w:val="21"/>
        </w:rPr>
        <w:t>文件提出的质疑，依法通过澄清或者修改可以继续开展采购活动的，澄清或者修改</w:t>
      </w:r>
      <w:r>
        <w:rPr>
          <w:rFonts w:hint="eastAsia" w:ascii="宋体" w:hAnsi="宋体" w:cs="宋体"/>
          <w:kern w:val="0"/>
          <w:szCs w:val="21"/>
        </w:rPr>
        <w:t>谈判</w:t>
      </w:r>
      <w:r>
        <w:rPr>
          <w:rFonts w:ascii="宋体" w:hAnsi="宋体" w:cs="宋体"/>
          <w:kern w:val="0"/>
          <w:szCs w:val="21"/>
        </w:rPr>
        <w:t>文件后继续开展采购活动；否则应当修改</w:t>
      </w:r>
      <w:r>
        <w:rPr>
          <w:rFonts w:hint="eastAsia" w:ascii="宋体" w:hAnsi="宋体" w:cs="宋体"/>
          <w:kern w:val="0"/>
          <w:szCs w:val="21"/>
        </w:rPr>
        <w:t>谈判</w:t>
      </w:r>
      <w:r>
        <w:rPr>
          <w:rFonts w:ascii="宋体" w:hAnsi="宋体" w:cs="宋体"/>
          <w:kern w:val="0"/>
          <w:szCs w:val="21"/>
        </w:rPr>
        <w:t>文件后重新开展采购活动。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pStyle w:val="31"/>
        <w:numPr>
          <w:ilvl w:val="0"/>
          <w:numId w:val="2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1"/>
        <w:numPr>
          <w:ilvl w:val="0"/>
          <w:numId w:val="21"/>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文件确定的合同文本以及采购标的、规格型号、采购金额、采购数量、技术和服务要求等事项签订政府采购合同</w:t>
      </w:r>
      <w:r>
        <w:rPr>
          <w:rFonts w:hint="eastAsia" w:ascii="宋体" w:hAnsi="宋体" w:cs="宋体"/>
          <w:kern w:val="0"/>
          <w:szCs w:val="21"/>
        </w:rPr>
        <w:t>。</w:t>
      </w:r>
    </w:p>
    <w:p>
      <w:pPr>
        <w:pStyle w:val="31"/>
        <w:numPr>
          <w:ilvl w:val="1"/>
          <w:numId w:val="2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文件确定的合同文本以及采购标的、规格型号、采购金额、采购数量、技术和服务要求等实质性内容的协议</w:t>
      </w:r>
      <w:r>
        <w:rPr>
          <w:rFonts w:hint="eastAsia" w:ascii="宋体" w:hAnsi="宋体" w:cs="宋体"/>
          <w:kern w:val="0"/>
          <w:szCs w:val="21"/>
        </w:rPr>
        <w:t>。</w:t>
      </w:r>
    </w:p>
    <w:p>
      <w:pPr>
        <w:pStyle w:val="31"/>
        <w:numPr>
          <w:ilvl w:val="0"/>
          <w:numId w:val="2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pStyle w:val="22"/>
        <w:rPr>
          <w:rFonts w:ascii="宋体" w:hAnsi="宋体" w:eastAsia="宋体" w:cs="宋体"/>
          <w:b/>
          <w:kern w:val="0"/>
          <w:sz w:val="32"/>
          <w:szCs w:val="32"/>
        </w:rPr>
      </w:pPr>
    </w:p>
    <w:p>
      <w:pPr>
        <w:pStyle w:val="22"/>
        <w:rPr>
          <w:rFonts w:ascii="宋体" w:hAnsi="宋体" w:eastAsia="宋体" w:cs="宋体"/>
          <w:b/>
          <w:kern w:val="0"/>
          <w:sz w:val="32"/>
          <w:szCs w:val="32"/>
        </w:rPr>
      </w:pPr>
    </w:p>
    <w:p>
      <w:pPr>
        <w:pStyle w:val="22"/>
        <w:rPr>
          <w:rFonts w:ascii="宋体" w:hAnsi="宋体" w:eastAsia="宋体" w:cs="宋体"/>
          <w:b/>
          <w:kern w:val="0"/>
          <w:sz w:val="32"/>
          <w:szCs w:val="32"/>
        </w:rPr>
      </w:pPr>
    </w:p>
    <w:p>
      <w:pPr>
        <w:pStyle w:val="22"/>
        <w:rPr>
          <w:rFonts w:ascii="宋体" w:hAnsi="宋体" w:eastAsia="宋体" w:cs="宋体"/>
          <w:b/>
          <w:kern w:val="0"/>
          <w:sz w:val="32"/>
          <w:szCs w:val="32"/>
        </w:rPr>
      </w:pPr>
    </w:p>
    <w:p>
      <w:pPr>
        <w:pStyle w:val="22"/>
        <w:rPr>
          <w:rFonts w:ascii="宋体" w:hAnsi="宋体" w:eastAsia="宋体" w:cs="宋体"/>
          <w:b/>
          <w:kern w:val="0"/>
          <w:sz w:val="32"/>
          <w:szCs w:val="32"/>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ascii="宋体" w:hAnsi="宋体" w:eastAsia="宋体" w:cs="仿宋_GB2312"/>
          <w:szCs w:val="24"/>
          <w:lang w:val="zh-CN"/>
        </w:rPr>
      </w:pPr>
    </w:p>
    <w:p>
      <w:pPr>
        <w:pStyle w:val="14"/>
        <w:spacing w:line="360" w:lineRule="auto"/>
        <w:ind w:firstLine="480" w:firstLineChars="200"/>
        <w:contextualSpacing/>
        <w:rPr>
          <w:rFonts w:ascii="宋体" w:hAnsi="宋体" w:eastAsia="宋体" w:cs="仿宋_GB2312"/>
          <w:szCs w:val="24"/>
          <w:lang w:val="zh-CN"/>
        </w:rPr>
      </w:pPr>
    </w:p>
    <w:p>
      <w:pPr>
        <w:pStyle w:val="14"/>
        <w:spacing w:line="360" w:lineRule="auto"/>
        <w:ind w:left="282" w:hanging="282" w:hangingChars="78"/>
        <w:contextualSpacing/>
        <w:jc w:val="center"/>
        <w:rPr>
          <w:rFonts w:ascii="宋体" w:hAnsi="宋体" w:eastAsia="宋体" w:cs="宋体"/>
          <w:b/>
          <w:kern w:val="0"/>
          <w:sz w:val="36"/>
          <w:szCs w:val="36"/>
        </w:rPr>
      </w:pPr>
    </w:p>
    <w:p>
      <w:pPr>
        <w:pStyle w:val="14"/>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lang w:val="zh-CN"/>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）严重违法失信社会组织名单的供应商</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8"/>
                <w:rFonts w:hint="eastAsia" w:ascii="宋体" w:hAnsi="宋体"/>
                <w:szCs w:val="21"/>
              </w:rPr>
              <w:t>www.creditchina.gov.cn</w:t>
            </w:r>
            <w:r>
              <w:rPr>
                <w:rFonts w:hint="eastAsia" w:ascii="宋体" w:hAnsi="宋体"/>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谈判小组</w:t>
            </w:r>
            <w:r>
              <w:rPr>
                <w:rFonts w:hint="eastAsia" w:ascii="宋体" w:hAnsi="宋体"/>
                <w:bCs/>
                <w:szCs w:val="21"/>
              </w:rPr>
              <w:t>确认确认的查询结果网页截图作为查询记录和证据，与其他采购文件一并保存；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谈判小组</w:t>
            </w:r>
            <w:r>
              <w:rPr>
                <w:rFonts w:hint="eastAsia" w:ascii="宋体" w:hAnsi="宋体"/>
                <w:bCs/>
                <w:szCs w:val="21"/>
              </w:rPr>
              <w:t>确认认定的被列入失信被执行人、重大税收违法案件当事人名单、政府采购严重违法失信行为记录名单的供应商，</w:t>
            </w:r>
            <w:r>
              <w:rPr>
                <w:rFonts w:hint="eastAsia" w:ascii="宋体" w:hAnsi="宋体" w:cs="仿宋_GB2312"/>
                <w:color w:val="000000"/>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谈判保证金</w:t>
            </w:r>
          </w:p>
        </w:tc>
        <w:tc>
          <w:tcPr>
            <w:tcW w:w="5954" w:type="dxa"/>
            <w:vAlign w:val="center"/>
          </w:tcPr>
          <w:p>
            <w:pPr>
              <w:spacing w:line="360" w:lineRule="auto"/>
              <w:rPr>
                <w:rFonts w:hint="eastAsia" w:ascii="宋体" w:hAnsi="宋体" w:cs="仿宋_GB2312"/>
                <w:szCs w:val="21"/>
                <w:lang w:val="zh-CN" w:eastAsia="zh-CN"/>
              </w:rPr>
            </w:pPr>
            <w:r>
              <w:rPr>
                <w:rFonts w:hint="eastAsia" w:ascii="宋体" w:hAnsi="宋体" w:cs="仿宋_GB2312"/>
                <w:szCs w:val="21"/>
                <w:lang w:val="en-US" w:eastAsia="zh-CN"/>
              </w:rPr>
              <w:t>1、</w:t>
            </w:r>
            <w:r>
              <w:rPr>
                <w:rFonts w:hint="eastAsia" w:ascii="宋体" w:hAnsi="宋体" w:cs="仿宋_GB2312"/>
                <w:szCs w:val="21"/>
                <w:lang w:val="zh-CN" w:eastAsia="zh-CN"/>
              </w:rPr>
              <w:t>不收取</w:t>
            </w:r>
          </w:p>
          <w:p>
            <w:pPr>
              <w:spacing w:line="360" w:lineRule="auto"/>
              <w:rPr>
                <w:rFonts w:hint="eastAsia"/>
                <w:lang w:eastAsia="zh-CN"/>
              </w:rPr>
            </w:pPr>
            <w:r>
              <w:rPr>
                <w:rFonts w:hint="eastAsia" w:ascii="宋体" w:hAnsi="宋体" w:cs="仿宋_GB2312"/>
                <w:szCs w:val="21"/>
                <w:lang w:val="en-US" w:eastAsia="zh-CN"/>
              </w:rPr>
              <w:t>2、</w:t>
            </w:r>
            <w:r>
              <w:rPr>
                <w:rFonts w:hint="eastAsia" w:ascii="宋体" w:hAnsi="宋体" w:cs="仿宋_GB2312"/>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ascii="宋体" w:hAnsi="宋体" w:cs="仿宋_GB2312"/>
                <w:szCs w:val="21"/>
                <w:lang w:val="zh-CN"/>
              </w:rPr>
            </w:pPr>
            <w:r>
              <w:rPr>
                <w:rFonts w:hint="eastAsia" w:ascii="宋体" w:hAnsi="宋体" w:cs="仿宋_GB2312"/>
                <w:szCs w:val="21"/>
                <w:lang w:val="zh-CN"/>
              </w:rPr>
              <w:t>13</w:t>
            </w:r>
          </w:p>
        </w:tc>
        <w:tc>
          <w:tcPr>
            <w:tcW w:w="2410" w:type="dxa"/>
            <w:vAlign w:val="center"/>
          </w:tcPr>
          <w:p>
            <w:pPr>
              <w:spacing w:line="360" w:lineRule="auto"/>
              <w:rPr>
                <w:rFonts w:ascii="宋体" w:hAnsi="宋体" w:cs="仿宋_GB2312"/>
                <w:szCs w:val="21"/>
                <w:lang w:val="zh-CN"/>
              </w:rPr>
            </w:pPr>
            <w:r>
              <w:rPr>
                <w:rFonts w:hint="eastAsia" w:ascii="宋体" w:hAnsi="宋体" w:cs="仿宋_GB2312"/>
                <w:szCs w:val="21"/>
                <w:lang w:val="zh-CN"/>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（1）法定代表人身份证明或提供法定代表人授权委托书及被授权人身份证明和社保证明。（法人提供）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（2）单位负责人身份证明或提供单位负责人授权委托书及被授权人身份证明和社保证明。（非法人提供）</w:t>
            </w:r>
          </w:p>
          <w:p>
            <w:pPr>
              <w:spacing w:line="360" w:lineRule="auto"/>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非联合体供应商</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评审价格＝响应最终报价—小型和微型企业产品的价格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评审价格＝响应最终报价×(1-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评审价格＝响应最终报价—监狱企业产品的价格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评审价格＝响应最终报价—残疾人福利性单位产品的价格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则响应文件中应根据本项目谈判文件“第二章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3"/>
        </w:numPr>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谈判小组编写评审报告。</w:t>
      </w:r>
    </w:p>
    <w:p>
      <w:pPr>
        <w:wordWrap w:val="0"/>
        <w:spacing w:line="360" w:lineRule="auto"/>
        <w:ind w:firstLine="480" w:firstLineChars="200"/>
        <w:contextualSpacing/>
        <w:rPr>
          <w:rFonts w:ascii="宋体" w:hAnsi="宋体" w:eastAsia="宋体" w:cs="宋体"/>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pStyle w:val="22"/>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ascii="宋体" w:hAnsi="宋体" w:eastAsia="宋体" w:cs="宋体"/>
          <w:b/>
          <w:kern w:val="0"/>
          <w:sz w:val="36"/>
          <w:szCs w:val="36"/>
        </w:rPr>
      </w:pPr>
    </w:p>
    <w:p>
      <w:pPr>
        <w:pStyle w:val="5"/>
        <w:spacing w:after="156" w:line="500" w:lineRule="exact"/>
        <w:rPr>
          <w:rFonts w:ascii="仿宋" w:hAnsi="仿宋" w:eastAsia="仿宋"/>
          <w:szCs w:val="24"/>
        </w:rPr>
      </w:pPr>
      <w:bookmarkStart w:id="0" w:name="_Toc329278149"/>
      <w:bookmarkStart w:id="1" w:name="_Toc357868214"/>
      <w:bookmarkStart w:id="2" w:name="_Toc326060505"/>
      <w:bookmarkStart w:id="3" w:name="_Toc354404029"/>
      <w:bookmarkStart w:id="4" w:name="_Toc354923119"/>
      <w:bookmarkStart w:id="5" w:name="_Toc364457259"/>
      <w:bookmarkStart w:id="6" w:name="_Toc356744034"/>
      <w:bookmarkStart w:id="7" w:name="_Toc355649942"/>
      <w:bookmarkStart w:id="8" w:name="_Toc354922980"/>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1、合同文件及解释顺序</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合同文件组成及解释顺序:       按照通用条款执行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2、语言文字和适用法律、标准及规范</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2．1本合同除使用汉语外，还使用       无                  语言文字。</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2．2适用法律和法规</w:t>
      </w:r>
    </w:p>
    <w:p>
      <w:pPr>
        <w:spacing w:line="500" w:lineRule="exact"/>
        <w:ind w:firstLine="482"/>
        <w:rPr>
          <w:rFonts w:ascii="宋体" w:hAnsi="宋体" w:cs="宋体"/>
          <w:kern w:val="0"/>
          <w:szCs w:val="21"/>
        </w:rPr>
      </w:pPr>
      <w:r>
        <w:rPr>
          <w:rFonts w:hint="eastAsia" w:ascii="宋体" w:hAnsi="宋体" w:cs="宋体"/>
          <w:kern w:val="0"/>
          <w:szCs w:val="21"/>
        </w:rPr>
        <w:t>需要明示的法律、行政法规:  国家及省、市的法律、法规、规章、规范性文件及协议条款约定的规章。</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2．3适用标准、规范</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适用标准、规范的名称:</w:t>
      </w:r>
    </w:p>
    <w:p>
      <w:pPr>
        <w:numPr>
          <w:ilvl w:val="1"/>
          <w:numId w:val="24"/>
        </w:numPr>
        <w:tabs>
          <w:tab w:val="left" w:pos="0"/>
          <w:tab w:val="clear" w:pos="1200"/>
        </w:tabs>
        <w:spacing w:line="500" w:lineRule="exact"/>
        <w:ind w:left="0" w:firstLine="540"/>
        <w:rPr>
          <w:rFonts w:ascii="宋体" w:hAnsi="宋体" w:cs="宋体"/>
          <w:kern w:val="0"/>
          <w:szCs w:val="21"/>
        </w:rPr>
      </w:pPr>
      <w:r>
        <w:rPr>
          <w:rFonts w:hint="eastAsia" w:ascii="宋体" w:hAnsi="宋体" w:cs="宋体"/>
          <w:kern w:val="0"/>
          <w:szCs w:val="21"/>
        </w:rPr>
        <w:t>工程设计要求</w:t>
      </w:r>
    </w:p>
    <w:p>
      <w:pPr>
        <w:numPr>
          <w:ilvl w:val="1"/>
          <w:numId w:val="24"/>
        </w:numPr>
        <w:tabs>
          <w:tab w:val="left" w:pos="0"/>
          <w:tab w:val="clear" w:pos="1200"/>
        </w:tabs>
        <w:spacing w:line="500" w:lineRule="exact"/>
        <w:ind w:left="0" w:firstLine="540"/>
        <w:rPr>
          <w:rFonts w:ascii="宋体" w:hAnsi="宋体" w:cs="宋体"/>
          <w:kern w:val="0"/>
          <w:szCs w:val="21"/>
        </w:rPr>
      </w:pPr>
      <w:r>
        <w:rPr>
          <w:rFonts w:hint="eastAsia" w:ascii="宋体" w:hAnsi="宋体" w:cs="宋体"/>
          <w:kern w:val="0"/>
          <w:szCs w:val="21"/>
        </w:rPr>
        <w:t>国家、河南省、许昌市现行有关工程的施工及验收规定、规程和标准</w:t>
      </w:r>
    </w:p>
    <w:p>
      <w:pPr>
        <w:numPr>
          <w:ilvl w:val="1"/>
          <w:numId w:val="24"/>
        </w:numPr>
        <w:tabs>
          <w:tab w:val="left" w:pos="0"/>
          <w:tab w:val="clear" w:pos="1200"/>
        </w:tabs>
        <w:spacing w:line="500" w:lineRule="exact"/>
        <w:ind w:left="0" w:firstLine="540"/>
        <w:rPr>
          <w:rFonts w:ascii="宋体" w:hAnsi="宋体" w:cs="宋体"/>
          <w:kern w:val="0"/>
          <w:szCs w:val="21"/>
        </w:rPr>
      </w:pPr>
      <w:r>
        <w:rPr>
          <w:rFonts w:hint="eastAsia" w:ascii="宋体" w:hAnsi="宋体" w:cs="宋体"/>
          <w:kern w:val="0"/>
          <w:szCs w:val="21"/>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ascii="宋体" w:hAnsi="宋体" w:cs="宋体"/>
          <w:kern w:val="0"/>
          <w:szCs w:val="21"/>
        </w:rPr>
      </w:pPr>
      <w:r>
        <w:rPr>
          <w:rFonts w:hint="eastAsia" w:ascii="宋体" w:hAnsi="宋体" w:cs="宋体"/>
          <w:kern w:val="0"/>
          <w:szCs w:val="21"/>
        </w:rPr>
        <w:t>新材料、新工艺必须具有省级以上行业主管部门技术鉴定并须征得发包人和监理单位同意。</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发包人提供标准、规范的时间: 无。</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国内没有相应标准、规范时的约定: 由承包人提供并经发包人和设计单位认可后执行。</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3、图纸</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3．1发包人向承包人提供图纸日期和套数: 合同约定。</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3. 2发包人对图纸的保密要求: 施工图纸应保密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3. 3使用国外图纸的要求及费用承担:  无  </w:t>
      </w:r>
    </w:p>
    <w:p>
      <w:pPr>
        <w:pStyle w:val="5"/>
        <w:spacing w:after="156" w:line="500" w:lineRule="exact"/>
        <w:rPr>
          <w:rFonts w:ascii="宋体" w:hAnsi="宋体" w:eastAsia="宋体" w:cs="宋体"/>
          <w:sz w:val="21"/>
          <w:szCs w:val="21"/>
          <w:lang w:val="en-US"/>
        </w:rPr>
      </w:pPr>
      <w:bookmarkStart w:id="9" w:name="_Toc356744035"/>
      <w:bookmarkStart w:id="10" w:name="_Toc326060506"/>
      <w:bookmarkStart w:id="11" w:name="_Toc329278150"/>
      <w:bookmarkStart w:id="12" w:name="_Toc354922981"/>
      <w:bookmarkStart w:id="13" w:name="_Toc355649943"/>
      <w:bookmarkStart w:id="14" w:name="_Toc364457260"/>
      <w:bookmarkStart w:id="15" w:name="_Toc354923120"/>
      <w:bookmarkStart w:id="16" w:name="_Toc354404030"/>
      <w:bookmarkStart w:id="17" w:name="_Toc357868215"/>
      <w:r>
        <w:rPr>
          <w:rFonts w:hint="eastAsia" w:ascii="宋体" w:hAnsi="宋体" w:eastAsia="宋体" w:cs="宋体"/>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ascii="宋体" w:hAnsi="宋体" w:eastAsia="宋体" w:cs="宋体"/>
          <w:kern w:val="0"/>
          <w:sz w:val="21"/>
          <w:szCs w:val="21"/>
        </w:rPr>
      </w:pPr>
      <w:r>
        <w:rPr>
          <w:rFonts w:hint="eastAsia" w:ascii="宋体" w:hAnsi="宋体" w:eastAsia="宋体" w:cs="宋体"/>
          <w:kern w:val="0"/>
          <w:sz w:val="21"/>
          <w:szCs w:val="21"/>
        </w:rPr>
        <w:t>4．工程师</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4．1监理单位委派的工程师</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姓名：   (待定)      职务:    (待定)    </w:t>
      </w:r>
    </w:p>
    <w:p>
      <w:pPr>
        <w:pStyle w:val="39"/>
        <w:spacing w:line="500" w:lineRule="exact"/>
        <w:ind w:left="0" w:right="9" w:firstLine="420" w:firstLineChars="200"/>
        <w:rPr>
          <w:rFonts w:ascii="宋体" w:hAnsi="宋体" w:cs="宋体"/>
          <w:sz w:val="21"/>
          <w:szCs w:val="21"/>
        </w:rPr>
      </w:pPr>
      <w:r>
        <w:rPr>
          <w:rFonts w:hint="eastAsia" w:ascii="宋体" w:hAnsi="宋体" w:cs="宋体"/>
          <w:sz w:val="21"/>
          <w:szCs w:val="21"/>
        </w:rPr>
        <w:t>发包人委托的职权: 按《建设工程监理规范》(GB50319-2000)执行</w:t>
      </w:r>
    </w:p>
    <w:p>
      <w:pPr>
        <w:spacing w:line="500" w:lineRule="exact"/>
        <w:ind w:firstLine="480"/>
        <w:rPr>
          <w:rFonts w:ascii="宋体" w:hAnsi="宋体" w:cs="宋体"/>
          <w:kern w:val="0"/>
          <w:szCs w:val="21"/>
        </w:rPr>
      </w:pPr>
      <w:r>
        <w:rPr>
          <w:rFonts w:hint="eastAsia" w:ascii="宋体" w:hAnsi="宋体" w:cs="宋体"/>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4．2发包人派驻的工程师</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姓名：  (待定)         职务:   (待定)     </w:t>
      </w:r>
    </w:p>
    <w:p>
      <w:pPr>
        <w:spacing w:line="500" w:lineRule="exact"/>
        <w:ind w:firstLine="480"/>
        <w:rPr>
          <w:rFonts w:ascii="宋体" w:hAnsi="宋体" w:cs="宋体"/>
          <w:kern w:val="0"/>
          <w:szCs w:val="21"/>
        </w:rPr>
      </w:pPr>
      <w:r>
        <w:rPr>
          <w:rFonts w:hint="eastAsia" w:ascii="宋体" w:hAnsi="宋体" w:cs="宋体"/>
          <w:kern w:val="0"/>
          <w:szCs w:val="21"/>
        </w:rPr>
        <w:t>职权: 全权负责施工现场的管理和协调工作，并代表发包人对施工中所用材料(设备)的质量进行检验。</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4．3不实行监理的，工程师的职权:  //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5．项目经理(建造师)</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姓名:  (中标项目经理/建造师)      职务:  (待定)  _</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6、发包人工作</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6．1发包人应按约定的时间和要求完成以下工作:</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(1)施工场地具备施工条件的要求及完成的时间： 合同签订后7日内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(3)施工场地与道路的通道开通时间和要求: 已具备。</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(4)工程地质和地下管线资料的提供时间：合同签订日。</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(6)水准点与坐标控制点交验要求：合同开工日期前7天。</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(7)图纸会审和设计交底时间: 合同开工日期前7天。 </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(8)双方约定发包人应做的其他工作：      无     </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6．2发包人委托承包人办理的工作：       无      </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7．承包人工作</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           招标范围，具体有招标人与中标人协商                    。</w:t>
      </w:r>
    </w:p>
    <w:p>
      <w:pPr>
        <w:pStyle w:val="14"/>
        <w:spacing w:line="500" w:lineRule="exact"/>
        <w:ind w:left="338" w:leftChars="86" w:hanging="157" w:hangingChars="75"/>
        <w:rPr>
          <w:rFonts w:ascii="宋体" w:hAnsi="宋体" w:eastAsia="宋体" w:cs="宋体"/>
          <w:kern w:val="0"/>
          <w:sz w:val="21"/>
          <w:szCs w:val="21"/>
        </w:rPr>
      </w:pPr>
      <w:r>
        <w:rPr>
          <w:rFonts w:hint="eastAsia" w:ascii="宋体" w:hAnsi="宋体" w:eastAsia="宋体" w:cs="宋体"/>
          <w:kern w:val="0"/>
          <w:sz w:val="21"/>
          <w:szCs w:val="21"/>
        </w:rPr>
        <w:t xml:space="preserve">   7．1承包人应按约定时间和要求，完成以下工作:</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 xml:space="preserve">需自设计资质等级和业务范围允许的承包人完成的设计文件提交时间：          无      </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应提供计划、报表的名称及完成时间:</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开工前7日提交施工组织设计、总进度计划、施工机械和人员使用计划、主要材料供应计划。</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承担施工安全保卫工作及非夜间施工照明的责任和要求:设专职安全保卫人员和安全防护设施，负责施工现场安全保卫，费用自理。</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 xml:space="preserve">向发包人提供的办公和生活房屋及设施的要求:  无   </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需承包人办理的有关施工场地交通、住建、环卫和施工噪音管理等手续: 按照国家、省、市、县有关规定执行。</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完工工程成品保护的特殊要求及费用承担:由承包人负责。</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5"/>
        </w:numPr>
        <w:tabs>
          <w:tab w:val="left" w:pos="900"/>
          <w:tab w:val="left" w:pos="1620"/>
        </w:tabs>
        <w:spacing w:line="500" w:lineRule="exact"/>
        <w:ind w:firstLine="454"/>
        <w:rPr>
          <w:rFonts w:ascii="宋体" w:hAnsi="宋体" w:eastAsia="宋体" w:cs="宋体"/>
          <w:kern w:val="0"/>
          <w:sz w:val="21"/>
          <w:szCs w:val="21"/>
        </w:rPr>
      </w:pPr>
      <w:r>
        <w:rPr>
          <w:rFonts w:hint="eastAsia" w:ascii="宋体" w:hAnsi="宋体" w:eastAsia="宋体" w:cs="宋体"/>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ascii="宋体" w:hAnsi="宋体" w:eastAsia="宋体" w:cs="宋体"/>
          <w:kern w:val="0"/>
          <w:sz w:val="21"/>
          <w:szCs w:val="21"/>
        </w:rPr>
      </w:pPr>
      <w:r>
        <w:rPr>
          <w:rFonts w:hint="eastAsia" w:ascii="宋体" w:hAnsi="宋体" w:eastAsia="宋体" w:cs="宋体"/>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ascii="宋体" w:hAnsi="宋体" w:eastAsia="宋体" w:cs="宋体"/>
          <w:kern w:val="0"/>
          <w:sz w:val="21"/>
          <w:szCs w:val="21"/>
        </w:rPr>
      </w:pPr>
      <w:r>
        <w:rPr>
          <w:rFonts w:hint="eastAsia" w:ascii="宋体" w:hAnsi="宋体" w:eastAsia="宋体" w:cs="宋体"/>
          <w:kern w:val="0"/>
          <w:sz w:val="21"/>
          <w:szCs w:val="21"/>
        </w:rPr>
        <w:t>(10)按计划完成施工任务。</w:t>
      </w:r>
    </w:p>
    <w:p>
      <w:pPr>
        <w:pStyle w:val="5"/>
        <w:spacing w:after="156" w:line="500" w:lineRule="exact"/>
        <w:rPr>
          <w:rFonts w:ascii="宋体" w:hAnsi="宋体" w:eastAsia="宋体" w:cs="宋体"/>
          <w:sz w:val="21"/>
          <w:szCs w:val="21"/>
          <w:lang w:val="en-US"/>
        </w:rPr>
      </w:pPr>
      <w:bookmarkStart w:id="18" w:name="_Toc364457261"/>
      <w:bookmarkStart w:id="19" w:name="_Toc329278151"/>
      <w:bookmarkStart w:id="20" w:name="_Toc354404031"/>
      <w:bookmarkStart w:id="21" w:name="_Toc354923121"/>
      <w:bookmarkStart w:id="22" w:name="_Toc354922982"/>
      <w:bookmarkStart w:id="23" w:name="_Toc357868216"/>
      <w:bookmarkStart w:id="24" w:name="_Toc326060507"/>
      <w:bookmarkStart w:id="25" w:name="_Toc356744036"/>
      <w:bookmarkStart w:id="26" w:name="_Toc355649944"/>
      <w:r>
        <w:rPr>
          <w:rFonts w:hint="eastAsia" w:ascii="宋体" w:hAnsi="宋体" w:eastAsia="宋体" w:cs="宋体"/>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8．进度计划</w:t>
      </w:r>
    </w:p>
    <w:p>
      <w:pPr>
        <w:pStyle w:val="14"/>
        <w:spacing w:line="500" w:lineRule="exact"/>
        <w:ind w:left="1012" w:leftChars="258" w:hanging="470" w:hangingChars="224"/>
        <w:rPr>
          <w:rFonts w:ascii="宋体" w:hAnsi="宋体" w:eastAsia="宋体" w:cs="宋体"/>
          <w:kern w:val="0"/>
          <w:sz w:val="21"/>
          <w:szCs w:val="21"/>
        </w:rPr>
      </w:pPr>
      <w:r>
        <w:rPr>
          <w:rFonts w:hint="eastAsia" w:ascii="宋体" w:hAnsi="宋体" w:eastAsia="宋体" w:cs="宋体"/>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8.2群体工程中有关进度计划的要求：    无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9．工期延误</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9.2由于承包人的原因造成工期延误，每延迟一天扣除工程款的     ‰。</w:t>
      </w:r>
    </w:p>
    <w:p>
      <w:pPr>
        <w:pStyle w:val="5"/>
        <w:spacing w:after="156" w:line="500" w:lineRule="exact"/>
        <w:rPr>
          <w:rFonts w:ascii="宋体" w:hAnsi="宋体" w:eastAsia="宋体" w:cs="宋体"/>
          <w:sz w:val="21"/>
          <w:szCs w:val="21"/>
          <w:lang w:val="en-US"/>
        </w:rPr>
      </w:pPr>
      <w:bookmarkStart w:id="27" w:name="_Toc356744037"/>
      <w:bookmarkStart w:id="28" w:name="_Toc357868217"/>
      <w:bookmarkStart w:id="29" w:name="_Toc364457262"/>
      <w:bookmarkStart w:id="30" w:name="_Toc329278152"/>
      <w:bookmarkStart w:id="31" w:name="_Toc355649945"/>
      <w:bookmarkStart w:id="32" w:name="_Toc354404032"/>
      <w:bookmarkStart w:id="33" w:name="_Toc354922983"/>
      <w:bookmarkStart w:id="34" w:name="_Toc326060508"/>
      <w:bookmarkStart w:id="35" w:name="_Toc354923122"/>
      <w:r>
        <w:rPr>
          <w:rFonts w:hint="eastAsia" w:ascii="宋体" w:hAnsi="宋体" w:eastAsia="宋体" w:cs="宋体"/>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10．隐蔽工程验收和执行规范及适用范围</w:t>
      </w:r>
    </w:p>
    <w:p>
      <w:pPr>
        <w:pStyle w:val="14"/>
        <w:numPr>
          <w:ilvl w:val="1"/>
          <w:numId w:val="26"/>
        </w:numPr>
        <w:spacing w:line="500" w:lineRule="exact"/>
        <w:ind w:hanging="27"/>
        <w:rPr>
          <w:rFonts w:ascii="宋体" w:hAnsi="宋体" w:eastAsia="宋体" w:cs="宋体"/>
          <w:kern w:val="0"/>
          <w:sz w:val="21"/>
          <w:szCs w:val="21"/>
        </w:rPr>
      </w:pPr>
      <w:r>
        <w:rPr>
          <w:rFonts w:hint="eastAsia" w:ascii="宋体" w:hAnsi="宋体" w:eastAsia="宋体" w:cs="宋体"/>
          <w:kern w:val="0"/>
          <w:sz w:val="21"/>
          <w:szCs w:val="21"/>
        </w:rPr>
        <w:t>双方约定隐蔽工程验收部位：按照国家施工及验收规范要求的执行。</w:t>
      </w:r>
    </w:p>
    <w:p>
      <w:pPr>
        <w:spacing w:line="500" w:lineRule="exact"/>
        <w:ind w:firstLine="420" w:firstLineChars="200"/>
        <w:rPr>
          <w:rFonts w:ascii="宋体" w:hAnsi="宋体" w:cs="宋体"/>
          <w:kern w:val="0"/>
          <w:szCs w:val="21"/>
        </w:rPr>
      </w:pPr>
      <w:r>
        <w:rPr>
          <w:rFonts w:hint="eastAsia" w:ascii="宋体" w:hAnsi="宋体" w:cs="宋体"/>
          <w:kern w:val="0"/>
          <w:szCs w:val="21"/>
        </w:rPr>
        <w:t>10.2 适用范围：使用于本项目工程施工。</w:t>
      </w:r>
    </w:p>
    <w:p>
      <w:pPr>
        <w:pStyle w:val="5"/>
        <w:spacing w:after="156" w:line="500" w:lineRule="exact"/>
        <w:rPr>
          <w:rFonts w:ascii="宋体" w:hAnsi="宋体" w:eastAsia="宋体" w:cs="宋体"/>
          <w:sz w:val="21"/>
          <w:szCs w:val="21"/>
          <w:lang w:val="en-US"/>
        </w:rPr>
      </w:pPr>
      <w:bookmarkStart w:id="36" w:name="_Toc354922984"/>
      <w:bookmarkStart w:id="37" w:name="_Toc355649946"/>
      <w:bookmarkStart w:id="38" w:name="_Toc356744038"/>
      <w:bookmarkStart w:id="39" w:name="_Toc357868218"/>
      <w:bookmarkStart w:id="40" w:name="_Toc326060509"/>
      <w:bookmarkStart w:id="41" w:name="_Toc364457263"/>
      <w:bookmarkStart w:id="42" w:name="_Toc354923123"/>
      <w:bookmarkStart w:id="43" w:name="_Toc329278153"/>
      <w:bookmarkStart w:id="44" w:name="_Toc354404033"/>
      <w:r>
        <w:rPr>
          <w:rFonts w:hint="eastAsia" w:ascii="宋体" w:hAnsi="宋体" w:eastAsia="宋体" w:cs="宋体"/>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按合同文本通用条款执行</w:t>
      </w:r>
    </w:p>
    <w:p>
      <w:pPr>
        <w:pStyle w:val="5"/>
        <w:spacing w:after="156" w:line="500" w:lineRule="exact"/>
        <w:rPr>
          <w:rFonts w:ascii="宋体" w:hAnsi="宋体" w:eastAsia="宋体" w:cs="宋体"/>
          <w:sz w:val="21"/>
          <w:szCs w:val="21"/>
          <w:lang w:val="en-US"/>
        </w:rPr>
      </w:pPr>
      <w:bookmarkStart w:id="45" w:name="_Toc355649947"/>
      <w:bookmarkStart w:id="46" w:name="_Toc357868219"/>
      <w:bookmarkStart w:id="47" w:name="_Toc329278154"/>
      <w:bookmarkStart w:id="48" w:name="_Toc354404034"/>
      <w:bookmarkStart w:id="49" w:name="_Toc356744039"/>
      <w:bookmarkStart w:id="50" w:name="_Toc364457264"/>
      <w:bookmarkStart w:id="51" w:name="_Toc326060510"/>
      <w:bookmarkStart w:id="52" w:name="_Toc354922985"/>
      <w:bookmarkStart w:id="53" w:name="_Toc354923124"/>
      <w:r>
        <w:rPr>
          <w:rFonts w:hint="eastAsia" w:ascii="宋体" w:hAnsi="宋体" w:eastAsia="宋体" w:cs="宋体"/>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11．合同价款及调整</w:t>
      </w:r>
    </w:p>
    <w:p>
      <w:pPr>
        <w:pStyle w:val="14"/>
        <w:spacing w:line="360" w:lineRule="auto"/>
        <w:ind w:firstLine="472" w:firstLineChars="225"/>
        <w:rPr>
          <w:rFonts w:ascii="宋体" w:hAnsi="宋体" w:eastAsia="宋体" w:cs="宋体"/>
          <w:kern w:val="0"/>
          <w:sz w:val="21"/>
          <w:szCs w:val="21"/>
        </w:rPr>
      </w:pPr>
      <w:r>
        <w:rPr>
          <w:rFonts w:hint="eastAsia" w:ascii="宋体" w:hAnsi="宋体" w:eastAsia="宋体" w:cs="宋体"/>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ascii="宋体" w:hAnsi="宋体" w:eastAsia="宋体" w:cs="宋体"/>
          <w:kern w:val="0"/>
          <w:sz w:val="21"/>
          <w:szCs w:val="21"/>
        </w:rPr>
      </w:pPr>
      <w:r>
        <w:rPr>
          <w:rFonts w:hint="eastAsia" w:ascii="宋体" w:hAnsi="宋体" w:eastAsia="宋体" w:cs="宋体"/>
          <w:kern w:val="0"/>
          <w:sz w:val="21"/>
          <w:szCs w:val="21"/>
        </w:rPr>
        <w:t>当发生下列情况时，合同价可作调整：</w:t>
      </w:r>
    </w:p>
    <w:p>
      <w:pPr>
        <w:pStyle w:val="14"/>
        <w:numPr>
          <w:ilvl w:val="2"/>
          <w:numId w:val="27"/>
        </w:numPr>
        <w:spacing w:line="360" w:lineRule="auto"/>
        <w:rPr>
          <w:rFonts w:ascii="宋体" w:hAnsi="宋体" w:eastAsia="宋体" w:cs="宋体"/>
          <w:kern w:val="0"/>
          <w:sz w:val="21"/>
          <w:szCs w:val="21"/>
        </w:rPr>
      </w:pPr>
      <w:r>
        <w:rPr>
          <w:rFonts w:hint="eastAsia" w:ascii="宋体" w:hAnsi="宋体" w:eastAsia="宋体" w:cs="宋体"/>
          <w:kern w:val="0"/>
          <w:sz w:val="21"/>
          <w:szCs w:val="21"/>
        </w:rPr>
        <w:t>发包人相应部门签证后报主管领导批准后的工程变更及工程洽商；</w:t>
      </w:r>
    </w:p>
    <w:p>
      <w:pPr>
        <w:pStyle w:val="14"/>
        <w:numPr>
          <w:ilvl w:val="2"/>
          <w:numId w:val="27"/>
        </w:numPr>
        <w:spacing w:line="360" w:lineRule="auto"/>
        <w:rPr>
          <w:rFonts w:ascii="宋体" w:hAnsi="宋体" w:eastAsia="宋体" w:cs="宋体"/>
          <w:kern w:val="0"/>
          <w:sz w:val="21"/>
          <w:szCs w:val="21"/>
        </w:rPr>
      </w:pPr>
      <w:r>
        <w:rPr>
          <w:rFonts w:hint="eastAsia" w:ascii="宋体" w:hAnsi="宋体" w:eastAsia="宋体" w:cs="宋体"/>
          <w:kern w:val="0"/>
          <w:sz w:val="21"/>
          <w:szCs w:val="21"/>
        </w:rPr>
        <w:t>暂估价项目、暂估材料设备及发包人指定的产品价在实际发生前由发包人认可后，按实际发生予以调整，仅计取税金；</w:t>
      </w:r>
    </w:p>
    <w:p>
      <w:pPr>
        <w:pStyle w:val="14"/>
        <w:numPr>
          <w:ilvl w:val="2"/>
          <w:numId w:val="27"/>
        </w:numPr>
        <w:spacing w:line="360" w:lineRule="auto"/>
        <w:rPr>
          <w:rFonts w:ascii="宋体" w:hAnsi="宋体" w:eastAsia="宋体" w:cs="宋体"/>
          <w:kern w:val="0"/>
          <w:sz w:val="21"/>
          <w:szCs w:val="21"/>
        </w:rPr>
      </w:pPr>
      <w:r>
        <w:rPr>
          <w:rFonts w:hint="eastAsia" w:ascii="宋体" w:hAnsi="宋体" w:eastAsia="宋体" w:cs="宋体"/>
          <w:kern w:val="0"/>
          <w:sz w:val="21"/>
          <w:szCs w:val="21"/>
        </w:rPr>
        <w:t>发包人提供的地下管网、地下构筑物等资料与现场实际情况不符，而引起的工程处理费用增加，据实调整；</w:t>
      </w:r>
    </w:p>
    <w:p>
      <w:pPr>
        <w:pStyle w:val="14"/>
        <w:numPr>
          <w:ilvl w:val="2"/>
          <w:numId w:val="27"/>
        </w:numPr>
        <w:spacing w:line="360" w:lineRule="auto"/>
        <w:rPr>
          <w:rFonts w:ascii="宋体" w:hAnsi="宋体" w:eastAsia="宋体" w:cs="宋体"/>
          <w:kern w:val="0"/>
          <w:sz w:val="21"/>
          <w:szCs w:val="21"/>
        </w:rPr>
      </w:pPr>
      <w:r>
        <w:rPr>
          <w:rFonts w:hint="eastAsia" w:ascii="宋体" w:hAnsi="宋体" w:eastAsia="宋体" w:cs="宋体"/>
          <w:kern w:val="0"/>
          <w:sz w:val="21"/>
          <w:szCs w:val="21"/>
        </w:rPr>
        <w:t>法律、行政法规和国家有关政策变化影响合同价款。</w:t>
      </w:r>
    </w:p>
    <w:p>
      <w:pPr>
        <w:pStyle w:val="14"/>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 11．2合同价款调整原则及方法：</w:t>
      </w:r>
    </w:p>
    <w:p>
      <w:pPr>
        <w:numPr>
          <w:ilvl w:val="0"/>
          <w:numId w:val="28"/>
        </w:numPr>
        <w:spacing w:line="500" w:lineRule="exact"/>
        <w:ind w:firstLine="420" w:firstLineChars="200"/>
        <w:rPr>
          <w:rFonts w:ascii="宋体" w:hAnsi="宋体" w:cs="宋体"/>
          <w:kern w:val="0"/>
          <w:szCs w:val="21"/>
        </w:rPr>
      </w:pPr>
      <w:r>
        <w:rPr>
          <w:rFonts w:hint="eastAsia" w:ascii="宋体" w:hAnsi="宋体" w:cs="宋体"/>
          <w:kern w:val="0"/>
          <w:szCs w:val="21"/>
        </w:rPr>
        <w:t>增减工程量清单按11.1执行；</w:t>
      </w:r>
    </w:p>
    <w:p>
      <w:pPr>
        <w:numPr>
          <w:ilvl w:val="0"/>
          <w:numId w:val="28"/>
        </w:numPr>
        <w:spacing w:line="500" w:lineRule="exact"/>
        <w:ind w:firstLine="420" w:firstLineChars="200"/>
        <w:rPr>
          <w:rFonts w:ascii="宋体" w:hAnsi="宋体" w:cs="宋体"/>
          <w:kern w:val="0"/>
          <w:szCs w:val="21"/>
        </w:rPr>
      </w:pPr>
      <w:r>
        <w:rPr>
          <w:rFonts w:hint="eastAsia" w:ascii="宋体" w:hAnsi="宋体" w:cs="宋体"/>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ascii="宋体" w:hAnsi="宋体" w:cs="宋体"/>
          <w:kern w:val="0"/>
          <w:szCs w:val="21"/>
        </w:rPr>
      </w:pPr>
      <w:r>
        <w:rPr>
          <w:rFonts w:hint="eastAsia" w:ascii="宋体" w:hAnsi="宋体" w:cs="宋体"/>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40"/>
        <w:spacing w:line="500" w:lineRule="exact"/>
        <w:rPr>
          <w:rFonts w:ascii="宋体" w:hAnsi="宋体" w:cs="宋体"/>
          <w:sz w:val="21"/>
        </w:rPr>
      </w:pPr>
      <w:r>
        <w:rPr>
          <w:rFonts w:hint="eastAsia" w:ascii="宋体" w:hAnsi="宋体" w:cs="宋体"/>
          <w:sz w:val="21"/>
        </w:rPr>
        <w:t>11．3双方约定合同价款的其他调整因素: 双方协商解决。</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12．工程付款</w:t>
      </w:r>
    </w:p>
    <w:p>
      <w:pPr>
        <w:pStyle w:val="14"/>
        <w:spacing w:line="500" w:lineRule="exact"/>
        <w:ind w:firstLine="525" w:firstLineChars="250"/>
        <w:rPr>
          <w:rFonts w:ascii="宋体" w:hAnsi="宋体" w:eastAsia="宋体" w:cs="宋体"/>
          <w:kern w:val="0"/>
          <w:sz w:val="21"/>
          <w:szCs w:val="21"/>
        </w:rPr>
      </w:pPr>
      <w:r>
        <w:rPr>
          <w:rFonts w:hint="eastAsia" w:ascii="宋体" w:hAnsi="宋体" w:eastAsia="宋体" w:cs="宋体"/>
          <w:kern w:val="0"/>
          <w:sz w:val="21"/>
          <w:szCs w:val="21"/>
        </w:rPr>
        <w:t>12．1工程款的支付方式：采取银行转帐结算的形式，由项目所属单位支付；</w:t>
      </w:r>
    </w:p>
    <w:p>
      <w:pPr>
        <w:pStyle w:val="14"/>
        <w:spacing w:line="500" w:lineRule="exact"/>
        <w:ind w:firstLine="525" w:firstLineChars="250"/>
        <w:rPr>
          <w:rFonts w:ascii="宋体" w:hAnsi="宋体" w:eastAsia="宋体" w:cs="宋体"/>
          <w:kern w:val="0"/>
          <w:sz w:val="21"/>
          <w:szCs w:val="21"/>
        </w:rPr>
      </w:pPr>
      <w:r>
        <w:rPr>
          <w:rFonts w:hint="eastAsia" w:ascii="宋体" w:hAnsi="宋体" w:eastAsia="宋体" w:cs="宋体"/>
          <w:kern w:val="0"/>
          <w:sz w:val="21"/>
          <w:szCs w:val="21"/>
        </w:rPr>
        <w:t>12．2设计变更和现场经济签证引起的费用在拨付进度款时暂不予考虑。</w:t>
      </w:r>
    </w:p>
    <w:p>
      <w:pPr>
        <w:pStyle w:val="14"/>
        <w:spacing w:line="500" w:lineRule="exact"/>
        <w:ind w:firstLine="577" w:firstLineChars="275"/>
        <w:rPr>
          <w:rFonts w:ascii="宋体" w:hAnsi="宋体" w:eastAsia="宋体" w:cs="宋体"/>
          <w:kern w:val="0"/>
          <w:sz w:val="21"/>
          <w:szCs w:val="21"/>
        </w:rPr>
      </w:pPr>
      <w:r>
        <w:rPr>
          <w:rFonts w:hint="eastAsia" w:ascii="宋体" w:hAnsi="宋体" w:eastAsia="宋体" w:cs="宋体"/>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13.工程量增减</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ascii="宋体" w:hAnsi="宋体" w:cs="宋体"/>
          <w:kern w:val="0"/>
          <w:szCs w:val="21"/>
        </w:rPr>
      </w:pPr>
      <w:r>
        <w:rPr>
          <w:rFonts w:hint="eastAsia" w:ascii="宋体" w:hAnsi="宋体" w:cs="宋体"/>
          <w:kern w:val="0"/>
          <w:szCs w:val="21"/>
        </w:rPr>
        <w:t>14. 投标报价</w:t>
      </w:r>
    </w:p>
    <w:p>
      <w:pPr>
        <w:spacing w:line="500" w:lineRule="exact"/>
        <w:ind w:firstLine="454"/>
        <w:rPr>
          <w:rFonts w:ascii="宋体" w:hAnsi="宋体" w:cs="宋体"/>
          <w:kern w:val="0"/>
          <w:szCs w:val="21"/>
        </w:rPr>
      </w:pPr>
      <w:r>
        <w:rPr>
          <w:rFonts w:hint="eastAsia" w:ascii="宋体" w:hAnsi="宋体" w:cs="宋体"/>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ascii="宋体" w:hAnsi="宋体" w:cs="宋体"/>
          <w:kern w:val="0"/>
          <w:szCs w:val="21"/>
        </w:rPr>
      </w:pPr>
      <w:r>
        <w:rPr>
          <w:rFonts w:hint="eastAsia" w:ascii="宋体" w:hAnsi="宋体" w:cs="宋体"/>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ascii="宋体" w:hAnsi="宋体" w:cs="宋体"/>
          <w:kern w:val="0"/>
          <w:szCs w:val="21"/>
        </w:rPr>
      </w:pPr>
      <w:r>
        <w:rPr>
          <w:rFonts w:hint="eastAsia" w:ascii="宋体" w:hAnsi="宋体" w:cs="宋体"/>
          <w:kern w:val="0"/>
          <w:szCs w:val="21"/>
        </w:rPr>
        <w:t xml:space="preserve">    14.3 投标人只能提出一个不变价格，招标人不接受任何选择价。</w:t>
      </w:r>
    </w:p>
    <w:p>
      <w:pPr>
        <w:pStyle w:val="5"/>
        <w:spacing w:after="156" w:line="500" w:lineRule="exact"/>
        <w:rPr>
          <w:rFonts w:ascii="宋体" w:hAnsi="宋体" w:eastAsia="宋体" w:cs="宋体"/>
          <w:sz w:val="21"/>
          <w:szCs w:val="21"/>
          <w:lang w:val="en-US"/>
        </w:rPr>
      </w:pPr>
      <w:bookmarkStart w:id="54" w:name="_Toc354404035"/>
      <w:bookmarkStart w:id="55" w:name="_Toc329278155"/>
      <w:bookmarkStart w:id="56" w:name="_Toc354923125"/>
      <w:bookmarkStart w:id="57" w:name="_Toc354922986"/>
      <w:bookmarkStart w:id="58" w:name="_Toc355649948"/>
      <w:bookmarkStart w:id="59" w:name="_Toc357868220"/>
      <w:bookmarkStart w:id="60" w:name="_Toc356744040"/>
      <w:bookmarkStart w:id="61" w:name="_Toc364457265"/>
      <w:bookmarkStart w:id="62" w:name="_Toc326060511"/>
      <w:r>
        <w:rPr>
          <w:rFonts w:hint="eastAsia" w:ascii="宋体" w:hAnsi="宋体" w:eastAsia="宋体" w:cs="宋体"/>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15．竣工验收</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15．1承包人提供竣工图的约定：        (待定)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                                     //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15．2中间交工工程的范围和竣工时间：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ascii="宋体" w:hAnsi="宋体" w:eastAsia="宋体" w:cs="宋体"/>
          <w:kern w:val="0"/>
          <w:sz w:val="21"/>
          <w:szCs w:val="21"/>
        </w:rPr>
      </w:pPr>
    </w:p>
    <w:p>
      <w:pPr>
        <w:pStyle w:val="5"/>
        <w:spacing w:after="156" w:line="500" w:lineRule="exact"/>
        <w:rPr>
          <w:rFonts w:ascii="宋体" w:hAnsi="宋体" w:eastAsia="宋体" w:cs="宋体"/>
          <w:sz w:val="21"/>
          <w:szCs w:val="21"/>
          <w:lang w:val="en-US"/>
        </w:rPr>
      </w:pPr>
      <w:bookmarkStart w:id="63" w:name="_Toc354404036"/>
      <w:bookmarkStart w:id="64" w:name="_Toc354922987"/>
      <w:bookmarkStart w:id="65" w:name="_Toc355649949"/>
      <w:bookmarkStart w:id="66" w:name="_Toc354923126"/>
      <w:bookmarkStart w:id="67" w:name="_Toc329278156"/>
      <w:bookmarkStart w:id="68" w:name="_Toc364457266"/>
      <w:bookmarkStart w:id="69" w:name="_Toc326060512"/>
      <w:bookmarkStart w:id="70" w:name="_Toc357868221"/>
      <w:bookmarkStart w:id="71" w:name="_Toc356744041"/>
      <w:r>
        <w:rPr>
          <w:rFonts w:hint="eastAsia" w:ascii="宋体" w:hAnsi="宋体" w:eastAsia="宋体" w:cs="宋体"/>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16．违约</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16．1本合同中关于发包人违约的具体责任如下，</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本合同通用条款第26.4款约定发包人违约应承担的违约责任:     //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本合同通用条款第33.3款约定发包人违约应承担的违约责任:     //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双方约定的发包人其他违约责任: 见补充条款。</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16．2本合同中关于承包人违约的具体责任如下:</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本合同通用条款第14.2款约定承包人违约承担的违约责任:  (待定)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本合同通用条款第15.1款约定承包人违约应承担的违约责任:  (待定)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双方约定的承包人其他违约责任:   (待定)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17．争议</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17．1双方约定，在履行合同过程中产生争议时:</w:t>
      </w:r>
    </w:p>
    <w:p>
      <w:pPr>
        <w:pStyle w:val="14"/>
        <w:numPr>
          <w:ilvl w:val="0"/>
          <w:numId w:val="29"/>
        </w:numPr>
        <w:spacing w:line="500" w:lineRule="exact"/>
        <w:rPr>
          <w:rFonts w:ascii="宋体" w:hAnsi="宋体" w:eastAsia="宋体" w:cs="宋体"/>
          <w:kern w:val="0"/>
          <w:sz w:val="21"/>
          <w:szCs w:val="21"/>
        </w:rPr>
      </w:pPr>
      <w:r>
        <w:rPr>
          <w:rFonts w:hint="eastAsia" w:ascii="宋体" w:hAnsi="宋体" w:eastAsia="宋体" w:cs="宋体"/>
          <w:kern w:val="0"/>
          <w:sz w:val="21"/>
          <w:szCs w:val="21"/>
        </w:rPr>
        <w:t>双方本着友好协商方式解决。</w:t>
      </w:r>
    </w:p>
    <w:p>
      <w:pPr>
        <w:pStyle w:val="14"/>
        <w:numPr>
          <w:ilvl w:val="0"/>
          <w:numId w:val="29"/>
        </w:numPr>
        <w:spacing w:line="500" w:lineRule="exact"/>
        <w:rPr>
          <w:rFonts w:ascii="宋体" w:hAnsi="宋体" w:eastAsia="宋体" w:cs="宋体"/>
          <w:kern w:val="0"/>
          <w:sz w:val="21"/>
          <w:szCs w:val="21"/>
        </w:rPr>
      </w:pPr>
      <w:r>
        <w:rPr>
          <w:rFonts w:hint="eastAsia" w:ascii="宋体" w:hAnsi="宋体" w:eastAsia="宋体" w:cs="宋体"/>
          <w:kern w:val="0"/>
          <w:sz w:val="21"/>
          <w:szCs w:val="21"/>
        </w:rPr>
        <w:t>协商不成的，向  工程所在地  人民法院提起诉讼。</w:t>
      </w:r>
    </w:p>
    <w:p>
      <w:pPr>
        <w:pStyle w:val="5"/>
        <w:spacing w:after="156" w:line="500" w:lineRule="exact"/>
        <w:rPr>
          <w:rFonts w:ascii="宋体" w:hAnsi="宋体" w:eastAsia="宋体" w:cs="宋体"/>
          <w:sz w:val="21"/>
          <w:szCs w:val="21"/>
          <w:lang w:val="en-US"/>
        </w:rPr>
      </w:pPr>
      <w:bookmarkStart w:id="72" w:name="_Toc354923127"/>
      <w:bookmarkStart w:id="73" w:name="_Toc357868222"/>
      <w:bookmarkStart w:id="74" w:name="_Toc364457267"/>
      <w:bookmarkStart w:id="75" w:name="_Toc354922988"/>
      <w:bookmarkStart w:id="76" w:name="_Toc354404037"/>
      <w:bookmarkStart w:id="77" w:name="_Toc356744042"/>
      <w:bookmarkStart w:id="78" w:name="_Toc355649950"/>
      <w:bookmarkStart w:id="79" w:name="_Toc326060513"/>
      <w:bookmarkStart w:id="80" w:name="_Toc329278157"/>
      <w:r>
        <w:rPr>
          <w:rFonts w:hint="eastAsia" w:ascii="宋体" w:hAnsi="宋体" w:eastAsia="宋体" w:cs="宋体"/>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18．工程分包</w:t>
      </w:r>
    </w:p>
    <w:p>
      <w:pPr>
        <w:pStyle w:val="11"/>
        <w:spacing w:line="500" w:lineRule="exact"/>
        <w:ind w:firstLine="472" w:firstLineChars="225"/>
        <w:rPr>
          <w:rFonts w:ascii="宋体" w:hAnsi="宋体" w:cs="宋体"/>
          <w:sz w:val="21"/>
          <w:szCs w:val="21"/>
        </w:rPr>
      </w:pPr>
      <w:r>
        <w:rPr>
          <w:rFonts w:hint="eastAsia" w:ascii="宋体" w:hAnsi="宋体" w:cs="宋体"/>
          <w:sz w:val="21"/>
          <w:szCs w:val="21"/>
        </w:rPr>
        <w:t>18．1本工程主体工程不允许分包。其他配套专业若确需分包，分包商须经得发包人同意。</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19．不可抗力</w:t>
      </w:r>
    </w:p>
    <w:p>
      <w:pPr>
        <w:pStyle w:val="11"/>
        <w:spacing w:line="500" w:lineRule="exact"/>
        <w:ind w:firstLine="472" w:firstLineChars="225"/>
        <w:rPr>
          <w:rFonts w:ascii="宋体" w:hAnsi="宋体" w:cs="宋体"/>
          <w:sz w:val="21"/>
          <w:szCs w:val="21"/>
        </w:rPr>
      </w:pPr>
      <w:r>
        <w:rPr>
          <w:rFonts w:hint="eastAsia" w:ascii="宋体" w:hAnsi="宋体" w:cs="宋体"/>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20．保险</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20．1本工程双方约定投保内容如下:</w:t>
      </w:r>
    </w:p>
    <w:p>
      <w:pPr>
        <w:pStyle w:val="14"/>
        <w:spacing w:line="5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(l)发包人投保内容:      无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发包人委托承包人办理的保险事项:    无          </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(2)承包人投保内容:       无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21．担保</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21．1本工程双方约定担保事项如下:</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(l)发包人向承包人提供履约担保，担保方式为:    (待定)     担保合同作为本合同附件。</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ascii="宋体" w:hAnsi="宋体" w:eastAsia="宋体" w:cs="宋体"/>
          <w:kern w:val="0"/>
          <w:sz w:val="21"/>
          <w:szCs w:val="21"/>
        </w:rPr>
      </w:pPr>
      <w:r>
        <w:rPr>
          <w:rFonts w:hint="eastAsia" w:ascii="宋体" w:hAnsi="宋体" w:eastAsia="宋体" w:cs="宋体"/>
          <w:kern w:val="0"/>
          <w:sz w:val="21"/>
          <w:szCs w:val="21"/>
        </w:rPr>
        <w:t xml:space="preserve">    (3)双方约定的其他担保事项:               (待定)                          </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22．合同份数</w:t>
      </w:r>
    </w:p>
    <w:p>
      <w:pPr>
        <w:pStyle w:val="14"/>
        <w:spacing w:line="500" w:lineRule="exact"/>
        <w:ind w:firstLine="472" w:firstLineChars="225"/>
        <w:rPr>
          <w:rFonts w:ascii="宋体" w:hAnsi="宋体" w:eastAsia="宋体" w:cs="宋体"/>
          <w:kern w:val="0"/>
          <w:sz w:val="21"/>
          <w:szCs w:val="21"/>
        </w:rPr>
      </w:pPr>
      <w:r>
        <w:rPr>
          <w:rFonts w:hint="eastAsia" w:ascii="宋体" w:hAnsi="宋体" w:eastAsia="宋体" w:cs="宋体"/>
          <w:kern w:val="0"/>
          <w:sz w:val="21"/>
          <w:szCs w:val="21"/>
        </w:rPr>
        <w:t>22．1双方约定合同副本份数:正本2份，副本4份</w:t>
      </w:r>
    </w:p>
    <w:p>
      <w:pPr>
        <w:pStyle w:val="14"/>
        <w:spacing w:line="500" w:lineRule="exact"/>
        <w:ind w:firstLine="470" w:firstLineChars="224"/>
        <w:rPr>
          <w:rFonts w:ascii="宋体" w:hAnsi="宋体" w:eastAsia="宋体" w:cs="宋体"/>
          <w:kern w:val="0"/>
          <w:sz w:val="21"/>
          <w:szCs w:val="21"/>
        </w:rPr>
      </w:pPr>
      <w:r>
        <w:rPr>
          <w:rFonts w:hint="eastAsia" w:ascii="宋体" w:hAnsi="宋体" w:eastAsia="宋体" w:cs="宋体"/>
          <w:kern w:val="0"/>
          <w:sz w:val="21"/>
          <w:szCs w:val="21"/>
        </w:rPr>
        <w:t>23．补充条款</w:t>
      </w:r>
    </w:p>
    <w:p>
      <w:pPr>
        <w:pStyle w:val="14"/>
        <w:spacing w:line="500" w:lineRule="exact"/>
        <w:ind w:firstLine="480"/>
        <w:rPr>
          <w:rFonts w:ascii="宋体" w:hAnsi="宋体" w:eastAsia="宋体" w:cs="宋体"/>
          <w:kern w:val="0"/>
          <w:sz w:val="21"/>
          <w:szCs w:val="21"/>
        </w:rPr>
      </w:pPr>
      <w:r>
        <w:rPr>
          <w:rFonts w:hint="eastAsia" w:ascii="宋体" w:hAnsi="宋体" w:eastAsia="宋体" w:cs="宋体"/>
          <w:kern w:val="0"/>
          <w:sz w:val="21"/>
          <w:szCs w:val="21"/>
        </w:rPr>
        <w:t>审减金额超过报审金额10%时，超过部分审计费用由施工单位承担，并承担一定的违约责任。</w:t>
      </w:r>
    </w:p>
    <w:p>
      <w:pPr>
        <w:spacing w:line="360" w:lineRule="auto"/>
        <w:ind w:firstLine="420" w:firstLineChars="200"/>
        <w:rPr>
          <w:rFonts w:ascii="宋体" w:hAnsi="宋体" w:cs="宋体"/>
          <w:kern w:val="0"/>
          <w:szCs w:val="21"/>
        </w:rPr>
      </w:pPr>
      <w:r>
        <w:rPr>
          <w:rFonts w:hint="eastAsia" w:ascii="宋体" w:hAnsi="宋体" w:cs="宋体"/>
          <w:kern w:val="0"/>
          <w:szCs w:val="21"/>
        </w:rPr>
        <w:t>24．其他未尽事宜由双方协商后确定：</w:t>
      </w:r>
    </w:p>
    <w:p>
      <w:pPr>
        <w:spacing w:line="360" w:lineRule="auto"/>
        <w:ind w:firstLine="420" w:firstLineChars="200"/>
        <w:rPr>
          <w:rFonts w:ascii="宋体" w:hAnsi="宋体" w:cs="宋体"/>
          <w:kern w:val="0"/>
          <w:szCs w:val="21"/>
        </w:rPr>
      </w:pPr>
      <w:r>
        <w:rPr>
          <w:rFonts w:hint="eastAsia" w:ascii="宋体" w:hAnsi="宋体" w:cs="宋体"/>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(2)经甲乙双方签字盖章后方可生效。</w:t>
      </w:r>
    </w:p>
    <w:p>
      <w:pPr>
        <w:autoSpaceDE w:val="0"/>
        <w:autoSpaceDN w:val="0"/>
        <w:adjustRightInd w:val="0"/>
        <w:spacing w:beforeLines="50" w:afterLines="50" w:line="360" w:lineRule="auto"/>
        <w:ind w:firstLine="420" w:firstLineChars="200"/>
        <w:rPr>
          <w:rFonts w:ascii="宋体" w:hAnsi="宋体" w:cs="宋体"/>
          <w:kern w:val="0"/>
          <w:szCs w:val="21"/>
        </w:rPr>
      </w:pPr>
    </w:p>
    <w:p>
      <w:pPr>
        <w:spacing w:line="360" w:lineRule="auto"/>
        <w:jc w:val="center"/>
        <w:outlineLvl w:val="1"/>
        <w:rPr>
          <w:rFonts w:ascii="宋体" w:hAnsi="宋体" w:cs="宋体"/>
          <w:kern w:val="0"/>
          <w:szCs w:val="21"/>
        </w:rPr>
      </w:pPr>
      <w:r>
        <w:rPr>
          <w:rFonts w:hint="eastAsia" w:ascii="宋体" w:hAnsi="宋体" w:cs="宋体"/>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1．本协议书与下列文件一起构成合同文件：</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(l)中标通知书；</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(2)投标函及投标函附录；</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(3)专用合同条款；</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(4)通用合同条款；</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(5)技术标准和要求；</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(6) 已标价的工程量清单；</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(7)图纸；</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(8)其他合同文件。</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3．签约合同价：人民币(大写)                元(￥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4．承包人项目经理(建造师)：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5．工程质量符合                     标准。</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9．本协议书一式     份，合同双方各执      份。</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10.双方签字盖章后生效。</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发包人：             (单位盖章)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承包人：             (单位盖章)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ascii="宋体" w:hAnsi="宋体" w:cs="宋体"/>
          <w:kern w:val="0"/>
          <w:szCs w:val="21"/>
        </w:rPr>
      </w:pPr>
      <w:r>
        <w:rPr>
          <w:rFonts w:hint="eastAsia" w:ascii="宋体" w:hAnsi="宋体" w:cs="宋体"/>
          <w:kern w:val="0"/>
          <w:szCs w:val="21"/>
        </w:rPr>
        <w:t xml:space="preserve">  </w:t>
      </w:r>
    </w:p>
    <w:p>
      <w:pPr>
        <w:autoSpaceDE w:val="0"/>
        <w:autoSpaceDN w:val="0"/>
        <w:adjustRightInd w:val="0"/>
        <w:spacing w:beforeLines="50" w:afterLines="50" w:line="360" w:lineRule="auto"/>
        <w:ind w:firstLine="420" w:firstLineChars="200"/>
        <w:rPr>
          <w:rFonts w:ascii="宋体" w:hAnsi="宋体" w:cs="宋体"/>
          <w:kern w:val="0"/>
          <w:szCs w:val="21"/>
        </w:rPr>
      </w:pPr>
    </w:p>
    <w:p>
      <w:pPr>
        <w:autoSpaceDE w:val="0"/>
        <w:autoSpaceDN w:val="0"/>
        <w:adjustRightInd w:val="0"/>
        <w:spacing w:beforeLines="50" w:afterLines="50" w:line="360" w:lineRule="auto"/>
        <w:ind w:firstLine="420" w:firstLineChars="200"/>
        <w:rPr>
          <w:rFonts w:ascii="宋体" w:hAnsi="宋体" w:cs="宋体"/>
          <w:kern w:val="0"/>
          <w:szCs w:val="21"/>
        </w:rPr>
      </w:pPr>
    </w:p>
    <w:p>
      <w:pPr>
        <w:autoSpaceDE w:val="0"/>
        <w:autoSpaceDN w:val="0"/>
        <w:adjustRightInd w:val="0"/>
        <w:spacing w:beforeLines="50" w:afterLines="50" w:line="360" w:lineRule="auto"/>
        <w:ind w:firstLine="420" w:firstLineChars="200"/>
        <w:rPr>
          <w:rFonts w:ascii="宋体" w:hAnsi="宋体" w:cs="宋体"/>
          <w:kern w:val="0"/>
          <w:szCs w:val="21"/>
        </w:rPr>
      </w:pPr>
    </w:p>
    <w:p>
      <w:pPr>
        <w:autoSpaceDE w:val="0"/>
        <w:autoSpaceDN w:val="0"/>
        <w:adjustRightInd w:val="0"/>
        <w:spacing w:beforeLines="50" w:afterLines="50" w:line="360" w:lineRule="auto"/>
        <w:ind w:firstLine="420" w:firstLineChars="200"/>
        <w:rPr>
          <w:rFonts w:ascii="宋体" w:hAnsi="宋体" w:cs="宋体"/>
          <w:kern w:val="0"/>
          <w:szCs w:val="21"/>
        </w:rPr>
      </w:pPr>
    </w:p>
    <w:p>
      <w:pPr>
        <w:pStyle w:val="14"/>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黑体"/>
          <w:b/>
          <w:bCs/>
          <w:sz w:val="44"/>
          <w:szCs w:val="44"/>
          <w:lang w:val="zh-CN"/>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黑体"/>
          <w:b/>
          <w:bCs/>
          <w:sz w:val="44"/>
          <w:szCs w:val="44"/>
          <w:lang w:val="zh-CN"/>
        </w:rPr>
      </w:pPr>
    </w:p>
    <w:p>
      <w:pPr>
        <w:pStyle w:val="38"/>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二、第一次报价一览表</w:t>
      </w:r>
    </w:p>
    <w:p>
      <w:pPr>
        <w:pStyle w:val="14"/>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2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4"/>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代表我方全权处理有关本项目谈判响应的一切事宜。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在此提交的响应文件，正本一份，副本一份。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我方已完全明白谈判文件的所有条款要求，并申明如下：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一、按谈判文件提供的全部货物与相关服务的响应总价详见《报价一览表》。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以上内容如有虚假或与事实不符的，谈判小组可将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所有与本项目谈判有关的一切正式往来请寄：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法定代表人（单位负责人）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2"/>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32"/>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32"/>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32"/>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加贵方招</w:t>
      </w:r>
      <w:r>
        <w:rPr>
          <w:rFonts w:ascii="宋体" w:hAnsi="宋体"/>
          <w:color w:val="000000"/>
          <w:sz w:val="21"/>
          <w:szCs w:val="21"/>
        </w:rPr>
        <w:t>标编号为</w:t>
      </w:r>
      <w:r>
        <w:rPr>
          <w:rFonts w:ascii="宋体" w:hAnsi="宋体"/>
          <w:i/>
          <w:color w:val="000000"/>
          <w:sz w:val="21"/>
          <w:szCs w:val="21"/>
          <w:u w:val="single"/>
        </w:rPr>
        <w:t>项目编号</w:t>
      </w:r>
      <w:r>
        <w:rPr>
          <w:rFonts w:hint="eastAsia" w:ascii="宋体" w:hAnsi="宋体"/>
          <w:color w:val="000000"/>
          <w:sz w:val="21"/>
          <w:szCs w:val="21"/>
        </w:rPr>
        <w:t>的</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color w:val="000000"/>
          <w:sz w:val="21"/>
          <w:szCs w:val="21"/>
        </w:rPr>
        <w:t>竞争性谈判</w:t>
      </w:r>
      <w:r>
        <w:rPr>
          <w:rFonts w:ascii="宋体" w:hAnsi="宋体"/>
          <w:color w:val="000000"/>
          <w:sz w:val="21"/>
          <w:szCs w:val="21"/>
        </w:rPr>
        <w:t>项目</w:t>
      </w:r>
      <w:r>
        <w:rPr>
          <w:rFonts w:hint="eastAsia" w:ascii="宋体" w:hAnsi="宋体"/>
          <w:color w:val="000000"/>
          <w:sz w:val="21"/>
          <w:szCs w:val="21"/>
        </w:rPr>
        <w:t>的响应</w:t>
      </w:r>
      <w:r>
        <w:rPr>
          <w:rFonts w:ascii="宋体" w:hAnsi="宋体"/>
          <w:color w:val="000000"/>
          <w:sz w:val="21"/>
          <w:szCs w:val="21"/>
        </w:rPr>
        <w:t>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的响应文件及合同的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32"/>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32"/>
        <w:spacing w:line="480" w:lineRule="auto"/>
        <w:ind w:firstLine="472" w:firstLineChars="225"/>
        <w:jc w:val="left"/>
        <w:rPr>
          <w:rFonts w:ascii="宋体" w:hAnsi="宋体"/>
          <w:color w:val="000000"/>
          <w:sz w:val="21"/>
          <w:szCs w:val="21"/>
        </w:rPr>
      </w:pPr>
    </w:p>
    <w:p>
      <w:pPr>
        <w:pStyle w:val="32"/>
        <w:spacing w:line="480" w:lineRule="auto"/>
        <w:ind w:firstLine="472" w:firstLineChars="225"/>
        <w:jc w:val="left"/>
        <w:rPr>
          <w:rFonts w:ascii="宋体" w:hAnsi="宋体"/>
          <w:color w:val="000000"/>
          <w:sz w:val="21"/>
          <w:szCs w:val="21"/>
        </w:rPr>
      </w:pPr>
    </w:p>
    <w:p>
      <w:pPr>
        <w:pStyle w:val="32"/>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32"/>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4"/>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33"/>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本企业郑重承诺：</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一、将遵循公开、公平、公正和诚实信用的原则参加(</w:t>
      </w:r>
      <w:r>
        <w:rPr>
          <w:rFonts w:hint="eastAsia" w:ascii="宋体" w:hAnsi="宋体" w:eastAsia="宋体" w:cs="黑体"/>
          <w:color w:val="FF0000"/>
          <w:sz w:val="21"/>
          <w:szCs w:val="21"/>
        </w:rPr>
        <w:t>具体政府采购项目名称</w:t>
      </w:r>
      <w:r>
        <w:rPr>
          <w:rFonts w:hint="eastAsia" w:ascii="宋体" w:hAnsi="宋体" w:eastAsia="宋体" w:cs="黑体"/>
          <w:color w:val="000000"/>
          <w:sz w:val="21"/>
          <w:szCs w:val="21"/>
        </w:rPr>
        <w:t>）的投标;</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eastAsia="宋体" w:cs="黑体"/>
          <w:color w:val="000000"/>
          <w:sz w:val="21"/>
          <w:szCs w:val="21"/>
        </w:rPr>
        <w:t>评标</w:t>
      </w:r>
      <w:r>
        <w:rPr>
          <w:rFonts w:hint="eastAsia" w:ascii="宋体" w:hAnsi="宋体" w:eastAsia="宋体" w:cs="黑体"/>
          <w:color w:val="000000"/>
          <w:sz w:val="21"/>
          <w:szCs w:val="21"/>
        </w:rPr>
        <w:fldChar w:fldCharType="end"/>
      </w:r>
      <w:r>
        <w:rPr>
          <w:rFonts w:hint="eastAsia" w:ascii="宋体" w:hAnsi="宋体" w:eastAsia="宋体" w:cs="黑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eastAsia="宋体" w:cs="黑体"/>
          <w:color w:val="000000"/>
          <w:sz w:val="21"/>
          <w:szCs w:val="21"/>
        </w:rPr>
        <w:t>中标</w:t>
      </w:r>
      <w:r>
        <w:rPr>
          <w:rFonts w:hint="eastAsia" w:ascii="宋体" w:hAnsi="宋体" w:eastAsia="宋体" w:cs="黑体"/>
          <w:color w:val="000000"/>
          <w:sz w:val="21"/>
          <w:szCs w:val="21"/>
        </w:rPr>
        <w:fldChar w:fldCharType="end"/>
      </w:r>
      <w:r>
        <w:rPr>
          <w:rFonts w:hint="eastAsia" w:ascii="宋体" w:hAnsi="宋体" w:eastAsia="宋体" w:cs="黑体"/>
          <w:color w:val="000000"/>
          <w:sz w:val="21"/>
          <w:szCs w:val="21"/>
        </w:rPr>
        <w:t>;</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eastAsia="宋体" w:cs="黑体"/>
          <w:color w:val="000000"/>
          <w:sz w:val="21"/>
          <w:szCs w:val="21"/>
        </w:rPr>
        <w:t>开标</w:t>
      </w:r>
      <w:r>
        <w:rPr>
          <w:rFonts w:hint="eastAsia" w:ascii="宋体" w:hAnsi="宋体" w:eastAsia="宋体" w:cs="黑体"/>
          <w:color w:val="000000"/>
          <w:sz w:val="21"/>
          <w:szCs w:val="21"/>
        </w:rPr>
        <w:fldChar w:fldCharType="end"/>
      </w:r>
      <w:r>
        <w:rPr>
          <w:rFonts w:hint="eastAsia" w:ascii="宋体" w:hAnsi="宋体" w:eastAsia="宋体" w:cs="黑体"/>
          <w:color w:val="000000"/>
          <w:sz w:val="21"/>
          <w:szCs w:val="21"/>
        </w:rPr>
        <w:t>后进行虚假恶意投诉;</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eastAsia="宋体" w:cs="黑体"/>
          <w:color w:val="000000"/>
          <w:sz w:val="21"/>
          <w:szCs w:val="21"/>
        </w:rPr>
        <w:t>招标文件</w:t>
      </w:r>
      <w:r>
        <w:rPr>
          <w:rFonts w:hint="eastAsia" w:ascii="宋体" w:hAnsi="宋体" w:eastAsia="宋体" w:cs="黑体"/>
          <w:color w:val="000000"/>
          <w:sz w:val="21"/>
          <w:szCs w:val="21"/>
        </w:rPr>
        <w:fldChar w:fldCharType="end"/>
      </w:r>
      <w:r>
        <w:rPr>
          <w:rFonts w:hint="eastAsia" w:ascii="宋体" w:hAnsi="宋体" w:eastAsia="宋体" w:cs="黑体"/>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宋体" w:hAnsi="宋体" w:eastAsia="宋体" w:cs="黑体"/>
          <w:color w:val="000000"/>
          <w:sz w:val="21"/>
          <w:szCs w:val="21"/>
        </w:rPr>
      </w:pPr>
      <w:r>
        <w:rPr>
          <w:rFonts w:hint="eastAsia" w:ascii="宋体" w:hAnsi="宋体" w:eastAsia="宋体" w:cs="黑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宋体" w:hAnsi="宋体" w:eastAsia="宋体" w:cs="黑体"/>
          <w:color w:val="000000"/>
          <w:sz w:val="21"/>
          <w:szCs w:val="21"/>
        </w:rPr>
      </w:pPr>
    </w:p>
    <w:p>
      <w:pPr>
        <w:pStyle w:val="21"/>
        <w:widowControl/>
        <w:shd w:val="clear" w:color="auto" w:fill="FFFFFF"/>
        <w:spacing w:after="300" w:line="336" w:lineRule="atLeast"/>
        <w:ind w:firstLine="3570" w:firstLineChars="1700"/>
        <w:rPr>
          <w:rFonts w:ascii="宋体" w:hAnsi="宋体" w:eastAsia="宋体" w:cs="黑体"/>
          <w:color w:val="000000"/>
          <w:sz w:val="21"/>
          <w:szCs w:val="21"/>
        </w:rPr>
      </w:pPr>
      <w:r>
        <w:rPr>
          <w:rFonts w:hint="eastAsia" w:ascii="宋体" w:hAnsi="宋体" w:eastAsia="宋体" w:cs="黑体"/>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宋体" w:hAnsi="宋体" w:eastAsia="宋体" w:cs="黑体"/>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cs="黑体"/>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pStyle w:val="22"/>
        <w:ind w:firstLine="240"/>
        <w:rPr>
          <w:rFonts w:ascii="宋体" w:hAnsi="宋体" w:cs="宋体"/>
          <w:sz w:val="24"/>
          <w:szCs w:val="24"/>
          <w:lang w:val="zh-CN"/>
        </w:rPr>
      </w:pP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6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1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6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1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eastAsia="宋体"/>
          <w:b/>
          <w:snapToGrid w:val="0"/>
          <w:kern w:val="0"/>
          <w:szCs w:val="21"/>
        </w:rPr>
      </w:pPr>
      <w:r>
        <w:rPr>
          <w:rFonts w:hint="eastAsia" w:ascii="宋体" w:hAnsi="宋体"/>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MS Mincho">
    <w:altName w:val="Yu Gothic UI"/>
    <w:panose1 w:val="02020609040205080304"/>
    <w:charset w:val="80"/>
    <w:family w:val="auto"/>
    <w:pitch w:val="default"/>
    <w:sig w:usb0="00000000" w:usb1="00000000"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906F"/>
    <w:multiLevelType w:val="singleLevel"/>
    <w:tmpl w:val="8B88906F"/>
    <w:lvl w:ilvl="0" w:tentative="0">
      <w:start w:val="2"/>
      <w:numFmt w:val="chineseCounting"/>
      <w:suff w:val="nothing"/>
      <w:lvlText w:val="%1、"/>
      <w:lvlJc w:val="left"/>
      <w:pPr>
        <w:ind w:left="602" w:leftChars="0" w:firstLine="0" w:firstLineChars="0"/>
      </w:pPr>
      <w:rPr>
        <w:rFonts w:hint="eastAsia"/>
      </w:r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6DB8BD"/>
    <w:multiLevelType w:val="singleLevel"/>
    <w:tmpl w:val="1A6DB8BD"/>
    <w:lvl w:ilvl="0" w:tentative="0">
      <w:start w:val="2"/>
      <w:numFmt w:val="decimal"/>
      <w:suff w:val="nothing"/>
      <w:lvlText w:val="%1、"/>
      <w:lvlJc w:val="left"/>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68E419E"/>
    <w:multiLevelType w:val="singleLevel"/>
    <w:tmpl w:val="468E419E"/>
    <w:lvl w:ilvl="0" w:tentative="0">
      <w:start w:val="3"/>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38"/>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4"/>
  </w:num>
  <w:num w:numId="4">
    <w:abstractNumId w:val="2"/>
  </w:num>
  <w:num w:numId="5">
    <w:abstractNumId w:val="18"/>
  </w:num>
  <w:num w:numId="6">
    <w:abstractNumId w:val="0"/>
  </w:num>
  <w:num w:numId="7">
    <w:abstractNumId w:val="23"/>
  </w:num>
  <w:num w:numId="8">
    <w:abstractNumId w:val="20"/>
  </w:num>
  <w:num w:numId="9">
    <w:abstractNumId w:val="25"/>
  </w:num>
  <w:num w:numId="10">
    <w:abstractNumId w:val="17"/>
  </w:num>
  <w:num w:numId="11">
    <w:abstractNumId w:val="12"/>
  </w:num>
  <w:num w:numId="12">
    <w:abstractNumId w:val="19"/>
  </w:num>
  <w:num w:numId="13">
    <w:abstractNumId w:val="21"/>
  </w:num>
  <w:num w:numId="14">
    <w:abstractNumId w:val="28"/>
  </w:num>
  <w:num w:numId="15">
    <w:abstractNumId w:val="16"/>
  </w:num>
  <w:num w:numId="16">
    <w:abstractNumId w:val="13"/>
  </w:num>
  <w:num w:numId="17">
    <w:abstractNumId w:val="26"/>
  </w:num>
  <w:num w:numId="18">
    <w:abstractNumId w:val="11"/>
  </w:num>
  <w:num w:numId="19">
    <w:abstractNumId w:val="22"/>
  </w:num>
  <w:num w:numId="20">
    <w:abstractNumId w:val="15"/>
  </w:num>
  <w:num w:numId="21">
    <w:abstractNumId w:val="27"/>
  </w:num>
  <w:num w:numId="22">
    <w:abstractNumId w:val="29"/>
  </w:num>
  <w:num w:numId="23">
    <w:abstractNumId w:val="1"/>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C90556"/>
    <w:rsid w:val="5DDC22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47"/>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8"/>
    <w:qFormat/>
    <w:uiPriority w:val="0"/>
    <w:rPr>
      <w:rFonts w:eastAsia="宋体"/>
      <w:sz w:val="24"/>
    </w:rPr>
  </w:style>
  <w:style w:type="paragraph" w:styleId="15">
    <w:name w:val="Date"/>
    <w:basedOn w:val="1"/>
    <w:next w:val="1"/>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50"/>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List Paragraph"/>
    <w:basedOn w:val="1"/>
    <w:unhideWhenUsed/>
    <w:qFormat/>
    <w:uiPriority w:val="99"/>
    <w:pPr>
      <w:ind w:firstLine="420" w:firstLineChars="200"/>
    </w:pPr>
  </w:style>
  <w:style w:type="paragraph" w:customStyle="1" w:styleId="32">
    <w:name w:val="正文文本缩进1"/>
    <w:basedOn w:val="1"/>
    <w:link w:val="55"/>
    <w:qFormat/>
    <w:uiPriority w:val="0"/>
    <w:pPr>
      <w:spacing w:line="360" w:lineRule="auto"/>
      <w:ind w:firstLine="480" w:firstLineChars="200"/>
    </w:pPr>
    <w:rPr>
      <w:rFonts w:ascii="宋体"/>
      <w:sz w:val="24"/>
    </w:rPr>
  </w:style>
  <w:style w:type="paragraph" w:customStyle="1" w:styleId="33">
    <w:name w:val="日期1"/>
    <w:basedOn w:val="1"/>
    <w:next w:val="1"/>
    <w:link w:val="49"/>
    <w:qFormat/>
    <w:uiPriority w:val="0"/>
    <w:rPr>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0">
    <w:name w:val="纯文本1"/>
    <w:basedOn w:val="1"/>
    <w:qFormat/>
    <w:uiPriority w:val="0"/>
    <w:rPr>
      <w:rFonts w:ascii="宋体" w:hAnsi="Courier New"/>
      <w:kern w:val="0"/>
      <w:sz w:val="20"/>
      <w:szCs w:val="21"/>
    </w:rPr>
  </w:style>
  <w:style w:type="paragraph" w:customStyle="1" w:styleId="41">
    <w:name w:val="p0"/>
    <w:basedOn w:val="1"/>
    <w:qFormat/>
    <w:uiPriority w:val="0"/>
    <w:pPr>
      <w:widowControl/>
    </w:pPr>
    <w:rPr>
      <w:kern w:val="0"/>
    </w:rPr>
  </w:style>
  <w:style w:type="character" w:customStyle="1" w:styleId="42">
    <w:name w:val="标题 1 Char Char"/>
    <w:basedOn w:val="24"/>
    <w:link w:val="3"/>
    <w:uiPriority w:val="0"/>
    <w:rPr>
      <w:rFonts w:ascii="Calibri" w:hAnsi="Calibri" w:eastAsia="宋体" w:cs="Times New Roman"/>
      <w:b/>
      <w:bCs/>
      <w:kern w:val="44"/>
      <w:sz w:val="44"/>
      <w:szCs w:val="44"/>
    </w:rPr>
  </w:style>
  <w:style w:type="character" w:customStyle="1" w:styleId="43">
    <w:name w:val="标题 2 Char Char"/>
    <w:basedOn w:val="24"/>
    <w:link w:val="4"/>
    <w:uiPriority w:val="0"/>
    <w:rPr>
      <w:rFonts w:ascii="Arial" w:hAnsi="Arial" w:eastAsia="黑体" w:cs="Times New Roman"/>
      <w:b/>
      <w:bCs/>
      <w:sz w:val="32"/>
      <w:szCs w:val="32"/>
    </w:rPr>
  </w:style>
  <w:style w:type="character" w:customStyle="1" w:styleId="44">
    <w:name w:val="标题 3 Char Char"/>
    <w:basedOn w:val="24"/>
    <w:link w:val="5"/>
    <w:uiPriority w:val="0"/>
    <w:rPr>
      <w:rFonts w:ascii="宋体" w:hAnsi="宋体" w:eastAsia="宋体" w:cs="Times New Roman"/>
      <w:b/>
      <w:color w:val="000000"/>
      <w:kern w:val="0"/>
      <w:sz w:val="24"/>
      <w:szCs w:val="20"/>
    </w:rPr>
  </w:style>
  <w:style w:type="character" w:customStyle="1" w:styleId="45">
    <w:name w:val="标题 4 Char Char"/>
    <w:basedOn w:val="24"/>
    <w:link w:val="6"/>
    <w:uiPriority w:val="0"/>
    <w:rPr>
      <w:rFonts w:ascii="Arial" w:hAnsi="Arial" w:eastAsia="黑体" w:cs="Times New Roman"/>
      <w:b/>
      <w:bCs/>
      <w:sz w:val="28"/>
      <w:szCs w:val="28"/>
    </w:rPr>
  </w:style>
  <w:style w:type="character" w:customStyle="1" w:styleId="46">
    <w:name w:val="正文文本 3 Char Char"/>
    <w:basedOn w:val="24"/>
    <w:link w:val="9"/>
    <w:uiPriority w:val="0"/>
    <w:rPr>
      <w:rFonts w:ascii="Times New Roman" w:hAnsi="Times New Roman" w:eastAsia="宋体" w:cs="Times New Roman"/>
      <w:color w:val="FF0000"/>
      <w:sz w:val="24"/>
      <w:szCs w:val="24"/>
    </w:rPr>
  </w:style>
  <w:style w:type="character" w:customStyle="1" w:styleId="47">
    <w:name w:val="正文文本 Char Char"/>
    <w:basedOn w:val="24"/>
    <w:link w:val="10"/>
    <w:uiPriority w:val="99"/>
  </w:style>
  <w:style w:type="character" w:customStyle="1" w:styleId="48">
    <w:name w:val="纯文本 Char Char"/>
    <w:basedOn w:val="24"/>
    <w:link w:val="14"/>
    <w:uiPriority w:val="0"/>
    <w:rPr>
      <w:rFonts w:eastAsia="宋体"/>
      <w:sz w:val="24"/>
    </w:rPr>
  </w:style>
  <w:style w:type="character" w:customStyle="1" w:styleId="49">
    <w:name w:val="日期 Char Char"/>
    <w:basedOn w:val="24"/>
    <w:link w:val="33"/>
    <w:qFormat/>
    <w:uiPriority w:val="0"/>
    <w:rPr>
      <w:sz w:val="24"/>
    </w:rPr>
  </w:style>
  <w:style w:type="character" w:customStyle="1" w:styleId="50">
    <w:name w:val="页脚 Char Char"/>
    <w:basedOn w:val="24"/>
    <w:link w:val="17"/>
    <w:uiPriority w:val="99"/>
    <w:rPr>
      <w:sz w:val="18"/>
      <w:szCs w:val="18"/>
    </w:rPr>
  </w:style>
  <w:style w:type="character" w:customStyle="1" w:styleId="51">
    <w:name w:val="页眉 Char Char"/>
    <w:basedOn w:val="24"/>
    <w:link w:val="18"/>
    <w:uiPriority w:val="99"/>
    <w:rPr>
      <w:sz w:val="18"/>
      <w:szCs w:val="18"/>
    </w:rPr>
  </w:style>
  <w:style w:type="character" w:customStyle="1" w:styleId="52">
    <w:name w:val="HTML 预设格式 Char Char"/>
    <w:basedOn w:val="24"/>
    <w:link w:val="20"/>
    <w:uiPriority w:val="99"/>
    <w:rPr>
      <w:rFonts w:ascii="宋体" w:hAnsi="宋体" w:eastAsia="宋体" w:cs="宋体"/>
      <w:kern w:val="0"/>
      <w:sz w:val="24"/>
      <w:szCs w:val="24"/>
    </w:rPr>
  </w:style>
  <w:style w:type="character" w:customStyle="1" w:styleId="53">
    <w:name w:val="正文首行缩进 Char Char"/>
    <w:basedOn w:val="47"/>
    <w:link w:val="22"/>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character" w:customStyle="1" w:styleId="55">
    <w:name w:val="正文文本缩进 Char Char"/>
    <w:link w:val="32"/>
    <w:qFormat/>
    <w:uiPriority w:val="0"/>
    <w:rPr>
      <w:rFonts w:ascii="宋体"/>
      <w:sz w:val="24"/>
    </w:rPr>
  </w:style>
  <w:style w:type="character" w:customStyle="1" w:styleId="56">
    <w:name w:val="edittexttarea"/>
    <w:basedOn w:val="24"/>
    <w:qFormat/>
    <w:uiPriority w:val="0"/>
  </w:style>
  <w:style w:type="character" w:customStyle="1" w:styleId="57">
    <w:name w:val="正文文本缩进 Char Char Char"/>
    <w:link w:val="11"/>
    <w:uiPriority w:val="0"/>
    <w:rPr>
      <w:sz w:val="24"/>
    </w:rPr>
  </w:style>
  <w:style w:type="character" w:customStyle="1" w:styleId="58">
    <w:name w:val="正文文本缩进 Char1"/>
    <w:basedOn w:val="24"/>
    <w:link w:val="11"/>
    <w:uiPriority w:val="99"/>
    <w:rPr>
      <w:kern w:val="2"/>
      <w:sz w:val="21"/>
      <w:szCs w:val="22"/>
    </w:rPr>
  </w:style>
  <w:style w:type="character" w:customStyle="1" w:styleId="59">
    <w:name w:val="批注框文本 Char Char"/>
    <w:basedOn w:val="24"/>
    <w:link w:val="16"/>
    <w:uiPriority w:val="99"/>
    <w:rPr>
      <w:kern w:val="2"/>
      <w:sz w:val="18"/>
      <w:szCs w:val="18"/>
    </w:rPr>
  </w:style>
  <w:style w:type="character" w:customStyle="1" w:styleId="60">
    <w:name w:val="样式 标书正文 + 下划线 Char"/>
    <w:qFormat/>
    <w:uiPriority w:val="0"/>
    <w:rPr>
      <w:rFonts w:eastAsia="Ari"/>
      <w:kern w:val="2"/>
      <w:sz w:val="28"/>
      <w:szCs w:val="28"/>
      <w:u w:val="single"/>
      <w:lang w:val="en-US" w:eastAsia="zh-CN"/>
    </w:rPr>
  </w:style>
  <w:style w:type="character" w:customStyle="1" w:styleId="61">
    <w:name w:val="font61"/>
    <w:basedOn w:val="24"/>
    <w:qFormat/>
    <w:uiPriority w:val="0"/>
    <w:rPr>
      <w:rFonts w:hint="eastAsia" w:ascii="宋体" w:hAnsi="宋体" w:eastAsia="宋体" w:cs="宋体"/>
      <w:color w:val="000000"/>
      <w:sz w:val="22"/>
      <w:szCs w:val="22"/>
      <w:u w:val="none"/>
    </w:rPr>
  </w:style>
  <w:style w:type="character" w:customStyle="1" w:styleId="62">
    <w:name w:val="font31"/>
    <w:basedOn w:val="24"/>
    <w:qFormat/>
    <w:uiPriority w:val="0"/>
    <w:rPr>
      <w:rFonts w:hint="eastAsia" w:ascii="仿宋_GB2312" w:eastAsia="仿宋_GB2312" w:cs="仿宋_GB2312"/>
      <w:color w:val="000000"/>
      <w:sz w:val="22"/>
      <w:szCs w:val="22"/>
      <w:u w:val="none"/>
    </w:rPr>
  </w:style>
  <w:style w:type="character" w:customStyle="1" w:styleId="63">
    <w:name w:val="font21"/>
    <w:basedOn w:val="24"/>
    <w:qFormat/>
    <w:uiPriority w:val="0"/>
    <w:rPr>
      <w:rFonts w:hint="eastAsia" w:ascii="宋体" w:hAnsi="宋体" w:eastAsia="宋体" w:cs="宋体"/>
      <w:color w:val="000000"/>
      <w:sz w:val="20"/>
      <w:szCs w:val="20"/>
      <w:u w:val="none"/>
    </w:rPr>
  </w:style>
  <w:style w:type="character" w:customStyle="1" w:styleId="64">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2020-04-15T01:54:43Z</dcterms:modified>
  <dc:title>禹州市民政局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