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autoSpaceDE w:val="0"/>
        <w:autoSpaceDN w:val="0"/>
        <w:adjustRightInd w:val="0"/>
        <w:snapToGrid w:val="0"/>
        <w:spacing w:line="360" w:lineRule="auto"/>
        <w:jc w:val="center"/>
        <w:rPr>
          <w:rFonts w:hAnsi="宋体" w:cs="宋体"/>
          <w:b/>
          <w:color w:val="000000"/>
          <w:spacing w:val="60"/>
          <w:sz w:val="48"/>
          <w:szCs w:val="32"/>
        </w:rPr>
      </w:pPr>
      <w:r>
        <w:rPr>
          <w:rFonts w:hint="eastAsia" w:hAnsi="宋体" w:cs="宋体"/>
          <w:b/>
          <w:color w:val="000000"/>
          <w:spacing w:val="60"/>
          <w:sz w:val="48"/>
          <w:szCs w:val="32"/>
        </w:rPr>
        <w:t>鄢陵县实验小学维修改造工程</w:t>
      </w:r>
    </w:p>
    <w:p>
      <w:pPr>
        <w:autoSpaceDE w:val="0"/>
        <w:autoSpaceDN w:val="0"/>
        <w:adjustRightInd w:val="0"/>
        <w:snapToGrid w:val="0"/>
        <w:spacing w:line="360" w:lineRule="auto"/>
        <w:rPr>
          <w:rFonts w:hAnsi="宋体" w:cs="宋体"/>
          <w:b/>
          <w:spacing w:val="60"/>
          <w:szCs w:val="21"/>
        </w:rPr>
      </w:pPr>
    </w:p>
    <w:p>
      <w:pPr>
        <w:pStyle w:val="2"/>
        <w:ind w:firstLine="331"/>
        <w:rPr>
          <w:b/>
          <w:spacing w:val="60"/>
          <w:szCs w:val="21"/>
        </w:rPr>
      </w:pPr>
    </w:p>
    <w:p>
      <w:pPr>
        <w:autoSpaceDE w:val="0"/>
        <w:autoSpaceDN w:val="0"/>
        <w:adjustRightInd w:val="0"/>
        <w:jc w:val="center"/>
        <w:rPr>
          <w:rFonts w:hAnsi="宋体" w:cs="宋体"/>
          <w:b/>
          <w:sz w:val="84"/>
          <w:szCs w:val="84"/>
        </w:rPr>
      </w:pPr>
      <w:r>
        <w:rPr>
          <w:rFonts w:hint="eastAsia" w:hAnsi="宋体" w:cs="宋体"/>
          <w:b/>
          <w:sz w:val="84"/>
          <w:szCs w:val="84"/>
        </w:rPr>
        <w:t>招 标 文 件</w:t>
      </w:r>
    </w:p>
    <w:p>
      <w:pPr>
        <w:autoSpaceDE w:val="0"/>
        <w:autoSpaceDN w:val="0"/>
        <w:adjustRightInd w:val="0"/>
        <w:jc w:val="center"/>
        <w:rPr>
          <w:rFonts w:hAnsi="宋体" w:cs="宋体"/>
          <w:b/>
          <w:sz w:val="28"/>
          <w:szCs w:val="28"/>
        </w:rPr>
      </w:pPr>
      <w:r>
        <w:rPr>
          <w:rFonts w:hint="eastAsia" w:hAnsi="宋体" w:cs="宋体"/>
          <w:b/>
          <w:sz w:val="28"/>
          <w:szCs w:val="28"/>
        </w:rPr>
        <w:t>【不见面开标】</w:t>
      </w:r>
    </w:p>
    <w:p>
      <w:pPr>
        <w:autoSpaceDE w:val="0"/>
        <w:autoSpaceDN w:val="0"/>
        <w:adjustRightInd w:val="0"/>
        <w:jc w:val="center"/>
        <w:rPr>
          <w:rFonts w:hAnsi="宋体" w:cs="宋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 xml:space="preserve">项目编号：Y2020GZ035 </w:t>
      </w:r>
    </w:p>
    <w:p>
      <w:pPr>
        <w:autoSpaceDE w:val="0"/>
        <w:autoSpaceDN w:val="0"/>
        <w:adjustRightInd w:val="0"/>
        <w:jc w:val="center"/>
        <w:rPr>
          <w:rFonts w:hAnsi="宋体" w:cs="宋体"/>
          <w:sz w:val="44"/>
          <w:szCs w:val="44"/>
        </w:rPr>
      </w:pPr>
    </w:p>
    <w:p>
      <w:pPr>
        <w:autoSpaceDE w:val="0"/>
        <w:autoSpaceDN w:val="0"/>
        <w:adjustRightInd w:val="0"/>
        <w:jc w:val="center"/>
        <w:rPr>
          <w:rFonts w:hAnsi="宋体" w:cs="宋体"/>
          <w:sz w:val="44"/>
          <w:szCs w:val="44"/>
        </w:rPr>
      </w:pPr>
    </w:p>
    <w:p>
      <w:pPr>
        <w:pStyle w:val="42"/>
        <w:tabs>
          <w:tab w:val="left" w:pos="1980"/>
        </w:tabs>
        <w:spacing w:line="1000" w:lineRule="exact"/>
        <w:jc w:val="center"/>
        <w:rPr>
          <w:rFonts w:hAnsi="宋体"/>
          <w:b/>
          <w:color w:val="auto"/>
          <w:sz w:val="32"/>
          <w:szCs w:val="32"/>
        </w:rPr>
      </w:pPr>
    </w:p>
    <w:p>
      <w:pPr>
        <w:pStyle w:val="42"/>
        <w:tabs>
          <w:tab w:val="left" w:pos="1980"/>
        </w:tabs>
        <w:snapToGrid w:val="0"/>
        <w:spacing w:line="360" w:lineRule="auto"/>
        <w:jc w:val="center"/>
        <w:rPr>
          <w:rFonts w:hAnsi="宋体"/>
          <w:b/>
          <w:color w:val="auto"/>
          <w:sz w:val="32"/>
          <w:szCs w:val="32"/>
        </w:rPr>
      </w:pPr>
    </w:p>
    <w:p>
      <w:pPr>
        <w:adjustRightInd w:val="0"/>
        <w:snapToGrid w:val="0"/>
        <w:spacing w:line="360" w:lineRule="auto"/>
        <w:ind w:firstLine="2168" w:firstLineChars="600"/>
        <w:rPr>
          <w:rFonts w:hAnsi="宋体"/>
          <w:b/>
          <w:sz w:val="36"/>
          <w:szCs w:val="36"/>
        </w:rPr>
      </w:pPr>
    </w:p>
    <w:p>
      <w:pPr>
        <w:adjustRightInd w:val="0"/>
        <w:snapToGrid w:val="0"/>
        <w:spacing w:line="360" w:lineRule="auto"/>
        <w:ind w:firstLine="2530" w:firstLineChars="700"/>
        <w:rPr>
          <w:rFonts w:hAnsi="宋体"/>
          <w:b/>
          <w:sz w:val="36"/>
          <w:szCs w:val="36"/>
        </w:rPr>
      </w:pPr>
      <w:r>
        <w:rPr>
          <w:rFonts w:hint="eastAsia" w:hAnsi="宋体"/>
          <w:b/>
          <w:sz w:val="36"/>
          <w:szCs w:val="36"/>
        </w:rPr>
        <w:t>招 标 人：鄢陵县实验小学</w:t>
      </w:r>
    </w:p>
    <w:p>
      <w:pPr>
        <w:adjustRightInd w:val="0"/>
        <w:snapToGrid w:val="0"/>
        <w:spacing w:line="360" w:lineRule="auto"/>
        <w:ind w:firstLine="1446" w:firstLineChars="600"/>
        <w:rPr>
          <w:rFonts w:hAnsi="宋体" w:cs="宋体"/>
          <w:b/>
          <w:sz w:val="24"/>
        </w:rPr>
      </w:pPr>
    </w:p>
    <w:p>
      <w:pPr>
        <w:adjustRightInd w:val="0"/>
        <w:snapToGrid w:val="0"/>
        <w:spacing w:line="360" w:lineRule="auto"/>
        <w:rPr>
          <w:rFonts w:hAnsi="宋体" w:cs="宋体"/>
          <w:b/>
          <w:sz w:val="36"/>
          <w:szCs w:val="36"/>
        </w:rPr>
      </w:pPr>
      <w:r>
        <w:rPr>
          <w:rFonts w:hint="eastAsia" w:hAnsi="宋体" w:cs="宋体"/>
          <w:b/>
          <w:sz w:val="36"/>
          <w:szCs w:val="36"/>
        </w:rPr>
        <w:t xml:space="preserve">      招标代理机构：山东龙信达咨询监理有限公司</w:t>
      </w:r>
    </w:p>
    <w:p>
      <w:pPr>
        <w:adjustRightInd w:val="0"/>
        <w:snapToGrid w:val="0"/>
        <w:spacing w:line="360" w:lineRule="auto"/>
        <w:jc w:val="center"/>
        <w:rPr>
          <w:rFonts w:hAnsi="宋体" w:cs="宋体"/>
          <w:b/>
          <w:sz w:val="36"/>
          <w:szCs w:val="36"/>
        </w:rPr>
      </w:pPr>
      <w:r>
        <w:rPr>
          <w:rFonts w:hint="eastAsia" w:hAnsi="宋体" w:cs="宋体"/>
          <w:b/>
          <w:sz w:val="36"/>
          <w:szCs w:val="36"/>
        </w:rPr>
        <w:t>二〇二〇年四月</w:t>
      </w:r>
    </w:p>
    <w:p>
      <w:pPr>
        <w:pStyle w:val="4"/>
      </w:pPr>
    </w:p>
    <w:p>
      <w:pPr>
        <w:spacing w:line="312" w:lineRule="auto"/>
        <w:jc w:val="center"/>
        <w:rPr>
          <w:rFonts w:ascii="宋体" w:hAnsi="宋体" w:cs="宋体"/>
          <w:b/>
          <w:sz w:val="30"/>
          <w:szCs w:val="30"/>
        </w:rPr>
      </w:pPr>
    </w:p>
    <w:p>
      <w:pPr>
        <w:spacing w:line="312" w:lineRule="auto"/>
        <w:jc w:val="center"/>
        <w:rPr>
          <w:rFonts w:ascii="宋体" w:hAnsi="宋体" w:cs="宋体"/>
          <w:b/>
          <w:sz w:val="30"/>
          <w:szCs w:val="30"/>
        </w:rPr>
        <w:sectPr>
          <w:headerReference r:id="rId3" w:type="default"/>
          <w:footerReference r:id="rId4" w:type="default"/>
          <w:footerReference r:id="rId5" w:type="even"/>
          <w:pgSz w:w="11906" w:h="16838"/>
          <w:pgMar w:top="1247" w:right="1191" w:bottom="1247" w:left="1191" w:header="851" w:footer="992" w:gutter="0"/>
          <w:pgNumType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spacing w:line="312" w:lineRule="auto"/>
      </w:pPr>
    </w:p>
    <w:p>
      <w:pPr>
        <w:adjustRightInd w:val="0"/>
        <w:snapToGrid w:val="0"/>
        <w:spacing w:line="360" w:lineRule="auto"/>
        <w:jc w:val="center"/>
        <w:outlineLvl w:val="0"/>
        <w:rPr>
          <w:rFonts w:hAnsi="宋体"/>
          <w:b/>
          <w:bCs/>
          <w:sz w:val="32"/>
          <w:szCs w:val="32"/>
        </w:rPr>
      </w:pPr>
      <w:bookmarkStart w:id="0" w:name="_Toc18374"/>
      <w:bookmarkStart w:id="1" w:name="_Toc15029"/>
      <w:bookmarkStart w:id="2" w:name="_Toc17593"/>
      <w:bookmarkStart w:id="3" w:name="_Toc19466"/>
      <w:r>
        <w:rPr>
          <w:rFonts w:hint="eastAsia" w:hAnsi="宋体" w:cs="宋体"/>
          <w:b/>
          <w:sz w:val="30"/>
          <w:szCs w:val="30"/>
        </w:rPr>
        <w:t>鄢陵县实验小学维修改造工程</w:t>
      </w:r>
      <w:r>
        <w:rPr>
          <w:rFonts w:hint="eastAsia" w:hAnsi="宋体"/>
          <w:b/>
          <w:bCs/>
          <w:sz w:val="32"/>
          <w:szCs w:val="32"/>
        </w:rPr>
        <w:t>招标公告</w:t>
      </w:r>
    </w:p>
    <w:p>
      <w:pPr>
        <w:adjustRightInd w:val="0"/>
        <w:snapToGrid w:val="0"/>
        <w:spacing w:line="360" w:lineRule="auto"/>
        <w:rPr>
          <w:rFonts w:hAnsi="宋体"/>
          <w:b/>
          <w:bCs/>
          <w:sz w:val="24"/>
        </w:rPr>
      </w:pPr>
      <w:r>
        <w:rPr>
          <w:rFonts w:hint="eastAsia" w:hAnsi="宋体"/>
          <w:b/>
          <w:bCs/>
          <w:sz w:val="24"/>
        </w:rPr>
        <w:t>一、招标条件</w:t>
      </w:r>
    </w:p>
    <w:p>
      <w:pPr>
        <w:adjustRightInd w:val="0"/>
        <w:snapToGrid w:val="0"/>
        <w:spacing w:line="360" w:lineRule="auto"/>
        <w:ind w:firstLine="480" w:firstLineChars="200"/>
        <w:rPr>
          <w:rFonts w:hAnsi="宋体"/>
          <w:b/>
          <w:bCs/>
          <w:sz w:val="24"/>
        </w:rPr>
      </w:pPr>
      <w:r>
        <w:rPr>
          <w:rFonts w:hint="eastAsia" w:hAnsi="宋体"/>
          <w:sz w:val="24"/>
        </w:rPr>
        <w:t>鄢陵县实验小学维修改造工程已由相关部门</w:t>
      </w:r>
      <w:r>
        <w:rPr>
          <w:rFonts w:hint="eastAsia" w:hAnsi="宋体" w:cs="宋体"/>
          <w:bCs/>
          <w:sz w:val="24"/>
        </w:rPr>
        <w:t>批准建设</w:t>
      </w:r>
      <w:r>
        <w:rPr>
          <w:rFonts w:hint="eastAsia" w:hAnsi="宋体"/>
          <w:sz w:val="24"/>
        </w:rPr>
        <w:t>，招标人为</w:t>
      </w:r>
      <w:r>
        <w:rPr>
          <w:rFonts w:hint="eastAsia" w:hAnsi="宋体"/>
          <w:color w:val="000000"/>
          <w:sz w:val="24"/>
        </w:rPr>
        <w:t>鄢陵县实验小学</w:t>
      </w:r>
      <w:r>
        <w:rPr>
          <w:rFonts w:hint="eastAsia" w:hAnsi="宋体"/>
          <w:sz w:val="24"/>
        </w:rPr>
        <w:t>，建设资金为自筹资金，项目已具备招标条件，现对该项目的施工进行公开招标。</w:t>
      </w:r>
    </w:p>
    <w:p>
      <w:pPr>
        <w:adjustRightInd w:val="0"/>
        <w:snapToGrid w:val="0"/>
        <w:spacing w:line="360" w:lineRule="auto"/>
        <w:ind w:right="-105" w:rightChars="-50"/>
        <w:rPr>
          <w:rFonts w:hAnsi="宋体"/>
          <w:b/>
          <w:bCs/>
          <w:sz w:val="24"/>
        </w:rPr>
      </w:pPr>
      <w:r>
        <w:rPr>
          <w:rFonts w:hint="eastAsia" w:hAnsi="宋体"/>
          <w:b/>
          <w:bCs/>
          <w:sz w:val="24"/>
        </w:rPr>
        <w:t>二、项目概况与招标范围</w:t>
      </w:r>
    </w:p>
    <w:p>
      <w:pPr>
        <w:adjustRightInd w:val="0"/>
        <w:snapToGrid w:val="0"/>
        <w:spacing w:line="360" w:lineRule="auto"/>
        <w:ind w:firstLine="480" w:firstLineChars="200"/>
        <w:rPr>
          <w:rFonts w:hAnsi="宋体"/>
          <w:sz w:val="24"/>
        </w:rPr>
      </w:pPr>
      <w:r>
        <w:rPr>
          <w:rFonts w:hint="eastAsia" w:hAnsi="宋体"/>
          <w:sz w:val="24"/>
        </w:rPr>
        <w:t>2.1项目名称：鄢陵县实验小学维修改造工程</w:t>
      </w:r>
    </w:p>
    <w:p>
      <w:pPr>
        <w:adjustRightInd w:val="0"/>
        <w:snapToGrid w:val="0"/>
        <w:spacing w:line="360" w:lineRule="auto"/>
        <w:ind w:firstLine="960" w:firstLineChars="400"/>
        <w:rPr>
          <w:rFonts w:hAnsi="宋体"/>
          <w:sz w:val="24"/>
        </w:rPr>
      </w:pPr>
      <w:r>
        <w:rPr>
          <w:rFonts w:hint="eastAsia" w:hAnsi="宋体"/>
          <w:sz w:val="24"/>
        </w:rPr>
        <w:t>项目编号： Y2020GZ035</w:t>
      </w:r>
    </w:p>
    <w:p>
      <w:pPr>
        <w:adjustRightInd w:val="0"/>
        <w:snapToGrid w:val="0"/>
        <w:spacing w:line="360" w:lineRule="auto"/>
        <w:ind w:firstLine="480" w:firstLineChars="200"/>
        <w:rPr>
          <w:rFonts w:hAnsi="宋体"/>
          <w:sz w:val="24"/>
        </w:rPr>
      </w:pPr>
      <w:r>
        <w:rPr>
          <w:rFonts w:hint="eastAsia" w:hAnsi="宋体"/>
          <w:sz w:val="24"/>
        </w:rPr>
        <w:t>2.2建设地点：鄢陵县实验小学学校内</w:t>
      </w:r>
    </w:p>
    <w:p>
      <w:pPr>
        <w:pStyle w:val="2"/>
        <w:spacing w:line="360" w:lineRule="auto"/>
        <w:ind w:firstLine="480" w:firstLineChars="200"/>
        <w:rPr>
          <w:sz w:val="24"/>
        </w:rPr>
      </w:pPr>
      <w:r>
        <w:rPr>
          <w:sz w:val="24"/>
        </w:rPr>
        <w:t>2.3工程概况：鄢陵县实验小学维修改造工程内容：主要包括校园南院南楼外墙、南院北楼外墙、南院西楼外墙、商业楼后侧及两侧外墙、北院北楼外墙及操场两侧民房外墙刷防水腻子、乳胶漆；北院北楼一层拆除原2㎝厚水泥砂浆台阶面层，废弃物外运，新做现浇水磨石台阶；南院西楼一层车库拆除原10㎝厚混凝土地面，废弃物外运，新做8㎝厚C20现浇混凝土垫层及水磨石坡道；南院西楼北楼水磨石台阶面层维修；校门口顶防水；北院北楼、西楼3层新做踏步2踏；北院北楼与西楼墙面变形缝（链接缝）维修；商业楼三楼顶外侧造型条维修；南院西楼、北院北楼、北院商业南面、北院操场西南民房及北院操场西南民房墙体彩绘；操场西南角原地面拆除外运，新做20㎝厚三七灰土垫层及10㎝厚C25混凝土面层等。</w:t>
      </w:r>
    </w:p>
    <w:p>
      <w:pPr>
        <w:pStyle w:val="2"/>
        <w:spacing w:line="360" w:lineRule="auto"/>
        <w:ind w:firstLine="480" w:firstLineChars="200"/>
        <w:rPr>
          <w:sz w:val="24"/>
        </w:rPr>
      </w:pPr>
      <w:r>
        <w:rPr>
          <w:sz w:val="24"/>
        </w:rPr>
        <w:t>2.4招标范围：招标文件、施工图纸、工程量清单、答疑纪要和补充文件（如有）等范围内的所有工程内容。</w:t>
      </w:r>
    </w:p>
    <w:p>
      <w:pPr>
        <w:pStyle w:val="2"/>
        <w:spacing w:line="360" w:lineRule="auto"/>
        <w:ind w:firstLine="480" w:firstLineChars="200"/>
        <w:rPr>
          <w:sz w:val="24"/>
        </w:rPr>
      </w:pPr>
      <w:r>
        <w:rPr>
          <w:sz w:val="24"/>
        </w:rPr>
        <w:t>2.5标段划分：本项目划分为一个标段。</w:t>
      </w:r>
    </w:p>
    <w:p>
      <w:pPr>
        <w:pStyle w:val="2"/>
        <w:spacing w:line="360" w:lineRule="auto"/>
        <w:ind w:firstLine="480" w:firstLineChars="200"/>
        <w:rPr>
          <w:sz w:val="24"/>
        </w:rPr>
      </w:pPr>
      <w:r>
        <w:rPr>
          <w:sz w:val="24"/>
        </w:rPr>
        <w:t>2.6工期：</w:t>
      </w:r>
      <w:r>
        <w:rPr>
          <w:rFonts w:hint="eastAsia"/>
          <w:sz w:val="24"/>
        </w:rPr>
        <w:t>15</w:t>
      </w:r>
      <w:r>
        <w:rPr>
          <w:sz w:val="24"/>
        </w:rPr>
        <w:t>日历天</w:t>
      </w:r>
    </w:p>
    <w:p>
      <w:pPr>
        <w:adjustRightInd w:val="0"/>
        <w:snapToGrid w:val="0"/>
        <w:spacing w:line="360" w:lineRule="auto"/>
        <w:ind w:right="-105" w:rightChars="-50" w:firstLine="480" w:firstLineChars="200"/>
        <w:rPr>
          <w:sz w:val="24"/>
        </w:rPr>
      </w:pPr>
      <w:r>
        <w:rPr>
          <w:sz w:val="24"/>
        </w:rPr>
        <w:t>2.7招标控制价：</w:t>
      </w:r>
      <w:r>
        <w:rPr>
          <w:rFonts w:hint="eastAsia"/>
          <w:sz w:val="24"/>
        </w:rPr>
        <w:t>409390.17元</w:t>
      </w:r>
    </w:p>
    <w:p>
      <w:pPr>
        <w:adjustRightInd w:val="0"/>
        <w:snapToGrid w:val="0"/>
        <w:spacing w:line="360" w:lineRule="auto"/>
        <w:ind w:right="-105" w:rightChars="-50" w:firstLine="480" w:firstLineChars="200"/>
        <w:rPr>
          <w:rFonts w:hAnsi="宋体"/>
          <w:sz w:val="24"/>
        </w:rPr>
      </w:pPr>
      <w:r>
        <w:rPr>
          <w:rFonts w:hint="eastAsia" w:hAnsi="宋体"/>
          <w:sz w:val="24"/>
        </w:rPr>
        <w:t>2.8质量要求：合格。</w:t>
      </w:r>
    </w:p>
    <w:p>
      <w:pPr>
        <w:adjustRightInd w:val="0"/>
        <w:snapToGrid w:val="0"/>
        <w:spacing w:line="360" w:lineRule="auto"/>
        <w:ind w:right="-105" w:rightChars="-50"/>
        <w:rPr>
          <w:rFonts w:hAnsi="宋体"/>
          <w:b/>
          <w:bCs/>
          <w:sz w:val="24"/>
        </w:rPr>
      </w:pPr>
      <w:r>
        <w:rPr>
          <w:rFonts w:hint="eastAsia" w:hAnsi="宋体"/>
          <w:b/>
          <w:bCs/>
          <w:sz w:val="24"/>
        </w:rPr>
        <w:t>三、投标人资格要求</w:t>
      </w:r>
    </w:p>
    <w:p>
      <w:pPr>
        <w:pStyle w:val="2"/>
        <w:spacing w:line="360" w:lineRule="auto"/>
        <w:ind w:firstLine="480" w:firstLineChars="200"/>
        <w:rPr>
          <w:sz w:val="24"/>
        </w:rPr>
      </w:pPr>
      <w:r>
        <w:rPr>
          <w:sz w:val="24"/>
        </w:rPr>
        <w:t>1、投标人须具备独立法人资格，具有建设行政主管部门颁发的建筑工程施工总承包叁级及以上资质，具有有效的安全生产许可证。拟派项目经理须具有建筑工程专业二级及以上注册建造师执业资格证（不含临时）和项目经理安全生产考核合格证，且未承担其他建设工程的项目经理。</w:t>
      </w:r>
    </w:p>
    <w:p>
      <w:pPr>
        <w:adjustRightInd w:val="0"/>
        <w:snapToGrid w:val="0"/>
        <w:spacing w:line="360" w:lineRule="auto"/>
        <w:ind w:firstLine="480" w:firstLineChars="200"/>
        <w:rPr>
          <w:rFonts w:hAnsi="宋体"/>
          <w:color w:val="000000"/>
          <w:sz w:val="24"/>
        </w:rPr>
      </w:pPr>
      <w:r>
        <w:rPr>
          <w:rFonts w:hint="eastAsia" w:hAnsi="宋体"/>
          <w:color w:val="000000"/>
          <w:sz w:val="24"/>
        </w:rPr>
        <w:t>2、未被列入“信用中国”（www.creditchina.gov.cn）网站</w:t>
      </w:r>
      <w:r>
        <w:rPr>
          <w:rFonts w:hint="eastAsia" w:hAnsi="宋体"/>
          <w:sz w:val="24"/>
        </w:rPr>
        <w:t>失信被执行人名单，“</w:t>
      </w:r>
      <w:r>
        <w:rPr>
          <w:rFonts w:hint="eastAsia" w:hAnsi="宋体"/>
          <w:color w:val="000000"/>
          <w:sz w:val="24"/>
        </w:rPr>
        <w:t>国家企业信用信息公示系统” （http://www.gsxt.gov.cn/）经营异常名录或严重失信黑名单。</w:t>
      </w:r>
    </w:p>
    <w:p>
      <w:pPr>
        <w:adjustRightInd w:val="0"/>
        <w:snapToGrid w:val="0"/>
        <w:spacing w:line="360" w:lineRule="auto"/>
        <w:ind w:firstLine="480" w:firstLineChars="200"/>
        <w:rPr>
          <w:rFonts w:hAnsi="宋体"/>
          <w:color w:val="000000"/>
          <w:sz w:val="24"/>
        </w:rPr>
      </w:pPr>
      <w:r>
        <w:rPr>
          <w:rFonts w:hint="eastAsia" w:hAnsi="宋体"/>
          <w:color w:val="000000"/>
          <w:sz w:val="24"/>
        </w:rPr>
        <w:t>3、本次招标不接受联合体投标。</w:t>
      </w:r>
    </w:p>
    <w:p>
      <w:pPr>
        <w:adjustRightInd w:val="0"/>
        <w:snapToGrid w:val="0"/>
        <w:spacing w:line="360" w:lineRule="auto"/>
        <w:ind w:firstLine="480" w:firstLineChars="200"/>
        <w:rPr>
          <w:rFonts w:hAnsi="宋体"/>
          <w:color w:val="000000"/>
          <w:sz w:val="24"/>
        </w:rPr>
      </w:pPr>
      <w:r>
        <w:rPr>
          <w:rFonts w:hint="eastAsia" w:hAnsi="宋体"/>
          <w:color w:val="000000"/>
          <w:sz w:val="24"/>
        </w:rPr>
        <w:t>4、本次招标实行资格后审。</w:t>
      </w:r>
    </w:p>
    <w:p>
      <w:pPr>
        <w:adjustRightInd w:val="0"/>
        <w:snapToGrid w:val="0"/>
        <w:spacing w:line="360" w:lineRule="auto"/>
        <w:ind w:right="-105" w:rightChars="-50"/>
        <w:rPr>
          <w:rFonts w:hAnsi="宋体"/>
          <w:b/>
          <w:bCs/>
          <w:sz w:val="24"/>
        </w:rPr>
      </w:pPr>
      <w:r>
        <w:rPr>
          <w:rFonts w:hint="eastAsia" w:hAnsi="宋体"/>
          <w:b/>
          <w:bCs/>
          <w:sz w:val="24"/>
        </w:rPr>
        <w:t>四、网上下载招标文件</w:t>
      </w:r>
    </w:p>
    <w:p>
      <w:pPr>
        <w:adjustRightInd w:val="0"/>
        <w:snapToGrid w:val="0"/>
        <w:spacing w:line="360" w:lineRule="auto"/>
        <w:ind w:firstLine="480" w:firstLineChars="200"/>
        <w:rPr>
          <w:rFonts w:hAnsi="宋体"/>
          <w:sz w:val="24"/>
        </w:rPr>
      </w:pPr>
      <w:bookmarkStart w:id="4" w:name="_Toc28753"/>
      <w:bookmarkEnd w:id="4"/>
      <w:r>
        <w:rPr>
          <w:rFonts w:hint="eastAsia" w:hAnsi="宋体"/>
          <w:sz w:val="24"/>
        </w:rPr>
        <w:t>4.1投标人持CA数字认证证书，登录《全国公共资源交易平台（河南省·许昌市）》“系统用户注册”入口</w:t>
      </w:r>
    </w:p>
    <w:p>
      <w:pPr>
        <w:adjustRightInd w:val="0"/>
        <w:snapToGrid w:val="0"/>
        <w:spacing w:line="360" w:lineRule="auto"/>
        <w:ind w:firstLine="480" w:firstLineChars="200"/>
        <w:rPr>
          <w:rFonts w:hAnsi="宋体"/>
          <w:sz w:val="24"/>
        </w:rPr>
      </w:pPr>
      <w:r>
        <w:rPr>
          <w:rFonts w:hint="eastAsia" w:hAnsi="宋体"/>
          <w:sz w:val="24"/>
        </w:rPr>
        <w:t>（</w:t>
      </w:r>
      <w:r>
        <w:rPr>
          <w:rFonts w:hint="eastAsia"/>
          <w:sz w:val="24"/>
        </w:rPr>
        <w:t>http://221.14.6.70:8088/ggzy/eps/public/RegistAllJcxx.html</w:t>
      </w:r>
      <w:r>
        <w:rPr>
          <w:rFonts w:hint="eastAsia" w:hAnsi="宋体"/>
          <w:sz w:val="24"/>
        </w:rPr>
        <w:t>）进行免费注册登记（详见“常见问题解答</w:t>
      </w:r>
      <w:r>
        <w:rPr>
          <w:rFonts w:hint="eastAsia"/>
          <w:sz w:val="24"/>
        </w:rPr>
        <w:t>-</w:t>
      </w:r>
      <w:r>
        <w:rPr>
          <w:rFonts w:hint="eastAsia" w:hAnsi="宋体"/>
          <w:sz w:val="24"/>
        </w:rPr>
        <w:t>诚信库网上注册相关资料下载”）；</w:t>
      </w:r>
    </w:p>
    <w:p>
      <w:pPr>
        <w:adjustRightInd w:val="0"/>
        <w:snapToGrid w:val="0"/>
        <w:spacing w:line="360" w:lineRule="auto"/>
        <w:ind w:firstLine="480" w:firstLineChars="200"/>
        <w:rPr>
          <w:rFonts w:hAnsi="宋体"/>
          <w:sz w:val="24"/>
        </w:rPr>
      </w:pPr>
      <w:bookmarkStart w:id="5" w:name="_Toc16941"/>
      <w:bookmarkEnd w:id="5"/>
      <w:r>
        <w:rPr>
          <w:rFonts w:hint="eastAsia" w:hAnsi="宋体"/>
          <w:sz w:val="24"/>
        </w:rPr>
        <w:t>4.2在投标截止时间前登录《全国公共资源交易平台（河南省·许昌市）》“投标人</w:t>
      </w:r>
      <w:r>
        <w:rPr>
          <w:rFonts w:hint="eastAsia"/>
          <w:sz w:val="24"/>
        </w:rPr>
        <w:t>/</w:t>
      </w:r>
      <w:r>
        <w:rPr>
          <w:rFonts w:hint="eastAsia" w:hAnsi="宋体"/>
          <w:sz w:val="24"/>
        </w:rPr>
        <w:t>供应商登录”入口（</w:t>
      </w:r>
      <w:r>
        <w:rPr>
          <w:rFonts w:hint="eastAsia"/>
          <w:sz w:val="24"/>
        </w:rPr>
        <w:t>http://221.14.6.70:8088/ggzy/</w:t>
      </w:r>
      <w:r>
        <w:rPr>
          <w:rFonts w:hint="eastAsia" w:hAnsi="宋体"/>
          <w:sz w:val="24"/>
        </w:rPr>
        <w:t>）自行下载招标文件（详见“常见问题解答</w:t>
      </w:r>
      <w:r>
        <w:rPr>
          <w:rFonts w:hint="eastAsia"/>
          <w:sz w:val="24"/>
        </w:rPr>
        <w:t>-</w:t>
      </w:r>
      <w:r>
        <w:rPr>
          <w:rFonts w:hint="eastAsia" w:hAnsi="宋体"/>
          <w:sz w:val="24"/>
        </w:rPr>
        <w:t>交易系统操作手册”）。</w:t>
      </w:r>
    </w:p>
    <w:p>
      <w:pPr>
        <w:adjustRightInd w:val="0"/>
        <w:snapToGrid w:val="0"/>
        <w:spacing w:line="360" w:lineRule="auto"/>
        <w:ind w:right="-105" w:rightChars="-50"/>
        <w:rPr>
          <w:rFonts w:hAnsi="宋体"/>
          <w:b/>
          <w:bCs/>
          <w:sz w:val="24"/>
        </w:rPr>
      </w:pPr>
      <w:r>
        <w:rPr>
          <w:rFonts w:hint="eastAsia" w:hAnsi="宋体"/>
          <w:b/>
          <w:bCs/>
          <w:sz w:val="24"/>
        </w:rPr>
        <w:t>五、招标文件和施工图纸的获取</w:t>
      </w:r>
    </w:p>
    <w:p>
      <w:pPr>
        <w:adjustRightInd w:val="0"/>
        <w:snapToGrid w:val="0"/>
        <w:spacing w:line="360" w:lineRule="auto"/>
        <w:ind w:firstLine="480" w:firstLineChars="200"/>
        <w:rPr>
          <w:rFonts w:hAnsi="宋体"/>
          <w:sz w:val="24"/>
        </w:rPr>
      </w:pPr>
      <w:bookmarkStart w:id="6" w:name="_Toc1157"/>
      <w:bookmarkEnd w:id="6"/>
      <w:r>
        <w:rPr>
          <w:rFonts w:hint="eastAsia" w:hAnsi="宋体"/>
          <w:sz w:val="24"/>
        </w:rPr>
        <w:t>5.1招标文件和工程量清单的获取：投标人于投标文件递交截止时间前均可登录【全国公共资源交易平台(河南省</w:t>
      </w:r>
      <w:r>
        <w:rPr>
          <w:rFonts w:hint="eastAsia" w:ascii="MS Mincho" w:hAnsi="MS Mincho" w:eastAsia="MS Mincho" w:cs="MS Mincho"/>
          <w:sz w:val="24"/>
        </w:rPr>
        <w:t>▪</w:t>
      </w:r>
      <w:r>
        <w:rPr>
          <w:rFonts w:hint="eastAsia" w:hAnsi="宋体" w:cs="宋体"/>
          <w:sz w:val="24"/>
        </w:rPr>
        <w:t>许昌市</w:t>
      </w:r>
      <w:r>
        <w:rPr>
          <w:rFonts w:hint="eastAsia"/>
          <w:sz w:val="24"/>
        </w:rPr>
        <w:t>)</w:t>
      </w:r>
      <w:r>
        <w:rPr>
          <w:rFonts w:hint="eastAsia" w:hAnsi="宋体"/>
          <w:sz w:val="24"/>
        </w:rPr>
        <w:t>】（</w:t>
      </w:r>
      <w:r>
        <w:rPr>
          <w:rFonts w:hint="eastAsia"/>
          <w:sz w:val="24"/>
        </w:rPr>
        <w:t>http://ggzy.xuchang.gov.cn/</w:t>
      </w:r>
      <w:r>
        <w:rPr>
          <w:rFonts w:hint="eastAsia" w:hAnsi="宋体"/>
          <w:sz w:val="24"/>
        </w:rPr>
        <w:t>），通过“投标人</w:t>
      </w:r>
      <w:r>
        <w:rPr>
          <w:rFonts w:hint="eastAsia"/>
          <w:sz w:val="24"/>
        </w:rPr>
        <w:t>/</w:t>
      </w:r>
      <w:r>
        <w:rPr>
          <w:rFonts w:hint="eastAsia" w:hAnsi="宋体"/>
          <w:sz w:val="24"/>
        </w:rPr>
        <w:t>供应商登录”入口自行下载。</w:t>
      </w:r>
    </w:p>
    <w:p>
      <w:pPr>
        <w:adjustRightInd w:val="0"/>
        <w:snapToGrid w:val="0"/>
        <w:spacing w:line="360" w:lineRule="auto"/>
        <w:ind w:firstLine="480" w:firstLineChars="200"/>
        <w:rPr>
          <w:rFonts w:hAnsi="宋体"/>
          <w:sz w:val="24"/>
        </w:rPr>
      </w:pPr>
      <w:bookmarkStart w:id="7" w:name="_Toc27236"/>
      <w:bookmarkEnd w:id="7"/>
      <w:r>
        <w:rPr>
          <w:rFonts w:hint="eastAsia" w:hAnsi="宋体"/>
          <w:sz w:val="24"/>
        </w:rPr>
        <w:t>5.2施工图纸下载：按照施工招标文件中第二章投标人须知前附表第2.1项所给的网址自行下载。</w:t>
      </w:r>
    </w:p>
    <w:p>
      <w:pPr>
        <w:adjustRightInd w:val="0"/>
        <w:snapToGrid w:val="0"/>
        <w:spacing w:line="360" w:lineRule="auto"/>
        <w:ind w:firstLine="480" w:firstLineChars="200"/>
        <w:rPr>
          <w:rFonts w:hAnsi="宋体"/>
          <w:sz w:val="24"/>
        </w:rPr>
      </w:pPr>
      <w:bookmarkStart w:id="8" w:name="_Toc29696"/>
      <w:bookmarkEnd w:id="8"/>
      <w:r>
        <w:rPr>
          <w:rFonts w:hint="eastAsia" w:hAnsi="宋体"/>
          <w:sz w:val="24"/>
        </w:rPr>
        <w:t>5.3招标文件每套售价300元/标段，投标人于开标结束后转账至支付宝账户：13569994558（转账时请备注项目编号、所属标段及公司名称）。</w:t>
      </w:r>
    </w:p>
    <w:p>
      <w:pPr>
        <w:adjustRightInd w:val="0"/>
        <w:snapToGrid w:val="0"/>
        <w:spacing w:line="360" w:lineRule="auto"/>
        <w:ind w:right="-105" w:rightChars="-50"/>
        <w:rPr>
          <w:rFonts w:hAnsi="宋体"/>
          <w:sz w:val="24"/>
        </w:rPr>
      </w:pPr>
      <w:r>
        <w:rPr>
          <w:rFonts w:hint="eastAsia" w:hAnsi="宋体"/>
          <w:b/>
          <w:bCs/>
          <w:sz w:val="24"/>
        </w:rPr>
        <w:t>六、投标文件的提交</w:t>
      </w:r>
    </w:p>
    <w:p>
      <w:pPr>
        <w:adjustRightInd w:val="0"/>
        <w:snapToGrid w:val="0"/>
        <w:spacing w:line="360" w:lineRule="auto"/>
        <w:ind w:firstLine="480" w:firstLineChars="200"/>
        <w:rPr>
          <w:rFonts w:hAnsi="宋体"/>
          <w:sz w:val="24"/>
        </w:rPr>
      </w:pPr>
      <w:bookmarkStart w:id="9" w:name="_Toc8114"/>
      <w:bookmarkEnd w:id="9"/>
      <w:r>
        <w:rPr>
          <w:rFonts w:hint="eastAsia" w:hAnsi="宋体"/>
          <w:sz w:val="24"/>
        </w:rPr>
        <w:t>6.1本项目为全流程电子化交易项目，投标人应按规定在投标截止时间（同开标时间）前通过《全国公共资源交易平台(河南省▪许昌市)》公共资源交易系统成功上传本项目加密电子投标文件。</w:t>
      </w:r>
    </w:p>
    <w:p>
      <w:pPr>
        <w:adjustRightInd w:val="0"/>
        <w:snapToGrid w:val="0"/>
        <w:spacing w:line="360" w:lineRule="auto"/>
        <w:ind w:firstLine="480" w:firstLineChars="200"/>
        <w:rPr>
          <w:rFonts w:hAnsi="宋体"/>
          <w:sz w:val="24"/>
        </w:rPr>
      </w:pPr>
      <w:r>
        <w:rPr>
          <w:rFonts w:hint="eastAsia" w:hAnsi="宋体"/>
          <w:sz w:val="24"/>
        </w:rPr>
        <w:t>6.2 投标截止时间及开标时间：2020年5月8日9时00分。</w:t>
      </w:r>
    </w:p>
    <w:p>
      <w:pPr>
        <w:adjustRightInd w:val="0"/>
        <w:snapToGrid w:val="0"/>
        <w:spacing w:line="360" w:lineRule="auto"/>
        <w:ind w:firstLine="480" w:firstLineChars="200"/>
        <w:rPr>
          <w:rFonts w:hAnsi="宋体"/>
          <w:sz w:val="24"/>
        </w:rPr>
      </w:pPr>
      <w:r>
        <w:rPr>
          <w:rFonts w:hint="eastAsia" w:hAnsi="宋体"/>
          <w:sz w:val="24"/>
        </w:rPr>
        <w:t>6.3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adjustRightInd w:val="0"/>
        <w:snapToGrid w:val="0"/>
        <w:spacing w:line="360" w:lineRule="auto"/>
        <w:ind w:firstLine="480" w:firstLineChars="200"/>
        <w:rPr>
          <w:rFonts w:hAnsi="宋体"/>
          <w:sz w:val="24"/>
        </w:rPr>
      </w:pPr>
      <w:r>
        <w:rPr>
          <w:rFonts w:hint="eastAsia" w:hAnsi="宋体"/>
          <w:sz w:val="24"/>
        </w:rPr>
        <w:t>6.4招标人(代理机构)在线开标地点：鄢陵县公共资源交易中心（S219（鄢陶路）与未来大道交叉口鄢陵创客园院内南楼四楼开标一室）。</w:t>
      </w:r>
    </w:p>
    <w:p>
      <w:pPr>
        <w:adjustRightInd w:val="0"/>
        <w:snapToGrid w:val="0"/>
        <w:spacing w:line="360" w:lineRule="auto"/>
        <w:ind w:firstLine="480" w:firstLineChars="200"/>
        <w:rPr>
          <w:rFonts w:hAnsi="宋体"/>
          <w:b/>
          <w:bCs/>
          <w:sz w:val="24"/>
        </w:rPr>
      </w:pPr>
      <w:bookmarkStart w:id="10" w:name="_Toc18533"/>
      <w:bookmarkEnd w:id="10"/>
      <w:r>
        <w:rPr>
          <w:rFonts w:hint="eastAsia" w:hAnsi="宋体"/>
          <w:sz w:val="24"/>
        </w:rPr>
        <w:t>6.5逾期送达（未成功上传）的或者未按规定解密的电子投标文件，招标人不予受理。</w:t>
      </w:r>
    </w:p>
    <w:p>
      <w:pPr>
        <w:adjustRightInd w:val="0"/>
        <w:snapToGrid w:val="0"/>
        <w:spacing w:line="360" w:lineRule="auto"/>
        <w:ind w:right="-105" w:rightChars="-50"/>
        <w:rPr>
          <w:rFonts w:hAnsi="宋体"/>
          <w:b/>
          <w:bCs/>
          <w:sz w:val="24"/>
        </w:rPr>
      </w:pPr>
      <w:r>
        <w:rPr>
          <w:rFonts w:hint="eastAsia" w:hAnsi="宋体"/>
          <w:b/>
          <w:bCs/>
          <w:sz w:val="24"/>
        </w:rPr>
        <w:t>七、发布公告的媒介</w:t>
      </w:r>
    </w:p>
    <w:p>
      <w:pPr>
        <w:adjustRightInd w:val="0"/>
        <w:snapToGrid w:val="0"/>
        <w:spacing w:line="360" w:lineRule="auto"/>
        <w:ind w:left="-105" w:leftChars="-50" w:right="-105" w:rightChars="-50" w:firstLine="480" w:firstLineChars="200"/>
        <w:rPr>
          <w:rFonts w:hAnsi="宋体"/>
          <w:sz w:val="24"/>
        </w:rPr>
      </w:pPr>
      <w:bookmarkStart w:id="11" w:name="_Toc14888"/>
      <w:bookmarkEnd w:id="11"/>
      <w:r>
        <w:rPr>
          <w:rFonts w:hint="eastAsia" w:hAnsi="宋体"/>
          <w:sz w:val="24"/>
        </w:rPr>
        <w:t>本公告同时在《全国公共资源交易平台(河南省</w:t>
      </w:r>
      <w:r>
        <w:rPr>
          <w:rFonts w:hint="eastAsia" w:ascii="MS Mincho" w:hAnsi="MS Mincho" w:eastAsia="MS Mincho" w:cs="MS Mincho"/>
          <w:sz w:val="24"/>
        </w:rPr>
        <w:t>▪</w:t>
      </w:r>
      <w:r>
        <w:rPr>
          <w:rFonts w:hint="eastAsia" w:hAnsi="宋体" w:cs="宋体"/>
          <w:sz w:val="24"/>
        </w:rPr>
        <w:t>许昌市</w:t>
      </w:r>
      <w:r>
        <w:rPr>
          <w:rFonts w:hint="eastAsia"/>
          <w:sz w:val="24"/>
        </w:rPr>
        <w:t>)</w:t>
      </w:r>
      <w:r>
        <w:rPr>
          <w:rFonts w:hint="eastAsia" w:hAnsi="宋体"/>
          <w:sz w:val="24"/>
        </w:rPr>
        <w:t>》、《河南省电子招标投标公共服务平台》上发布。</w:t>
      </w:r>
    </w:p>
    <w:p>
      <w:pPr>
        <w:adjustRightInd w:val="0"/>
        <w:snapToGrid w:val="0"/>
        <w:spacing w:line="360" w:lineRule="auto"/>
        <w:ind w:right="-105" w:rightChars="-50"/>
        <w:rPr>
          <w:rFonts w:hAnsi="宋体"/>
          <w:b/>
          <w:bCs/>
          <w:sz w:val="24"/>
        </w:rPr>
      </w:pPr>
      <w:r>
        <w:rPr>
          <w:rFonts w:hint="eastAsia" w:hAnsi="宋体"/>
          <w:b/>
          <w:bCs/>
          <w:sz w:val="24"/>
        </w:rPr>
        <w:t>八、联系方式</w:t>
      </w:r>
    </w:p>
    <w:p>
      <w:pPr>
        <w:adjustRightInd w:val="0"/>
        <w:snapToGrid w:val="0"/>
        <w:spacing w:line="360" w:lineRule="auto"/>
        <w:ind w:right="-105" w:rightChars="-50" w:firstLine="480" w:firstLineChars="200"/>
        <w:rPr>
          <w:rFonts w:hAnsi="宋体"/>
          <w:sz w:val="24"/>
        </w:rPr>
      </w:pPr>
      <w:r>
        <w:rPr>
          <w:rFonts w:hint="eastAsia" w:hAnsi="宋体"/>
          <w:sz w:val="24"/>
        </w:rPr>
        <w:t>招标人：鄢陵县实验小学</w:t>
      </w:r>
    </w:p>
    <w:p>
      <w:pPr>
        <w:adjustRightInd w:val="0"/>
        <w:snapToGrid w:val="0"/>
        <w:spacing w:line="360" w:lineRule="auto"/>
        <w:ind w:right="-105" w:rightChars="-50" w:firstLine="480" w:firstLineChars="200"/>
        <w:rPr>
          <w:rFonts w:hAnsi="宋体"/>
          <w:sz w:val="24"/>
        </w:rPr>
      </w:pPr>
      <w:r>
        <w:rPr>
          <w:rFonts w:hint="eastAsia" w:hAnsi="宋体"/>
          <w:sz w:val="24"/>
        </w:rPr>
        <w:t xml:space="preserve">联系人：刘先生 </w:t>
      </w:r>
    </w:p>
    <w:p>
      <w:pPr>
        <w:adjustRightInd w:val="0"/>
        <w:snapToGrid w:val="0"/>
        <w:spacing w:line="360" w:lineRule="auto"/>
        <w:ind w:right="-105" w:rightChars="-50" w:firstLine="480" w:firstLineChars="200"/>
        <w:rPr>
          <w:rFonts w:hAnsi="宋体"/>
          <w:sz w:val="24"/>
        </w:rPr>
      </w:pPr>
      <w:r>
        <w:rPr>
          <w:rFonts w:hint="eastAsia" w:hAnsi="宋体"/>
          <w:sz w:val="24"/>
        </w:rPr>
        <w:t xml:space="preserve">联系方式：15837455215 </w:t>
      </w:r>
    </w:p>
    <w:p>
      <w:pPr>
        <w:spacing w:line="360" w:lineRule="auto"/>
        <w:ind w:firstLine="360" w:firstLineChars="150"/>
        <w:rPr>
          <w:rFonts w:hAnsi="宋体"/>
          <w:color w:val="000000"/>
          <w:sz w:val="24"/>
        </w:rPr>
      </w:pPr>
      <w:r>
        <w:rPr>
          <w:rFonts w:hint="eastAsia" w:hAnsi="宋体"/>
          <w:color w:val="000000"/>
          <w:sz w:val="24"/>
        </w:rPr>
        <w:t>招标代理机构：山东龙信达咨询监理有限公司</w:t>
      </w:r>
    </w:p>
    <w:p>
      <w:pPr>
        <w:spacing w:line="360" w:lineRule="auto"/>
        <w:ind w:firstLine="360" w:firstLineChars="150"/>
        <w:rPr>
          <w:rFonts w:hAnsi="宋体"/>
          <w:color w:val="000000"/>
          <w:sz w:val="24"/>
        </w:rPr>
      </w:pPr>
      <w:r>
        <w:rPr>
          <w:rFonts w:hint="eastAsia" w:hAnsi="宋体"/>
          <w:color w:val="000000"/>
          <w:sz w:val="24"/>
        </w:rPr>
        <w:t>联系人：  滑先生          宋女士</w:t>
      </w:r>
    </w:p>
    <w:p>
      <w:pPr>
        <w:spacing w:line="360" w:lineRule="auto"/>
        <w:ind w:firstLine="480" w:firstLineChars="200"/>
        <w:rPr>
          <w:rFonts w:hAnsi="宋体"/>
          <w:color w:val="000000"/>
          <w:sz w:val="24"/>
        </w:rPr>
      </w:pPr>
      <w:r>
        <w:rPr>
          <w:rFonts w:hint="eastAsia" w:hAnsi="宋体"/>
          <w:color w:val="000000"/>
          <w:sz w:val="24"/>
        </w:rPr>
        <w:t>联系电话：0371-56658825   18137492626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0"/>
        <w:jc w:val="left"/>
        <w:rPr>
          <w:b w:val="0"/>
          <w:i w:val="0"/>
        </w:rPr>
      </w:pPr>
      <w:r>
        <w:rPr>
          <w:rFonts w:hint="eastAsia" w:ascii="宋体" w:hAnsi="宋体" w:eastAsia="宋体" w:cs="宋体"/>
          <w:b/>
          <w:i w:val="0"/>
          <w:color w:val="000000"/>
          <w:kern w:val="0"/>
          <w:sz w:val="28"/>
          <w:szCs w:val="28"/>
          <w:u w:val="none"/>
          <w:bdr w:val="none" w:color="auto" w:sz="0" w:space="0"/>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right="0" w:firstLine="562" w:firstLineChars="200"/>
        <w:jc w:val="left"/>
        <w:rPr>
          <w:b w:val="0"/>
          <w:i w:val="0"/>
        </w:rPr>
      </w:pPr>
      <w:r>
        <w:rPr>
          <w:rFonts w:hint="eastAsia" w:ascii="宋体" w:hAnsi="宋体" w:eastAsia="宋体" w:cs="宋体"/>
          <w:b/>
          <w:i w:val="0"/>
          <w:color w:val="000000"/>
          <w:kern w:val="0"/>
          <w:sz w:val="28"/>
          <w:szCs w:val="28"/>
          <w:u w:val="none"/>
          <w:bdr w:val="none" w:color="auto" w:sz="0" w:space="0"/>
          <w:shd w:val="clear" w:fill="FFFFFF"/>
          <w:lang w:val="en-US" w:eastAsia="zh-CN" w:bidi="ar"/>
        </w:rPr>
        <w:t>本项目为全流程电子化交易项目，请认真阅读招标文件，并注意以下事项。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1.投标人应按招标文件规定编制、提交、解密电子投标文件。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2.电子文件下载、制作、提交期间和远程不见面开标（电子投标文件的解密）环节，投标人须使用同一个CA数字证书（证书须在有效期内并可正常使用）。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宋体" w:hAnsi="宋体" w:eastAsia="宋体" w:cs="宋体"/>
          <w:b/>
          <w:i w:val="0"/>
          <w:color w:val="000000"/>
          <w:kern w:val="0"/>
          <w:sz w:val="24"/>
          <w:szCs w:val="24"/>
          <w:u w:val="none"/>
          <w:bdr w:val="none" w:color="auto" w:sz="0" w:space="0"/>
          <w:shd w:val="clear" w:fill="FFFFFF"/>
          <w:lang w:val="en-US" w:eastAsia="zh-CN" w:bidi="ar"/>
        </w:rPr>
        <w:t>3.电子投标文件的制作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3.1 投标人登录《全国公共资源交易平台(河南省</w:t>
      </w:r>
      <w:r>
        <w:rPr>
          <w:rFonts w:ascii="MS Mincho" w:hAnsi="MS Mincho" w:eastAsia="MS Mincho" w:cs="MS Mincho"/>
          <w:b w:val="0"/>
          <w:i w:val="0"/>
          <w:color w:val="000000"/>
          <w:kern w:val="0"/>
          <w:sz w:val="24"/>
          <w:szCs w:val="24"/>
          <w:u w:val="none"/>
          <w:bdr w:val="none" w:color="auto" w:sz="0" w:space="0"/>
          <w:shd w:val="clear" w:fill="FFFFFF"/>
          <w:lang w:val="en-US" w:eastAsia="zh-CN" w:bidi="ar"/>
        </w:rPr>
        <w:t>▪</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许昌市)》公共资源交易系统（</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olor w:val="000000"/>
          <w:kern w:val="0"/>
          <w:sz w:val="24"/>
          <w:szCs w:val="24"/>
          <w:u w:val="none"/>
          <w:bdr w:val="none" w:color="auto" w:sz="0" w:space="0"/>
          <w:shd w:val="clear" w:fill="FFFFFF"/>
          <w:lang w:val="en-US" w:eastAsia="zh-CN" w:bidi="ar"/>
        </w:rPr>
        <w:instrText xml:space="preserve"> HYPERLINK "http://221.14.6.70:8088/ggzy/" </w:instrTex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separate"/>
      </w:r>
      <w:r>
        <w:rPr>
          <w:rStyle w:val="22"/>
          <w:rFonts w:hint="eastAsia" w:ascii="宋体" w:hAnsi="宋体" w:eastAsia="宋体" w:cs="宋体"/>
          <w:b w:val="0"/>
          <w:i w:val="0"/>
          <w:color w:val="auto"/>
          <w:sz w:val="24"/>
          <w:szCs w:val="24"/>
          <w:u w:val="none"/>
          <w:bdr w:val="none" w:color="auto" w:sz="0" w:space="0"/>
          <w:shd w:val="clear" w:fill="FFFFFF"/>
          <w:lang w:val="en-US"/>
        </w:rPr>
        <w:t>http://221.14.6.70:8088/ggzy/</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olor w:val="000000"/>
          <w:kern w:val="0"/>
          <w:sz w:val="24"/>
          <w:szCs w:val="24"/>
          <w:u w:val="none"/>
          <w:bdr w:val="none" w:color="auto" w:sz="0" w:space="0"/>
          <w:shd w:val="clear" w:fill="FFFFFF"/>
          <w:lang w:val="en-US" w:eastAsia="zh-CN" w:bidi="ar"/>
        </w:rPr>
        <w:t>）下载“许昌投标文件制作系统SEARUN 最新版本”，按招标文件要求制作电子投标文件。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电子投标文件的制作，参考《全国公共资源交易平台(河南省</w:t>
      </w:r>
      <w:r>
        <w:rPr>
          <w:rFonts w:hint="eastAsia" w:ascii="MS Mincho" w:hAnsi="MS Mincho" w:eastAsia="MS Mincho" w:cs="MS Mincho"/>
          <w:b w:val="0"/>
          <w:i w:val="0"/>
          <w:color w:val="000000"/>
          <w:kern w:val="0"/>
          <w:sz w:val="24"/>
          <w:szCs w:val="24"/>
          <w:u w:val="none"/>
          <w:bdr w:val="none" w:color="auto" w:sz="0" w:space="0"/>
          <w:shd w:val="clear" w:fill="FFFFFF"/>
          <w:lang w:val="en-US" w:eastAsia="zh-CN" w:bidi="ar"/>
        </w:rPr>
        <w:t>▪</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许昌市)》公共资源交易系统——组件下载——交易系统操作手册（投标人、供应商）。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3.2 投标人须将招标文件要求的资质、业绩、荣誉及相关人员证明材料等资料原件扫描件（或图片）制作到所提交的电子投标文件中。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3.3投标人对同一项目多个标段进行投标的，应分别下载所投标段的招标文件，按标段制作电子投标文件，并按招标文件要求在相应位置加盖投标人电子印章和法人电子印章。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一个标段对应生成一个文件夹（xxxx项目xx标段）,其中后缀名为“.file”的文件用于电子投标使用。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2"/>
        <w:jc w:val="left"/>
        <w:rPr>
          <w:b w:val="0"/>
          <w:i w:val="0"/>
        </w:rPr>
      </w:pPr>
      <w:r>
        <w:rPr>
          <w:rFonts w:hint="eastAsia" w:ascii="宋体" w:hAnsi="宋体" w:eastAsia="宋体" w:cs="宋体"/>
          <w:b/>
          <w:i w:val="0"/>
          <w:color w:val="000000"/>
          <w:kern w:val="0"/>
          <w:sz w:val="24"/>
          <w:szCs w:val="24"/>
          <w:u w:val="none"/>
          <w:bdr w:val="none" w:color="auto" w:sz="0" w:space="0"/>
          <w:shd w:val="clear" w:fill="FFFFFF"/>
          <w:lang w:val="en-US" w:eastAsia="zh-CN" w:bidi="ar"/>
        </w:rPr>
        <w:t>4.投标保证金的提交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4.1使用银行转帐方式提交的，投标人通过基本账户将款项一次足额递交、成功绑定，以收款人到账时间为准。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4.1.1投标人网上下载招标文件并根据每个标段的缴纳说明单在开标截止时间前提交。每个投标人每个项目每个标段只有唯一缴纳账号，切勿重复缴纳或错误缴纳。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4.1.2提交后再次登录</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olor w:val="000000"/>
          <w:kern w:val="0"/>
          <w:sz w:val="24"/>
          <w:szCs w:val="24"/>
          <w:u w:val="none"/>
          <w:bdr w:val="none" w:color="auto" w:sz="0" w:space="0"/>
          <w:shd w:val="clear" w:fill="FFFFFF"/>
          <w:lang w:val="en-US" w:eastAsia="zh-CN" w:bidi="ar"/>
        </w:rPr>
        <w:instrText xml:space="preserve"> HYPERLINK "http://221.14.6.70:8088/ggzy" </w:instrTex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separate"/>
      </w:r>
      <w:r>
        <w:rPr>
          <w:rStyle w:val="22"/>
          <w:rFonts w:hint="eastAsia" w:ascii="宋体" w:hAnsi="宋体" w:eastAsia="宋体" w:cs="宋体"/>
          <w:b w:val="0"/>
          <w:i w:val="0"/>
          <w:color w:val="auto"/>
          <w:sz w:val="24"/>
          <w:szCs w:val="24"/>
          <w:u w:val="none"/>
          <w:bdr w:val="none" w:color="auto" w:sz="0" w:space="0"/>
          <w:shd w:val="clear" w:fill="FFFFFF"/>
          <w:lang w:val="en-US"/>
        </w:rPr>
        <w:t>http://221.14.6.70:8088/ggzy</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olor w:val="000000"/>
          <w:kern w:val="0"/>
          <w:sz w:val="24"/>
          <w:szCs w:val="24"/>
          <w:u w:val="none"/>
          <w:bdr w:val="none" w:color="auto" w:sz="0" w:space="0"/>
          <w:shd w:val="clear" w:fill="FFFFFF"/>
          <w:lang w:val="en-US" w:eastAsia="zh-CN" w:bidi="ar"/>
        </w:rPr>
        <w:t>系统，依次点击“会员向导”→“参与投标”→“保证金绑定”→“绑定”进行投标保证金绑定，前述系统显示“许昌公共资源交易中心保证金缴纳回执”表示投标保证金提交完成。未绑定标段的投标保证金，视为未按规定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4.1.3投标人按照所投项目及标段将缴纳凭证“许昌公共资源交易中心保证金缴纳回执”附于投标文件中。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40" w:lineRule="atLeast"/>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宋体" w:hAnsi="宋体" w:eastAsia="宋体" w:cs="宋体"/>
          <w:b/>
          <w:i w:val="0"/>
          <w:color w:val="000000"/>
          <w:kern w:val="0"/>
          <w:sz w:val="24"/>
          <w:szCs w:val="24"/>
          <w:u w:val="none"/>
          <w:bdr w:val="none" w:color="auto" w:sz="0" w:space="0"/>
          <w:shd w:val="clear" w:fill="FFFFFF"/>
          <w:lang w:val="en-US" w:eastAsia="zh-CN" w:bidi="ar"/>
        </w:rPr>
        <w:t>5.加密电子投标文件的提交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5.1加密电子投标文件应按规定在投标截止时间（开标时间）之前成功提交至《全国公共资源交易平台(河南省</w:t>
      </w:r>
      <w:r>
        <w:rPr>
          <w:rFonts w:hint="eastAsia" w:ascii="MS Mincho" w:hAnsi="MS Mincho" w:eastAsia="MS Mincho" w:cs="MS Mincho"/>
          <w:b w:val="0"/>
          <w:i w:val="0"/>
          <w:color w:val="000000"/>
          <w:kern w:val="0"/>
          <w:sz w:val="24"/>
          <w:szCs w:val="24"/>
          <w:u w:val="none"/>
          <w:bdr w:val="none" w:color="auto" w:sz="0" w:space="0"/>
          <w:shd w:val="clear" w:fill="FFFFFF"/>
          <w:lang w:val="en-US" w:eastAsia="zh-CN" w:bidi="ar"/>
        </w:rPr>
        <w:t>▪</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许昌市)》公共资源交易系统（</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olor w:val="000000"/>
          <w:kern w:val="0"/>
          <w:sz w:val="24"/>
          <w:szCs w:val="24"/>
          <w:u w:val="none"/>
          <w:bdr w:val="none" w:color="auto" w:sz="0" w:space="0"/>
          <w:shd w:val="clear" w:fill="FFFFFF"/>
          <w:lang w:val="en-US" w:eastAsia="zh-CN" w:bidi="ar"/>
        </w:rPr>
        <w:instrText xml:space="preserve"> HYPERLINK "http://221.14.6.70:8088/ggzy/" </w:instrTex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separate"/>
      </w:r>
      <w:r>
        <w:rPr>
          <w:rStyle w:val="22"/>
          <w:rFonts w:hint="eastAsia" w:ascii="宋体" w:hAnsi="宋体" w:eastAsia="宋体" w:cs="宋体"/>
          <w:b w:val="0"/>
          <w:i w:val="0"/>
          <w:color w:val="auto"/>
          <w:sz w:val="24"/>
          <w:szCs w:val="24"/>
          <w:u w:val="none"/>
          <w:bdr w:val="none" w:color="auto" w:sz="0" w:space="0"/>
          <w:shd w:val="clear" w:fill="FFFFFF"/>
          <w:lang w:val="en-US"/>
        </w:rPr>
        <w:t>http://221.14.6.70:8088/ggzy/</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olor w:val="000000"/>
          <w:kern w:val="0"/>
          <w:sz w:val="24"/>
          <w:szCs w:val="24"/>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投标人应充分考虑并预留技术处理和上传数据所需时间。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5.2 投标人对同一项目多个标段进行投标的，加密电子投标文件应按标段分别提交。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5.3 加密电子投标文件成功提交后，《全国公共资源交易平台(河南省</w:t>
      </w:r>
      <w:r>
        <w:rPr>
          <w:rFonts w:hint="eastAsia" w:ascii="MS Mincho" w:hAnsi="MS Mincho" w:eastAsia="MS Mincho" w:cs="MS Mincho"/>
          <w:b w:val="0"/>
          <w:i w:val="0"/>
          <w:color w:val="000000"/>
          <w:kern w:val="0"/>
          <w:sz w:val="24"/>
          <w:szCs w:val="24"/>
          <w:u w:val="none"/>
          <w:bdr w:val="none" w:color="auto" w:sz="0" w:space="0"/>
          <w:shd w:val="clear" w:fill="FFFFFF"/>
          <w:lang w:val="en-US" w:eastAsia="zh-CN" w:bidi="ar"/>
        </w:rPr>
        <w:t>▪</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t>许昌市)》公共资源交易系统（</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olor w:val="000000"/>
          <w:kern w:val="0"/>
          <w:sz w:val="24"/>
          <w:szCs w:val="24"/>
          <w:u w:val="none"/>
          <w:bdr w:val="none" w:color="auto" w:sz="0" w:space="0"/>
          <w:shd w:val="clear" w:fill="FFFFFF"/>
          <w:lang w:val="en-US" w:eastAsia="zh-CN" w:bidi="ar"/>
        </w:rPr>
        <w:instrText xml:space="preserve"> HYPERLINK "http://221.14.6.70:8088/ggzy/" </w:instrTex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separate"/>
      </w:r>
      <w:r>
        <w:rPr>
          <w:rStyle w:val="22"/>
          <w:rFonts w:hint="eastAsia" w:ascii="宋体" w:hAnsi="宋体" w:eastAsia="宋体" w:cs="宋体"/>
          <w:b w:val="0"/>
          <w:i w:val="0"/>
          <w:color w:val="auto"/>
          <w:sz w:val="24"/>
          <w:szCs w:val="24"/>
          <w:u w:val="none"/>
          <w:bdr w:val="none" w:color="auto" w:sz="0" w:space="0"/>
          <w:shd w:val="clear" w:fill="FFFFFF"/>
          <w:lang w:val="en-US"/>
        </w:rPr>
        <w:t>http://221.14.6.70:8088/ggzy/</w:t>
      </w:r>
      <w:r>
        <w:rPr>
          <w:rFonts w:hint="eastAsia" w:ascii="宋体" w:hAnsi="宋体" w:eastAsia="宋体" w:cs="宋体"/>
          <w:b w:val="0"/>
          <w:i w:val="0"/>
          <w:color w:val="00000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olor w:val="000000"/>
          <w:kern w:val="0"/>
          <w:sz w:val="24"/>
          <w:szCs w:val="24"/>
          <w:u w:val="none"/>
          <w:bdr w:val="none" w:color="auto" w:sz="0" w:space="0"/>
          <w:shd w:val="clear" w:fill="FFFFFF"/>
          <w:lang w:val="en-US" w:eastAsia="zh-CN" w:bidi="ar"/>
        </w:rPr>
        <w:t>）生成“投标文件提交回执单”。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宋体" w:hAnsi="宋体" w:eastAsia="宋体" w:cs="宋体"/>
          <w:b/>
          <w:i w:val="0"/>
          <w:color w:val="000000"/>
          <w:kern w:val="0"/>
          <w:sz w:val="24"/>
          <w:szCs w:val="24"/>
          <w:u w:val="none"/>
          <w:bdr w:val="none" w:color="auto" w:sz="0" w:space="0"/>
          <w:shd w:val="clear" w:fill="FFFFFF"/>
          <w:lang w:val="en-US" w:eastAsia="zh-CN" w:bidi="ar"/>
        </w:rPr>
        <w:t>6.远程不见面开标（电子投标文件的解密）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6.1 投标人应熟悉《许昌市不见面开标操作手册》，并提前设置不见面开标浏览器（设置流程详见《许昌市不见面开标操作手册》）。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6.2 《许昌市不见面开标操作手册》下载路径：全国公共资源交易平台（河南省·许昌市）—“资料下载”栏目。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6.3开标时间前投标人应登录本项目不见面开标大厅，按照招标文件确定的开标时间准时参加网上开标。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6.4投标人对开标过程和开标记录如有疑义，可在本项目不见面开标大厅“文字互动”对话框或“新增质疑”处在线提出询问。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6.6项目远程不见面开标活动结束时，投标人应在《开标记录表》上进行电子签章。投标人未签章的，视同认可开标结果。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b w:val="0"/>
          <w:i w:val="0"/>
        </w:rPr>
      </w:pPr>
      <w:r>
        <w:rPr>
          <w:rFonts w:hint="eastAsia" w:ascii="宋体" w:hAnsi="宋体" w:eastAsia="宋体" w:cs="宋体"/>
          <w:b/>
          <w:i w:val="0"/>
          <w:color w:val="000000"/>
          <w:kern w:val="0"/>
          <w:sz w:val="24"/>
          <w:szCs w:val="24"/>
          <w:u w:val="none"/>
          <w:bdr w:val="none" w:color="auto" w:sz="0" w:space="0"/>
          <w:shd w:val="clear" w:fill="FFFFFF"/>
          <w:lang w:val="en-US" w:eastAsia="zh-CN" w:bidi="ar"/>
        </w:rPr>
        <w:t>7.评标依据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7.1全流程电子化交易（远程不见面开标）项目，评标委员会以成功上传、解密的电子投标文件为依据评审。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7.2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3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shd w:val="clear" w:fill="FFFFFF"/>
          <w:lang w:val="en-US" w:eastAsia="zh-CN" w:bidi="ar"/>
        </w:rPr>
        <w:t> </w:t>
      </w:r>
    </w:p>
    <w:p>
      <w:pPr>
        <w:pStyle w:val="2"/>
        <w:ind w:firstLine="210"/>
      </w:pPr>
    </w:p>
    <w:p>
      <w:pPr>
        <w:pStyle w:val="14"/>
        <w:widowControl/>
        <w:shd w:val="clear" w:color="060000" w:fill="FFFFFF"/>
        <w:spacing w:before="0" w:beforeAutospacing="0" w:after="0" w:afterAutospacing="0" w:line="288" w:lineRule="auto"/>
        <w:jc w:val="both"/>
        <w:rPr>
          <w:rFonts w:ascii="宋体" w:hAnsi="宋体" w:cs="宋体"/>
          <w:b/>
          <w:bCs/>
          <w:sz w:val="36"/>
          <w:szCs w:val="36"/>
        </w:rPr>
      </w:pPr>
      <w:bookmarkStart w:id="125" w:name="_GoBack"/>
      <w:bookmarkEnd w:id="125"/>
    </w:p>
    <w:p>
      <w:pPr>
        <w:pStyle w:val="14"/>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第二章 投标人须知</w:t>
      </w:r>
      <w:bookmarkEnd w:id="0"/>
      <w:bookmarkEnd w:id="1"/>
      <w:bookmarkEnd w:id="2"/>
      <w:bookmarkEnd w:id="3"/>
      <w:bookmarkStart w:id="12" w:name="_Toc1802"/>
    </w:p>
    <w:p>
      <w:pPr>
        <w:pStyle w:val="14"/>
        <w:widowControl/>
        <w:shd w:val="clear" w:color="060000" w:fill="FFFFFF"/>
        <w:spacing w:before="0" w:beforeAutospacing="0" w:after="0" w:afterAutospacing="0" w:line="288" w:lineRule="auto"/>
        <w:jc w:val="center"/>
        <w:rPr>
          <w:rFonts w:ascii="宋体" w:hAnsi="宋体" w:cs="宋体"/>
          <w:b/>
          <w:sz w:val="28"/>
          <w:szCs w:val="21"/>
        </w:rPr>
      </w:pPr>
      <w:bookmarkStart w:id="13" w:name="_Toc21334"/>
      <w:r>
        <w:rPr>
          <w:rFonts w:hint="eastAsia" w:ascii="宋体" w:hAnsi="宋体" w:cs="宋体"/>
          <w:b/>
          <w:sz w:val="28"/>
          <w:szCs w:val="21"/>
        </w:rPr>
        <w:t>投标人须知前附表</w:t>
      </w:r>
      <w:bookmarkEnd w:id="12"/>
      <w:bookmarkEnd w:id="13"/>
    </w:p>
    <w:tbl>
      <w:tblPr>
        <w:tblStyle w:val="16"/>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4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  款  名  称</w:t>
            </w:r>
          </w:p>
        </w:tc>
        <w:tc>
          <w:tcPr>
            <w:tcW w:w="6695"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49"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695" w:type="dxa"/>
            <w:vAlign w:val="center"/>
          </w:tcPr>
          <w:p>
            <w:pPr>
              <w:spacing w:line="276" w:lineRule="auto"/>
              <w:rPr>
                <w:rFonts w:hAnsi="宋体" w:cs="宋体"/>
                <w:bCs/>
                <w:sz w:val="24"/>
              </w:rPr>
            </w:pPr>
            <w:r>
              <w:rPr>
                <w:rFonts w:hint="eastAsia" w:hAnsi="宋体" w:cs="宋体"/>
                <w:bCs/>
                <w:sz w:val="24"/>
              </w:rPr>
              <w:t>招标人：鄢陵县实验小学</w:t>
            </w:r>
          </w:p>
          <w:p>
            <w:pPr>
              <w:spacing w:line="276" w:lineRule="auto"/>
              <w:rPr>
                <w:rFonts w:hAnsi="宋体" w:cs="宋体"/>
                <w:bCs/>
                <w:sz w:val="24"/>
              </w:rPr>
            </w:pPr>
            <w:r>
              <w:rPr>
                <w:rFonts w:hint="eastAsia" w:hAnsi="宋体" w:cs="宋体"/>
                <w:bCs/>
                <w:sz w:val="24"/>
              </w:rPr>
              <w:t xml:space="preserve">联系人： 刘先生 </w:t>
            </w:r>
          </w:p>
          <w:p>
            <w:pPr>
              <w:pStyle w:val="14"/>
              <w:widowControl/>
              <w:shd w:val="clear" w:color="060000" w:fill="FFFFFF"/>
              <w:spacing w:before="0" w:beforeAutospacing="0" w:after="0" w:afterAutospacing="0" w:line="288" w:lineRule="auto"/>
              <w:rPr>
                <w:rFonts w:cs="宋体" w:asciiTheme="minorEastAsia" w:hAnsiTheme="minorEastAsia" w:eastAsiaTheme="minorEastAsia"/>
                <w:szCs w:val="24"/>
              </w:rPr>
            </w:pPr>
            <w:r>
              <w:rPr>
                <w:rFonts w:hint="eastAsia" w:hAnsi="宋体" w:cs="宋体"/>
                <w:bCs/>
                <w:szCs w:val="24"/>
              </w:rPr>
              <w:t xml:space="preserve">联系方式：15837455215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49"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695" w:type="dxa"/>
            <w:vAlign w:val="center"/>
          </w:tcPr>
          <w:p>
            <w:pPr>
              <w:spacing w:line="276" w:lineRule="auto"/>
              <w:rPr>
                <w:rFonts w:hAnsi="宋体" w:cs="宋体"/>
                <w:sz w:val="24"/>
              </w:rPr>
            </w:pPr>
            <w:r>
              <w:rPr>
                <w:rFonts w:hint="eastAsia" w:hAnsi="宋体" w:cs="宋体"/>
                <w:sz w:val="24"/>
              </w:rPr>
              <w:t>招标代理机构：山东龙信达咨询监理有限公司</w:t>
            </w:r>
          </w:p>
          <w:p>
            <w:pPr>
              <w:spacing w:line="276" w:lineRule="auto"/>
              <w:rPr>
                <w:rFonts w:hAnsi="宋体" w:cs="宋体"/>
                <w:sz w:val="24"/>
              </w:rPr>
            </w:pPr>
            <w:r>
              <w:rPr>
                <w:rFonts w:hint="eastAsia" w:hAnsi="宋体" w:cs="宋体"/>
                <w:sz w:val="24"/>
              </w:rPr>
              <w:t>联系人：  滑先生          宋女士</w:t>
            </w:r>
          </w:p>
          <w:p>
            <w:pPr>
              <w:autoSpaceDE w:val="0"/>
              <w:autoSpaceDN w:val="0"/>
              <w:adjustRightInd w:val="0"/>
              <w:rPr>
                <w:rFonts w:cs="宋体" w:asciiTheme="minorEastAsia" w:hAnsiTheme="minorEastAsia" w:eastAsiaTheme="minorEastAsia"/>
                <w:kern w:val="0"/>
                <w:sz w:val="24"/>
                <w:lang w:val="zh-CN"/>
              </w:rPr>
            </w:pPr>
            <w:r>
              <w:rPr>
                <w:rFonts w:hint="eastAsia" w:hAnsi="宋体" w:cs="宋体"/>
                <w:sz w:val="24"/>
              </w:rPr>
              <w:t>联系电话：0371-56658825   18137492626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249"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695" w:type="dxa"/>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鄢陵县实验小学维修改造工程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695" w:type="dxa"/>
            <w:vAlign w:val="center"/>
          </w:tcPr>
          <w:p>
            <w:pPr>
              <w:autoSpaceDE w:val="0"/>
              <w:autoSpaceDN w:val="0"/>
              <w:adjustRightInd w:val="0"/>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鄢陵县实验小学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695" w:type="dxa"/>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695" w:type="dxa"/>
            <w:vAlign w:val="center"/>
          </w:tcPr>
          <w:p>
            <w:pPr>
              <w:rPr>
                <w:rFonts w:cs="宋体" w:asciiTheme="minorEastAsia" w:hAnsiTheme="minorEastAsia" w:eastAsiaTheme="minorEastAsia"/>
                <w:kern w:val="0"/>
                <w:sz w:val="24"/>
              </w:rPr>
            </w:pPr>
            <w:r>
              <w:rPr>
                <w:rFonts w:hint="eastAsia" w:asciiTheme="minorEastAsia" w:hAnsiTheme="minorEastAsia" w:eastAsiaTheme="minorEastAsia"/>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1. 2</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15</w:t>
            </w:r>
            <w:r>
              <w:rPr>
                <w:rFonts w:hint="eastAsia" w:cs="宋体" w:asciiTheme="minorEastAsia" w:hAnsiTheme="minorEastAsia" w:eastAsiaTheme="minorEastAsia"/>
                <w:kern w:val="0"/>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695" w:type="dxa"/>
            <w:vAlign w:val="center"/>
          </w:tcPr>
          <w:p>
            <w:pPr>
              <w:snapToGrid w:val="0"/>
              <w:spacing w:line="276" w:lineRule="auto"/>
              <w:ind w:left="105" w:leftChars="50" w:right="105" w:rightChars="50"/>
              <w:rPr>
                <w:rFonts w:hAnsi="宋体" w:cs="宋体"/>
                <w:sz w:val="24"/>
              </w:rPr>
            </w:pPr>
            <w:r>
              <w:rPr>
                <w:rFonts w:hint="eastAsia" w:hAnsi="宋体" w:cs="宋体"/>
                <w:sz w:val="24"/>
              </w:rPr>
              <w:t>1、投标人须具备独立法人资格，具有建设行政主管部门颁发的建筑工程施工总承包叁级及以上资质，具有有效的安全生产许可证。拟派项目经理须具有建筑工程专业二级及以上注册建造师执业资格证（不含临时）和项目经理安全生产考核合格证，且未承担其他建设工程的项目经理。</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r>
              <w:rPr>
                <w:rFonts w:cs="宋体" w:asciiTheme="minorEastAsia" w:hAnsiTheme="minorEastAsia" w:eastAsiaTheme="minorEastAsia"/>
                <w:kern w:val="0"/>
                <w:sz w:val="24"/>
                <w:lang w:val="zh-CN"/>
              </w:rPr>
              <w:t>未被列入“信用中国”网站(</w:t>
            </w:r>
            <w:r>
              <w:fldChar w:fldCharType="begin"/>
            </w:r>
            <w:r>
              <w:instrText xml:space="preserve"> HYPERLINK "http://www.creditchina.gov.cn/" </w:instrText>
            </w:r>
            <w:r>
              <w:fldChar w:fldCharType="separate"/>
            </w:r>
            <w:r>
              <w:rPr>
                <w:kern w:val="0"/>
                <w:sz w:val="24"/>
                <w:lang w:val="zh-CN"/>
              </w:rPr>
              <w:t>www.creditchina.gov.cn</w:t>
            </w:r>
            <w:r>
              <w:rPr>
                <w:kern w:val="0"/>
                <w:sz w:val="24"/>
                <w:lang w:val="zh-CN"/>
              </w:rPr>
              <w:fldChar w:fldCharType="end"/>
            </w:r>
            <w:r>
              <w:rPr>
                <w:rFonts w:cs="宋体" w:asciiTheme="minorEastAsia" w:hAnsiTheme="minorEastAsia" w:eastAsiaTheme="minorEastAsia"/>
                <w:kern w:val="0"/>
                <w:sz w:val="24"/>
                <w:lang w:val="zh-CN"/>
              </w:rPr>
              <w:t>)失信被执行人名单及未被列入“国家企业信用公示系统”网站（</w:t>
            </w:r>
            <w:r>
              <w:fldChar w:fldCharType="begin"/>
            </w:r>
            <w:r>
              <w:instrText xml:space="preserve"> HYPERLINK "http://www.gsxt.gov.cn/" </w:instrText>
            </w:r>
            <w:r>
              <w:fldChar w:fldCharType="separate"/>
            </w:r>
            <w:r>
              <w:rPr>
                <w:kern w:val="0"/>
                <w:sz w:val="24"/>
                <w:lang w:val="zh-CN"/>
              </w:rPr>
              <w:t>www.gsxt.gov.cn</w:t>
            </w:r>
            <w:r>
              <w:rPr>
                <w:kern w:val="0"/>
                <w:sz w:val="24"/>
                <w:lang w:val="zh-CN"/>
              </w:rPr>
              <w:fldChar w:fldCharType="end"/>
            </w:r>
            <w:r>
              <w:rPr>
                <w:rFonts w:cs="宋体" w:asciiTheme="minorEastAsia" w:hAnsiTheme="minorEastAsia" w:eastAsiaTheme="minorEastAsia"/>
                <w:kern w:val="0"/>
                <w:sz w:val="24"/>
                <w:lang w:val="zh-CN"/>
              </w:rPr>
              <w:t>）</w:t>
            </w:r>
            <w:r>
              <w:rPr>
                <w:rFonts w:hint="eastAsia" w:asciiTheme="minorEastAsia" w:hAnsiTheme="minorEastAsia" w:eastAsiaTheme="minorEastAsia"/>
                <w:sz w:val="24"/>
              </w:rPr>
              <w:t>经营异常名录或严重失信黑名单</w:t>
            </w:r>
            <w:r>
              <w:rPr>
                <w:rFonts w:cs="宋体" w:asciiTheme="minorEastAsia" w:hAnsiTheme="minorEastAsia" w:eastAsiaTheme="minorEastAsia"/>
                <w:kern w:val="0"/>
                <w:sz w:val="24"/>
                <w:lang w:val="zh-CN"/>
              </w:rPr>
              <w:t>。</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3、本次招标不接受联合体投标。</w:t>
            </w:r>
          </w:p>
          <w:p>
            <w:pPr>
              <w:autoSpaceDE w:val="0"/>
              <w:autoSpaceDN w:val="0"/>
              <w:adjustRightInd w:val="0"/>
              <w:rPr>
                <w:rFonts w:cs="宋体" w:asciiTheme="minorEastAsia" w:hAnsiTheme="minorEastAsia" w:eastAsiaTheme="minorEastAsia"/>
                <w:kern w:val="0"/>
                <w:sz w:val="24"/>
                <w:szCs w:val="20"/>
              </w:rPr>
            </w:pPr>
            <w:r>
              <w:rPr>
                <w:rFonts w:hint="eastAsia" w:cs="宋体" w:asciiTheme="minorEastAsia" w:hAnsiTheme="minorEastAsia" w:eastAsiaTheme="minorEastAsia"/>
                <w:kern w:val="0"/>
                <w:sz w:val="24"/>
                <w:lang w:val="zh-CN"/>
              </w:rPr>
              <w:t>4、资格审查：本次招标实行资格后</w:t>
            </w:r>
            <w:r>
              <w:rPr>
                <w:rFonts w:hint="eastAsia" w:cs="宋体" w:asciiTheme="minorEastAsia" w:hAnsiTheme="minorEastAsia" w:eastAsiaTheme="minorEastAsia"/>
                <w:kern w:val="0"/>
                <w:sz w:val="24"/>
                <w:szCs w:val="20"/>
              </w:rPr>
              <w:t>审。</w:t>
            </w:r>
          </w:p>
          <w:p>
            <w:pPr>
              <w:spacing w:line="360" w:lineRule="auto"/>
              <w:rPr>
                <w:rFonts w:hAnsi="宋体" w:cs="宋体"/>
                <w:b/>
                <w:color w:val="000000"/>
                <w:szCs w:val="21"/>
              </w:rPr>
            </w:pPr>
            <w:r>
              <w:rPr>
                <w:rFonts w:hint="eastAsia" w:hAnsi="宋体" w:cs="宋体"/>
                <w:b/>
                <w:color w:val="000000"/>
                <w:szCs w:val="21"/>
              </w:rPr>
              <w:t>备注：</w:t>
            </w:r>
          </w:p>
          <w:p>
            <w:pPr>
              <w:spacing w:line="360" w:lineRule="auto"/>
              <w:ind w:firstLine="422" w:firstLineChars="200"/>
              <w:rPr>
                <w:rFonts w:cs="宋体" w:asciiTheme="minorEastAsia" w:hAnsiTheme="minorEastAsia" w:eastAsiaTheme="minorEastAsia"/>
              </w:rPr>
            </w:pPr>
            <w:r>
              <w:rPr>
                <w:rFonts w:hint="eastAsia" w:hAnsi="宋体" w:cs="宋体"/>
                <w:b/>
                <w:color w:val="000000"/>
                <w:szCs w:val="21"/>
              </w:rPr>
              <w:t>招标项目开标结束后、评标开始前，招标人（或招标代理机构）对投标人信用记录进行现场查询，并将查询结果随项目开标资料一并送入评标室，由专家进行评判。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249" w:type="dxa"/>
            <w:vAlign w:val="center"/>
          </w:tcPr>
          <w:p>
            <w:pPr>
              <w:autoSpaceDE w:val="0"/>
              <w:autoSpaceDN w:val="0"/>
              <w:adjustRightInd w:val="0"/>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695" w:type="dxa"/>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249" w:type="dxa"/>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695" w:type="dxa"/>
            <w:vAlign w:val="center"/>
          </w:tcPr>
          <w:p>
            <w:pPr>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249" w:type="dxa"/>
            <w:vAlign w:val="center"/>
          </w:tcPr>
          <w:p>
            <w:pPr>
              <w:spacing w:line="312" w:lineRule="auto"/>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招标文件及图纸的下载</w:t>
            </w:r>
          </w:p>
        </w:tc>
        <w:tc>
          <w:tcPr>
            <w:tcW w:w="6695" w:type="dxa"/>
          </w:tcPr>
          <w:p>
            <w:pPr>
              <w:autoSpaceDE w:val="0"/>
              <w:autoSpaceDN w:val="0"/>
              <w:adjustRightInd w:val="0"/>
              <w:spacing w:line="276" w:lineRule="auto"/>
              <w:rPr>
                <w:rFonts w:cs="黑体"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仿宋_GB2312" w:asciiTheme="minorEastAsia" w:hAnsiTheme="minorEastAsia" w:eastAsiaTheme="minorEastAsia"/>
                <w:sz w:val="24"/>
              </w:rPr>
              <w:t>)】（</w:t>
            </w:r>
            <w:r>
              <w:fldChar w:fldCharType="begin"/>
            </w:r>
            <w:r>
              <w:instrText xml:space="preserve"> HYPERLINK "http://www.ggzy.xuchang.gov.cn/" </w:instrText>
            </w:r>
            <w:r>
              <w:fldChar w:fldCharType="separate"/>
            </w:r>
            <w:r>
              <w:rPr>
                <w:rStyle w:val="22"/>
                <w:rFonts w:hint="eastAsia" w:cs="仿宋_GB2312" w:asciiTheme="minorEastAsia" w:hAnsiTheme="minorEastAsia" w:eastAsiaTheme="minorEastAsia"/>
                <w:sz w:val="24"/>
              </w:rPr>
              <w:t>http://www.ggzy.xuchang.gov.cn/</w:t>
            </w:r>
            <w:r>
              <w:rPr>
                <w:rStyle w:val="22"/>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249" w:type="dxa"/>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695" w:type="dxa"/>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249"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695" w:type="dxa"/>
            <w:vAlign w:val="center"/>
          </w:tcPr>
          <w:p>
            <w:pPr>
              <w:spacing w:line="312" w:lineRule="auto"/>
              <w:rPr>
                <w:rFonts w:cs="宋体" w:asciiTheme="minorEastAsia" w:hAnsiTheme="minorEastAsia" w:eastAsiaTheme="minorEastAsia"/>
                <w:color w:val="FF0000"/>
                <w:sz w:val="24"/>
              </w:rPr>
            </w:pPr>
            <w:r>
              <w:rPr>
                <w:rFonts w:hint="eastAsia" w:ascii="宋体" w:hAnsi="宋体" w:cs="宋体"/>
                <w:color w:val="000000"/>
                <w:kern w:val="0"/>
                <w:sz w:val="24"/>
              </w:rPr>
              <w:t>2020年5月8日 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249"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695"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2. 2</w:t>
            </w:r>
          </w:p>
        </w:tc>
        <w:tc>
          <w:tcPr>
            <w:tcW w:w="2249"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695"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695" w:type="dxa"/>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Theme="minorEastAsia" w:hAnsiTheme="minorEastAsia" w:eastAsiaTheme="minorEastAsia"/>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4.1</w:t>
            </w:r>
          </w:p>
        </w:tc>
        <w:tc>
          <w:tcPr>
            <w:tcW w:w="2249"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投标保证金须知</w:t>
            </w:r>
          </w:p>
        </w:tc>
        <w:tc>
          <w:tcPr>
            <w:tcW w:w="6695" w:type="dxa"/>
            <w:vAlign w:val="center"/>
          </w:tcPr>
          <w:p>
            <w:pPr>
              <w:autoSpaceDE w:val="0"/>
              <w:autoSpaceDN w:val="0"/>
              <w:adjustRightInd w:val="0"/>
              <w:spacing w:line="440" w:lineRule="exact"/>
              <w:jc w:val="left"/>
              <w:rPr>
                <w:rFonts w:hAnsi="宋体" w:cs="宋体"/>
                <w:sz w:val="24"/>
              </w:rPr>
            </w:pPr>
            <w:r>
              <w:rPr>
                <w:rFonts w:hint="eastAsia" w:hAnsi="宋体" w:cs="宋体"/>
                <w:sz w:val="24"/>
              </w:rPr>
              <w:t>1、因投标人的原因无法及时退还投标（竞买）保证金、滞留三年以上的，投标（竞买）保证金上缴财政。</w:t>
            </w:r>
          </w:p>
          <w:p>
            <w:pPr>
              <w:autoSpaceDE w:val="0"/>
              <w:autoSpaceDN w:val="0"/>
              <w:adjustRightInd w:val="0"/>
              <w:spacing w:line="440" w:lineRule="exact"/>
              <w:jc w:val="left"/>
              <w:rPr>
                <w:rFonts w:hAnsi="宋体" w:cs="宋体"/>
                <w:sz w:val="24"/>
              </w:rPr>
            </w:pPr>
            <w:r>
              <w:rPr>
                <w:rFonts w:hint="eastAsia" w:hAnsi="宋体" w:cs="宋体"/>
                <w:sz w:val="24"/>
              </w:rPr>
              <w:t>2、自文件发布之日起，投标人需进行基本户备案，已备案的基本户开户银行、账户发生变化的，须重新办理备案手续。备案后方可提交投标（竞买）保证金。</w:t>
            </w:r>
          </w:p>
          <w:p>
            <w:pPr>
              <w:autoSpaceDE w:val="0"/>
              <w:autoSpaceDN w:val="0"/>
              <w:adjustRightInd w:val="0"/>
              <w:spacing w:line="440" w:lineRule="exact"/>
              <w:jc w:val="left"/>
              <w:rPr>
                <w:rFonts w:hAnsi="宋体" w:cs="宋体"/>
                <w:sz w:val="24"/>
              </w:rPr>
            </w:pPr>
            <w:r>
              <w:rPr>
                <w:rFonts w:hint="eastAsia" w:hAnsi="宋体" w:cs="宋体"/>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40" w:lineRule="exact"/>
              <w:jc w:val="left"/>
              <w:rPr>
                <w:rFonts w:hAnsi="宋体" w:cs="宋体"/>
                <w:sz w:val="24"/>
              </w:rPr>
            </w:pPr>
            <w:r>
              <w:rPr>
                <w:rFonts w:hint="eastAsia" w:hAnsi="宋体" w:cs="宋体"/>
                <w:sz w:val="24"/>
              </w:rPr>
              <w:t>4、特殊情况处理</w:t>
            </w:r>
          </w:p>
          <w:p>
            <w:pPr>
              <w:autoSpaceDE w:val="0"/>
              <w:autoSpaceDN w:val="0"/>
              <w:adjustRightInd w:val="0"/>
              <w:spacing w:line="400" w:lineRule="exact"/>
              <w:jc w:val="left"/>
              <w:rPr>
                <w:rFonts w:asciiTheme="minorEastAsia" w:hAnsiTheme="minorEastAsia" w:eastAsiaTheme="minorEastAsia"/>
                <w:color w:val="FF0000"/>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w:t>
            </w:r>
          </w:p>
        </w:tc>
        <w:tc>
          <w:tcPr>
            <w:tcW w:w="2249"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695" w:type="dxa"/>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投标保证金递交截止时间：（同投标截止时间）。</w:t>
            </w:r>
          </w:p>
          <w:p>
            <w:pPr>
              <w:spacing w:line="276" w:lineRule="auto"/>
              <w:jc w:val="left"/>
              <w:rPr>
                <w:rFonts w:hAnsi="宋体"/>
                <w:b/>
                <w:bCs/>
                <w:sz w:val="24"/>
              </w:rPr>
            </w:pPr>
            <w:r>
              <w:rPr>
                <w:rFonts w:hAnsi="宋体"/>
                <w:b/>
                <w:bCs/>
                <w:sz w:val="24"/>
              </w:rPr>
              <w:t>金额：</w:t>
            </w:r>
            <w:r>
              <w:rPr>
                <w:rFonts w:hint="eastAsia" w:hAnsi="宋体"/>
                <w:b/>
                <w:bCs/>
                <w:sz w:val="24"/>
              </w:rPr>
              <w:t>小写：8000大写：捌仟元整</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w:t>
            </w:r>
            <w:r>
              <w:rPr>
                <w:rFonts w:hint="eastAsia" w:hAnsi="宋体" w:cs="宋体"/>
                <w:sz w:val="24"/>
              </w:rPr>
              <w:t>投标</w:t>
            </w:r>
            <w:r>
              <w:rPr>
                <w:rFonts w:hint="eastAsia" w:hAnsi="宋体" w:cs="宋体"/>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近年指2016年、2017年、2018年（若公司成立未满三年，须提供成立当年至今的财务报告）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5.3</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5.4</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5.5</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6</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695" w:type="dxa"/>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7.4</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695" w:type="dxa"/>
            <w:vAlign w:val="center"/>
          </w:tcPr>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1、电子投标文件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（1）成功上传至【全国公共资源交易平台（河南省•许昌市）】公共资源交易系统电子投标文件1份（文件格式为：XX公司XXX项目编号.file）。</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（2）使用电子介质存储的投标文件1份文件格式为：xxx公司XXX（项目编号）.bin）。</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2、电子投标文件和使用电子介质存储的投标文件内容、格式、水印码、电子签章应一致。</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7.5</w:t>
            </w:r>
          </w:p>
        </w:tc>
        <w:tc>
          <w:tcPr>
            <w:tcW w:w="2249" w:type="dxa"/>
            <w:vAlign w:val="center"/>
          </w:tcPr>
          <w:p>
            <w:pPr>
              <w:autoSpaceDE w:val="0"/>
              <w:autoSpaceDN w:val="0"/>
              <w:adjustRightInd w:val="0"/>
              <w:spacing w:line="440" w:lineRule="exact"/>
              <w:jc w:val="center"/>
              <w:rPr>
                <w:rFonts w:hAnsi="宋体" w:cs="宋体"/>
                <w:sz w:val="24"/>
              </w:rPr>
            </w:pPr>
            <w:r>
              <w:rPr>
                <w:rFonts w:hint="eastAsia" w:hAnsi="宋体" w:cs="宋体"/>
                <w:sz w:val="24"/>
              </w:rPr>
              <w:t>本项目是否采用不见面开标</w:t>
            </w:r>
          </w:p>
        </w:tc>
        <w:tc>
          <w:tcPr>
            <w:tcW w:w="6695" w:type="dxa"/>
            <w:vAlign w:val="center"/>
          </w:tcPr>
          <w:p>
            <w:pPr>
              <w:autoSpaceDE w:val="0"/>
              <w:autoSpaceDN w:val="0"/>
              <w:adjustRightInd w:val="0"/>
              <w:spacing w:line="440" w:lineRule="exact"/>
              <w:rPr>
                <w:rFonts w:hAnsi="宋体" w:cs="宋体"/>
                <w:b/>
                <w:bCs/>
                <w:sz w:val="24"/>
              </w:rPr>
            </w:pPr>
            <w:r>
              <w:rPr>
                <w:rFonts w:hint="eastAsia"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695" w:type="dxa"/>
            <w:vAlign w:val="center"/>
          </w:tcPr>
          <w:p>
            <w:pPr>
              <w:autoSpaceDE w:val="0"/>
              <w:autoSpaceDN w:val="0"/>
              <w:adjustRightInd w:val="0"/>
              <w:spacing w:line="440" w:lineRule="exact"/>
              <w:rPr>
                <w:rFonts w:hAnsi="宋体" w:cs="宋体"/>
                <w:sz w:val="24"/>
              </w:rPr>
            </w:pPr>
            <w:r>
              <w:rPr>
                <w:rFonts w:hint="eastAsia" w:hAnsi="宋体" w:cs="宋体"/>
                <w:sz w:val="24"/>
              </w:rPr>
              <w:t>电子投标文件递交地点：电子投标文件应按规定在投标截止时间（开标时间）之前成功提交至【全国公共资源交易平台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】公共资源交易系统（</w:t>
            </w:r>
            <w:r>
              <w:rPr>
                <w:rFonts w:hAnsi="宋体" w:cs="宋体"/>
                <w:sz w:val="24"/>
              </w:rPr>
              <w:t>http://221.14.6.70:8088/ggzy/</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695"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695" w:type="dxa"/>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w:t>
            </w:r>
            <w:r>
              <w:rPr>
                <w:rFonts w:hint="eastAsia" w:hAnsi="宋体" w:cs="宋体"/>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695" w:type="dxa"/>
            <w:vAlign w:val="center"/>
          </w:tcPr>
          <w:p>
            <w:pPr>
              <w:spacing w:line="520" w:lineRule="exact"/>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cs="宋体"/>
                <w:sz w:val="24"/>
              </w:rPr>
            </w:pPr>
            <w:r>
              <w:rPr>
                <w:rFonts w:hint="eastAsia" w:hAnsi="宋体" w:cs="宋体"/>
                <w:sz w:val="24"/>
              </w:rPr>
              <w:t>(3)解密完成后，招标人（代理机构）点击“系数抽取”按钮进行系数抽取，系数抽取情况在“公告通知”处显示。</w:t>
            </w:r>
          </w:p>
          <w:p>
            <w:pPr>
              <w:spacing w:line="520" w:lineRule="exact"/>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12" w:lineRule="auto"/>
              <w:rPr>
                <w:rFonts w:cs="宋体" w:asciiTheme="minorEastAsia" w:hAnsiTheme="minorEastAsia" w:eastAsiaTheme="minorEastAsia"/>
                <w:kern w:val="0"/>
                <w:sz w:val="24"/>
              </w:rPr>
            </w:pPr>
            <w:r>
              <w:rPr>
                <w:rFonts w:hint="eastAsia" w:hAnsi="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695" w:type="dxa"/>
            <w:vAlign w:val="center"/>
          </w:tcPr>
          <w:p>
            <w:pPr>
              <w:spacing w:line="360" w:lineRule="auto"/>
              <w:rPr>
                <w:rFonts w:cs="宋体" w:asciiTheme="minorEastAsia" w:hAnsiTheme="minorEastAsia" w:eastAsiaTheme="minorEastAsia"/>
                <w:color w:val="FF0000"/>
                <w:sz w:val="24"/>
              </w:rPr>
            </w:pPr>
            <w:r>
              <w:rPr>
                <w:rFonts w:hint="eastAsia" w:cs="宋体" w:asciiTheme="minorEastAsia" w:hAnsiTheme="minorEastAsia" w:eastAsiaTheme="minorEastAsia"/>
                <w:sz w:val="24"/>
              </w:rPr>
              <w:t>评标委员会构成：共5人，由招标人代表和经济、技术类专家组成，其中招标人代表1人，经济、技术类专家4人。</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249"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是否授权评标委员会确定中标人</w:t>
            </w:r>
          </w:p>
        </w:tc>
        <w:tc>
          <w:tcPr>
            <w:tcW w:w="6695"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adjustRightInd w:val="0"/>
              <w:spacing w:line="312"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7. 1</w:t>
            </w:r>
          </w:p>
        </w:tc>
        <w:tc>
          <w:tcPr>
            <w:tcW w:w="2249" w:type="dxa"/>
            <w:vAlign w:val="center"/>
          </w:tcPr>
          <w:p>
            <w:pPr>
              <w:adjustRightInd w:val="0"/>
              <w:spacing w:line="312"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6695"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8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695" w:type="dxa"/>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类似项目：</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指2017年1月1日以来承建过的建筑工程项目。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98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249"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312" w:lineRule="auto"/>
              <w:rPr>
                <w:rFonts w:cs="宋体" w:asciiTheme="minorEastAsia" w:hAnsiTheme="minorEastAsia" w:eastAsiaTheme="minorEastAsia"/>
                <w:kern w:val="0"/>
                <w:sz w:val="24"/>
              </w:rPr>
            </w:pPr>
          </w:p>
        </w:tc>
        <w:tc>
          <w:tcPr>
            <w:tcW w:w="6695" w:type="dxa"/>
            <w:vAlign w:val="center"/>
          </w:tcPr>
          <w:p>
            <w:pPr>
              <w:autoSpaceDE w:val="0"/>
              <w:autoSpaceDN w:val="0"/>
              <w:adjustRightInd w:val="0"/>
              <w:spacing w:line="276" w:lineRule="auto"/>
              <w:rPr>
                <w:rFonts w:hAnsi="宋体" w:cs="宋体"/>
                <w:b/>
                <w:sz w:val="24"/>
              </w:rPr>
            </w:pPr>
            <w:r>
              <w:rPr>
                <w:rFonts w:hint="eastAsia" w:hAnsi="宋体" w:cs="宋体"/>
                <w:b/>
                <w:sz w:val="24"/>
              </w:rPr>
              <w:t>本工程设招标控制价： 409390.17元</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adjustRightInd w:val="0"/>
              <w:snapToGrid w:val="0"/>
              <w:spacing w:line="440" w:lineRule="exact"/>
              <w:rPr>
                <w:rFonts w:hAnsi="宋体" w:cs="宋体"/>
                <w:b/>
                <w:bCs/>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cs="宋体" w:asciiTheme="minorEastAsia" w:hAnsiTheme="minorEastAsia" w:eastAsiaTheme="minorEastAsia"/>
                <w:kern w:val="0"/>
                <w:sz w:val="24"/>
              </w:rPr>
            </w:pPr>
          </w:p>
        </w:tc>
        <w:tc>
          <w:tcPr>
            <w:tcW w:w="9003"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2"/>
            <w:vAlign w:val="center"/>
          </w:tcPr>
          <w:p>
            <w:pPr>
              <w:autoSpaceDE w:val="0"/>
              <w:autoSpaceDN w:val="0"/>
              <w:spacing w:line="440" w:lineRule="exact"/>
              <w:jc w:val="left"/>
              <w:outlineLvl w:val="0"/>
              <w:rPr>
                <w:rFonts w:hAnsi="宋体" w:cs="宋体"/>
                <w:sz w:val="24"/>
              </w:rPr>
            </w:pPr>
            <w:r>
              <w:rPr>
                <w:rFonts w:hint="eastAsia" w:hAnsi="宋体" w:cs="宋体"/>
                <w:sz w:val="24"/>
              </w:rPr>
              <w:t>1、未成功上传的投标文件；</w:t>
            </w:r>
          </w:p>
          <w:p>
            <w:pPr>
              <w:autoSpaceDE w:val="0"/>
              <w:autoSpaceDN w:val="0"/>
              <w:spacing w:line="440" w:lineRule="exact"/>
              <w:jc w:val="left"/>
              <w:outlineLvl w:val="0"/>
              <w:rPr>
                <w:rFonts w:hAnsi="宋体" w:cs="宋体"/>
                <w:sz w:val="24"/>
              </w:rPr>
            </w:pPr>
            <w:r>
              <w:rPr>
                <w:rFonts w:hint="eastAsia" w:hAnsi="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10.12相关费用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2"/>
            <w:vAlign w:val="center"/>
          </w:tcPr>
          <w:p>
            <w:pPr>
              <w:spacing w:line="288" w:lineRule="auto"/>
              <w:rPr>
                <w:rFonts w:cs="宋体" w:asciiTheme="minorEastAsia" w:hAnsiTheme="minorEastAsia" w:eastAsiaTheme="minorEastAsia"/>
                <w:kern w:val="0"/>
                <w:sz w:val="24"/>
              </w:rPr>
            </w:pPr>
            <w:r>
              <w:rPr>
                <w:rFonts w:hint="eastAsia" w:ascii="新宋体" w:hAnsi="新宋体" w:eastAsia="新宋体"/>
                <w:sz w:val="24"/>
                <w:szCs w:val="22"/>
              </w:rPr>
              <w:t>本项目招标代理费由中标人支付，按国家计委“计价格[2002]1980号”、国家发改委“发改办价格[2003]857号”和“发改价格[2011]534号”文件规定收取。中标人领取中标通知书时一次性支付。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2"/>
            <w:vAlign w:val="center"/>
          </w:tcPr>
          <w:p>
            <w:pPr>
              <w:autoSpaceDE w:val="0"/>
              <w:autoSpaceDN w:val="0"/>
              <w:spacing w:line="360" w:lineRule="auto"/>
              <w:ind w:firstLine="240" w:firstLineChars="100"/>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sz w:val="24"/>
              </w:rPr>
            </w:pPr>
            <w:r>
              <w:rPr>
                <w:rFonts w:hint="eastAsia" w:hAnsi="宋体" w:cs="宋体"/>
                <w:sz w:val="24"/>
              </w:rPr>
              <w:t>5、招标人及其代理机构需留存项目电子档案时，可在质疑期满后使用</w:t>
            </w:r>
            <w:r>
              <w:rPr>
                <w:rFonts w:hAnsi="宋体" w:cs="宋体"/>
                <w:sz w:val="24"/>
              </w:rPr>
              <w:t>CA锁从交易平台自行下载。</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6、商务标投标文件制作注意事项：</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6.2 商务标投标文件制作技术咨询：0374-2961598。</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sz w:val="24"/>
              </w:rPr>
            </w:pPr>
            <w:r>
              <w:rPr>
                <w:rFonts w:hint="eastAsia" w:hAnsi="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sz w:val="24"/>
              </w:rPr>
            </w:pPr>
            <w:r>
              <w:rPr>
                <w:rFonts w:hint="eastAsia" w:hAnsi="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sz w:val="24"/>
              </w:rPr>
            </w:pPr>
            <w:r>
              <w:rPr>
                <w:rFonts w:hint="eastAsia" w:hAnsi="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jc w:val="left"/>
              <w:outlineLvl w:val="0"/>
            </w:pPr>
            <w:r>
              <w:rPr>
                <w:rFonts w:hint="eastAsia" w:hAnsi="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adjustRightInd w:val="0"/>
        <w:snapToGrid w:val="0"/>
        <w:spacing w:line="360" w:lineRule="auto"/>
        <w:jc w:val="left"/>
        <w:rPr>
          <w:rFonts w:ascii="宋体" w:hAnsi="宋体" w:cs="宋体"/>
          <w:b/>
          <w:bCs/>
          <w:sz w:val="24"/>
        </w:rPr>
      </w:pPr>
      <w:bookmarkStart w:id="14" w:name="_Toc215282127"/>
      <w:bookmarkStart w:id="15" w:name="_Toc215282133"/>
      <w:r>
        <w:rPr>
          <w:rFonts w:hint="eastAsia" w:ascii="宋体" w:hAnsi="宋体"/>
          <w:b/>
          <w:bCs/>
          <w:sz w:val="22"/>
          <w:szCs w:val="28"/>
        </w:rPr>
        <w:br w:type="page"/>
      </w:r>
      <w:bookmarkStart w:id="16" w:name="_Toc1059"/>
      <w:r>
        <w:rPr>
          <w:rFonts w:hint="eastAsia" w:ascii="宋体" w:hAnsi="宋体" w:cs="宋体"/>
          <w:b/>
          <w:bCs/>
          <w:sz w:val="24"/>
        </w:rPr>
        <w:t>1. 总则</w:t>
      </w:r>
      <w:bookmarkEnd w:id="14"/>
      <w:bookmarkEnd w:id="16"/>
    </w:p>
    <w:p>
      <w:pPr>
        <w:autoSpaceDE w:val="0"/>
        <w:autoSpaceDN w:val="0"/>
        <w:adjustRightInd w:val="0"/>
        <w:snapToGrid w:val="0"/>
        <w:spacing w:line="360" w:lineRule="auto"/>
        <w:jc w:val="left"/>
        <w:rPr>
          <w:rFonts w:ascii="宋体" w:hAnsi="宋体" w:cs="宋体"/>
          <w:b/>
          <w:bCs/>
          <w:sz w:val="24"/>
        </w:rPr>
      </w:pPr>
      <w:bookmarkStart w:id="17" w:name="_Toc152042306"/>
      <w:bookmarkStart w:id="18" w:name="_Toc179632547"/>
      <w:bookmarkStart w:id="19" w:name="_Toc152045530"/>
      <w:bookmarkStart w:id="20" w:name="_Toc144974498"/>
      <w:r>
        <w:rPr>
          <w:rFonts w:hint="eastAsia" w:ascii="宋体" w:hAnsi="宋体" w:cs="宋体"/>
          <w:b/>
          <w:bCs/>
          <w:sz w:val="24"/>
        </w:rPr>
        <w:t>1.1 项目概况</w:t>
      </w:r>
      <w:bookmarkEnd w:id="17"/>
      <w:bookmarkEnd w:id="18"/>
      <w:bookmarkEnd w:id="19"/>
      <w:bookmarkEnd w:id="20"/>
      <w:r>
        <w:rPr>
          <w:rFonts w:hint="eastAsia" w:ascii="宋体" w:hAnsi="宋体" w:cs="宋体"/>
          <w:b/>
          <w:bCs/>
          <w:sz w:val="24"/>
        </w:rPr>
        <w:tab/>
      </w:r>
    </w:p>
    <w:p>
      <w:pPr>
        <w:pStyle w:val="23"/>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1.1.3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21" w:name="_Toc179632548"/>
      <w:bookmarkStart w:id="22" w:name="_Toc152045531"/>
      <w:bookmarkStart w:id="23" w:name="_Toc144974499"/>
      <w:bookmarkStart w:id="24" w:name="_Toc152042307"/>
      <w:r>
        <w:rPr>
          <w:rFonts w:hint="eastAsia" w:ascii="宋体" w:hAnsi="宋体" w:cs="宋体"/>
          <w:b/>
          <w:bCs/>
          <w:sz w:val="24"/>
        </w:rPr>
        <w:t>1.2 资金来源和落实情况</w:t>
      </w:r>
      <w:bookmarkEnd w:id="21"/>
      <w:bookmarkEnd w:id="22"/>
      <w:bookmarkEnd w:id="23"/>
      <w:bookmarkEnd w:id="24"/>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25" w:name="_Toc152045532"/>
      <w:bookmarkStart w:id="26" w:name="_Toc152042308"/>
      <w:bookmarkStart w:id="27" w:name="_Toc144974500"/>
      <w:bookmarkStart w:id="28" w:name="_Toc179632549"/>
      <w:r>
        <w:rPr>
          <w:rFonts w:hint="eastAsia" w:ascii="宋体" w:hAnsi="宋体" w:cs="宋体"/>
          <w:b/>
          <w:bCs/>
          <w:sz w:val="24"/>
        </w:rPr>
        <w:t>1.3 标段划分、招标范围、工期、质量要求及安全</w:t>
      </w:r>
      <w:bookmarkEnd w:id="25"/>
      <w:bookmarkEnd w:id="26"/>
      <w:bookmarkEnd w:id="27"/>
      <w:bookmarkEnd w:id="28"/>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9" w:name="_Toc144974501"/>
      <w:bookmarkStart w:id="30" w:name="_Toc152042309"/>
      <w:bookmarkStart w:id="31" w:name="_Toc179632550"/>
      <w:bookmarkStart w:id="32" w:name="_Toc152045533"/>
      <w:r>
        <w:rPr>
          <w:rFonts w:hint="eastAsia" w:ascii="宋体" w:hAnsi="宋体" w:cs="宋体"/>
          <w:b/>
          <w:bCs/>
          <w:sz w:val="24"/>
        </w:rPr>
        <w:t>1.4 投标人及技术负责人资格要求</w:t>
      </w:r>
      <w:bookmarkEnd w:id="29"/>
      <w:bookmarkEnd w:id="30"/>
      <w:bookmarkEnd w:id="31"/>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33" w:name="_Toc144974502"/>
      <w:bookmarkStart w:id="34" w:name="_Toc152045534"/>
      <w:bookmarkStart w:id="35" w:name="_Toc152042310"/>
      <w:bookmarkStart w:id="36"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33"/>
      <w:bookmarkEnd w:id="34"/>
      <w:bookmarkEnd w:id="35"/>
      <w:r>
        <w:rPr>
          <w:rFonts w:hint="eastAsia" w:ascii="宋体" w:hAnsi="宋体" w:cs="宋体"/>
          <w:sz w:val="24"/>
        </w:rPr>
        <w:t>（详见投标人须知前附表）</w:t>
      </w:r>
      <w:bookmarkEnd w:id="36"/>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15"/>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7" w:name="_Toc215282134"/>
      <w:r>
        <w:rPr>
          <w:rFonts w:hint="eastAsia" w:ascii="宋体" w:hAnsi="宋体" w:cs="宋体"/>
          <w:b/>
          <w:sz w:val="24"/>
        </w:rPr>
        <w:t>1.6 保密</w:t>
      </w:r>
      <w:bookmarkEnd w:id="37"/>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8" w:name="_Toc215282135"/>
      <w:r>
        <w:rPr>
          <w:rFonts w:hint="eastAsia" w:ascii="宋体" w:hAnsi="宋体" w:cs="宋体"/>
          <w:b/>
          <w:sz w:val="24"/>
        </w:rPr>
        <w:t>1.7 语言文字</w:t>
      </w:r>
      <w:bookmarkEnd w:id="38"/>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9" w:name="_Toc215282136"/>
      <w:r>
        <w:rPr>
          <w:rFonts w:hint="eastAsia" w:ascii="宋体" w:hAnsi="宋体" w:cs="宋体"/>
          <w:b/>
          <w:sz w:val="24"/>
        </w:rPr>
        <w:t>1.8 计量单位</w:t>
      </w:r>
      <w:bookmarkEnd w:id="39"/>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40" w:name="_Toc215282137"/>
      <w:r>
        <w:rPr>
          <w:rFonts w:hint="eastAsia" w:ascii="宋体" w:hAnsi="宋体" w:cs="宋体"/>
          <w:b/>
          <w:sz w:val="24"/>
        </w:rPr>
        <w:t>1.9 踏勘现场</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41" w:name="_Toc215282138"/>
      <w:r>
        <w:rPr>
          <w:rFonts w:hint="eastAsia" w:ascii="宋体" w:hAnsi="宋体" w:cs="宋体"/>
          <w:b/>
          <w:sz w:val="24"/>
        </w:rPr>
        <w:t>1.10 投标预备会</w:t>
      </w:r>
      <w:bookmarkEnd w:id="41"/>
      <w:r>
        <w:rPr>
          <w:rFonts w:hint="eastAsia" w:ascii="宋体" w:hAnsi="宋体" w:cs="宋体"/>
          <w:b/>
          <w:sz w:val="24"/>
        </w:rPr>
        <w:t>（无）</w:t>
      </w:r>
      <w:bookmarkStart w:id="42"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42"/>
      <w:r>
        <w:rPr>
          <w:rFonts w:hint="eastAsia" w:ascii="宋体" w:hAnsi="宋体" w:cs="宋体"/>
          <w:b/>
          <w:sz w:val="24"/>
        </w:rPr>
        <w:t>（不允许）</w:t>
      </w:r>
      <w:bookmarkStart w:id="43"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43"/>
      <w:r>
        <w:rPr>
          <w:rFonts w:hint="eastAsia" w:ascii="宋体" w:hAnsi="宋体" w:cs="宋体"/>
          <w:b/>
          <w:sz w:val="24"/>
        </w:rPr>
        <w:t>（不允许）</w:t>
      </w:r>
      <w:bookmarkStart w:id="44"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45" w:name="_Toc14209"/>
      <w:r>
        <w:rPr>
          <w:rFonts w:hint="eastAsia" w:ascii="Arial" w:hAnsi="Arial" w:eastAsia="黑体"/>
          <w:b/>
          <w:bCs/>
          <w:kern w:val="0"/>
          <w:sz w:val="24"/>
        </w:rPr>
        <w:t>2. 招标文件</w:t>
      </w:r>
      <w:bookmarkEnd w:id="44"/>
      <w:bookmarkEnd w:id="45"/>
    </w:p>
    <w:p>
      <w:pPr>
        <w:autoSpaceDE w:val="0"/>
        <w:autoSpaceDN w:val="0"/>
        <w:adjustRightInd w:val="0"/>
        <w:snapToGrid w:val="0"/>
        <w:spacing w:line="360" w:lineRule="auto"/>
        <w:jc w:val="left"/>
        <w:rPr>
          <w:rFonts w:ascii="宋体" w:hAnsi="宋体" w:cs="宋体"/>
          <w:b/>
          <w:sz w:val="24"/>
        </w:rPr>
      </w:pPr>
      <w:bookmarkStart w:id="46" w:name="_Toc215282142"/>
      <w:r>
        <w:rPr>
          <w:rFonts w:hint="eastAsia" w:ascii="宋体" w:hAnsi="宋体" w:cs="宋体"/>
          <w:b/>
          <w:sz w:val="24"/>
        </w:rPr>
        <w:t>2.1 招标文件的组成</w:t>
      </w:r>
      <w:bookmarkEnd w:id="46"/>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7" w:name="_Toc215282143"/>
      <w:r>
        <w:rPr>
          <w:rFonts w:hint="eastAsia" w:ascii="宋体" w:hAnsi="宋体" w:cs="宋体"/>
          <w:b/>
          <w:sz w:val="24"/>
        </w:rPr>
        <w:t>2.2 招标文件的澄清</w:t>
      </w:r>
      <w:bookmarkEnd w:id="47"/>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8" w:name="_Toc215282145"/>
      <w:bookmarkStart w:id="49" w:name="_Toc30979"/>
      <w:r>
        <w:rPr>
          <w:rFonts w:hint="eastAsia" w:ascii="Arial" w:hAnsi="Arial" w:eastAsia="黑体"/>
          <w:b/>
          <w:bCs/>
          <w:kern w:val="0"/>
          <w:sz w:val="24"/>
        </w:rPr>
        <w:t xml:space="preserve"> 3. 投标文件</w:t>
      </w:r>
      <w:bookmarkEnd w:id="48"/>
      <w:bookmarkEnd w:id="49"/>
    </w:p>
    <w:p>
      <w:pPr>
        <w:autoSpaceDE w:val="0"/>
        <w:autoSpaceDN w:val="0"/>
        <w:spacing w:line="420" w:lineRule="exact"/>
        <w:jc w:val="left"/>
        <w:outlineLvl w:val="0"/>
        <w:rPr>
          <w:rFonts w:hAnsi="宋体" w:cs="宋体"/>
          <w:b/>
          <w:sz w:val="24"/>
        </w:rPr>
      </w:pPr>
      <w:bookmarkStart w:id="50"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rPr>
      </w:pPr>
      <w:r>
        <w:rPr>
          <w:rFonts w:hint="eastAsia" w:hAnsi="宋体" w:cs="宋体"/>
          <w:b/>
          <w:sz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投标人编制投标报价时，同一投标文件综合工日应前后保持一致。</w:t>
      </w:r>
    </w:p>
    <w:bookmarkEnd w:id="51"/>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5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52" w:name="_Toc282436964"/>
      <w:r>
        <w:rPr>
          <w:rFonts w:hint="eastAsia" w:ascii="宋体" w:hAnsi="宋体" w:cs="宋体"/>
          <w:b/>
          <w:sz w:val="24"/>
        </w:rPr>
        <w:t xml:space="preserve"> 3.4 投标保证金</w:t>
      </w:r>
      <w:bookmarkEnd w:id="52"/>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3.4.1 </w:t>
      </w:r>
      <w:r>
        <w:rPr>
          <w:rFonts w:hint="eastAsia" w:ascii="新宋体" w:hAnsi="新宋体" w:eastAsia="新宋体" w:cs="仿宋_GB2312"/>
          <w:sz w:val="24"/>
        </w:rPr>
        <w:t>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3.4.1.1</w:t>
      </w:r>
      <w:r>
        <w:rPr>
          <w:rFonts w:hint="eastAsia" w:ascii="新宋体" w:hAnsi="新宋体" w:eastAsia="新宋体" w:cs="仿宋_GB2312"/>
          <w:sz w:val="24"/>
        </w:rPr>
        <w:t>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 投标保证金提交：按《投标人须知前附表》3.4.2条规定。</w:t>
      </w:r>
    </w:p>
    <w:p>
      <w:pPr>
        <w:autoSpaceDE w:val="0"/>
        <w:autoSpaceDN w:val="0"/>
        <w:spacing w:line="420" w:lineRule="exact"/>
        <w:jc w:val="left"/>
        <w:outlineLvl w:val="0"/>
        <w:rPr>
          <w:rFonts w:ascii="新宋体" w:hAnsi="新宋体" w:eastAsia="新宋体" w:cs="仿宋_GB2312"/>
          <w:sz w:val="24"/>
          <w:lang w:val="zh-CN"/>
        </w:rPr>
      </w:pPr>
      <w:r>
        <w:rPr>
          <w:rFonts w:hint="eastAsia" w:ascii="新宋体" w:hAnsi="新宋体" w:eastAsia="新宋体" w:cs="仿宋_GB2312"/>
          <w:sz w:val="24"/>
          <w:lang w:val="zh-CN"/>
        </w:rPr>
        <w:t xml:space="preserve">    3.4.2.1 投标保证金的提交方式：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投标人网上下载招标文件后，登录</w:t>
      </w:r>
      <w:r>
        <w:fldChar w:fldCharType="begin"/>
      </w:r>
      <w:r>
        <w:instrText xml:space="preserve"> HYPERLINK "http://221.14.6.70:8088/ggzy" </w:instrText>
      </w:r>
      <w:r>
        <w:fldChar w:fldCharType="separate"/>
      </w:r>
      <w:r>
        <w:rPr>
          <w:rFonts w:hint="eastAsia" w:ascii="新宋体" w:hAnsi="新宋体" w:eastAsia="新宋体" w:cs="仿宋_GB2312"/>
          <w:sz w:val="24"/>
          <w:lang w:val="zh-CN"/>
        </w:rPr>
        <w:t>http://221.14.6.70:8088/ggzy</w:t>
      </w:r>
      <w:r>
        <w:rPr>
          <w:rFonts w:hint="eastAsia" w:ascii="新宋体" w:hAnsi="新宋体" w:eastAsia="新宋体" w:cs="仿宋_GB2312"/>
          <w:sz w:val="24"/>
          <w:lang w:val="zh-CN"/>
        </w:rPr>
        <w:fldChar w:fldCharType="end"/>
      </w:r>
      <w:r>
        <w:rPr>
          <w:rFonts w:hint="eastAsia" w:ascii="新宋体" w:hAnsi="新宋体" w:eastAsia="新宋体" w:cs="仿宋_GB2312"/>
          <w:sz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成功缴纳后再次登录前述系统，依次点击“会员向导”→“参与投标”→“保证金绑定”→“绑定”进行投标保证金绑定。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 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3.4.3 投标人不按本章第 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zh-CN"/>
        </w:rPr>
        <w:t>中标候选人公示期满后没有质疑或投诉的，退还非中标候选人投标保证金及银行同期存款利息；在书面合同签订后5日内</w:t>
      </w:r>
      <w:r>
        <w:rPr>
          <w:rFonts w:hint="eastAsia" w:ascii="新宋体" w:hAnsi="新宋体" w:eastAsia="新宋体" w:cs="仿宋_GB2312"/>
          <w:sz w:val="24"/>
        </w:rPr>
        <w:t>（向鄢陵县公共资源交易管理中心三楼综合股提交合同原件及中标通知书备案，联系电话：0374—7608880）</w:t>
      </w:r>
      <w:r>
        <w:rPr>
          <w:rFonts w:hint="eastAsia" w:ascii="新宋体" w:hAnsi="新宋体" w:eastAsia="新宋体" w:cs="仿宋_GB2312"/>
          <w:sz w:val="24"/>
          <w:lang w:val="zh-CN"/>
        </w:rPr>
        <w:t>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（3）项目废标或招标人终止招标的，在此后5个工作日内退还投标保证金及银行同期活期存利息。</w:t>
      </w:r>
      <w:r>
        <w:rPr>
          <w:rFonts w:hint="eastAsia" w:ascii="新宋体" w:hAnsi="新宋体" w:eastAsia="新宋体" w:cs="仿宋_GB2312"/>
          <w:sz w:val="24"/>
          <w:lang w:val="zh-CN"/>
        </w:rPr>
        <w:br w:type="textWrapping"/>
      </w:r>
      <w:r>
        <w:rPr>
          <w:rFonts w:hint="eastAsia" w:ascii="新宋体" w:hAnsi="新宋体" w:eastAsia="新宋体" w:cs="仿宋_GB2312"/>
          <w:sz w:val="24"/>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hint="eastAsia" w:ascii="新宋体" w:hAnsi="新宋体" w:eastAsia="新宋体" w:cs="仿宋_GB2312"/>
          <w:sz w:val="24"/>
        </w:rPr>
        <w:t>三楼综合股，联系电话：0374—7608880）</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（六）拒绝履行合同义务的；</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w:t>
      </w:r>
      <w:r>
        <w:rPr>
          <w:rFonts w:hint="eastAsia" w:hAnsi="宋体" w:cs="宋体"/>
          <w:sz w:val="24"/>
        </w:rPr>
        <w:t>相关法律、法规规定不予退还的其它情形。</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 xml:space="preserve"> 3.5 资格审查资料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3.5.1“投标人基本情况表”应附</w:t>
      </w:r>
      <w:r>
        <w:rPr>
          <w:rFonts w:ascii="宋体" w:hAnsi="宋体" w:cs="宋体"/>
          <w:sz w:val="24"/>
        </w:rPr>
        <w:t>附</w:t>
      </w:r>
      <w:r>
        <w:rPr>
          <w:rFonts w:hint="eastAsia" w:ascii="宋体" w:hAnsi="宋体" w:cs="宋体"/>
          <w:sz w:val="24"/>
        </w:rPr>
        <w:t>企业法人</w:t>
      </w:r>
      <w:r>
        <w:rPr>
          <w:rFonts w:ascii="宋体" w:hAnsi="宋体" w:cs="宋体"/>
          <w:sz w:val="24"/>
        </w:rPr>
        <w:t>营业执照副本</w:t>
      </w:r>
      <w:r>
        <w:rPr>
          <w:rFonts w:hint="eastAsia" w:ascii="宋体" w:hAnsi="宋体" w:cs="宋体"/>
          <w:sz w:val="24"/>
        </w:rPr>
        <w:t>、施工资质证书副本、安全生产许可证副本、基本账户开户许可证的原件扫描件（或图片）。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3.5.3 “近年完成类似工程的情况”应附合同和中标通知书或竣工验收表原件扫描件（或图片），具体年份要求见投标人要求前附表。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3.5.4“正在施工的和新承接的工程情况” 应附中标通知书和合同协议书原件扫描件（或图片）。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3.5.5“近年发生的诉讼及仲裁情况”应说明相关情况，应附法院或仲裁机构作出的判决、裁决等相关文件原件扫描件（或图片），具体年份要求件投标人要求前附表。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3.5.6中标单位负责在项目建设中涉及地方关系等方面的协调,并承担由此产生的费用；同时对施工过程中的一切安全问题负责，投标人应对此项作出承诺，否则按废标处理。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 xml:space="preserve"> 3.6备选投标方案（不需要）</w:t>
      </w:r>
    </w:p>
    <w:p>
      <w:pPr>
        <w:autoSpaceDE w:val="0"/>
        <w:autoSpaceDN w:val="0"/>
        <w:adjustRightInd w:val="0"/>
        <w:snapToGrid w:val="0"/>
        <w:spacing w:line="360" w:lineRule="auto"/>
        <w:jc w:val="left"/>
        <w:rPr>
          <w:rFonts w:ascii="宋体" w:hAnsi="宋体" w:cs="宋体"/>
          <w:b/>
          <w:sz w:val="24"/>
        </w:rPr>
      </w:pPr>
      <w:bookmarkStart w:id="53" w:name="_Toc215282152"/>
      <w:r>
        <w:rPr>
          <w:rFonts w:hint="eastAsia" w:ascii="宋体" w:hAnsi="宋体" w:cs="宋体"/>
          <w:b/>
          <w:sz w:val="24"/>
        </w:rPr>
        <w:t xml:space="preserve"> 3.7 投标文件的编制</w:t>
      </w:r>
      <w:bookmarkEnd w:id="53"/>
    </w:p>
    <w:p>
      <w:pPr>
        <w:autoSpaceDE w:val="0"/>
        <w:autoSpaceDN w:val="0"/>
        <w:adjustRightInd w:val="0"/>
        <w:snapToGrid w:val="0"/>
        <w:spacing w:line="360" w:lineRule="auto"/>
        <w:jc w:val="left"/>
        <w:rPr>
          <w:rFonts w:ascii="宋体" w:hAnsi="宋体" w:cs="宋体"/>
          <w:sz w:val="24"/>
        </w:rPr>
      </w:pPr>
      <w:bookmarkStart w:id="54" w:name="_Toc215282154"/>
      <w:bookmarkStart w:id="55" w:name="_Toc23256"/>
      <w:bookmarkStart w:id="56" w:name="_Toc215282153"/>
      <w:r>
        <w:rPr>
          <w:rFonts w:hint="eastAsia" w:ascii="宋体" w:hAnsi="宋体" w:cs="宋体"/>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3.7.2 投标文件应当对招标文件有关工期、投标有效期、质量要求、招标范围作出响应。</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3.7.3 投标人编制的投标文件应分为商务标、综合标和技术标。</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3.7.4 投标人登录许昌公共资源交易系统下载“许昌投标文件制作系统SEARUN V1.1”，按招标文件要求制作电子投标文件（包括含工程量清单的商务标投标文件）。</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3.7.5 当生成的电子投标文件投标报价大小写不一致时，以大写为准。</w:t>
      </w:r>
    </w:p>
    <w:bookmarkEnd w:id="54"/>
    <w:bookmarkEnd w:id="55"/>
    <w:bookmarkEnd w:id="56"/>
    <w:p>
      <w:pPr>
        <w:autoSpaceDE w:val="0"/>
        <w:autoSpaceDN w:val="0"/>
        <w:adjustRightInd w:val="0"/>
        <w:spacing w:line="460" w:lineRule="exact"/>
        <w:jc w:val="left"/>
        <w:rPr>
          <w:rFonts w:hAnsi="宋体" w:cs="宋体"/>
          <w:sz w:val="24"/>
        </w:rPr>
      </w:pPr>
      <w:bookmarkStart w:id="57" w:name="_Toc419"/>
      <w:bookmarkStart w:id="58" w:name="_Toc215282160"/>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42"/>
        <w:spacing w:line="440" w:lineRule="exact"/>
        <w:jc w:val="both"/>
        <w:outlineLvl w:val="0"/>
        <w:rPr>
          <w:rFonts w:hAnsi="宋体"/>
          <w:b/>
          <w:color w:val="auto"/>
        </w:rPr>
      </w:pPr>
      <w:r>
        <w:rPr>
          <w:rFonts w:hint="eastAsia" w:hAnsi="宋体"/>
          <w:b/>
          <w:color w:val="auto"/>
        </w:rPr>
        <w:t>4. 投标</w:t>
      </w:r>
    </w:p>
    <w:p>
      <w:pPr>
        <w:autoSpaceDE w:val="0"/>
        <w:autoSpaceDN w:val="0"/>
        <w:spacing w:line="440" w:lineRule="exact"/>
        <w:jc w:val="left"/>
        <w:outlineLvl w:val="0"/>
        <w:rPr>
          <w:rFonts w:hAnsi="宋体" w:cs="宋体"/>
          <w:b/>
          <w:sz w:val="24"/>
        </w:rPr>
      </w:pPr>
      <w:bookmarkStart w:id="59" w:name="_Toc283559967"/>
      <w:r>
        <w:rPr>
          <w:rFonts w:hint="eastAsia" w:hAnsi="宋体" w:cs="宋体"/>
          <w:b/>
          <w:sz w:val="24"/>
        </w:rPr>
        <w:t>4.1 投标文件的提交</w:t>
      </w:r>
    </w:p>
    <w:p>
      <w:pPr>
        <w:autoSpaceDE w:val="0"/>
        <w:autoSpaceDN w:val="0"/>
        <w:spacing w:line="440" w:lineRule="exact"/>
        <w:ind w:firstLine="480" w:firstLineChars="200"/>
        <w:jc w:val="left"/>
        <w:outlineLvl w:val="0"/>
        <w:rPr>
          <w:rFonts w:hAnsi="宋体" w:cs="宋体"/>
          <w:strike/>
          <w:sz w:val="24"/>
        </w:rPr>
      </w:pPr>
      <w:bookmarkStart w:id="60" w:name="_Toc283559964"/>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投标文件的修改与撤回</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42"/>
        <w:spacing w:line="440" w:lineRule="exact"/>
        <w:jc w:val="both"/>
        <w:outlineLvl w:val="0"/>
        <w:rPr>
          <w:rFonts w:hAnsi="宋体"/>
          <w:b/>
          <w:color w:val="auto"/>
        </w:rPr>
      </w:pPr>
      <w:r>
        <w:rPr>
          <w:rFonts w:hint="eastAsia" w:hAnsi="宋体"/>
          <w:b/>
          <w:color w:val="auto"/>
        </w:rPr>
        <w:t>5. 开标</w:t>
      </w:r>
      <w:bookmarkEnd w:id="59"/>
    </w:p>
    <w:p>
      <w:pPr>
        <w:autoSpaceDE w:val="0"/>
        <w:autoSpaceDN w:val="0"/>
        <w:adjustRightInd w:val="0"/>
        <w:spacing w:line="440" w:lineRule="exact"/>
        <w:jc w:val="left"/>
        <w:outlineLvl w:val="0"/>
        <w:rPr>
          <w:rFonts w:hAnsi="宋体" w:cs="宋体"/>
          <w:b/>
          <w:sz w:val="24"/>
        </w:rPr>
      </w:pPr>
      <w:bookmarkStart w:id="61" w:name="_Toc283559968"/>
      <w:r>
        <w:rPr>
          <w:rFonts w:hint="eastAsia" w:hAnsi="宋体" w:cs="宋体"/>
          <w:b/>
          <w:sz w:val="24"/>
        </w:rPr>
        <w:t>5.1 开标时间和地点</w:t>
      </w:r>
      <w:bookmarkEnd w:id="61"/>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cs="宋体"/>
          <w:sz w:val="24"/>
        </w:rPr>
      </w:pPr>
      <w:r>
        <w:rPr>
          <w:rFonts w:hint="eastAsia" w:hAnsi="宋体" w:cs="宋体"/>
          <w:sz w:val="24"/>
        </w:rPr>
        <w:t>（6）招标人（代理机构）签章并上传《开标记录表》，不见面开标活动结束。</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End w:id="57"/>
      <w:bookmarkEnd w:id="58"/>
      <w:bookmarkStart w:id="62"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3" w:name="_Toc215282162"/>
      <w:r>
        <w:rPr>
          <w:rFonts w:hint="eastAsia" w:ascii="宋体" w:hAnsi="宋体" w:cs="宋体"/>
          <w:b/>
          <w:sz w:val="24"/>
        </w:rPr>
        <w:t>6.2 评标原则</w:t>
      </w:r>
      <w:bookmarkEnd w:id="6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4" w:name="_Toc215282163"/>
      <w:r>
        <w:rPr>
          <w:rFonts w:hint="eastAsia" w:ascii="宋体" w:hAnsi="宋体" w:cs="宋体"/>
          <w:b/>
          <w:sz w:val="24"/>
        </w:rPr>
        <w:t>6.3 评标</w:t>
      </w:r>
      <w:bookmarkEnd w:id="6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5" w:name="_Toc215282164"/>
      <w:bookmarkStart w:id="66" w:name="_Toc23856"/>
      <w:r>
        <w:rPr>
          <w:rFonts w:hint="eastAsia" w:ascii="宋体" w:hAnsi="宋体" w:cs="宋体"/>
          <w:b/>
          <w:sz w:val="24"/>
        </w:rPr>
        <w:t>7. 合同授予</w:t>
      </w:r>
      <w:bookmarkEnd w:id="65"/>
      <w:bookmarkEnd w:id="66"/>
    </w:p>
    <w:p>
      <w:pPr>
        <w:autoSpaceDE w:val="0"/>
        <w:autoSpaceDN w:val="0"/>
        <w:adjustRightInd w:val="0"/>
        <w:snapToGrid w:val="0"/>
        <w:spacing w:line="360" w:lineRule="auto"/>
        <w:jc w:val="left"/>
        <w:rPr>
          <w:rFonts w:ascii="宋体" w:hAnsi="宋体" w:cs="宋体"/>
          <w:b/>
          <w:sz w:val="24"/>
        </w:rPr>
      </w:pPr>
      <w:bookmarkStart w:id="67" w:name="_Toc215282165"/>
      <w:r>
        <w:rPr>
          <w:rFonts w:hint="eastAsia" w:ascii="宋体" w:hAnsi="宋体" w:cs="宋体"/>
          <w:b/>
          <w:sz w:val="24"/>
        </w:rPr>
        <w:t>7.1 定标方式</w:t>
      </w:r>
      <w:bookmarkEnd w:id="67"/>
    </w:p>
    <w:p>
      <w:pPr>
        <w:adjustRightInd w:val="0"/>
        <w:snapToGrid w:val="0"/>
        <w:spacing w:line="360" w:lineRule="auto"/>
        <w:ind w:firstLine="480" w:firstLineChars="200"/>
        <w:rPr>
          <w:rFonts w:ascii="宋体" w:hAnsi="宋体" w:cs="宋体"/>
          <w:sz w:val="24"/>
        </w:rPr>
      </w:pPr>
      <w:bookmarkStart w:id="68"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7.2 中标通知</w:t>
      </w:r>
      <w:bookmarkEnd w:id="6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在本章第 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ascii="宋体" w:hAnsi="宋体" w:cs="宋体"/>
          <w:b/>
          <w:sz w:val="24"/>
        </w:rPr>
      </w:pPr>
      <w:bookmarkStart w:id="69" w:name="_Toc152042345"/>
      <w:bookmarkStart w:id="70" w:name="_Toc179632587"/>
      <w:bookmarkStart w:id="71" w:name="_Toc144974537"/>
      <w:bookmarkStart w:id="72" w:name="_Toc152045569"/>
      <w:bookmarkStart w:id="73" w:name="_Toc215282169"/>
      <w:r>
        <w:rPr>
          <w:rFonts w:hint="eastAsia" w:ascii="宋体" w:hAnsi="宋体" w:cs="宋体"/>
          <w:b/>
          <w:sz w:val="24"/>
        </w:rPr>
        <w:t>7.3</w:t>
      </w:r>
      <w:bookmarkEnd w:id="69"/>
      <w:bookmarkEnd w:id="70"/>
      <w:bookmarkEnd w:id="71"/>
      <w:bookmarkEnd w:id="72"/>
      <w:r>
        <w:rPr>
          <w:rFonts w:hint="eastAsia" w:ascii="宋体" w:hAnsi="宋体" w:cs="宋体"/>
          <w:b/>
          <w:sz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 2 中标人不能按本章第7. 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b/>
          <w:sz w:val="24"/>
        </w:rPr>
      </w:pPr>
      <w:bookmarkStart w:id="74" w:name="_Toc152042346"/>
      <w:bookmarkStart w:id="75" w:name="_Toc179632588"/>
      <w:bookmarkStart w:id="76" w:name="_Toc144974538"/>
      <w:bookmarkStart w:id="77" w:name="_Toc152045570"/>
      <w:r>
        <w:rPr>
          <w:rFonts w:hint="eastAsia" w:ascii="宋体" w:hAnsi="宋体" w:cs="宋体"/>
          <w:b/>
          <w:sz w:val="24"/>
        </w:rPr>
        <w:t>7.4 签订合同</w:t>
      </w:r>
      <w:bookmarkEnd w:id="74"/>
      <w:bookmarkEnd w:id="75"/>
      <w:bookmarkEnd w:id="76"/>
      <w:bookmarkEnd w:id="77"/>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78"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78"/>
    </w:p>
    <w:p>
      <w:pPr>
        <w:autoSpaceDE w:val="0"/>
        <w:autoSpaceDN w:val="0"/>
        <w:adjustRightInd w:val="0"/>
        <w:snapToGrid w:val="0"/>
        <w:spacing w:line="360" w:lineRule="auto"/>
        <w:jc w:val="left"/>
        <w:rPr>
          <w:rFonts w:ascii="宋体" w:hAnsi="宋体" w:cs="宋体"/>
          <w:b/>
          <w:sz w:val="24"/>
        </w:rPr>
      </w:pPr>
      <w:bookmarkStart w:id="79" w:name="_Toc19935"/>
      <w:r>
        <w:rPr>
          <w:rFonts w:hint="eastAsia" w:ascii="宋体" w:hAnsi="宋体" w:cs="宋体"/>
          <w:b/>
          <w:sz w:val="24"/>
        </w:rPr>
        <w:t>8. 重新招标和不再招标</w:t>
      </w:r>
      <w:bookmarkEnd w:id="73"/>
      <w:bookmarkEnd w:id="79"/>
    </w:p>
    <w:p>
      <w:pPr>
        <w:autoSpaceDE w:val="0"/>
        <w:autoSpaceDN w:val="0"/>
        <w:adjustRightInd w:val="0"/>
        <w:snapToGrid w:val="0"/>
        <w:spacing w:line="360" w:lineRule="auto"/>
        <w:jc w:val="left"/>
        <w:rPr>
          <w:rFonts w:ascii="宋体" w:hAnsi="宋体" w:cs="宋体"/>
          <w:b/>
          <w:sz w:val="24"/>
        </w:rPr>
      </w:pPr>
      <w:bookmarkStart w:id="80" w:name="_Toc215282170"/>
      <w:r>
        <w:rPr>
          <w:rFonts w:hint="eastAsia" w:ascii="宋体" w:hAnsi="宋体" w:cs="宋体"/>
          <w:b/>
          <w:sz w:val="24"/>
        </w:rPr>
        <w:t>8.1 重新招标</w:t>
      </w:r>
      <w:bookmarkEnd w:id="8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1"/>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81" w:name="_Toc215282171"/>
      <w:r>
        <w:rPr>
          <w:rFonts w:hint="eastAsia" w:ascii="宋体" w:hAnsi="宋体" w:cs="宋体"/>
          <w:b/>
          <w:sz w:val="24"/>
        </w:rPr>
        <w:t>8.2 不再招标</w:t>
      </w:r>
      <w:bookmarkEnd w:id="8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82" w:name="_Toc215282172"/>
      <w:bookmarkStart w:id="83" w:name="_Toc26940"/>
      <w:r>
        <w:rPr>
          <w:rFonts w:hint="eastAsia" w:ascii="宋体" w:hAnsi="宋体" w:cs="宋体"/>
          <w:b/>
          <w:sz w:val="24"/>
        </w:rPr>
        <w:t>9. 纪律和监督</w:t>
      </w:r>
      <w:bookmarkEnd w:id="82"/>
      <w:bookmarkEnd w:id="83"/>
    </w:p>
    <w:p>
      <w:pPr>
        <w:autoSpaceDE w:val="0"/>
        <w:autoSpaceDN w:val="0"/>
        <w:adjustRightInd w:val="0"/>
        <w:snapToGrid w:val="0"/>
        <w:spacing w:line="360" w:lineRule="auto"/>
        <w:ind w:firstLine="480" w:firstLineChars="200"/>
        <w:jc w:val="left"/>
        <w:rPr>
          <w:rFonts w:ascii="宋体" w:hAnsi="宋体" w:cs="宋体"/>
          <w:sz w:val="24"/>
        </w:rPr>
      </w:pPr>
      <w:bookmarkStart w:id="84" w:name="_Toc215282173"/>
      <w:r>
        <w:rPr>
          <w:rFonts w:hint="eastAsia" w:ascii="宋体" w:hAnsi="宋体" w:cs="宋体"/>
          <w:sz w:val="24"/>
        </w:rPr>
        <w:t>9.1 对招标人的纪律要求</w:t>
      </w:r>
      <w:bookmarkEnd w:id="8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85" w:name="_Toc215282174"/>
      <w:r>
        <w:rPr>
          <w:rFonts w:hint="eastAsia" w:ascii="宋体" w:hAnsi="宋体" w:cs="宋体"/>
          <w:sz w:val="24"/>
        </w:rPr>
        <w:t>9.2 对投标人的纪律要求</w:t>
      </w:r>
      <w:bookmarkEnd w:id="8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86" w:name="_Toc215282175"/>
      <w:r>
        <w:rPr>
          <w:rFonts w:hint="eastAsia" w:ascii="宋体" w:hAnsi="宋体" w:cs="宋体"/>
          <w:sz w:val="24"/>
        </w:rPr>
        <w:t>9.3 对评标委员会成员的纪律要求</w:t>
      </w:r>
      <w:bookmarkEnd w:id="8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87" w:name="_Toc215282176"/>
      <w:r>
        <w:rPr>
          <w:rFonts w:hint="eastAsia" w:ascii="宋体" w:hAnsi="宋体" w:cs="宋体"/>
          <w:sz w:val="24"/>
        </w:rPr>
        <w:t>9.4 对与评标活动有关的工作人员的纪律要求</w:t>
      </w:r>
      <w:bookmarkEnd w:id="87"/>
    </w:p>
    <w:p>
      <w:pPr>
        <w:autoSpaceDE w:val="0"/>
        <w:autoSpaceDN w:val="0"/>
        <w:adjustRightInd w:val="0"/>
        <w:snapToGrid w:val="0"/>
        <w:spacing w:line="360" w:lineRule="auto"/>
        <w:ind w:firstLine="480" w:firstLineChars="200"/>
        <w:jc w:val="left"/>
        <w:rPr>
          <w:rFonts w:ascii="宋体" w:hAnsi="宋体" w:cs="宋体"/>
          <w:sz w:val="24"/>
        </w:rPr>
      </w:pPr>
      <w:bookmarkStart w:id="8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8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89" w:name="_Toc10389"/>
      <w:r>
        <w:rPr>
          <w:rFonts w:hint="eastAsia" w:ascii="宋体" w:hAnsi="宋体" w:cs="宋体"/>
          <w:b/>
          <w:sz w:val="24"/>
        </w:rPr>
        <w:t>10.需要补充的其他内容</w:t>
      </w:r>
      <w:bookmarkEnd w:id="89"/>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pacing w:line="312" w:lineRule="auto"/>
        <w:jc w:val="left"/>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附表一：开标记录表</w:t>
      </w:r>
    </w:p>
    <w:p>
      <w:pPr>
        <w:spacing w:line="312" w:lineRule="auto"/>
        <w:jc w:val="center"/>
        <w:rPr>
          <w:b/>
          <w:bCs/>
          <w:sz w:val="28"/>
          <w:szCs w:val="28"/>
        </w:rPr>
      </w:pPr>
      <w:r>
        <w:rPr>
          <w:rFonts w:hint="eastAsia"/>
          <w:b/>
          <w:bCs/>
          <w:sz w:val="28"/>
          <w:szCs w:val="28"/>
        </w:rPr>
        <w:t xml:space="preserve"> 开 标 记 录</w:t>
      </w:r>
    </w:p>
    <w:p>
      <w:pPr>
        <w:spacing w:line="312" w:lineRule="auto"/>
        <w:rPr>
          <w:sz w:val="24"/>
        </w:rPr>
      </w:pPr>
      <w:r>
        <w:rPr>
          <w:rFonts w:hint="eastAsia"/>
          <w:sz w:val="24"/>
        </w:rPr>
        <w:t xml:space="preserve">                                                                年  月  日</w:t>
      </w:r>
    </w:p>
    <w:tbl>
      <w:tblPr>
        <w:tblStyle w:val="1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42"/>
        <w:gridCol w:w="929"/>
        <w:gridCol w:w="727"/>
        <w:gridCol w:w="1153"/>
        <w:gridCol w:w="948"/>
        <w:gridCol w:w="720"/>
        <w:gridCol w:w="840"/>
        <w:gridCol w:w="720"/>
        <w:gridCol w:w="18"/>
        <w:gridCol w:w="10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68" w:type="dxa"/>
            <w:gridSpan w:val="2"/>
          </w:tcPr>
          <w:p>
            <w:pPr>
              <w:spacing w:line="312" w:lineRule="auto"/>
              <w:rPr>
                <w:sz w:val="24"/>
              </w:rPr>
            </w:pPr>
            <w:r>
              <w:rPr>
                <w:rFonts w:hint="eastAsia"/>
                <w:sz w:val="24"/>
              </w:rPr>
              <w:t>招标单位</w:t>
            </w:r>
          </w:p>
        </w:tc>
        <w:tc>
          <w:tcPr>
            <w:tcW w:w="7905" w:type="dxa"/>
            <w:gridSpan w:val="10"/>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68" w:type="dxa"/>
            <w:gridSpan w:val="2"/>
          </w:tcPr>
          <w:p>
            <w:pPr>
              <w:spacing w:line="312" w:lineRule="auto"/>
              <w:rPr>
                <w:sz w:val="24"/>
              </w:rPr>
            </w:pPr>
            <w:r>
              <w:rPr>
                <w:rFonts w:hint="eastAsia"/>
                <w:sz w:val="24"/>
              </w:rPr>
              <w:t>项目名称</w:t>
            </w:r>
          </w:p>
        </w:tc>
        <w:tc>
          <w:tcPr>
            <w:tcW w:w="7905" w:type="dxa"/>
            <w:gridSpan w:val="10"/>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68" w:type="dxa"/>
            <w:gridSpan w:val="2"/>
          </w:tcPr>
          <w:p>
            <w:pPr>
              <w:spacing w:line="312" w:lineRule="auto"/>
              <w:rPr>
                <w:sz w:val="24"/>
              </w:rPr>
            </w:pPr>
            <w:r>
              <w:rPr>
                <w:rFonts w:hint="eastAsia"/>
                <w:sz w:val="24"/>
              </w:rPr>
              <w:t>开标地点</w:t>
            </w:r>
          </w:p>
        </w:tc>
        <w:tc>
          <w:tcPr>
            <w:tcW w:w="7905" w:type="dxa"/>
            <w:gridSpan w:val="10"/>
          </w:tcPr>
          <w:p>
            <w:pPr>
              <w:spacing w:line="312" w:lineRule="auto"/>
              <w:rPr>
                <w:sz w:val="24"/>
              </w:rPr>
            </w:pPr>
            <w:r>
              <w:rPr>
                <w:rFonts w:hint="eastAsia"/>
                <w:sz w:val="24"/>
              </w:rPr>
              <w:t>鄢陵县公共资源交易中心开标（  ）室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26" w:type="dxa"/>
            <w:vMerge w:val="restart"/>
            <w:vAlign w:val="center"/>
          </w:tcPr>
          <w:p>
            <w:pPr>
              <w:spacing w:line="312" w:lineRule="auto"/>
              <w:rPr>
                <w:sz w:val="24"/>
              </w:rPr>
            </w:pPr>
            <w:r>
              <w:rPr>
                <w:rFonts w:hint="eastAsia"/>
                <w:sz w:val="24"/>
              </w:rPr>
              <w:t>投标</w:t>
            </w:r>
          </w:p>
          <w:p>
            <w:pPr>
              <w:spacing w:line="312" w:lineRule="auto"/>
              <w:rPr>
                <w:sz w:val="24"/>
              </w:rPr>
            </w:pPr>
            <w:r>
              <w:rPr>
                <w:rFonts w:hint="eastAsia"/>
                <w:sz w:val="24"/>
              </w:rPr>
              <w:t>文件</w:t>
            </w:r>
          </w:p>
          <w:p>
            <w:pPr>
              <w:spacing w:line="312" w:lineRule="auto"/>
              <w:rPr>
                <w:sz w:val="24"/>
              </w:rPr>
            </w:pPr>
            <w:r>
              <w:rPr>
                <w:rFonts w:hint="eastAsia"/>
                <w:sz w:val="24"/>
              </w:rPr>
              <w:t>的主</w:t>
            </w:r>
          </w:p>
          <w:p>
            <w:pPr>
              <w:spacing w:line="312" w:lineRule="auto"/>
              <w:rPr>
                <w:sz w:val="24"/>
              </w:rPr>
            </w:pPr>
            <w:r>
              <w:rPr>
                <w:rFonts w:hint="eastAsia"/>
                <w:sz w:val="24"/>
              </w:rPr>
              <w:t>要内</w:t>
            </w:r>
          </w:p>
          <w:p>
            <w:pPr>
              <w:spacing w:line="312" w:lineRule="auto"/>
              <w:rPr>
                <w:sz w:val="24"/>
              </w:rPr>
            </w:pPr>
            <w:r>
              <w:rPr>
                <w:rFonts w:hint="eastAsia"/>
                <w:sz w:val="24"/>
              </w:rPr>
              <w:t>容</w:t>
            </w:r>
          </w:p>
        </w:tc>
        <w:tc>
          <w:tcPr>
            <w:tcW w:w="2698" w:type="dxa"/>
            <w:gridSpan w:val="3"/>
            <w:vAlign w:val="center"/>
          </w:tcPr>
          <w:p>
            <w:pPr>
              <w:spacing w:line="312" w:lineRule="auto"/>
              <w:jc w:val="center"/>
              <w:rPr>
                <w:sz w:val="24"/>
              </w:rPr>
            </w:pPr>
            <w:r>
              <w:rPr>
                <w:rFonts w:hint="eastAsia"/>
                <w:sz w:val="24"/>
              </w:rPr>
              <w:t>投标单位</w:t>
            </w:r>
          </w:p>
        </w:tc>
        <w:tc>
          <w:tcPr>
            <w:tcW w:w="1153" w:type="dxa"/>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报价</w:t>
            </w:r>
          </w:p>
          <w:p>
            <w:pPr>
              <w:spacing w:line="312" w:lineRule="auto"/>
              <w:jc w:val="center"/>
              <w:rPr>
                <w:sz w:val="24"/>
              </w:rPr>
            </w:pPr>
            <w:r>
              <w:rPr>
                <w:rFonts w:hint="eastAsia"/>
                <w:sz w:val="24"/>
              </w:rPr>
              <w:t>（万元）</w:t>
            </w:r>
          </w:p>
        </w:tc>
        <w:tc>
          <w:tcPr>
            <w:tcW w:w="948" w:type="dxa"/>
            <w:vAlign w:val="center"/>
          </w:tcPr>
          <w:p>
            <w:pPr>
              <w:spacing w:line="312" w:lineRule="auto"/>
              <w:jc w:val="center"/>
              <w:rPr>
                <w:sz w:val="24"/>
              </w:rPr>
            </w:pPr>
            <w:r>
              <w:rPr>
                <w:rFonts w:hint="eastAsia"/>
                <w:sz w:val="24"/>
              </w:rPr>
              <w:t>工期</w:t>
            </w:r>
          </w:p>
          <w:p>
            <w:pPr>
              <w:spacing w:line="312" w:lineRule="auto"/>
              <w:jc w:val="center"/>
              <w:rPr>
                <w:sz w:val="24"/>
              </w:rPr>
            </w:pPr>
            <w:r>
              <w:rPr>
                <w:rFonts w:hint="eastAsia"/>
                <w:sz w:val="24"/>
              </w:rPr>
              <w:t>（日历天）</w:t>
            </w:r>
          </w:p>
        </w:tc>
        <w:tc>
          <w:tcPr>
            <w:tcW w:w="720" w:type="dxa"/>
            <w:vAlign w:val="center"/>
          </w:tcPr>
          <w:p>
            <w:pPr>
              <w:spacing w:line="312" w:lineRule="auto"/>
              <w:jc w:val="center"/>
              <w:rPr>
                <w:sz w:val="24"/>
              </w:rPr>
            </w:pPr>
            <w:r>
              <w:rPr>
                <w:rFonts w:hint="eastAsia"/>
                <w:sz w:val="24"/>
              </w:rPr>
              <w:t>质量要求</w:t>
            </w:r>
          </w:p>
        </w:tc>
        <w:tc>
          <w:tcPr>
            <w:tcW w:w="840" w:type="dxa"/>
            <w:vAlign w:val="center"/>
          </w:tcPr>
          <w:p>
            <w:pPr>
              <w:spacing w:line="312" w:lineRule="auto"/>
              <w:jc w:val="center"/>
              <w:rPr>
                <w:color w:val="FF0000"/>
                <w:sz w:val="24"/>
              </w:rPr>
            </w:pPr>
            <w:r>
              <w:rPr>
                <w:rFonts w:hint="eastAsia"/>
                <w:sz w:val="24"/>
              </w:rPr>
              <w:t>拟派项目负责人</w:t>
            </w:r>
          </w:p>
        </w:tc>
        <w:tc>
          <w:tcPr>
            <w:tcW w:w="738" w:type="dxa"/>
            <w:gridSpan w:val="2"/>
            <w:vAlign w:val="center"/>
          </w:tcPr>
          <w:p>
            <w:pPr>
              <w:spacing w:line="312" w:lineRule="auto"/>
              <w:jc w:val="center"/>
              <w:rPr>
                <w:sz w:val="24"/>
              </w:rPr>
            </w:pPr>
            <w:r>
              <w:rPr>
                <w:rFonts w:hint="eastAsia"/>
                <w:sz w:val="24"/>
              </w:rPr>
              <w:t>密封</w:t>
            </w:r>
          </w:p>
          <w:p>
            <w:pPr>
              <w:spacing w:line="312" w:lineRule="auto"/>
              <w:jc w:val="center"/>
              <w:rPr>
                <w:sz w:val="24"/>
              </w:rPr>
            </w:pPr>
            <w:r>
              <w:rPr>
                <w:rFonts w:hint="eastAsia"/>
                <w:sz w:val="24"/>
              </w:rPr>
              <w:t>情况</w:t>
            </w:r>
          </w:p>
        </w:tc>
        <w:tc>
          <w:tcPr>
            <w:tcW w:w="1022" w:type="dxa"/>
            <w:vAlign w:val="center"/>
          </w:tcPr>
          <w:p>
            <w:pPr>
              <w:spacing w:line="312" w:lineRule="auto"/>
              <w:jc w:val="center"/>
              <w:rPr>
                <w:sz w:val="24"/>
              </w:rPr>
            </w:pPr>
            <w:r>
              <w:rPr>
                <w:rFonts w:hint="eastAsia"/>
                <w:sz w:val="24"/>
              </w:rPr>
              <w:t>对本次开标过程是否有异议</w:t>
            </w:r>
          </w:p>
        </w:tc>
        <w:tc>
          <w:tcPr>
            <w:tcW w:w="828" w:type="dxa"/>
            <w:vAlign w:val="center"/>
          </w:tcPr>
          <w:p>
            <w:pPr>
              <w:spacing w:line="312" w:lineRule="auto"/>
              <w:jc w:val="center"/>
              <w:rPr>
                <w:sz w:val="24"/>
              </w:rPr>
            </w:pPr>
            <w:r>
              <w:rPr>
                <w:rFonts w:hint="eastAsia"/>
                <w:sz w:val="24"/>
              </w:rPr>
              <w:t>签字</w:t>
            </w:r>
          </w:p>
          <w:p>
            <w:pPr>
              <w:spacing w:line="312" w:lineRule="auto"/>
              <w:jc w:val="center"/>
              <w:rPr>
                <w:sz w:val="24"/>
              </w:rPr>
            </w:pPr>
            <w:r>
              <w:rPr>
                <w:rFonts w:hint="eastAsia"/>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tcPr>
          <w:p>
            <w:pPr>
              <w:spacing w:line="312" w:lineRule="auto"/>
              <w:rPr>
                <w:sz w:val="24"/>
              </w:rPr>
            </w:pPr>
          </w:p>
        </w:tc>
        <w:tc>
          <w:tcPr>
            <w:tcW w:w="1153" w:type="dxa"/>
          </w:tcPr>
          <w:p>
            <w:pPr>
              <w:spacing w:line="312" w:lineRule="auto"/>
              <w:rPr>
                <w:sz w:val="24"/>
              </w:rPr>
            </w:pPr>
          </w:p>
        </w:tc>
        <w:tc>
          <w:tcPr>
            <w:tcW w:w="948" w:type="dxa"/>
          </w:tcPr>
          <w:p>
            <w:pPr>
              <w:spacing w:line="312" w:lineRule="auto"/>
              <w:rPr>
                <w:sz w:val="24"/>
              </w:rPr>
            </w:pPr>
          </w:p>
        </w:tc>
        <w:tc>
          <w:tcPr>
            <w:tcW w:w="720" w:type="dxa"/>
          </w:tcPr>
          <w:p>
            <w:pPr>
              <w:spacing w:line="312" w:lineRule="auto"/>
              <w:rPr>
                <w:sz w:val="24"/>
              </w:rPr>
            </w:pPr>
          </w:p>
        </w:tc>
        <w:tc>
          <w:tcPr>
            <w:tcW w:w="840" w:type="dxa"/>
          </w:tcPr>
          <w:p>
            <w:pPr>
              <w:spacing w:line="312" w:lineRule="auto"/>
              <w:rPr>
                <w:sz w:val="24"/>
              </w:rPr>
            </w:pPr>
          </w:p>
        </w:tc>
        <w:tc>
          <w:tcPr>
            <w:tcW w:w="738" w:type="dxa"/>
            <w:gridSpan w:val="2"/>
          </w:tcPr>
          <w:p>
            <w:pPr>
              <w:spacing w:line="312" w:lineRule="auto"/>
              <w:rPr>
                <w:sz w:val="24"/>
              </w:rPr>
            </w:pPr>
          </w:p>
        </w:tc>
        <w:tc>
          <w:tcPr>
            <w:tcW w:w="1022" w:type="dxa"/>
          </w:tcPr>
          <w:p>
            <w:pPr>
              <w:spacing w:line="312" w:lineRule="auto"/>
              <w:rPr>
                <w:sz w:val="24"/>
              </w:rPr>
            </w:pPr>
          </w:p>
        </w:tc>
        <w:tc>
          <w:tcPr>
            <w:tcW w:w="828" w:type="dxa"/>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招标控制价</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ascii="宋体" w:hAnsi="宋体"/>
                <w:sz w:val="24"/>
              </w:rPr>
              <w:t>K值</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97" w:type="dxa"/>
            <w:gridSpan w:val="3"/>
            <w:vAlign w:val="center"/>
          </w:tcPr>
          <w:p>
            <w:pPr>
              <w:spacing w:line="312" w:lineRule="auto"/>
              <w:jc w:val="center"/>
              <w:rPr>
                <w:sz w:val="24"/>
              </w:rPr>
            </w:pPr>
            <w:r>
              <w:rPr>
                <w:rFonts w:hint="eastAsia"/>
                <w:sz w:val="24"/>
              </w:rPr>
              <w:t>目标工期</w:t>
            </w:r>
          </w:p>
        </w:tc>
        <w:tc>
          <w:tcPr>
            <w:tcW w:w="2828" w:type="dxa"/>
            <w:gridSpan w:val="3"/>
            <w:vAlign w:val="center"/>
          </w:tcPr>
          <w:p>
            <w:pPr>
              <w:spacing w:line="312" w:lineRule="auto"/>
              <w:jc w:val="center"/>
              <w:rPr>
                <w:sz w:val="24"/>
              </w:rPr>
            </w:pPr>
            <w:r>
              <w:rPr>
                <w:rFonts w:hint="eastAsia"/>
                <w:sz w:val="24"/>
              </w:rPr>
              <w:t>日历天</w:t>
            </w:r>
          </w:p>
        </w:tc>
        <w:tc>
          <w:tcPr>
            <w:tcW w:w="2280" w:type="dxa"/>
            <w:gridSpan w:val="3"/>
            <w:vAlign w:val="center"/>
          </w:tcPr>
          <w:p>
            <w:pPr>
              <w:spacing w:line="312" w:lineRule="auto"/>
              <w:jc w:val="center"/>
              <w:rPr>
                <w:sz w:val="24"/>
              </w:rPr>
            </w:pPr>
            <w:r>
              <w:rPr>
                <w:rFonts w:hint="eastAsia"/>
                <w:sz w:val="24"/>
              </w:rPr>
              <w:t>质量要求</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 标 人</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sz w:val="24"/>
              </w:rPr>
              <w:t>代理机构人员</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97" w:type="dxa"/>
            <w:gridSpan w:val="3"/>
            <w:vAlign w:val="center"/>
          </w:tcPr>
          <w:p>
            <w:pPr>
              <w:spacing w:line="312" w:lineRule="auto"/>
              <w:jc w:val="center"/>
              <w:rPr>
                <w:sz w:val="24"/>
              </w:rPr>
            </w:pPr>
            <w:r>
              <w:rPr>
                <w:rFonts w:hint="eastAsia"/>
                <w:sz w:val="24"/>
              </w:rPr>
              <w:t>监督人员</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sz w:val="24"/>
              </w:rPr>
              <w:t>中心见证人员</w:t>
            </w:r>
          </w:p>
        </w:tc>
        <w:tc>
          <w:tcPr>
            <w:tcW w:w="1868" w:type="dxa"/>
            <w:gridSpan w:val="3"/>
          </w:tcPr>
          <w:p>
            <w:pPr>
              <w:spacing w:line="312" w:lineRule="auto"/>
              <w:rPr>
                <w:sz w:val="24"/>
              </w:rPr>
            </w:pPr>
          </w:p>
        </w:tc>
      </w:tr>
    </w:tbl>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pStyle w:val="2"/>
        <w:ind w:firstLine="210"/>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outlineLvl w:val="2"/>
        <w:rPr>
          <w:rFonts w:ascii="宋体" w:hAnsi="宋体" w:cs="宋体"/>
          <w:b/>
          <w:sz w:val="24"/>
        </w:rPr>
      </w:pPr>
      <w:bookmarkStart w:id="90" w:name="_Toc32640"/>
      <w:r>
        <w:rPr>
          <w:rFonts w:hint="eastAsia" w:ascii="宋体" w:hAnsi="宋体" w:cs="宋体"/>
          <w:b/>
          <w:sz w:val="24"/>
        </w:rPr>
        <w:t>附表二：问题澄清通知</w:t>
      </w:r>
      <w:bookmarkEnd w:id="90"/>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w:t>
      </w:r>
    </w:p>
    <w:p>
      <w:pPr>
        <w:spacing w:line="312" w:lineRule="auto"/>
        <w:rPr>
          <w:rFonts w:ascii="宋体" w:hAnsi="宋体" w:cs="宋体"/>
          <w:sz w:val="24"/>
        </w:rPr>
      </w:pPr>
      <w:r>
        <w:rPr>
          <w:rFonts w:hint="eastAsia" w:ascii="宋体" w:hAnsi="宋体" w:cs="宋体"/>
          <w:sz w:val="24"/>
        </w:rPr>
        <w:t>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91" w:name="_Toc13289"/>
      <w:bookmarkStart w:id="92" w:name="_Toc22729"/>
      <w:bookmarkStart w:id="93" w:name="_Toc425"/>
      <w:bookmarkStart w:id="94" w:name="_Toc30339"/>
      <w:bookmarkStart w:id="95" w:name="_Toc18603"/>
      <w:r>
        <w:rPr>
          <w:rFonts w:hint="eastAsia" w:ascii="宋体" w:hAnsi="宋体" w:cs="宋体"/>
          <w:sz w:val="24"/>
        </w:rPr>
        <w:t>（项目名称）施工招标评标委员会（经评标委员会授权的招标人代表签字或招标人加盖单位章）</w:t>
      </w:r>
      <w:bookmarkEnd w:id="91"/>
      <w:bookmarkEnd w:id="92"/>
      <w:bookmarkEnd w:id="93"/>
      <w:bookmarkEnd w:id="94"/>
      <w:bookmarkEnd w:id="95"/>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96" w:name="_Toc25361"/>
      <w:r>
        <w:rPr>
          <w:rFonts w:hint="eastAsia" w:ascii="宋体" w:hAnsi="宋体" w:cs="宋体"/>
          <w:b/>
          <w:sz w:val="24"/>
        </w:rPr>
        <w:t>附表三：问题的澄清</w:t>
      </w:r>
      <w:bookmarkEnd w:id="96"/>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招标人代表1人组成，其中注册造价工程师不少于2人。评标委员会主任从4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440" w:lineRule="exact"/>
        <w:ind w:firstLine="480" w:firstLineChars="200"/>
        <w:rPr>
          <w:rFonts w:ascii="新宋体" w:hAnsi="新宋体" w:eastAsia="新宋体"/>
          <w:b/>
          <w:sz w:val="24"/>
        </w:rPr>
      </w:pPr>
      <w:r>
        <w:rPr>
          <w:rFonts w:hint="eastAsia" w:ascii="新宋体" w:hAnsi="新宋体" w:eastAsia="新宋体"/>
          <w:bCs/>
          <w:sz w:val="24"/>
        </w:rPr>
        <w:t>五、</w:t>
      </w:r>
      <w:r>
        <w:rPr>
          <w:rFonts w:hint="eastAsia" w:ascii="新宋体" w:hAnsi="新宋体" w:eastAsia="新宋体"/>
          <w:b/>
          <w:sz w:val="24"/>
        </w:rPr>
        <w:t>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5.1 </w:t>
      </w:r>
      <w:r>
        <w:rPr>
          <w:rFonts w:hint="eastAsia" w:ascii="新宋体" w:hAnsi="新宋体" w:eastAsia="新宋体"/>
          <w:bCs/>
          <w:sz w:val="24"/>
        </w:rPr>
        <w:t>投标文件存在下列情形之一的，按废标处理：</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bCs/>
          <w:sz w:val="24"/>
          <w:lang w:eastAsia="zh-CN"/>
        </w:rPr>
        <w:t>投标人是否对投标文件的要求和条件作出响应（包括是否按要求缴纳投标保证金）</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440" w:lineRule="exact"/>
        <w:ind w:firstLine="482" w:firstLineChars="200"/>
        <w:rPr>
          <w:b/>
        </w:rPr>
      </w:pPr>
      <w:r>
        <w:rPr>
          <w:rFonts w:hint="eastAsia" w:ascii="宋体" w:hAnsi="宋体" w:cs="宋体"/>
          <w:b/>
          <w:kern w:val="0"/>
          <w:sz w:val="24"/>
          <w:szCs w:val="22"/>
        </w:rPr>
        <w:t xml:space="preserve">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5.2投标文件存在下列情形之一的，按废标处理：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（3）规费和安全文明施工措施费违背工程造价计价有关规定的；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（6）住房和城乡建设部《标准施工招标文件》规定的其他否决条件。</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bl>
    <w:p>
      <w:pPr>
        <w:tabs>
          <w:tab w:val="left" w:pos="1260"/>
        </w:tabs>
        <w:autoSpaceDE w:val="0"/>
        <w:autoSpaceDN w:val="0"/>
        <w:adjustRightInd w:val="0"/>
        <w:spacing w:line="460" w:lineRule="exact"/>
        <w:ind w:firstLine="482" w:firstLineChars="200"/>
        <w:jc w:val="left"/>
        <w:rPr>
          <w:rFonts w:hAnsi="宋体" w:cs="宋体"/>
          <w:b/>
          <w:sz w:val="24"/>
        </w:rPr>
      </w:pPr>
      <w:r>
        <w:rPr>
          <w:rFonts w:hint="eastAsia" w:hAnsi="宋体" w:cs="宋体"/>
          <w:b/>
          <w:sz w:val="24"/>
        </w:rPr>
        <w:t>注：不在上述范围内且不具有实质性影响的内容，均不能作为清标的依据或理由。</w:t>
      </w:r>
    </w:p>
    <w:p>
      <w:pPr>
        <w:spacing w:line="400" w:lineRule="exact"/>
        <w:ind w:firstLine="482" w:firstLineChars="200"/>
        <w:rPr>
          <w:rFonts w:ascii="新宋体" w:hAnsi="新宋体" w:eastAsia="新宋体" w:cs="宋体"/>
          <w:b/>
          <w:sz w:val="24"/>
        </w:rPr>
      </w:pPr>
      <w:r>
        <w:rPr>
          <w:rFonts w:hint="eastAsia" w:ascii="新宋体" w:hAnsi="新宋体" w:eastAsia="新宋体"/>
          <w:b/>
          <w:sz w:val="24"/>
        </w:rPr>
        <w:t>六、</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cs="宋体"/>
                <w:b/>
                <w:bCs/>
                <w:szCs w:val="21"/>
              </w:rPr>
            </w:pPr>
            <w:bookmarkStart w:id="97" w:name="_Toc272833453"/>
            <w:bookmarkStart w:id="98" w:name="_Toc295572535"/>
            <w:bookmarkStart w:id="99" w:name="_Toc270931534"/>
            <w:bookmarkStart w:id="100" w:name="_Toc273546398"/>
            <w:r>
              <w:rPr>
                <w:rFonts w:hint="eastAsia" w:hAnsi="宋体" w:cs="宋体"/>
                <w:b/>
                <w:bCs/>
                <w:szCs w:val="21"/>
              </w:rPr>
              <w:t>序号</w:t>
            </w:r>
          </w:p>
        </w:tc>
        <w:tc>
          <w:tcPr>
            <w:tcW w:w="1123" w:type="dxa"/>
            <w:tcBorders>
              <w:tl2br w:val="nil"/>
              <w:tr2bl w:val="nil"/>
            </w:tcBorders>
            <w:vAlign w:val="center"/>
          </w:tcPr>
          <w:p>
            <w:pPr>
              <w:jc w:val="center"/>
              <w:rPr>
                <w:rFonts w:hAnsi="宋体" w:cs="宋体"/>
                <w:b/>
                <w:bCs/>
                <w:szCs w:val="21"/>
              </w:rPr>
            </w:pPr>
            <w:r>
              <w:rPr>
                <w:rFonts w:hint="eastAsia" w:hAnsi="宋体" w:cs="宋体"/>
                <w:b/>
                <w:bCs/>
                <w:szCs w:val="21"/>
              </w:rPr>
              <w:t>内容</w:t>
            </w:r>
          </w:p>
        </w:tc>
        <w:tc>
          <w:tcPr>
            <w:tcW w:w="980" w:type="dxa"/>
            <w:tcBorders>
              <w:tl2br w:val="nil"/>
              <w:tr2bl w:val="nil"/>
            </w:tcBorders>
            <w:vAlign w:val="center"/>
          </w:tcPr>
          <w:p>
            <w:pPr>
              <w:jc w:val="center"/>
              <w:rPr>
                <w:rFonts w:hAnsi="宋体" w:cs="宋体"/>
                <w:b/>
                <w:bCs/>
                <w:szCs w:val="21"/>
              </w:rPr>
            </w:pPr>
            <w:r>
              <w:rPr>
                <w:rFonts w:hint="eastAsia" w:hAnsi="宋体" w:cs="宋体"/>
                <w:b/>
                <w:bCs/>
                <w:szCs w:val="21"/>
              </w:rPr>
              <w:t>分值</w:t>
            </w:r>
          </w:p>
        </w:tc>
        <w:tc>
          <w:tcPr>
            <w:tcW w:w="5344" w:type="dxa"/>
            <w:tcBorders>
              <w:tl2br w:val="nil"/>
              <w:tr2bl w:val="nil"/>
            </w:tcBorders>
            <w:vAlign w:val="center"/>
          </w:tcPr>
          <w:p>
            <w:pPr>
              <w:jc w:val="center"/>
              <w:rPr>
                <w:rFonts w:hAnsi="宋体" w:cs="宋体"/>
                <w:b/>
                <w:bCs/>
                <w:szCs w:val="21"/>
              </w:rPr>
            </w:pPr>
            <w:r>
              <w:rPr>
                <w:rFonts w:hint="eastAsia" w:hAnsi="宋体" w:cs="宋体"/>
                <w:b/>
                <w:bCs/>
                <w:szCs w:val="21"/>
              </w:rPr>
              <w:t>评审标准</w:t>
            </w:r>
          </w:p>
        </w:tc>
        <w:tc>
          <w:tcPr>
            <w:tcW w:w="1241" w:type="dxa"/>
            <w:tcBorders>
              <w:tl2br w:val="nil"/>
              <w:tr2bl w:val="nil"/>
            </w:tcBorders>
            <w:vAlign w:val="center"/>
          </w:tcPr>
          <w:p>
            <w:pPr>
              <w:jc w:val="center"/>
              <w:rPr>
                <w:rFonts w:hAnsi="宋体" w:cs="宋体"/>
                <w:b/>
                <w:bCs/>
                <w:szCs w:val="21"/>
              </w:rPr>
            </w:pPr>
            <w:r>
              <w:rPr>
                <w:rFonts w:hint="eastAsia" w:hAnsi="宋体" w:cs="宋体"/>
                <w:b/>
                <w:bCs/>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Cs w:val="21"/>
              </w:rPr>
            </w:pPr>
            <w:r>
              <w:rPr>
                <w:szCs w:val="21"/>
              </w:rPr>
              <w:t>1</w:t>
            </w:r>
          </w:p>
        </w:tc>
        <w:tc>
          <w:tcPr>
            <w:tcW w:w="1123" w:type="dxa"/>
            <w:vMerge w:val="restart"/>
            <w:tcBorders>
              <w:tl2br w:val="nil"/>
              <w:tr2bl w:val="nil"/>
            </w:tcBorders>
            <w:vAlign w:val="center"/>
          </w:tcPr>
          <w:p>
            <w:pPr>
              <w:jc w:val="center"/>
              <w:rPr>
                <w:szCs w:val="21"/>
              </w:rPr>
            </w:pPr>
            <w:r>
              <w:rPr>
                <w:rFonts w:hint="eastAsia"/>
                <w:szCs w:val="21"/>
              </w:rPr>
              <w:t>内容完整性</w:t>
            </w:r>
          </w:p>
        </w:tc>
        <w:tc>
          <w:tcPr>
            <w:tcW w:w="980" w:type="dxa"/>
            <w:vMerge w:val="restart"/>
            <w:tcBorders>
              <w:tl2br w:val="nil"/>
              <w:tr2bl w:val="nil"/>
            </w:tcBorders>
            <w:vAlign w:val="center"/>
          </w:tcPr>
          <w:p>
            <w:pPr>
              <w:jc w:val="center"/>
              <w:rPr>
                <w:szCs w:val="21"/>
              </w:rPr>
            </w:pPr>
            <w:r>
              <w:rPr>
                <w:szCs w:val="21"/>
              </w:rPr>
              <w:t>0-0.5</w:t>
            </w:r>
            <w:r>
              <w:rPr>
                <w:rFonts w:hint="eastAsia"/>
                <w:szCs w:val="21"/>
              </w:rPr>
              <w:t>分</w:t>
            </w:r>
          </w:p>
        </w:tc>
        <w:tc>
          <w:tcPr>
            <w:tcW w:w="5344" w:type="dxa"/>
            <w:tcBorders>
              <w:tl2br w:val="nil"/>
              <w:tr2bl w:val="nil"/>
            </w:tcBorders>
            <w:vAlign w:val="center"/>
          </w:tcPr>
          <w:p>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jc w:val="center"/>
              <w:rPr>
                <w:szCs w:val="21"/>
              </w:rPr>
            </w:pPr>
            <w:r>
              <w:rPr>
                <w:rFonts w:hint="eastAsia"/>
                <w:szCs w:val="21"/>
              </w:rPr>
              <w:t>技术标不符合招标文件要求。</w:t>
            </w:r>
          </w:p>
        </w:tc>
        <w:tc>
          <w:tcPr>
            <w:tcW w:w="1241" w:type="dxa"/>
            <w:tcBorders>
              <w:tl2br w:val="nil"/>
              <w:tr2bl w:val="nil"/>
            </w:tcBorders>
            <w:vAlign w:val="center"/>
          </w:tcPr>
          <w:p>
            <w:pPr>
              <w:jc w:val="center"/>
              <w:rPr>
                <w:szCs w:val="21"/>
              </w:rPr>
            </w:pPr>
            <w:r>
              <w:rPr>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Cs w:val="21"/>
              </w:rPr>
            </w:pPr>
            <w:r>
              <w:rPr>
                <w:szCs w:val="21"/>
              </w:rPr>
              <w:t>2</w:t>
            </w:r>
          </w:p>
        </w:tc>
        <w:tc>
          <w:tcPr>
            <w:tcW w:w="1123" w:type="dxa"/>
            <w:vMerge w:val="restart"/>
            <w:tcBorders>
              <w:tl2br w:val="nil"/>
              <w:tr2bl w:val="nil"/>
            </w:tcBorders>
            <w:vAlign w:val="center"/>
          </w:tcPr>
          <w:p>
            <w:pPr>
              <w:jc w:val="left"/>
              <w:rPr>
                <w:szCs w:val="21"/>
              </w:rPr>
            </w:pPr>
            <w:r>
              <w:rPr>
                <w:rFonts w:hint="eastAsia"/>
                <w:szCs w:val="21"/>
              </w:rPr>
              <w:t>主要施工方案与技术措施</w:t>
            </w:r>
          </w:p>
        </w:tc>
        <w:tc>
          <w:tcPr>
            <w:tcW w:w="980" w:type="dxa"/>
            <w:vMerge w:val="restart"/>
            <w:tcBorders>
              <w:tl2br w:val="nil"/>
              <w:tr2bl w:val="nil"/>
            </w:tcBorders>
            <w:vAlign w:val="center"/>
          </w:tcPr>
          <w:p>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Cs w:val="21"/>
              </w:rPr>
            </w:pPr>
            <w:r>
              <w:rPr>
                <w:szCs w:val="21"/>
              </w:rPr>
              <w:t xml:space="preserve"> 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Cs w:val="21"/>
              </w:rPr>
            </w:pPr>
            <w:r>
              <w:rPr>
                <w:szCs w:val="21"/>
              </w:rPr>
              <w:t>3</w:t>
            </w:r>
          </w:p>
        </w:tc>
        <w:tc>
          <w:tcPr>
            <w:tcW w:w="1123" w:type="dxa"/>
            <w:vMerge w:val="restart"/>
            <w:tcBorders>
              <w:tl2br w:val="nil"/>
              <w:tr2bl w:val="nil"/>
            </w:tcBorders>
            <w:vAlign w:val="center"/>
          </w:tcPr>
          <w:p>
            <w:pPr>
              <w:jc w:val="left"/>
              <w:rPr>
                <w:szCs w:val="21"/>
              </w:rPr>
            </w:pPr>
            <w:r>
              <w:rPr>
                <w:rFonts w:hint="eastAsia"/>
                <w:szCs w:val="21"/>
              </w:rPr>
              <w:t>质量管理体系与措施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Cs w:val="21"/>
              </w:rPr>
            </w:pPr>
            <w:r>
              <w:rPr>
                <w:szCs w:val="21"/>
              </w:rPr>
              <w:t>4</w:t>
            </w:r>
          </w:p>
        </w:tc>
        <w:tc>
          <w:tcPr>
            <w:tcW w:w="1123" w:type="dxa"/>
            <w:vMerge w:val="restart"/>
            <w:tcBorders>
              <w:tl2br w:val="nil"/>
              <w:tr2bl w:val="nil"/>
            </w:tcBorders>
            <w:vAlign w:val="center"/>
          </w:tcPr>
          <w:p>
            <w:pPr>
              <w:jc w:val="left"/>
              <w:rPr>
                <w:szCs w:val="21"/>
              </w:rPr>
            </w:pPr>
            <w:r>
              <w:rPr>
                <w:rFonts w:hint="eastAsia"/>
                <w:szCs w:val="21"/>
              </w:rPr>
              <w:t>安全管理体系与措施</w:t>
            </w:r>
          </w:p>
        </w:tc>
        <w:tc>
          <w:tcPr>
            <w:tcW w:w="980" w:type="dxa"/>
            <w:vMerge w:val="restart"/>
            <w:tcBorders>
              <w:tl2br w:val="nil"/>
              <w:tr2bl w:val="nil"/>
            </w:tcBorders>
            <w:vAlign w:val="center"/>
          </w:tcPr>
          <w:p>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Cs w:val="21"/>
              </w:rPr>
            </w:pPr>
            <w:r>
              <w:rPr>
                <w:szCs w:val="21"/>
              </w:rPr>
              <w:t>5</w:t>
            </w:r>
          </w:p>
        </w:tc>
        <w:tc>
          <w:tcPr>
            <w:tcW w:w="1123" w:type="dxa"/>
            <w:vMerge w:val="restart"/>
            <w:tcBorders>
              <w:tl2br w:val="nil"/>
              <w:tr2bl w:val="nil"/>
            </w:tcBorders>
            <w:vAlign w:val="center"/>
          </w:tcPr>
          <w:p>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pPr>
              <w:jc w:val="center"/>
              <w:rPr>
                <w:szCs w:val="21"/>
              </w:rPr>
            </w:pPr>
            <w:r>
              <w:rPr>
                <w:szCs w:val="21"/>
              </w:rPr>
              <w:t>1-3</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6</w:t>
            </w:r>
          </w:p>
        </w:tc>
        <w:tc>
          <w:tcPr>
            <w:tcW w:w="1123" w:type="dxa"/>
            <w:vMerge w:val="restart"/>
            <w:tcBorders>
              <w:tl2br w:val="nil"/>
              <w:tr2bl w:val="nil"/>
            </w:tcBorders>
            <w:vAlign w:val="center"/>
          </w:tcPr>
          <w:p>
            <w:pPr>
              <w:jc w:val="left"/>
              <w:rPr>
                <w:szCs w:val="21"/>
              </w:rPr>
            </w:pPr>
            <w:r>
              <w:rPr>
                <w:rFonts w:hint="eastAsia"/>
                <w:szCs w:val="21"/>
              </w:rPr>
              <w:t>工期保证措施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Cs w:val="21"/>
              </w:rPr>
            </w:pPr>
            <w:r>
              <w:rPr>
                <w:szCs w:val="21"/>
              </w:rPr>
              <w:t>7</w:t>
            </w:r>
          </w:p>
        </w:tc>
        <w:tc>
          <w:tcPr>
            <w:tcW w:w="1123" w:type="dxa"/>
            <w:vMerge w:val="restart"/>
            <w:tcBorders>
              <w:tl2br w:val="nil"/>
              <w:tr2bl w:val="nil"/>
            </w:tcBorders>
            <w:vAlign w:val="center"/>
          </w:tcPr>
          <w:p>
            <w:pPr>
              <w:jc w:val="center"/>
              <w:rPr>
                <w:szCs w:val="21"/>
              </w:rPr>
            </w:pPr>
            <w:r>
              <w:rPr>
                <w:rFonts w:hint="eastAsia"/>
                <w:szCs w:val="21"/>
              </w:rPr>
              <w:t>拟投入资源配备计划</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spacing w:line="300" w:lineRule="exact"/>
              <w:rPr>
                <w:szCs w:val="21"/>
              </w:rPr>
            </w:pPr>
            <w:r>
              <w:rPr>
                <w:szCs w:val="21"/>
              </w:rPr>
              <w:t>2.</w:t>
            </w:r>
            <w:r>
              <w:rPr>
                <w:rFonts w:hint="eastAsia"/>
                <w:szCs w:val="21"/>
              </w:rPr>
              <w:t>劳动力：投入计划与进度计划呼应，较好满足施工需要，调配投入计划合理、准确；</w:t>
            </w:r>
          </w:p>
          <w:p>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机械：投入计划与进度计划呼应，机械设备配置基本合理，满足安全技术规范和施工进度需要；</w:t>
            </w:r>
          </w:p>
          <w:p>
            <w:pPr>
              <w:spacing w:line="300" w:lineRule="exact"/>
              <w:rPr>
                <w:szCs w:val="21"/>
              </w:rPr>
            </w:pPr>
            <w:r>
              <w:rPr>
                <w:szCs w:val="21"/>
              </w:rPr>
              <w:t>2.</w:t>
            </w:r>
            <w:r>
              <w:rPr>
                <w:rFonts w:hint="eastAsia"/>
                <w:szCs w:val="21"/>
              </w:rPr>
              <w:t>劳动力：投入计划与进度计划呼应，基本满足施工需要，调配投入计划基本合理；</w:t>
            </w:r>
          </w:p>
          <w:p>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8</w:t>
            </w:r>
          </w:p>
        </w:tc>
        <w:tc>
          <w:tcPr>
            <w:tcW w:w="1123" w:type="dxa"/>
            <w:vMerge w:val="restart"/>
            <w:tcBorders>
              <w:tl2br w:val="nil"/>
              <w:tr2bl w:val="nil"/>
            </w:tcBorders>
            <w:vAlign w:val="center"/>
          </w:tcPr>
          <w:p>
            <w:pPr>
              <w:jc w:val="left"/>
              <w:rPr>
                <w:szCs w:val="21"/>
              </w:rPr>
            </w:pPr>
            <w:r>
              <w:rPr>
                <w:rFonts w:hint="eastAsia"/>
                <w:szCs w:val="21"/>
              </w:rPr>
              <w:t>施工进度表与网络计划图</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9</w:t>
            </w:r>
          </w:p>
        </w:tc>
        <w:tc>
          <w:tcPr>
            <w:tcW w:w="1123" w:type="dxa"/>
            <w:vMerge w:val="restart"/>
            <w:tcBorders>
              <w:tl2br w:val="nil"/>
              <w:tr2bl w:val="nil"/>
            </w:tcBorders>
            <w:vAlign w:val="center"/>
          </w:tcPr>
          <w:p>
            <w:pPr>
              <w:jc w:val="left"/>
              <w:rPr>
                <w:szCs w:val="21"/>
              </w:rPr>
            </w:pPr>
            <w:r>
              <w:rPr>
                <w:rFonts w:hint="eastAsia"/>
                <w:szCs w:val="21"/>
              </w:rPr>
              <w:t>施工总平面图布置</w:t>
            </w:r>
          </w:p>
        </w:tc>
        <w:tc>
          <w:tcPr>
            <w:tcW w:w="980" w:type="dxa"/>
            <w:vMerge w:val="restart"/>
            <w:tcBorders>
              <w:tl2br w:val="nil"/>
              <w:tr2bl w:val="nil"/>
            </w:tcBorders>
            <w:vAlign w:val="center"/>
          </w:tcPr>
          <w:p>
            <w:pPr>
              <w:jc w:val="center"/>
              <w:rPr>
                <w:szCs w:val="21"/>
              </w:rPr>
            </w:pPr>
            <w:r>
              <w:rPr>
                <w:szCs w:val="21"/>
              </w:rPr>
              <w:t>0.5-1</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pPr>
              <w:jc w:val="center"/>
              <w:rPr>
                <w:szCs w:val="21"/>
              </w:rPr>
            </w:pP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Cs w:val="21"/>
              </w:rPr>
            </w:pPr>
            <w:r>
              <w:rPr>
                <w:szCs w:val="21"/>
              </w:rPr>
              <w:t>10</w:t>
            </w:r>
          </w:p>
        </w:tc>
        <w:tc>
          <w:tcPr>
            <w:tcW w:w="1123" w:type="dxa"/>
            <w:vMerge w:val="restart"/>
            <w:tcBorders>
              <w:tl2br w:val="nil"/>
              <w:tr2bl w:val="nil"/>
            </w:tcBorders>
            <w:vAlign w:val="center"/>
          </w:tcPr>
          <w:p>
            <w:pPr>
              <w:jc w:val="left"/>
              <w:rPr>
                <w:szCs w:val="21"/>
              </w:rPr>
            </w:pPr>
            <w:r>
              <w:rPr>
                <w:rFonts w:hint="eastAsia"/>
                <w:szCs w:val="21"/>
              </w:rPr>
              <w:t>技术创新的应用实施措施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Cs w:val="21"/>
              </w:rPr>
            </w:pPr>
            <w:r>
              <w:rPr>
                <w:szCs w:val="21"/>
              </w:rPr>
              <w:t>11</w:t>
            </w:r>
          </w:p>
        </w:tc>
        <w:tc>
          <w:tcPr>
            <w:tcW w:w="1123" w:type="dxa"/>
            <w:vMerge w:val="restart"/>
            <w:tcBorders>
              <w:tl2br w:val="nil"/>
              <w:tr2bl w:val="nil"/>
            </w:tcBorders>
            <w:vAlign w:val="center"/>
          </w:tcPr>
          <w:p>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12</w:t>
            </w:r>
          </w:p>
        </w:tc>
        <w:tc>
          <w:tcPr>
            <w:tcW w:w="1123" w:type="dxa"/>
            <w:vMerge w:val="restart"/>
            <w:tcBorders>
              <w:tl2br w:val="nil"/>
              <w:tr2bl w:val="nil"/>
            </w:tcBorders>
            <w:vAlign w:val="center"/>
          </w:tcPr>
          <w:p>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pPr>
              <w:jc w:val="center"/>
              <w:rPr>
                <w:szCs w:val="21"/>
              </w:rPr>
            </w:pPr>
            <w:r>
              <w:rPr>
                <w:szCs w:val="21"/>
              </w:rPr>
              <w:t>0.5-1.5</w:t>
            </w:r>
            <w:r>
              <w:rPr>
                <w:rFonts w:hint="eastAsia"/>
                <w:szCs w:val="21"/>
              </w:rPr>
              <w:t>分</w:t>
            </w:r>
          </w:p>
        </w:tc>
        <w:tc>
          <w:tcPr>
            <w:tcW w:w="5344" w:type="dxa"/>
            <w:tcBorders>
              <w:tl2br w:val="nil"/>
              <w:tr2bl w:val="nil"/>
            </w:tcBorders>
            <w:vAlign w:val="center"/>
          </w:tcPr>
          <w:p>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13</w:t>
            </w:r>
          </w:p>
        </w:tc>
        <w:tc>
          <w:tcPr>
            <w:tcW w:w="1123" w:type="dxa"/>
            <w:vMerge w:val="restart"/>
            <w:tcBorders>
              <w:tl2br w:val="nil"/>
              <w:tr2bl w:val="nil"/>
            </w:tcBorders>
            <w:vAlign w:val="center"/>
          </w:tcPr>
          <w:p>
            <w:pPr>
              <w:jc w:val="center"/>
              <w:rPr>
                <w:szCs w:val="21"/>
              </w:rPr>
            </w:pPr>
            <w:r>
              <w:rPr>
                <w:rFonts w:hint="eastAsia"/>
                <w:szCs w:val="21"/>
              </w:rPr>
              <w:t>风险管理措施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Cs w:val="21"/>
              </w:rPr>
            </w:pPr>
            <w:r>
              <w:rPr>
                <w:rFonts w:hint="eastAsia"/>
                <w:szCs w:val="21"/>
              </w:rPr>
              <w:t>合计</w:t>
            </w:r>
          </w:p>
        </w:tc>
        <w:tc>
          <w:tcPr>
            <w:tcW w:w="980" w:type="dxa"/>
            <w:tcBorders>
              <w:tl2br w:val="nil"/>
              <w:tr2bl w:val="nil"/>
            </w:tcBorders>
            <w:vAlign w:val="center"/>
          </w:tcPr>
          <w:p>
            <w:pPr>
              <w:jc w:val="center"/>
              <w:rPr>
                <w:szCs w:val="21"/>
              </w:rPr>
            </w:pPr>
            <w:r>
              <w:rPr>
                <w:szCs w:val="21"/>
              </w:rPr>
              <w:t>10-25</w:t>
            </w:r>
            <w:r>
              <w:rPr>
                <w:rFonts w:hint="eastAsia"/>
                <w:szCs w:val="21"/>
              </w:rPr>
              <w:t>分</w:t>
            </w:r>
          </w:p>
        </w:tc>
        <w:tc>
          <w:tcPr>
            <w:tcW w:w="5344" w:type="dxa"/>
            <w:tcBorders>
              <w:tl2br w:val="nil"/>
              <w:tr2bl w:val="nil"/>
            </w:tcBorders>
            <w:vAlign w:val="center"/>
          </w:tcPr>
          <w:p>
            <w:pPr>
              <w:rPr>
                <w:szCs w:val="21"/>
              </w:rPr>
            </w:pPr>
          </w:p>
        </w:tc>
        <w:tc>
          <w:tcPr>
            <w:tcW w:w="1241" w:type="dxa"/>
            <w:tcBorders>
              <w:tl2br w:val="nil"/>
              <w:tr2bl w:val="nil"/>
            </w:tcBorders>
            <w:vAlign w:val="center"/>
          </w:tcPr>
          <w:p>
            <w:pPr>
              <w:jc w:val="center"/>
              <w:rPr>
                <w:szCs w:val="21"/>
              </w:rPr>
            </w:pPr>
            <w:r>
              <w:rPr>
                <w:szCs w:val="21"/>
              </w:rPr>
              <w:t>10≤</w:t>
            </w:r>
            <w:r>
              <w:rPr>
                <w:rFonts w:hint="eastAsia"/>
                <w:szCs w:val="21"/>
              </w:rPr>
              <w:t>得分</w:t>
            </w:r>
            <w:r>
              <w:rPr>
                <w:szCs w:val="21"/>
              </w:rPr>
              <w:t>≤25</w:t>
            </w:r>
          </w:p>
        </w:tc>
      </w:tr>
    </w:tbl>
    <w:p>
      <w:pPr>
        <w:snapToGrid w:val="0"/>
        <w:spacing w:line="360" w:lineRule="auto"/>
        <w:ind w:firstLine="481"/>
        <w:rPr>
          <w:rFonts w:hAnsi="宋体" w:cs="宋体"/>
          <w:sz w:val="24"/>
        </w:rPr>
      </w:pPr>
      <w:r>
        <w:rPr>
          <w:rFonts w:hint="eastAsia" w:hAnsi="宋体" w:cs="宋体"/>
          <w:sz w:val="24"/>
        </w:rPr>
        <w:t>以上项目若有缺项，该项为0分。</w:t>
      </w:r>
    </w:p>
    <w:p>
      <w:pPr>
        <w:snapToGrid w:val="0"/>
        <w:spacing w:line="360" w:lineRule="auto"/>
        <w:jc w:val="left"/>
        <w:rPr>
          <w:rFonts w:hAnsi="宋体" w:cs="宋体"/>
          <w:b/>
          <w:bCs/>
          <w:sz w:val="24"/>
        </w:rPr>
      </w:pPr>
      <w:r>
        <w:rPr>
          <w:rFonts w:hint="eastAsia" w:hAnsi="宋体" w:cs="宋体"/>
          <w:b/>
          <w:bCs/>
          <w:sz w:val="24"/>
        </w:rPr>
        <w:t>（二）商务标（50分）</w:t>
      </w:r>
    </w:p>
    <w:p>
      <w:pPr>
        <w:snapToGrid w:val="0"/>
        <w:spacing w:line="360" w:lineRule="auto"/>
        <w:rPr>
          <w:rFonts w:hAnsi="宋体" w:cs="宋体"/>
          <w:b/>
          <w:bCs/>
          <w:sz w:val="24"/>
        </w:rPr>
      </w:pPr>
      <w:r>
        <w:rPr>
          <w:rFonts w:hint="eastAsia" w:hAnsi="宋体" w:cs="宋体"/>
          <w:b/>
          <w:bCs/>
          <w:sz w:val="24"/>
        </w:rPr>
        <w:t xml:space="preserve">    1、投标报价（30分） </w:t>
      </w:r>
    </w:p>
    <w:p>
      <w:pPr>
        <w:snapToGrid w:val="0"/>
        <w:spacing w:line="360" w:lineRule="auto"/>
        <w:ind w:firstLine="484"/>
        <w:rPr>
          <w:rFonts w:hAnsi="宋体" w:cs="宋体"/>
          <w:sz w:val="24"/>
        </w:rPr>
      </w:pPr>
      <w:r>
        <w:rPr>
          <w:rFonts w:hint="eastAsia" w:hAnsi="宋体" w:cs="宋体"/>
          <w:sz w:val="24"/>
        </w:rPr>
        <w:t>（1）工程量清单报价评标基准价计算公式为：</w:t>
      </w:r>
    </w:p>
    <w:p>
      <w:pPr>
        <w:snapToGrid w:val="0"/>
        <w:spacing w:line="360" w:lineRule="auto"/>
        <w:ind w:firstLine="484"/>
        <w:rPr>
          <w:rFonts w:hAnsi="宋体" w:cs="宋体"/>
          <w:sz w:val="24"/>
        </w:rPr>
      </w:pPr>
      <w:r>
        <w:rPr>
          <w:rFonts w:hint="eastAsia" w:hAnsi="宋体" w:cs="宋体"/>
          <w:sz w:val="24"/>
        </w:rPr>
        <w:t>评标基准价＝最高投标限价×K+投标报价×（1－K）。</w:t>
      </w:r>
    </w:p>
    <w:p>
      <w:pPr>
        <w:snapToGrid w:val="0"/>
        <w:spacing w:line="360" w:lineRule="auto"/>
        <w:ind w:firstLine="484"/>
        <w:rPr>
          <w:rFonts w:hAnsi="宋体" w:cs="宋体"/>
          <w:sz w:val="24"/>
        </w:rPr>
      </w:pPr>
      <w:r>
        <w:rPr>
          <w:rFonts w:hint="eastAsia" w:hAnsi="宋体" w:cs="宋体"/>
          <w:sz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sz w:val="24"/>
        </w:rPr>
      </w:pPr>
      <w:r>
        <w:rPr>
          <w:rFonts w:hint="eastAsia" w:hAnsi="宋体" w:cs="宋体"/>
          <w:sz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2"/>
        </w:numPr>
        <w:snapToGrid w:val="0"/>
        <w:spacing w:line="360" w:lineRule="auto"/>
        <w:ind w:firstLine="481"/>
        <w:rPr>
          <w:rFonts w:hAnsi="宋体" w:cs="宋体"/>
          <w:b/>
          <w:bCs/>
          <w:sz w:val="24"/>
        </w:rPr>
      </w:pPr>
      <w:r>
        <w:rPr>
          <w:rFonts w:hint="eastAsia" w:hAnsi="宋体" w:cs="宋体"/>
          <w:b/>
          <w:bCs/>
          <w:sz w:val="24"/>
        </w:rPr>
        <w:t>分部分项工程项目清单单价评审（10分）</w:t>
      </w:r>
    </w:p>
    <w:p>
      <w:pPr>
        <w:snapToGrid w:val="0"/>
        <w:spacing w:line="360" w:lineRule="auto"/>
        <w:ind w:firstLine="484"/>
        <w:rPr>
          <w:rFonts w:hAnsi="宋体" w:cs="宋体"/>
          <w:sz w:val="24"/>
        </w:rPr>
      </w:pPr>
      <w:r>
        <w:rPr>
          <w:rFonts w:hint="eastAsia" w:hAnsi="宋体" w:cs="宋体"/>
          <w:sz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sz w:val="24"/>
        </w:rPr>
      </w:pPr>
      <w:r>
        <w:rPr>
          <w:rFonts w:hint="eastAsia" w:hAnsi="宋体" w:cs="宋体"/>
          <w:sz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sz w:val="24"/>
        </w:rPr>
      </w:pPr>
      <w:r>
        <w:rPr>
          <w:rFonts w:hint="eastAsia" w:hAnsi="宋体" w:cs="宋体"/>
          <w:sz w:val="24"/>
        </w:rPr>
        <w:t>投标人报价在综合单价基准值95%–103%范围内（不含95%和103%）的，每项得0.5分；在综合单价基准值90%–95%范围内（含90%和95%）每项得0.25分。满分共计10分。超出该范围的不得分。</w:t>
      </w:r>
    </w:p>
    <w:p>
      <w:pPr>
        <w:numPr>
          <w:ilvl w:val="0"/>
          <w:numId w:val="2"/>
        </w:numPr>
        <w:snapToGrid w:val="0"/>
        <w:spacing w:line="360" w:lineRule="auto"/>
        <w:ind w:firstLine="481"/>
        <w:rPr>
          <w:rFonts w:hAnsi="宋体" w:cs="宋体"/>
          <w:b/>
          <w:bCs/>
          <w:sz w:val="24"/>
        </w:rPr>
      </w:pPr>
      <w:r>
        <w:rPr>
          <w:rFonts w:hint="eastAsia" w:hAnsi="宋体" w:cs="宋体"/>
          <w:b/>
          <w:bCs/>
          <w:sz w:val="24"/>
        </w:rPr>
        <w:t>措施项目费的评审（不含安全文明措施费）（5分）</w:t>
      </w:r>
    </w:p>
    <w:p>
      <w:pPr>
        <w:snapToGrid w:val="0"/>
        <w:spacing w:line="360" w:lineRule="auto"/>
        <w:ind w:firstLine="480" w:firstLineChars="200"/>
        <w:rPr>
          <w:rFonts w:hAnsi="宋体" w:cs="宋体"/>
          <w:b/>
          <w:bCs/>
          <w:sz w:val="24"/>
        </w:rPr>
      </w:pPr>
      <w:r>
        <w:rPr>
          <w:rFonts w:hint="eastAsia" w:hAnsi="宋体" w:cs="宋体"/>
          <w:sz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3"/>
        </w:numPr>
        <w:snapToGrid w:val="0"/>
        <w:spacing w:line="360" w:lineRule="auto"/>
        <w:ind w:firstLine="484"/>
        <w:rPr>
          <w:rFonts w:hAnsi="宋体" w:cs="宋体"/>
          <w:b/>
          <w:bCs/>
          <w:sz w:val="24"/>
        </w:rPr>
      </w:pPr>
      <w:r>
        <w:rPr>
          <w:rFonts w:hint="eastAsia" w:hAnsi="宋体" w:cs="宋体"/>
          <w:b/>
          <w:bCs/>
          <w:sz w:val="24"/>
        </w:rPr>
        <w:t>主要材料单价的评审（5分）</w:t>
      </w:r>
    </w:p>
    <w:p>
      <w:pPr>
        <w:snapToGrid w:val="0"/>
        <w:spacing w:line="360" w:lineRule="auto"/>
        <w:ind w:firstLine="480" w:firstLineChars="200"/>
        <w:rPr>
          <w:rFonts w:hAnsi="宋体" w:cs="宋体"/>
          <w:sz w:val="24"/>
        </w:rPr>
      </w:pPr>
      <w:r>
        <w:rPr>
          <w:rFonts w:hint="eastAsia" w:hAnsi="宋体" w:cs="宋体"/>
          <w:sz w:val="24"/>
        </w:rPr>
        <w:t>从最高投标限价中材料总价权重最大的前10-20项材料中抽取6项，在剩余材料中抽取4项。</w:t>
      </w:r>
    </w:p>
    <w:p>
      <w:pPr>
        <w:snapToGrid w:val="0"/>
        <w:spacing w:line="360" w:lineRule="auto"/>
        <w:ind w:firstLine="480" w:firstLineChars="200"/>
        <w:rPr>
          <w:rFonts w:hAnsi="宋体" w:cs="宋体"/>
          <w:sz w:val="24"/>
        </w:rPr>
      </w:pPr>
      <w:r>
        <w:rPr>
          <w:rFonts w:hint="eastAsia" w:hAnsi="宋体" w:cs="宋体"/>
          <w:sz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sz w:val="24"/>
        </w:rPr>
      </w:pPr>
      <w:r>
        <w:rPr>
          <w:rFonts w:hint="eastAsia" w:hAnsi="宋体" w:cs="宋体"/>
          <w:sz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80" w:firstLineChars="200"/>
        <w:rPr>
          <w:rFonts w:hAnsi="宋体" w:cs="宋体"/>
          <w:sz w:val="24"/>
        </w:rPr>
      </w:pPr>
      <w:r>
        <w:rPr>
          <w:rFonts w:hint="eastAsia" w:hAnsi="宋体" w:cs="宋体"/>
          <w:sz w:val="24"/>
        </w:rPr>
        <w:t>注:主材价格不应调整，中标价格不可变更。</w:t>
      </w:r>
    </w:p>
    <w:p>
      <w:pPr>
        <w:snapToGrid w:val="0"/>
        <w:spacing w:line="360" w:lineRule="auto"/>
        <w:rPr>
          <w:rFonts w:hAnsi="宋体" w:cs="宋体"/>
          <w:b/>
          <w:bCs/>
          <w:sz w:val="24"/>
        </w:rPr>
      </w:pPr>
    </w:p>
    <w:p>
      <w:pPr>
        <w:snapToGrid w:val="0"/>
        <w:spacing w:line="360" w:lineRule="auto"/>
        <w:rPr>
          <w:rFonts w:hAnsi="宋体" w:cs="宋体"/>
          <w:b/>
          <w:bCs/>
          <w:sz w:val="24"/>
        </w:rPr>
      </w:pPr>
      <w:r>
        <w:rPr>
          <w:rFonts w:hint="eastAsia" w:hAnsi="宋体" w:cs="宋体"/>
          <w:b/>
          <w:bCs/>
          <w:sz w:val="24"/>
        </w:rPr>
        <w:t>（四）综合标（25分）</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cs="宋体"/>
                <w:szCs w:val="21"/>
              </w:rPr>
            </w:pPr>
            <w:r>
              <w:rPr>
                <w:rFonts w:hint="eastAsia" w:hAnsi="宋体" w:cs="宋体"/>
                <w:szCs w:val="21"/>
              </w:rPr>
              <w:t>序号</w:t>
            </w:r>
          </w:p>
        </w:tc>
        <w:tc>
          <w:tcPr>
            <w:tcW w:w="2050" w:type="dxa"/>
            <w:vAlign w:val="center"/>
          </w:tcPr>
          <w:p>
            <w:pPr>
              <w:jc w:val="center"/>
              <w:rPr>
                <w:rFonts w:hAnsi="宋体" w:cs="宋体"/>
                <w:szCs w:val="21"/>
              </w:rPr>
            </w:pPr>
            <w:r>
              <w:rPr>
                <w:rFonts w:hint="eastAsia" w:hAnsi="宋体" w:cs="宋体"/>
                <w:b/>
                <w:szCs w:val="21"/>
              </w:rPr>
              <w:t>量化因素</w:t>
            </w:r>
          </w:p>
        </w:tc>
        <w:tc>
          <w:tcPr>
            <w:tcW w:w="4950" w:type="dxa"/>
            <w:vAlign w:val="center"/>
          </w:tcPr>
          <w:p>
            <w:pPr>
              <w:jc w:val="center"/>
              <w:rPr>
                <w:rFonts w:hAnsi="宋体" w:cs="宋体"/>
                <w:szCs w:val="21"/>
              </w:rPr>
            </w:pPr>
            <w:r>
              <w:rPr>
                <w:rFonts w:hint="eastAsia" w:hAnsi="宋体" w:cs="宋体"/>
                <w:b/>
                <w:szCs w:val="21"/>
              </w:rPr>
              <w:t>评分标准</w:t>
            </w:r>
          </w:p>
        </w:tc>
        <w:tc>
          <w:tcPr>
            <w:tcW w:w="2074" w:type="dxa"/>
            <w:vAlign w:val="center"/>
          </w:tcPr>
          <w:p>
            <w:pPr>
              <w:jc w:val="center"/>
              <w:rPr>
                <w:rFonts w:hAnsi="宋体" w:cs="宋体"/>
                <w:b/>
                <w:szCs w:val="21"/>
              </w:rPr>
            </w:pPr>
            <w:r>
              <w:rPr>
                <w:rFonts w:hint="eastAsia" w:hAnsi="宋体" w:cs="宋体"/>
                <w:b/>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szCs w:val="21"/>
              </w:rPr>
            </w:pPr>
            <w:r>
              <w:rPr>
                <w:rFonts w:hint="eastAsia"/>
                <w:szCs w:val="21"/>
              </w:rPr>
              <w:t>1</w:t>
            </w:r>
          </w:p>
        </w:tc>
        <w:tc>
          <w:tcPr>
            <w:tcW w:w="2050" w:type="dxa"/>
            <w:vAlign w:val="center"/>
          </w:tcPr>
          <w:p>
            <w:pPr>
              <w:autoSpaceDE w:val="0"/>
              <w:autoSpaceDN w:val="0"/>
              <w:adjustRightInd w:val="0"/>
              <w:rPr>
                <w:szCs w:val="21"/>
              </w:rPr>
            </w:pPr>
            <w:r>
              <w:rPr>
                <w:rFonts w:hint="eastAsia"/>
                <w:szCs w:val="21"/>
              </w:rPr>
              <w:t>企业业绩（0-4分）</w:t>
            </w:r>
          </w:p>
        </w:tc>
        <w:tc>
          <w:tcPr>
            <w:tcW w:w="4950" w:type="dxa"/>
            <w:vAlign w:val="center"/>
          </w:tcPr>
          <w:p>
            <w:pPr>
              <w:snapToGrid w:val="0"/>
              <w:spacing w:line="360" w:lineRule="auto"/>
              <w:rPr>
                <w:szCs w:val="21"/>
              </w:rPr>
            </w:pPr>
            <w:r>
              <w:rPr>
                <w:rFonts w:hint="eastAsia" w:hAnsi="宋体" w:cs="宋体"/>
                <w:szCs w:val="21"/>
              </w:rPr>
              <w:t>2017年1月1日以来（以合同签订时间为准）：企业具有类似工程施工业绩者，每项得2.0分，本项最高得4分。（以施工合同和竣工验收表为准或施工合同和中标通知书为准）</w:t>
            </w:r>
          </w:p>
        </w:tc>
        <w:tc>
          <w:tcPr>
            <w:tcW w:w="2074" w:type="dxa"/>
            <w:vAlign w:val="center"/>
          </w:tcPr>
          <w:p>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szCs w:val="21"/>
              </w:rPr>
            </w:pPr>
            <w:r>
              <w:rPr>
                <w:rFonts w:hint="eastAsia"/>
                <w:szCs w:val="21"/>
              </w:rPr>
              <w:t>2</w:t>
            </w:r>
          </w:p>
        </w:tc>
        <w:tc>
          <w:tcPr>
            <w:tcW w:w="2050" w:type="dxa"/>
            <w:vAlign w:val="center"/>
          </w:tcPr>
          <w:p>
            <w:pPr>
              <w:rPr>
                <w:szCs w:val="21"/>
              </w:rPr>
            </w:pPr>
            <w:r>
              <w:rPr>
                <w:rFonts w:hint="eastAsia"/>
                <w:szCs w:val="21"/>
              </w:rPr>
              <w:t>项目经理业绩(0-6分）</w:t>
            </w:r>
          </w:p>
        </w:tc>
        <w:tc>
          <w:tcPr>
            <w:tcW w:w="4950" w:type="dxa"/>
            <w:vAlign w:val="center"/>
          </w:tcPr>
          <w:p>
            <w:pPr>
              <w:snapToGrid w:val="0"/>
              <w:spacing w:line="360" w:lineRule="auto"/>
              <w:rPr>
                <w:szCs w:val="21"/>
              </w:rPr>
            </w:pPr>
            <w:r>
              <w:rPr>
                <w:rFonts w:hint="eastAsia" w:hAnsi="宋体" w:cs="宋体"/>
                <w:szCs w:val="21"/>
              </w:rPr>
              <w:t>2017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pPr>
              <w:jc w:val="center"/>
              <w:rPr>
                <w:szCs w:val="21"/>
              </w:rPr>
            </w:pPr>
            <w:r>
              <w:rPr>
                <w:szCs w:val="21"/>
              </w:rPr>
              <w:t>0</w:t>
            </w:r>
            <w:r>
              <w:rPr>
                <w:rFonts w:hint="eastAsia"/>
                <w:szCs w:val="21"/>
              </w:rPr>
              <w:t>＜得分</w:t>
            </w:r>
            <w:r>
              <w:rPr>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szCs w:val="21"/>
              </w:rPr>
            </w:pPr>
            <w:r>
              <w:rPr>
                <w:rFonts w:hint="eastAsia"/>
                <w:szCs w:val="21"/>
              </w:rPr>
              <w:t>3</w:t>
            </w:r>
          </w:p>
        </w:tc>
        <w:tc>
          <w:tcPr>
            <w:tcW w:w="2050" w:type="dxa"/>
            <w:vMerge w:val="restart"/>
            <w:vAlign w:val="center"/>
          </w:tcPr>
          <w:p>
            <w:pPr>
              <w:spacing w:line="240" w:lineRule="exact"/>
              <w:jc w:val="left"/>
              <w:rPr>
                <w:szCs w:val="21"/>
              </w:rPr>
            </w:pPr>
            <w:r>
              <w:rPr>
                <w:rFonts w:hint="eastAsia"/>
                <w:szCs w:val="21"/>
              </w:rPr>
              <w:t>优惠承诺（1-4分）</w:t>
            </w:r>
          </w:p>
        </w:tc>
        <w:tc>
          <w:tcPr>
            <w:tcW w:w="4950" w:type="dxa"/>
            <w:vAlign w:val="center"/>
          </w:tcPr>
          <w:p>
            <w:pPr>
              <w:snapToGrid w:val="0"/>
              <w:spacing w:line="360" w:lineRule="auto"/>
              <w:rPr>
                <w:rFonts w:hAnsi="宋体" w:cs="宋体"/>
                <w:szCs w:val="21"/>
              </w:rPr>
            </w:pPr>
            <w:r>
              <w:rPr>
                <w:rFonts w:hint="eastAsia" w:hAnsi="宋体" w:cs="宋体"/>
                <w:szCs w:val="21"/>
              </w:rPr>
              <w:t>优惠承诺应是书面的符合工程实际情况，确保依法依规，优惠合理，详实可行。</w:t>
            </w:r>
          </w:p>
        </w:tc>
        <w:tc>
          <w:tcPr>
            <w:tcW w:w="2074" w:type="dxa"/>
            <w:vAlign w:val="center"/>
          </w:tcPr>
          <w:p>
            <w:pPr>
              <w:jc w:val="center"/>
              <w:rPr>
                <w:szCs w:val="21"/>
              </w:rPr>
            </w:pPr>
            <w:r>
              <w:rPr>
                <w:szCs w:val="21"/>
              </w:rPr>
              <w:t>3</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优惠承诺符合工程实际情况，确保依法依规，优惠基本合理，基本详实可行。</w:t>
            </w:r>
          </w:p>
        </w:tc>
        <w:tc>
          <w:tcPr>
            <w:tcW w:w="2074" w:type="dxa"/>
            <w:vAlign w:val="center"/>
          </w:tcPr>
          <w:p>
            <w:pPr>
              <w:jc w:val="center"/>
              <w:rPr>
                <w:szCs w:val="21"/>
              </w:rPr>
            </w:pPr>
            <w:r>
              <w:rPr>
                <w:szCs w:val="21"/>
              </w:rPr>
              <w:t>1≤</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szCs w:val="21"/>
              </w:rPr>
            </w:pPr>
            <w:r>
              <w:rPr>
                <w:rFonts w:hint="eastAsia"/>
                <w:szCs w:val="21"/>
              </w:rPr>
              <w:t>4</w:t>
            </w:r>
          </w:p>
        </w:tc>
        <w:tc>
          <w:tcPr>
            <w:tcW w:w="2050" w:type="dxa"/>
            <w:vMerge w:val="restart"/>
            <w:vAlign w:val="center"/>
          </w:tcPr>
          <w:p>
            <w:pPr>
              <w:spacing w:line="240" w:lineRule="exact"/>
              <w:jc w:val="left"/>
              <w:rPr>
                <w:szCs w:val="21"/>
              </w:rPr>
            </w:pPr>
            <w:r>
              <w:rPr>
                <w:rFonts w:hint="eastAsia"/>
                <w:szCs w:val="21"/>
              </w:rPr>
              <w:t>履职尽责承诺（1-3分）</w:t>
            </w:r>
          </w:p>
        </w:tc>
        <w:tc>
          <w:tcPr>
            <w:tcW w:w="4950" w:type="dxa"/>
            <w:vAlign w:val="center"/>
          </w:tcPr>
          <w:p>
            <w:pPr>
              <w:snapToGrid w:val="0"/>
              <w:spacing w:line="360" w:lineRule="auto"/>
              <w:rPr>
                <w:rFonts w:hAnsi="宋体" w:cs="宋体"/>
                <w:szCs w:val="21"/>
              </w:rPr>
            </w:pPr>
            <w:r>
              <w:rPr>
                <w:rFonts w:hint="eastAsia" w:hAnsi="宋体" w:cs="宋体"/>
                <w:szCs w:val="21"/>
              </w:rPr>
              <w:t>具有全面、详实、可行、合法有效的书面保证技术措施落实到位的承诺和落实不到位的处理承诺。</w:t>
            </w:r>
          </w:p>
        </w:tc>
        <w:tc>
          <w:tcPr>
            <w:tcW w:w="2074" w:type="dxa"/>
            <w:vAlign w:val="center"/>
          </w:tcPr>
          <w:p>
            <w:pPr>
              <w:jc w:val="center"/>
              <w:rPr>
                <w:szCs w:val="21"/>
              </w:rPr>
            </w:pPr>
            <w:r>
              <w:rPr>
                <w:szCs w:val="21"/>
              </w:rPr>
              <w:t>2</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具有可行、合法有效的书面保证技术措施落实到位的承诺和落实不到位的处理承诺。</w:t>
            </w:r>
          </w:p>
        </w:tc>
        <w:tc>
          <w:tcPr>
            <w:tcW w:w="2074" w:type="dxa"/>
            <w:vAlign w:val="center"/>
          </w:tcPr>
          <w:p>
            <w:pPr>
              <w:jc w:val="center"/>
              <w:rPr>
                <w:szCs w:val="21"/>
              </w:rPr>
            </w:pPr>
            <w:r>
              <w:rPr>
                <w:szCs w:val="21"/>
              </w:rPr>
              <w:t>1≤</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szCs w:val="21"/>
              </w:rPr>
            </w:pPr>
            <w:r>
              <w:rPr>
                <w:rFonts w:hint="eastAsia"/>
                <w:szCs w:val="21"/>
              </w:rPr>
              <w:t>5</w:t>
            </w:r>
          </w:p>
        </w:tc>
        <w:tc>
          <w:tcPr>
            <w:tcW w:w="2050" w:type="dxa"/>
            <w:vAlign w:val="center"/>
          </w:tcPr>
          <w:p>
            <w:pPr>
              <w:spacing w:line="240" w:lineRule="exact"/>
              <w:jc w:val="left"/>
              <w:rPr>
                <w:szCs w:val="21"/>
              </w:rPr>
            </w:pPr>
            <w:r>
              <w:rPr>
                <w:rFonts w:hint="eastAsia"/>
                <w:szCs w:val="21"/>
              </w:rPr>
              <w:t>企业信用（含纳税诚信）（0-4分）</w:t>
            </w:r>
          </w:p>
        </w:tc>
        <w:tc>
          <w:tcPr>
            <w:tcW w:w="4950" w:type="dxa"/>
            <w:vAlign w:val="center"/>
          </w:tcPr>
          <w:p>
            <w:pPr>
              <w:snapToGrid w:val="0"/>
              <w:spacing w:line="360" w:lineRule="auto"/>
              <w:rPr>
                <w:rFonts w:hAnsi="宋体" w:cs="宋体"/>
                <w:szCs w:val="21"/>
              </w:rPr>
            </w:pPr>
            <w:r>
              <w:rPr>
                <w:rFonts w:hint="eastAsia" w:hAnsi="宋体" w:cs="宋体"/>
                <w:szCs w:val="21"/>
              </w:rPr>
              <w:t>1、自2017年1月1日以来获得市级及以上建筑业安全先进企业的，得2分。（以荣誉证书为准）</w:t>
            </w:r>
          </w:p>
          <w:p>
            <w:pPr>
              <w:snapToGrid w:val="0"/>
              <w:spacing w:line="360" w:lineRule="auto"/>
              <w:rPr>
                <w:rFonts w:hAnsi="宋体" w:cs="宋体"/>
                <w:szCs w:val="21"/>
              </w:rPr>
            </w:pPr>
            <w:r>
              <w:rPr>
                <w:rFonts w:hint="eastAsia" w:hAnsi="宋体" w:cs="宋体"/>
                <w:szCs w:val="21"/>
              </w:rPr>
              <w:t>2、自2017年1月1日以来获得市级及以上建筑业质量管理先进企业的，得1分。（以荣誉证书为准）</w:t>
            </w:r>
          </w:p>
          <w:p>
            <w:pPr>
              <w:snapToGrid w:val="0"/>
              <w:spacing w:line="360" w:lineRule="auto"/>
              <w:rPr>
                <w:rFonts w:hAnsi="宋体" w:cs="宋体"/>
                <w:szCs w:val="21"/>
              </w:rPr>
            </w:pPr>
            <w:r>
              <w:rPr>
                <w:rFonts w:hint="eastAsia" w:hAnsi="宋体" w:cs="宋体"/>
                <w:szCs w:val="21"/>
              </w:rPr>
              <w:t>3、自2017年1月1日以来获得市级及以上建筑业先进企业的，得1分。（以荣誉证书为准）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Cs w:val="21"/>
              </w:rPr>
            </w:pPr>
            <w:r>
              <w:rPr>
                <w:rFonts w:hint="eastAsia"/>
                <w:szCs w:val="21"/>
              </w:rPr>
              <w:t>6</w:t>
            </w:r>
          </w:p>
        </w:tc>
        <w:tc>
          <w:tcPr>
            <w:tcW w:w="2050" w:type="dxa"/>
            <w:vAlign w:val="center"/>
          </w:tcPr>
          <w:p>
            <w:pPr>
              <w:spacing w:line="240" w:lineRule="exact"/>
              <w:jc w:val="left"/>
              <w:rPr>
                <w:szCs w:val="21"/>
              </w:rPr>
            </w:pPr>
            <w:r>
              <w:rPr>
                <w:rFonts w:hint="eastAsia"/>
                <w:szCs w:val="21"/>
              </w:rPr>
              <w:t>项目经理信用（0-2分）</w:t>
            </w:r>
          </w:p>
        </w:tc>
        <w:tc>
          <w:tcPr>
            <w:tcW w:w="4950" w:type="dxa"/>
            <w:vAlign w:val="center"/>
          </w:tcPr>
          <w:p>
            <w:pPr>
              <w:snapToGrid w:val="0"/>
              <w:spacing w:line="360" w:lineRule="auto"/>
              <w:rPr>
                <w:rFonts w:hAnsi="宋体" w:cs="宋体"/>
                <w:szCs w:val="21"/>
              </w:rPr>
            </w:pPr>
            <w:r>
              <w:rPr>
                <w:rFonts w:hint="eastAsia" w:hAnsi="宋体" w:cs="宋体"/>
                <w:szCs w:val="21"/>
              </w:rPr>
              <w:t>1、自2017年1月1日以来项目经理获得过省级以上（含省级）科技进步奖者得1分。（需提供获奖证书和同级奖励文件扫描件，以证书时间为准）</w:t>
            </w:r>
          </w:p>
          <w:p>
            <w:pPr>
              <w:snapToGrid w:val="0"/>
              <w:spacing w:line="360" w:lineRule="auto"/>
              <w:rPr>
                <w:rFonts w:hAnsi="宋体" w:cs="宋体"/>
                <w:szCs w:val="21"/>
              </w:rPr>
            </w:pPr>
            <w:r>
              <w:rPr>
                <w:rFonts w:hint="eastAsia" w:hAnsi="宋体" w:cs="宋体"/>
                <w:szCs w:val="21"/>
              </w:rPr>
              <w:t>2、自2017年1月1日以来项目经理获得过市级以上（含市级）安全文明标准工地奖的得1分。（需提供获奖证书和同级奖励文件扫描件，以证书时间为准）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Cs w:val="21"/>
              </w:rPr>
            </w:pPr>
            <w:r>
              <w:rPr>
                <w:rFonts w:hint="eastAsia"/>
                <w:szCs w:val="21"/>
              </w:rPr>
              <w:t>7</w:t>
            </w:r>
          </w:p>
        </w:tc>
        <w:tc>
          <w:tcPr>
            <w:tcW w:w="2050" w:type="dxa"/>
            <w:vAlign w:val="center"/>
          </w:tcPr>
          <w:p>
            <w:pPr>
              <w:jc w:val="center"/>
              <w:rPr>
                <w:szCs w:val="21"/>
              </w:rPr>
            </w:pPr>
            <w:r>
              <w:rPr>
                <w:rFonts w:hint="eastAsia"/>
                <w:szCs w:val="21"/>
              </w:rPr>
              <w:t>招标人意见（0-2分）</w:t>
            </w:r>
          </w:p>
        </w:tc>
        <w:tc>
          <w:tcPr>
            <w:tcW w:w="4950" w:type="dxa"/>
            <w:vAlign w:val="center"/>
          </w:tcPr>
          <w:p>
            <w:pPr>
              <w:snapToGrid w:val="0"/>
              <w:spacing w:line="360" w:lineRule="auto"/>
              <w:rPr>
                <w:rFonts w:hAnsi="宋体" w:cs="宋体"/>
                <w:color w:val="FF0000"/>
                <w:szCs w:val="21"/>
              </w:rPr>
            </w:pPr>
            <w:r>
              <w:rPr>
                <w:rFonts w:hint="eastAsia" w:hAnsi="宋体" w:cs="宋体"/>
                <w:sz w:val="24"/>
              </w:rPr>
              <w:t>各投标人得分均按2分计算。</w:t>
            </w:r>
          </w:p>
        </w:tc>
        <w:tc>
          <w:tcPr>
            <w:tcW w:w="2074" w:type="dxa"/>
            <w:vAlign w:val="center"/>
          </w:tcPr>
          <w:p>
            <w:pPr>
              <w:jc w:val="center"/>
              <w:rPr>
                <w:szCs w:val="21"/>
              </w:rPr>
            </w:pPr>
            <w:r>
              <w:rPr>
                <w:szCs w:val="21"/>
              </w:rPr>
              <w:t>0≤</w:t>
            </w:r>
            <w:r>
              <w:rPr>
                <w:rFonts w:hint="eastAsia"/>
                <w:szCs w:val="21"/>
              </w:rPr>
              <w:t>得分</w:t>
            </w:r>
            <w:r>
              <w:rPr>
                <w:szCs w:val="21"/>
              </w:rPr>
              <w:t>≤2</w:t>
            </w:r>
            <w:r>
              <w:rPr>
                <w:rFonts w:hint="eastAsia"/>
                <w:szCs w:val="21"/>
              </w:rPr>
              <w:t>分</w:t>
            </w:r>
          </w:p>
        </w:tc>
      </w:tr>
    </w:tbl>
    <w:p>
      <w:pPr>
        <w:snapToGrid w:val="0"/>
        <w:spacing w:line="360" w:lineRule="auto"/>
        <w:rPr>
          <w:rFonts w:hAnsi="宋体" w:cs="宋体"/>
          <w:b/>
          <w:bCs/>
          <w:sz w:val="24"/>
        </w:rPr>
      </w:pPr>
    </w:p>
    <w:p>
      <w:pPr>
        <w:snapToGrid w:val="0"/>
        <w:spacing w:line="360" w:lineRule="auto"/>
        <w:rPr>
          <w:rFonts w:hAnsi="宋体" w:cs="宋体"/>
          <w:sz w:val="24"/>
        </w:rPr>
      </w:pPr>
      <w:r>
        <w:rPr>
          <w:rFonts w:hint="eastAsia" w:hAnsi="宋体" w:cs="宋体"/>
          <w:b/>
          <w:bCs/>
          <w:sz w:val="24"/>
        </w:rPr>
        <w:t>（五）投标人综合得分</w:t>
      </w:r>
    </w:p>
    <w:p>
      <w:pPr>
        <w:snapToGrid w:val="0"/>
        <w:spacing w:line="360" w:lineRule="auto"/>
        <w:ind w:firstLine="480"/>
        <w:rPr>
          <w:rFonts w:hAnsi="宋体" w:cs="宋体"/>
          <w:sz w:val="24"/>
        </w:rPr>
      </w:pPr>
      <w:r>
        <w:rPr>
          <w:rFonts w:hint="eastAsia" w:hAnsi="宋体" w:cs="宋体"/>
          <w:sz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2"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rPr>
        <w:t>八、评标注意事项</w:t>
      </w:r>
      <w:bookmarkEnd w:id="97"/>
      <w:bookmarkEnd w:id="98"/>
      <w:bookmarkEnd w:id="99"/>
      <w:bookmarkEnd w:id="100"/>
    </w:p>
    <w:p>
      <w:pPr>
        <w:spacing w:line="400" w:lineRule="exact"/>
        <w:ind w:firstLine="480" w:firstLineChars="200"/>
        <w:rPr>
          <w:rFonts w:hAnsi="宋体" w:cs="宋体"/>
          <w:bCs/>
          <w:sz w:val="24"/>
        </w:rPr>
      </w:pPr>
      <w:r>
        <w:rPr>
          <w:rFonts w:hint="eastAsia" w:hAnsi="宋体" w:cs="宋体"/>
          <w:bCs/>
          <w:sz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rPr>
      </w:pPr>
      <w:r>
        <w:rPr>
          <w:rFonts w:hint="eastAsia" w:hAnsi="宋体" w:cs="宋体"/>
          <w:bCs/>
          <w:sz w:val="24"/>
        </w:rPr>
        <w:t>3.分数计算过程中，保留两位小数，小数点后第三位四舍五入。</w:t>
      </w:r>
    </w:p>
    <w:p>
      <w:pPr>
        <w:pStyle w:val="39"/>
        <w:keepNext w:val="0"/>
        <w:keepLines w:val="0"/>
        <w:ind w:firstLine="482"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39"/>
        <w:keepNext w:val="0"/>
        <w:keepLines w:val="0"/>
        <w:ind w:firstLine="482"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2"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2"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pPr>
    </w:p>
    <w:p>
      <w:pPr>
        <w:spacing w:line="312" w:lineRule="auto"/>
      </w:pPr>
    </w:p>
    <w:p>
      <w:pPr>
        <w:spacing w:line="312" w:lineRule="auto"/>
      </w:pPr>
    </w:p>
    <w:p>
      <w:pPr>
        <w:spacing w:line="312" w:lineRule="auto"/>
      </w:pPr>
    </w:p>
    <w:p>
      <w:pPr>
        <w:pStyle w:val="4"/>
        <w:spacing w:before="0" w:after="0" w:line="312" w:lineRule="auto"/>
        <w:rPr>
          <w:rStyle w:val="24"/>
          <w:b w:val="0"/>
          <w:bCs w:val="0"/>
          <w:sz w:val="36"/>
          <w:szCs w:val="36"/>
        </w:rPr>
      </w:pPr>
      <w:bookmarkStart w:id="101" w:name="_Toc701"/>
      <w:bookmarkStart w:id="102" w:name="_Toc4299"/>
      <w:bookmarkStart w:id="103" w:name="_Toc21870"/>
      <w:bookmarkStart w:id="104" w:name="_Toc24218"/>
      <w:bookmarkStart w:id="105" w:name="_Toc24212"/>
      <w:r>
        <w:rPr>
          <w:rStyle w:val="24"/>
          <w:rFonts w:hint="eastAsia"/>
          <w:b w:val="0"/>
          <w:bCs w:val="0"/>
          <w:sz w:val="36"/>
          <w:szCs w:val="36"/>
        </w:rPr>
        <w:br w:type="page"/>
      </w:r>
    </w:p>
    <w:p>
      <w:pPr>
        <w:pStyle w:val="4"/>
        <w:spacing w:before="0" w:after="0" w:line="312" w:lineRule="auto"/>
        <w:jc w:val="center"/>
        <w:rPr>
          <w:rStyle w:val="24"/>
          <w:b w:val="0"/>
          <w:bCs w:val="0"/>
          <w:sz w:val="36"/>
          <w:szCs w:val="36"/>
        </w:rPr>
      </w:pPr>
      <w:r>
        <w:rPr>
          <w:rStyle w:val="24"/>
          <w:rFonts w:hint="eastAsia"/>
          <w:b w:val="0"/>
          <w:bCs w:val="0"/>
          <w:sz w:val="36"/>
          <w:szCs w:val="36"/>
        </w:rPr>
        <w:t>第四章  合同条款、协议及格式</w:t>
      </w:r>
      <w:bookmarkEnd w:id="101"/>
      <w:bookmarkEnd w:id="102"/>
      <w:bookmarkEnd w:id="103"/>
      <w:bookmarkEnd w:id="104"/>
      <w:bookmarkEnd w:id="105"/>
    </w:p>
    <w:p>
      <w:pPr>
        <w:spacing w:line="312" w:lineRule="auto"/>
        <w:jc w:val="center"/>
        <w:rPr>
          <w:rFonts w:hAnsi="宋体" w:cs="宋体"/>
          <w:bCs/>
          <w:sz w:val="28"/>
          <w:szCs w:val="28"/>
        </w:rPr>
      </w:pPr>
      <w:bookmarkStart w:id="106" w:name="_Toc16924"/>
    </w:p>
    <w:p>
      <w:pPr>
        <w:spacing w:line="312" w:lineRule="auto"/>
        <w:jc w:val="center"/>
        <w:rPr>
          <w:rFonts w:hAnsi="宋体" w:cs="宋体"/>
          <w:bCs/>
          <w:sz w:val="28"/>
          <w:szCs w:val="28"/>
        </w:rPr>
      </w:pPr>
    </w:p>
    <w:p>
      <w:pPr>
        <w:spacing w:line="312" w:lineRule="auto"/>
        <w:jc w:val="center"/>
        <w:rPr>
          <w:b/>
          <w:bCs/>
          <w:sz w:val="32"/>
          <w:szCs w:val="32"/>
        </w:rPr>
      </w:pPr>
      <w:r>
        <w:rPr>
          <w:rFonts w:hint="eastAsia" w:hAnsi="宋体" w:cs="宋体"/>
          <w:bCs/>
          <w:sz w:val="28"/>
          <w:szCs w:val="28"/>
        </w:rPr>
        <w:t>采用由中华人民共和国住房和城乡建设部与国家工商行政管理局联合制定的《建设工程施工合同》(GF2017-0201)签订合同。</w:t>
      </w: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r>
        <w:rPr>
          <w:rFonts w:hint="eastAsia"/>
          <w:b/>
          <w:bCs/>
          <w:sz w:val="32"/>
          <w:szCs w:val="32"/>
        </w:rPr>
        <w:t>第五章  工程量清单</w:t>
      </w:r>
      <w:bookmarkEnd w:id="106"/>
    </w:p>
    <w:p>
      <w:pPr>
        <w:spacing w:line="360" w:lineRule="auto"/>
        <w:rPr>
          <w:rFonts w:ascii="宋体" w:hAnsi="宋体"/>
          <w:sz w:val="24"/>
        </w:rPr>
      </w:pPr>
      <w:bookmarkStart w:id="107" w:name="_Toc144974835"/>
      <w:bookmarkStart w:id="108" w:name="_Toc179632790"/>
      <w:bookmarkStart w:id="109" w:name="_Toc152045773"/>
      <w:bookmarkStart w:id="110" w:name="_Toc152042555"/>
      <w:r>
        <w:rPr>
          <w:rFonts w:hint="eastAsia" w:ascii="宋体" w:hAnsi="宋体"/>
          <w:sz w:val="24"/>
        </w:rPr>
        <w:t>1. 工程量清单说明</w:t>
      </w:r>
      <w:bookmarkEnd w:id="107"/>
      <w:bookmarkEnd w:id="108"/>
      <w:bookmarkEnd w:id="109"/>
      <w:bookmarkEnd w:id="110"/>
    </w:p>
    <w:p>
      <w:pPr>
        <w:spacing w:line="360" w:lineRule="auto"/>
        <w:rPr>
          <w:rFonts w:ascii="宋体" w:hAnsi="宋体"/>
          <w:sz w:val="24"/>
        </w:rPr>
      </w:pPr>
      <w:r>
        <w:rPr>
          <w:rFonts w:hint="eastAsia" w:ascii="宋体" w:hAnsi="宋体"/>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spacing w:line="360" w:lineRule="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spacing w:line="360" w:lineRule="auto"/>
        <w:rPr>
          <w:rFonts w:ascii="宋体" w:hAnsi="宋体"/>
          <w:sz w:val="24"/>
        </w:rPr>
      </w:pPr>
      <w:bookmarkStart w:id="111" w:name="_Toc152042556"/>
      <w:bookmarkStart w:id="112" w:name="_Toc179632791"/>
      <w:bookmarkStart w:id="113" w:name="_Toc144974836"/>
      <w:bookmarkStart w:id="114" w:name="_Toc152045774"/>
      <w:r>
        <w:rPr>
          <w:rFonts w:hint="eastAsia" w:ascii="宋体" w:hAnsi="宋体"/>
          <w:sz w:val="24"/>
        </w:rPr>
        <w:t>2. 投标</w:t>
      </w:r>
      <w:bookmarkEnd w:id="111"/>
      <w:bookmarkEnd w:id="112"/>
      <w:bookmarkEnd w:id="113"/>
      <w:bookmarkEnd w:id="114"/>
      <w:r>
        <w:rPr>
          <w:rFonts w:hint="eastAsia" w:ascii="宋体" w:hAnsi="宋体"/>
          <w:sz w:val="24"/>
        </w:rPr>
        <w:t>依据</w:t>
      </w:r>
    </w:p>
    <w:p>
      <w:pPr>
        <w:spacing w:line="360" w:lineRule="auto"/>
        <w:rPr>
          <w:rFonts w:ascii="宋体" w:hAnsi="宋体"/>
          <w:sz w:val="24"/>
        </w:rPr>
      </w:pPr>
      <w:r>
        <w:rPr>
          <w:rFonts w:hint="eastAsia" w:ascii="宋体" w:hAnsi="宋体"/>
          <w:sz w:val="24"/>
        </w:rPr>
        <w:t xml:space="preserve"> 2.1 《建设工程工程量清单计价规范》。</w:t>
      </w:r>
    </w:p>
    <w:p>
      <w:pPr>
        <w:spacing w:line="360" w:lineRule="auto"/>
        <w:rPr>
          <w:rFonts w:ascii="宋体" w:hAnsi="宋体"/>
          <w:sz w:val="24"/>
        </w:rPr>
      </w:pPr>
      <w:r>
        <w:rPr>
          <w:rFonts w:hint="eastAsia" w:ascii="宋体" w:hAnsi="宋体"/>
          <w:sz w:val="24"/>
        </w:rPr>
        <w:t xml:space="preserve">    2.2 《河南省房屋建筑与装饰工程预算定额》（HA01-31-2016）、《河南省通用安装工程预算定额》（HA02-31-2016）、《河南省市政工程预算定额》（HAA1-31-2016）（及其配套的计算规则、补充定额、定额解释、通知、标准和省、市有关造价管理文件）。</w:t>
      </w:r>
    </w:p>
    <w:p>
      <w:pPr>
        <w:spacing w:line="360" w:lineRule="auto"/>
        <w:ind w:firstLine="480" w:firstLineChars="200"/>
        <w:rPr>
          <w:rFonts w:ascii="宋体" w:hAnsi="宋体"/>
          <w:sz w:val="24"/>
        </w:rPr>
      </w:pPr>
      <w:r>
        <w:rPr>
          <w:rFonts w:hint="eastAsia" w:ascii="宋体" w:hAnsi="宋体"/>
          <w:sz w:val="24"/>
        </w:rPr>
        <w:t>2.3人工工日及人工费、机械费、管理费动态调整执行豫建标定【2019】26号文，按2019年第五期价格指数调整。</w:t>
      </w:r>
    </w:p>
    <w:p>
      <w:pPr>
        <w:spacing w:line="360" w:lineRule="auto"/>
        <w:ind w:firstLine="480" w:firstLineChars="20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2.4安全文明施工费及规费按定额与现行相关文件规定执行。</w:t>
      </w:r>
    </w:p>
    <w:p>
      <w:pPr>
        <w:spacing w:line="360" w:lineRule="auto"/>
        <w:ind w:firstLine="480" w:firstLineChars="20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2.5夜间施工增加费、二次搬运费、冬雨季施工增加费均计取。</w:t>
      </w:r>
    </w:p>
    <w:p>
      <w:pPr>
        <w:spacing w:line="360" w:lineRule="auto"/>
        <w:ind w:firstLine="480" w:firstLineChars="20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2.6税金调整依据《建办标函【2019】193号》文计取增值税9%。</w:t>
      </w:r>
    </w:p>
    <w:p>
      <w:pPr>
        <w:spacing w:line="360" w:lineRule="auto"/>
        <w:ind w:firstLine="480" w:firstLineChars="20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2.7主要材料价按照《许昌工程造价信息》（2019年第4期8月），结合鄢陵县市场实际调查价格调整计入。</w:t>
      </w:r>
    </w:p>
    <w:p>
      <w:pPr>
        <w:spacing w:line="360" w:lineRule="auto"/>
        <w:rPr>
          <w:rFonts w:ascii="宋体" w:hAnsi="宋体"/>
          <w:sz w:val="24"/>
        </w:rPr>
      </w:pPr>
      <w:bookmarkStart w:id="115" w:name="_Toc179632792"/>
      <w:r>
        <w:rPr>
          <w:rFonts w:hint="eastAsia" w:ascii="宋体" w:hAnsi="宋体"/>
          <w:sz w:val="24"/>
        </w:rPr>
        <w:t xml:space="preserve">  其他说明</w:t>
      </w:r>
      <w:bookmarkEnd w:id="115"/>
    </w:p>
    <w:p>
      <w:pPr>
        <w:spacing w:line="360" w:lineRule="auto"/>
        <w:rPr>
          <w:rFonts w:ascii="宋体" w:hAnsi="宋体"/>
          <w:sz w:val="24"/>
        </w:rPr>
      </w:pPr>
      <w:r>
        <w:rPr>
          <w:rFonts w:hint="eastAsia" w:ascii="宋体" w:hAnsi="宋体"/>
          <w:sz w:val="24"/>
        </w:rPr>
        <w:t xml:space="preserve">     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4图纸中所列工程量表及数量汇总仅为提供资料，不应视为工程量报价单的扩大或延伸。</w:t>
      </w:r>
    </w:p>
    <w:p>
      <w:pPr>
        <w:numPr>
          <w:ilvl w:val="0"/>
          <w:numId w:val="4"/>
        </w:numPr>
        <w:spacing w:line="360" w:lineRule="auto"/>
        <w:rPr>
          <w:rFonts w:ascii="宋体" w:hAnsi="宋体"/>
          <w:sz w:val="24"/>
        </w:rPr>
      </w:pPr>
      <w:bookmarkStart w:id="116" w:name="_Toc21351"/>
      <w:r>
        <w:rPr>
          <w:rFonts w:hint="eastAsia" w:ascii="宋体" w:hAnsi="宋体"/>
          <w:sz w:val="24"/>
        </w:rPr>
        <w:t>工程量清单详见附件</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rPr>
          <w:b/>
          <w:bCs/>
          <w:sz w:val="32"/>
          <w:szCs w:val="32"/>
        </w:rPr>
      </w:pPr>
      <w:r>
        <w:rPr>
          <w:rFonts w:hint="eastAsia"/>
          <w:b/>
          <w:bCs/>
          <w:sz w:val="32"/>
          <w:szCs w:val="32"/>
        </w:rPr>
        <w:br w:type="page"/>
      </w:r>
    </w:p>
    <w:p>
      <w:pPr>
        <w:pStyle w:val="14"/>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116"/>
    <w:p>
      <w:pPr>
        <w:spacing w:line="312" w:lineRule="auto"/>
        <w:jc w:val="center"/>
        <w:rPr>
          <w:sz w:val="24"/>
        </w:rPr>
      </w:pPr>
      <w:r>
        <w:rPr>
          <w:rFonts w:hint="eastAsia" w:hAnsi="宋体" w:cs="黑体"/>
          <w:sz w:val="24"/>
        </w:rPr>
        <w:t>（根据招标文件给出的网址自行下载。）</w:t>
      </w:r>
    </w:p>
    <w:p>
      <w:pPr>
        <w:spacing w:line="312" w:lineRule="auto"/>
        <w:jc w:val="center"/>
        <w:rPr>
          <w:rFonts w:ascii="宋体" w:hAnsi="宋体" w:cs="宋体"/>
          <w:sz w:val="32"/>
          <w:szCs w:val="32"/>
        </w:rPr>
      </w:pPr>
    </w:p>
    <w:p>
      <w:pPr>
        <w:spacing w:line="312" w:lineRule="auto"/>
        <w:jc w:val="center"/>
        <w:rPr>
          <w:b/>
          <w:sz w:val="32"/>
          <w:szCs w:val="32"/>
        </w:rPr>
      </w:pPr>
      <w:bookmarkStart w:id="117" w:name="_Toc24512"/>
      <w:bookmarkStart w:id="118" w:name="_Toc30393"/>
      <w:bookmarkStart w:id="119" w:name="_Toc4592"/>
      <w:bookmarkStart w:id="120" w:name="_Toc23526"/>
    </w:p>
    <w:p>
      <w:pPr>
        <w:spacing w:line="312" w:lineRule="auto"/>
        <w:jc w:val="center"/>
        <w:rPr>
          <w:b/>
          <w:sz w:val="32"/>
          <w:szCs w:val="32"/>
        </w:rPr>
      </w:pPr>
    </w:p>
    <w:p>
      <w:pPr>
        <w:spacing w:line="312" w:lineRule="auto"/>
        <w:jc w:val="center"/>
        <w:rPr>
          <w:b/>
          <w:sz w:val="32"/>
          <w:szCs w:val="32"/>
        </w:rPr>
      </w:pPr>
      <w:r>
        <w:rPr>
          <w:rFonts w:hint="eastAsia"/>
          <w:b/>
          <w:sz w:val="32"/>
          <w:szCs w:val="32"/>
        </w:rPr>
        <w:br w:type="page"/>
      </w:r>
    </w:p>
    <w:p>
      <w:pPr>
        <w:pStyle w:val="14"/>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第七章  技术标准和要求</w:t>
      </w:r>
      <w:bookmarkEnd w:id="117"/>
      <w:bookmarkEnd w:id="118"/>
      <w:bookmarkEnd w:id="119"/>
      <w:bookmarkEnd w:id="120"/>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numPr>
          <w:ilvl w:val="0"/>
          <w:numId w:val="5"/>
        </w:numPr>
        <w:spacing w:afterLines="200" w:line="312" w:lineRule="auto"/>
        <w:jc w:val="center"/>
        <w:rPr>
          <w:rStyle w:val="24"/>
          <w:sz w:val="36"/>
          <w:szCs w:val="36"/>
        </w:rPr>
        <w:sectPr>
          <w:headerReference r:id="rId6" w:type="default"/>
          <w:footerReference r:id="rId7" w:type="default"/>
          <w:pgSz w:w="11906" w:h="16838"/>
          <w:pgMar w:top="1247" w:right="1191" w:bottom="1247" w:left="1191" w:header="851" w:footer="992" w:gutter="0"/>
          <w:pgNumType w:start="1"/>
          <w:cols w:space="720" w:num="1"/>
          <w:docGrid w:type="lines" w:linePitch="312" w:charSpace="0"/>
        </w:sectPr>
      </w:pPr>
      <w:bookmarkStart w:id="121" w:name="_Toc27217"/>
    </w:p>
    <w:bookmarkEnd w:id="121"/>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spacing w:line="600" w:lineRule="exact"/>
        <w:ind w:left="850"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122"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人民币（大写）：_______________元</w:t>
      </w:r>
    </w:p>
    <w:p>
      <w:pPr>
        <w:spacing w:line="480" w:lineRule="exact"/>
        <w:ind w:firstLine="943" w:firstLineChars="393"/>
        <w:rPr>
          <w:rFonts w:hAnsi="宋体" w:cs="宋体"/>
          <w:sz w:val="24"/>
        </w:rPr>
      </w:pPr>
      <w:r>
        <w:rPr>
          <w:rFonts w:hint="eastAsia" w:hAnsi="宋体" w:cs="宋体"/>
          <w:sz w:val="24"/>
        </w:rPr>
        <w:t>RMB￥：_________________元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规费RMB￥：_______________元</w:t>
      </w:r>
    </w:p>
    <w:p>
      <w:pPr>
        <w:spacing w:line="480" w:lineRule="exact"/>
        <w:ind w:firstLine="1048" w:firstLineChars="437"/>
        <w:rPr>
          <w:rFonts w:hAnsi="宋体" w:cs="宋体"/>
          <w:sz w:val="24"/>
        </w:rPr>
      </w:pPr>
      <w:r>
        <w:rPr>
          <w:rFonts w:hint="eastAsia" w:hAnsi="宋体" w:cs="宋体"/>
          <w:sz w:val="24"/>
        </w:rPr>
        <w:t>税金RMB￥：____________元</w:t>
      </w:r>
    </w:p>
    <w:p>
      <w:pPr>
        <w:spacing w:line="480" w:lineRule="exact"/>
        <w:ind w:firstLine="1048" w:firstLineChars="437"/>
        <w:rPr>
          <w:rFonts w:hAnsi="宋体" w:cs="宋体"/>
          <w:sz w:val="24"/>
        </w:rPr>
      </w:pPr>
      <w:r>
        <w:rPr>
          <w:rFonts w:hint="eastAsia" w:hAnsi="宋体" w:cs="宋体"/>
          <w:sz w:val="24"/>
        </w:rPr>
        <w:t>安全文明措施费RMB￥：__________元</w:t>
      </w:r>
    </w:p>
    <w:p>
      <w:pPr>
        <w:spacing w:line="480" w:lineRule="exact"/>
        <w:ind w:firstLine="1048" w:firstLineChars="437"/>
        <w:rPr>
          <w:rFonts w:hAnsi="宋体" w:cs="宋体"/>
          <w:sz w:val="24"/>
        </w:rPr>
      </w:pPr>
      <w:r>
        <w:rPr>
          <w:rFonts w:hint="eastAsia" w:hAnsi="宋体" w:cs="宋体"/>
          <w:sz w:val="24"/>
        </w:rPr>
        <w:t>暂列金额RMB￥：__________元</w:t>
      </w:r>
    </w:p>
    <w:p>
      <w:pPr>
        <w:spacing w:line="480" w:lineRule="exact"/>
        <w:ind w:firstLine="1048" w:firstLineChars="437"/>
        <w:rPr>
          <w:rFonts w:hAnsi="宋体" w:cs="宋体"/>
          <w:sz w:val="24"/>
        </w:rPr>
      </w:pPr>
      <w:r>
        <w:rPr>
          <w:rFonts w:hint="eastAsia" w:hAnsi="宋体" w:cs="宋体"/>
          <w:sz w:val="24"/>
        </w:rPr>
        <w:t>专业暂估价RMB￥：___________元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如果我方中标，我方保证按照合同约定的开工日期开始本工程的施工，_______天（日历天）内竣工，并确保工程质量达到______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随同本投标函递交投标保证金一份，金额为人民币（大写）：_____元（￥：_____元）。</w:t>
      </w:r>
    </w:p>
    <w:p>
      <w:pPr>
        <w:spacing w:line="480" w:lineRule="exact"/>
        <w:ind w:firstLine="480" w:firstLineChars="200"/>
        <w:rPr>
          <w:rFonts w:hAnsi="宋体" w:cs="宋体"/>
          <w:sz w:val="24"/>
        </w:rPr>
      </w:pPr>
      <w:r>
        <w:rPr>
          <w:rFonts w:hint="eastAsia" w:hAnsi="宋体" w:cs="宋体"/>
          <w:sz w:val="24"/>
        </w:rPr>
        <w:t>我方承诺，若我方中标，愿意按国家发改委“计价格（2002）1980号”规定缴纳招标代理服务费等相关费用。</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投标人（盖章）：____________</w:t>
      </w:r>
    </w:p>
    <w:p>
      <w:pPr>
        <w:spacing w:line="480" w:lineRule="exact"/>
        <w:ind w:firstLine="480" w:firstLineChars="200"/>
        <w:rPr>
          <w:rFonts w:hAnsi="宋体" w:cs="宋体"/>
          <w:sz w:val="24"/>
        </w:rPr>
      </w:pPr>
      <w:r>
        <w:rPr>
          <w:rFonts w:hint="eastAsia" w:hAnsi="宋体" w:cs="宋体"/>
          <w:sz w:val="24"/>
        </w:rPr>
        <w:t>法定代表人或委托代理人（签字）：__________</w:t>
      </w:r>
    </w:p>
    <w:p>
      <w:pPr>
        <w:spacing w:line="480" w:lineRule="exact"/>
        <w:ind w:firstLine="480" w:firstLineChars="200"/>
        <w:rPr>
          <w:rFonts w:hAnsi="宋体" w:cs="宋体"/>
          <w:sz w:val="24"/>
        </w:rPr>
      </w:pPr>
      <w:r>
        <w:rPr>
          <w:rFonts w:hint="eastAsia" w:hAnsi="宋体" w:cs="宋体"/>
          <w:sz w:val="24"/>
        </w:rPr>
        <w:t>日期：______年____月_____日</w:t>
      </w: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规费RMB￥：___元</w:t>
            </w:r>
          </w:p>
          <w:p>
            <w:pPr>
              <w:spacing w:line="480" w:lineRule="exact"/>
              <w:ind w:firstLine="600" w:firstLineChars="250"/>
              <w:rPr>
                <w:rFonts w:hAnsi="宋体" w:cs="宋体"/>
                <w:sz w:val="24"/>
              </w:rPr>
            </w:pPr>
            <w:r>
              <w:rPr>
                <w:rFonts w:hint="eastAsia" w:hAnsi="宋体" w:cs="宋体"/>
                <w:sz w:val="24"/>
              </w:rPr>
              <w:t>税金RMB￥：___元</w:t>
            </w:r>
          </w:p>
          <w:p>
            <w:pPr>
              <w:spacing w:line="480" w:lineRule="exact"/>
              <w:ind w:firstLine="600" w:firstLineChars="250"/>
              <w:rPr>
                <w:rFonts w:hAnsi="宋体" w:cs="宋体"/>
                <w:sz w:val="24"/>
              </w:rPr>
            </w:pPr>
            <w:r>
              <w:rPr>
                <w:rFonts w:hint="eastAsia" w:hAnsi="宋体" w:cs="宋体"/>
                <w:sz w:val="24"/>
              </w:rPr>
              <w:t>安全文明措施费RMB￥：___元</w:t>
            </w:r>
          </w:p>
          <w:p>
            <w:pPr>
              <w:spacing w:line="480" w:lineRule="exact"/>
              <w:ind w:firstLine="600" w:firstLineChars="250"/>
              <w:rPr>
                <w:rFonts w:hAnsi="宋体" w:cs="宋体"/>
                <w:sz w:val="24"/>
              </w:rPr>
            </w:pPr>
            <w:r>
              <w:rPr>
                <w:rFonts w:hint="eastAsia" w:hAnsi="宋体" w:cs="宋体"/>
                <w:sz w:val="24"/>
              </w:rPr>
              <w:t>暂列金额RMB￥：___元</w:t>
            </w:r>
          </w:p>
          <w:p>
            <w:pPr>
              <w:spacing w:line="480" w:lineRule="exact"/>
              <w:ind w:firstLine="600" w:firstLineChars="250"/>
              <w:rPr>
                <w:rFonts w:hAnsi="宋体" w:cs="宋体"/>
                <w:sz w:val="24"/>
              </w:rPr>
            </w:pPr>
            <w:r>
              <w:rPr>
                <w:rFonts w:hint="eastAsia" w:hAnsi="宋体" w:cs="宋体"/>
                <w:sz w:val="24"/>
              </w:rPr>
              <w:t>专业暂估价RMB￥：___元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122"/>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bookmarkStart w:id="123" w:name="_Toc271787731"/>
      <w:r>
        <w:rPr>
          <w:rFonts w:hint="eastAsia" w:ascii="黑体" w:hAnsi="新宋体" w:eastAsia="黑体" w:cs="黑体"/>
          <w:sz w:val="28"/>
          <w:szCs w:val="28"/>
        </w:rPr>
        <w:t>（一）法定代表人身份证明</w:t>
      </w:r>
      <w:bookmarkEnd w:id="12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42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124" w:name="_Toc271787732"/>
      <w:r>
        <w:rPr>
          <w:rFonts w:hint="eastAsia" w:ascii="黑体" w:hAnsi="新宋体" w:eastAsia="黑体" w:cs="黑体"/>
          <w:sz w:val="28"/>
          <w:szCs w:val="28"/>
        </w:rPr>
        <w:t>（二）授权委托书</w:t>
      </w:r>
      <w:bookmarkEnd w:id="12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15" w:firstLineChars="1542"/>
        <w:jc w:val="left"/>
        <w:rPr>
          <w:rFonts w:hAnsi="宋体" w:cs="仿宋_GB2312"/>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“鄢陵县公共资源交易中心保证金缴纳回执”。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6"/>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rPr>
          <w:rFonts w:hAnsi="宋体" w:cs="宋体"/>
          <w:sz w:val="24"/>
        </w:rPr>
      </w:pPr>
    </w:p>
    <w:tbl>
      <w:tblPr>
        <w:tblStyle w:val="1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rPr>
      </w:pPr>
    </w:p>
    <w:tbl>
      <w:tblPr>
        <w:tblStyle w:val="1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6"/>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rPr>
      </w:pPr>
    </w:p>
    <w:p>
      <w:pPr>
        <w:jc w:val="center"/>
        <w:rPr>
          <w:rFonts w:hAnsi="宋体" w:cs="宋体"/>
          <w:b/>
          <w:sz w:val="32"/>
          <w:szCs w:val="32"/>
        </w:rPr>
      </w:pPr>
      <w:r>
        <w:rPr>
          <w:rFonts w:hint="eastAsia" w:hAnsi="宋体" w:cs="宋体"/>
          <w:sz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类别</w:t>
            </w:r>
          </w:p>
        </w:tc>
        <w:tc>
          <w:tcPr>
            <w:tcW w:w="1164"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序号</w:t>
            </w:r>
          </w:p>
        </w:tc>
        <w:tc>
          <w:tcPr>
            <w:tcW w:w="1752"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发生时间</w:t>
            </w:r>
          </w:p>
        </w:tc>
        <w:tc>
          <w:tcPr>
            <w:tcW w:w="3060"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情况简介</w:t>
            </w:r>
          </w:p>
        </w:tc>
        <w:tc>
          <w:tcPr>
            <w:tcW w:w="2605"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1" w:firstLineChars="50"/>
        <w:jc w:val="left"/>
        <w:rPr>
          <w:rFonts w:hAnsi="宋体" w:cs="宋体"/>
          <w:b/>
          <w:sz w:val="26"/>
          <w:szCs w:val="26"/>
        </w:rPr>
      </w:pPr>
      <w:r>
        <w:rPr>
          <w:rFonts w:hint="eastAsia" w:hAnsi="宋体" w:cs="宋体"/>
          <w:b/>
          <w:bCs/>
          <w:sz w:val="26"/>
          <w:szCs w:val="26"/>
        </w:rPr>
        <w:t>（13）风险管理措施</w:t>
      </w:r>
    </w:p>
    <w:p>
      <w:pPr>
        <w:pStyle w:val="14"/>
        <w:widowControl/>
        <w:shd w:val="clear" w:color="060000" w:fill="FFFFFF"/>
        <w:spacing w:before="0" w:beforeAutospacing="0" w:after="0" w:afterAutospacing="0" w:line="288" w:lineRule="auto"/>
        <w:jc w:val="center"/>
      </w:pPr>
    </w:p>
    <w:sectPr>
      <w:pgSz w:w="11906" w:h="16838"/>
      <w:pgMar w:top="1247" w:right="1191" w:bottom="124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roma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p>
  <w:p>
    <w:pPr>
      <w:pStyle w:val="10"/>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3</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9"/>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p>
    <w:pPr>
      <w:pStyle w:val="10"/>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354"/>
      </w:tabs>
      <w:ind w:firstLine="3072" w:firstLineChars="1700"/>
      <w:jc w:val="both"/>
      <w:rPr>
        <w:rFonts w:ascii="楷体" w:hAnsi="楷体" w:eastAsia="楷体"/>
        <w:b/>
        <w:i/>
      </w:rPr>
    </w:pPr>
    <w:r>
      <w:rPr>
        <w:rFonts w:hint="eastAsia" w:ascii="楷体" w:hAnsi="楷体" w:eastAsia="楷体"/>
        <w:b/>
        <w:i/>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5278B250"/>
    <w:multiLevelType w:val="singleLevel"/>
    <w:tmpl w:val="5278B250"/>
    <w:lvl w:ilvl="0" w:tentative="0">
      <w:start w:val="1"/>
      <w:numFmt w:val="decimal"/>
      <w:suff w:val="nothing"/>
      <w:lvlText w:val="（%1）"/>
      <w:lvlJc w:val="left"/>
    </w:lvl>
  </w:abstractNum>
  <w:abstractNum w:abstractNumId="3">
    <w:nsid w:val="55C4C886"/>
    <w:multiLevelType w:val="singleLevel"/>
    <w:tmpl w:val="55C4C886"/>
    <w:lvl w:ilvl="0" w:tentative="0">
      <w:start w:val="4"/>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31E9E0"/>
    <w:multiLevelType w:val="singleLevel"/>
    <w:tmpl w:val="5A31E9E0"/>
    <w:lvl w:ilvl="0" w:tentative="0">
      <w:start w:val="9"/>
      <w:numFmt w:val="chineseCounting"/>
      <w:suff w:val="nothing"/>
      <w:lvlText w:val="%1、"/>
      <w:lvlJc w:val="left"/>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2039"/>
    <w:rsid w:val="00020FDC"/>
    <w:rsid w:val="00061D45"/>
    <w:rsid w:val="00071AD1"/>
    <w:rsid w:val="0007557F"/>
    <w:rsid w:val="000B1AA8"/>
    <w:rsid w:val="000D0032"/>
    <w:rsid w:val="000D3C14"/>
    <w:rsid w:val="000E0547"/>
    <w:rsid w:val="000E0745"/>
    <w:rsid w:val="000F2448"/>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C01AD"/>
    <w:rsid w:val="002C01BF"/>
    <w:rsid w:val="002D0D28"/>
    <w:rsid w:val="002E37FD"/>
    <w:rsid w:val="00305F41"/>
    <w:rsid w:val="00310127"/>
    <w:rsid w:val="0034090F"/>
    <w:rsid w:val="00352EC2"/>
    <w:rsid w:val="003578EB"/>
    <w:rsid w:val="003A1142"/>
    <w:rsid w:val="004016C1"/>
    <w:rsid w:val="00402306"/>
    <w:rsid w:val="004169AD"/>
    <w:rsid w:val="004254B5"/>
    <w:rsid w:val="00457A16"/>
    <w:rsid w:val="00486958"/>
    <w:rsid w:val="00487C7B"/>
    <w:rsid w:val="00490F8B"/>
    <w:rsid w:val="004A5AF4"/>
    <w:rsid w:val="004E75A2"/>
    <w:rsid w:val="005274D9"/>
    <w:rsid w:val="00540010"/>
    <w:rsid w:val="00556516"/>
    <w:rsid w:val="005607D7"/>
    <w:rsid w:val="00567DA5"/>
    <w:rsid w:val="00570E25"/>
    <w:rsid w:val="005B54CD"/>
    <w:rsid w:val="005B6EE5"/>
    <w:rsid w:val="005C7C1F"/>
    <w:rsid w:val="005C7DD2"/>
    <w:rsid w:val="005F22B0"/>
    <w:rsid w:val="005F582E"/>
    <w:rsid w:val="00614E6C"/>
    <w:rsid w:val="006258D1"/>
    <w:rsid w:val="00656706"/>
    <w:rsid w:val="00671401"/>
    <w:rsid w:val="00686902"/>
    <w:rsid w:val="0068793C"/>
    <w:rsid w:val="00697FC3"/>
    <w:rsid w:val="006D4975"/>
    <w:rsid w:val="006F274F"/>
    <w:rsid w:val="006F72A4"/>
    <w:rsid w:val="0071184E"/>
    <w:rsid w:val="00712FCA"/>
    <w:rsid w:val="007C0149"/>
    <w:rsid w:val="007C2FC7"/>
    <w:rsid w:val="007F329E"/>
    <w:rsid w:val="007F6F37"/>
    <w:rsid w:val="00801C65"/>
    <w:rsid w:val="008024DF"/>
    <w:rsid w:val="00804100"/>
    <w:rsid w:val="00810A71"/>
    <w:rsid w:val="00823BD0"/>
    <w:rsid w:val="0083039A"/>
    <w:rsid w:val="00833082"/>
    <w:rsid w:val="0084592B"/>
    <w:rsid w:val="008A2A82"/>
    <w:rsid w:val="008B5F65"/>
    <w:rsid w:val="008D1527"/>
    <w:rsid w:val="008D5900"/>
    <w:rsid w:val="008F1CD5"/>
    <w:rsid w:val="008F22CC"/>
    <w:rsid w:val="008F5090"/>
    <w:rsid w:val="00900B0D"/>
    <w:rsid w:val="0091132B"/>
    <w:rsid w:val="009232C6"/>
    <w:rsid w:val="00927F1A"/>
    <w:rsid w:val="00957110"/>
    <w:rsid w:val="0096770B"/>
    <w:rsid w:val="0097301B"/>
    <w:rsid w:val="009A386F"/>
    <w:rsid w:val="009B3A94"/>
    <w:rsid w:val="009C5BED"/>
    <w:rsid w:val="009F4D50"/>
    <w:rsid w:val="00A422AA"/>
    <w:rsid w:val="00A63CCC"/>
    <w:rsid w:val="00A728A9"/>
    <w:rsid w:val="00A836B1"/>
    <w:rsid w:val="00A93562"/>
    <w:rsid w:val="00AA57B2"/>
    <w:rsid w:val="00AD4193"/>
    <w:rsid w:val="00AF71E3"/>
    <w:rsid w:val="00B00E42"/>
    <w:rsid w:val="00B3715C"/>
    <w:rsid w:val="00B545CD"/>
    <w:rsid w:val="00B55506"/>
    <w:rsid w:val="00B90AF1"/>
    <w:rsid w:val="00BC5FF0"/>
    <w:rsid w:val="00BC78CC"/>
    <w:rsid w:val="00BF1128"/>
    <w:rsid w:val="00BF176F"/>
    <w:rsid w:val="00C023B0"/>
    <w:rsid w:val="00C07186"/>
    <w:rsid w:val="00C15D10"/>
    <w:rsid w:val="00C26F07"/>
    <w:rsid w:val="00C46425"/>
    <w:rsid w:val="00C52ECE"/>
    <w:rsid w:val="00C735DD"/>
    <w:rsid w:val="00C86C4F"/>
    <w:rsid w:val="00C904C0"/>
    <w:rsid w:val="00CA7E43"/>
    <w:rsid w:val="00CB7985"/>
    <w:rsid w:val="00CE7A87"/>
    <w:rsid w:val="00CF3E54"/>
    <w:rsid w:val="00D143DD"/>
    <w:rsid w:val="00D54BFA"/>
    <w:rsid w:val="00D77511"/>
    <w:rsid w:val="00D844D1"/>
    <w:rsid w:val="00DD5740"/>
    <w:rsid w:val="00DF0177"/>
    <w:rsid w:val="00DF5752"/>
    <w:rsid w:val="00E06963"/>
    <w:rsid w:val="00E06DE7"/>
    <w:rsid w:val="00E0748E"/>
    <w:rsid w:val="00E40276"/>
    <w:rsid w:val="00E55969"/>
    <w:rsid w:val="00E63E18"/>
    <w:rsid w:val="00E7552A"/>
    <w:rsid w:val="00EC125B"/>
    <w:rsid w:val="00F00735"/>
    <w:rsid w:val="00F132CA"/>
    <w:rsid w:val="00F31912"/>
    <w:rsid w:val="00F36A97"/>
    <w:rsid w:val="00F41329"/>
    <w:rsid w:val="00F4353B"/>
    <w:rsid w:val="00F47C60"/>
    <w:rsid w:val="00F533C5"/>
    <w:rsid w:val="00F67DDA"/>
    <w:rsid w:val="00F842B8"/>
    <w:rsid w:val="00F96074"/>
    <w:rsid w:val="00FB0D76"/>
    <w:rsid w:val="00FB2306"/>
    <w:rsid w:val="00FB30F5"/>
    <w:rsid w:val="00FD1F25"/>
    <w:rsid w:val="00FD5F5B"/>
    <w:rsid w:val="00FE089A"/>
    <w:rsid w:val="00FE6FB5"/>
    <w:rsid w:val="02BC1550"/>
    <w:rsid w:val="05F12039"/>
    <w:rsid w:val="08163BED"/>
    <w:rsid w:val="09CA76F2"/>
    <w:rsid w:val="0C4F33F6"/>
    <w:rsid w:val="157924CD"/>
    <w:rsid w:val="17F31B96"/>
    <w:rsid w:val="18185845"/>
    <w:rsid w:val="195820A8"/>
    <w:rsid w:val="1B1028AF"/>
    <w:rsid w:val="1E7764DB"/>
    <w:rsid w:val="24C5652C"/>
    <w:rsid w:val="26B81164"/>
    <w:rsid w:val="26D73A57"/>
    <w:rsid w:val="26FF40E4"/>
    <w:rsid w:val="2A0461CE"/>
    <w:rsid w:val="2AEC466A"/>
    <w:rsid w:val="2C4F07B1"/>
    <w:rsid w:val="30974D7B"/>
    <w:rsid w:val="3210778C"/>
    <w:rsid w:val="32CC327E"/>
    <w:rsid w:val="33AD6D7C"/>
    <w:rsid w:val="356E6C77"/>
    <w:rsid w:val="3691536A"/>
    <w:rsid w:val="36FE1C0A"/>
    <w:rsid w:val="3BC70DF4"/>
    <w:rsid w:val="3F9D0666"/>
    <w:rsid w:val="41E50505"/>
    <w:rsid w:val="420F1C82"/>
    <w:rsid w:val="43D80EB8"/>
    <w:rsid w:val="445A7CF4"/>
    <w:rsid w:val="45B346CF"/>
    <w:rsid w:val="460D1E59"/>
    <w:rsid w:val="48684613"/>
    <w:rsid w:val="497F3C78"/>
    <w:rsid w:val="498008D6"/>
    <w:rsid w:val="4D6D785A"/>
    <w:rsid w:val="4F103CF6"/>
    <w:rsid w:val="50804AF2"/>
    <w:rsid w:val="50CD7913"/>
    <w:rsid w:val="50FA6AB4"/>
    <w:rsid w:val="51215380"/>
    <w:rsid w:val="51A35FC8"/>
    <w:rsid w:val="51C63B78"/>
    <w:rsid w:val="52436665"/>
    <w:rsid w:val="55511B2A"/>
    <w:rsid w:val="55D709CA"/>
    <w:rsid w:val="579C290B"/>
    <w:rsid w:val="5BCD15D0"/>
    <w:rsid w:val="5C262E3D"/>
    <w:rsid w:val="5D240C39"/>
    <w:rsid w:val="5D2F533D"/>
    <w:rsid w:val="609A5679"/>
    <w:rsid w:val="622B56D5"/>
    <w:rsid w:val="622B6CF4"/>
    <w:rsid w:val="64BF1D3E"/>
    <w:rsid w:val="65C37488"/>
    <w:rsid w:val="6A510432"/>
    <w:rsid w:val="6A8A201B"/>
    <w:rsid w:val="6B4148EF"/>
    <w:rsid w:val="6BB8631A"/>
    <w:rsid w:val="6BF60B6B"/>
    <w:rsid w:val="6C5E0E9E"/>
    <w:rsid w:val="6D535020"/>
    <w:rsid w:val="6D983CF7"/>
    <w:rsid w:val="6DFB35D0"/>
    <w:rsid w:val="71D42450"/>
    <w:rsid w:val="723C7A5B"/>
    <w:rsid w:val="726F56F6"/>
    <w:rsid w:val="73651985"/>
    <w:rsid w:val="737857F7"/>
    <w:rsid w:val="745F142E"/>
    <w:rsid w:val="74DD169E"/>
    <w:rsid w:val="75A57575"/>
    <w:rsid w:val="76196391"/>
    <w:rsid w:val="79242FA6"/>
    <w:rsid w:val="7A9262D1"/>
    <w:rsid w:val="7EE21D37"/>
    <w:rsid w:val="7F167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4"/>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Body Text First Indent 2"/>
    <w:basedOn w:val="7"/>
    <w:next w:val="1"/>
    <w:qFormat/>
    <w:uiPriority w:val="0"/>
    <w:pPr>
      <w:ind w:firstLine="420" w:firstLineChars="200"/>
    </w:p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000000"/>
      <w:u w:val="none"/>
    </w:rPr>
  </w:style>
  <w:style w:type="paragraph" w:customStyle="1" w:styleId="23">
    <w:name w:val="p0"/>
    <w:basedOn w:val="1"/>
    <w:qFormat/>
    <w:uiPriority w:val="0"/>
    <w:pPr>
      <w:widowControl/>
      <w:jc w:val="left"/>
    </w:pPr>
    <w:rPr>
      <w:kern w:val="0"/>
      <w:szCs w:val="21"/>
    </w:rPr>
  </w:style>
  <w:style w:type="character" w:customStyle="1" w:styleId="24">
    <w:name w:val="标题 2 Char"/>
    <w:link w:val="5"/>
    <w:qFormat/>
    <w:uiPriority w:val="0"/>
    <w:rPr>
      <w:rFonts w:ascii="Arial" w:hAnsi="Arial" w:eastAsia="黑体"/>
      <w:b/>
      <w:bCs/>
      <w:kern w:val="0"/>
      <w:sz w:val="32"/>
      <w:szCs w:val="32"/>
    </w:rPr>
  </w:style>
  <w:style w:type="paragraph" w:customStyle="1" w:styleId="25">
    <w:name w:val="WPS Plain"/>
    <w:qFormat/>
    <w:uiPriority w:val="0"/>
    <w:rPr>
      <w:rFonts w:ascii="Times New Roman" w:hAnsi="Times New Roman" w:eastAsia="宋体" w:cs="Times New Roman"/>
      <w:lang w:val="en-US" w:eastAsia="zh-CN" w:bidi="ar-SA"/>
    </w:rPr>
  </w:style>
  <w:style w:type="character" w:customStyle="1" w:styleId="26">
    <w:name w:val="hover"/>
    <w:basedOn w:val="18"/>
    <w:qFormat/>
    <w:uiPriority w:val="0"/>
  </w:style>
  <w:style w:type="character" w:customStyle="1" w:styleId="27">
    <w:name w:val="green"/>
    <w:basedOn w:val="18"/>
    <w:qFormat/>
    <w:uiPriority w:val="0"/>
    <w:rPr>
      <w:color w:val="66AE00"/>
      <w:sz w:val="18"/>
      <w:szCs w:val="18"/>
    </w:rPr>
  </w:style>
  <w:style w:type="character" w:customStyle="1" w:styleId="28">
    <w:name w:val="green1"/>
    <w:basedOn w:val="18"/>
    <w:qFormat/>
    <w:uiPriority w:val="0"/>
    <w:rPr>
      <w:color w:val="66AE00"/>
      <w:sz w:val="18"/>
      <w:szCs w:val="18"/>
    </w:rPr>
  </w:style>
  <w:style w:type="character" w:customStyle="1" w:styleId="29">
    <w:name w:val="red"/>
    <w:basedOn w:val="18"/>
    <w:qFormat/>
    <w:uiPriority w:val="0"/>
    <w:rPr>
      <w:color w:val="FF0000"/>
      <w:sz w:val="18"/>
      <w:szCs w:val="18"/>
    </w:rPr>
  </w:style>
  <w:style w:type="character" w:customStyle="1" w:styleId="30">
    <w:name w:val="red1"/>
    <w:basedOn w:val="18"/>
    <w:qFormat/>
    <w:uiPriority w:val="0"/>
    <w:rPr>
      <w:color w:val="FF0000"/>
      <w:sz w:val="18"/>
      <w:szCs w:val="18"/>
    </w:rPr>
  </w:style>
  <w:style w:type="character" w:customStyle="1" w:styleId="31">
    <w:name w:val="red2"/>
    <w:basedOn w:val="18"/>
    <w:qFormat/>
    <w:uiPriority w:val="0"/>
    <w:rPr>
      <w:color w:val="CC0000"/>
    </w:rPr>
  </w:style>
  <w:style w:type="character" w:customStyle="1" w:styleId="32">
    <w:name w:val="red3"/>
    <w:basedOn w:val="18"/>
    <w:qFormat/>
    <w:uiPriority w:val="0"/>
    <w:rPr>
      <w:color w:val="FF0000"/>
    </w:rPr>
  </w:style>
  <w:style w:type="character" w:customStyle="1" w:styleId="33">
    <w:name w:val="gb-jt"/>
    <w:basedOn w:val="18"/>
    <w:qFormat/>
    <w:uiPriority w:val="0"/>
  </w:style>
  <w:style w:type="character" w:customStyle="1" w:styleId="34">
    <w:name w:val="right"/>
    <w:basedOn w:val="18"/>
    <w:qFormat/>
    <w:uiPriority w:val="0"/>
    <w:rPr>
      <w:color w:val="999999"/>
      <w:sz w:val="18"/>
      <w:szCs w:val="18"/>
    </w:rPr>
  </w:style>
  <w:style w:type="character" w:customStyle="1" w:styleId="35">
    <w:name w:val="blue"/>
    <w:basedOn w:val="18"/>
    <w:qFormat/>
    <w:uiPriority w:val="0"/>
    <w:rPr>
      <w:color w:val="0371C6"/>
      <w:sz w:val="21"/>
      <w:szCs w:val="21"/>
    </w:rPr>
  </w:style>
  <w:style w:type="character" w:customStyle="1" w:styleId="36">
    <w:name w:val="页眉 Char"/>
    <w:basedOn w:val="18"/>
    <w:link w:val="11"/>
    <w:qFormat/>
    <w:uiPriority w:val="99"/>
    <w:rPr>
      <w:kern w:val="2"/>
      <w:sz w:val="18"/>
      <w:szCs w:val="18"/>
    </w:rPr>
  </w:style>
  <w:style w:type="character" w:customStyle="1" w:styleId="37">
    <w:name w:val="批注框文本 Char"/>
    <w:basedOn w:val="18"/>
    <w:link w:val="9"/>
    <w:qFormat/>
    <w:uiPriority w:val="0"/>
    <w:rPr>
      <w:kern w:val="2"/>
      <w:sz w:val="18"/>
      <w:szCs w:val="18"/>
    </w:rPr>
  </w:style>
  <w:style w:type="character" w:customStyle="1" w:styleId="38">
    <w:name w:val="hover25"/>
    <w:basedOn w:val="18"/>
    <w:qFormat/>
    <w:uiPriority w:val="0"/>
  </w:style>
  <w:style w:type="paragraph" w:customStyle="1" w:styleId="39">
    <w:name w:val="样式 标题 3 + (中文) 黑体 小四 非加粗 段前: 7.8 磅 段后: 0 磅 行距: 固定值 20 磅"/>
    <w:basedOn w:val="6"/>
    <w:qFormat/>
    <w:uiPriority w:val="0"/>
    <w:pPr>
      <w:spacing w:before="0" w:after="0" w:line="400" w:lineRule="exact"/>
    </w:pPr>
    <w:rPr>
      <w:rFonts w:ascii="宋体" w:eastAsia="黑体" w:cs="宋体" w:hAnsiTheme="minorHAnsi"/>
      <w:b w:val="0"/>
      <w:bCs w:val="0"/>
      <w:sz w:val="24"/>
      <w:szCs w:val="20"/>
    </w:rPr>
  </w:style>
  <w:style w:type="character" w:customStyle="1" w:styleId="40">
    <w:name w:val="hover24"/>
    <w:basedOn w:val="18"/>
    <w:qFormat/>
    <w:uiPriority w:val="0"/>
  </w:style>
  <w:style w:type="paragraph" w:styleId="41">
    <w:name w:val="List Paragraph"/>
    <w:basedOn w:val="1"/>
    <w:qFormat/>
    <w:uiPriority w:val="99"/>
    <w:pPr>
      <w:ind w:firstLine="420" w:firstLineChars="200"/>
    </w:pPr>
    <w:rPr>
      <w:rFonts w:ascii="宋体"/>
      <w:kern w:val="0"/>
      <w:sz w:val="34"/>
      <w:szCs w:val="20"/>
    </w:rPr>
  </w:style>
  <w:style w:type="paragraph" w:customStyle="1" w:styleId="4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DB4A6-F75D-4CA7-A87A-3122D3CE8D2F}">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60</Pages>
  <Words>5053</Words>
  <Characters>28806</Characters>
  <Lines>240</Lines>
  <Paragraphs>67</Paragraphs>
  <TotalTime>176</TotalTime>
  <ScaleCrop>false</ScaleCrop>
  <LinksUpToDate>false</LinksUpToDate>
  <CharactersWithSpaces>33792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2019-12-11T03:17:00Z</dcterms:created>
  <dc:creator>莫。。</dc:creator>
  <cp:lastModifiedBy>山东龙信达咨询监理有限公司:郑坤</cp:lastModifiedBy>
  <cp:lastPrinted>2020-04-13T09:03:00Z</cp:lastPrinted>
  <dcterms:modified xsi:type="dcterms:W3CDTF">2020-04-16T03:50:26Z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