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pStyle w:val="11"/>
        <w:ind w:firstLine="340"/>
        <w:jc w:val="center"/>
        <w:rPr>
          <w:rFonts w:hint="eastAsia" w:eastAsia="宋体"/>
          <w:lang w:eastAsia="zh-CN"/>
        </w:rPr>
      </w:pPr>
      <w:r>
        <w:rPr>
          <w:rFonts w:hint="eastAsia"/>
          <w:b/>
          <w:bCs/>
          <w:color w:val="000000" w:themeColor="text1"/>
          <w:sz w:val="44"/>
          <w:szCs w:val="44"/>
          <w:lang w:eastAsia="zh-CN"/>
        </w:rPr>
        <w:t>长葛市董村镇殿后刘小学教学楼及附属工程</w:t>
      </w:r>
    </w:p>
    <w:p>
      <w:pPr>
        <w:pStyle w:val="11"/>
        <w:ind w:firstLine="340"/>
      </w:pPr>
    </w:p>
    <w:p>
      <w:pPr>
        <w:pStyle w:val="11"/>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int="eastAsia" w:hAnsi="宋体" w:eastAsia="宋体" w:cs="黑体"/>
          <w:sz w:val="44"/>
          <w:szCs w:val="44"/>
          <w:lang w:eastAsia="zh-CN"/>
        </w:rPr>
      </w:pPr>
      <w:r>
        <w:rPr>
          <w:rFonts w:hint="eastAsia" w:hAnsi="宋体"/>
          <w:b/>
          <w:sz w:val="32"/>
          <w:szCs w:val="32"/>
        </w:rPr>
        <w:t>项目编号：</w:t>
      </w:r>
      <w:r>
        <w:rPr>
          <w:rFonts w:hint="eastAsia" w:hAnsi="宋体"/>
          <w:b/>
          <w:sz w:val="32"/>
          <w:szCs w:val="32"/>
          <w:lang w:eastAsia="zh-CN"/>
        </w:rPr>
        <w:t>长交建【2020】GZ045号</w:t>
      </w:r>
    </w:p>
    <w:p>
      <w:pPr>
        <w:autoSpaceDE w:val="0"/>
        <w:autoSpaceDN w:val="0"/>
        <w:adjustRightInd w:val="0"/>
        <w:jc w:val="center"/>
        <w:rPr>
          <w:rFonts w:hAnsi="宋体" w:cs="黑体"/>
          <w:sz w:val="44"/>
          <w:szCs w:val="44"/>
        </w:rPr>
      </w:pPr>
    </w:p>
    <w:p>
      <w:pPr>
        <w:pStyle w:val="9"/>
        <w:ind w:left="0" w:leftChars="0" w:firstLine="0" w:firstLineChars="0"/>
      </w:pPr>
    </w:p>
    <w:p>
      <w:pPr>
        <w:pStyle w:val="9"/>
        <w:ind w:left="0" w:leftChars="0" w:firstLine="0" w:firstLineChars="0"/>
        <w:jc w:val="center"/>
      </w:pPr>
    </w:p>
    <w:p>
      <w:pPr>
        <w:pStyle w:val="9"/>
        <w:ind w:left="0" w:leftChars="0" w:firstLine="0" w:firstLineChars="0"/>
        <w:rPr>
          <w:rFonts w:hAnsi="宋体" w:cs="黑体"/>
          <w:sz w:val="44"/>
          <w:szCs w:val="44"/>
        </w:rPr>
      </w:pPr>
    </w:p>
    <w:p/>
    <w:p>
      <w:pPr>
        <w:spacing w:line="720" w:lineRule="auto"/>
        <w:ind w:left="479" w:leftChars="141"/>
        <w:jc w:val="left"/>
        <w:rPr>
          <w:rFonts w:hint="eastAsia" w:hAnsi="宋体" w:eastAsia="宋体"/>
          <w:b/>
          <w:bCs/>
          <w:sz w:val="32"/>
          <w:szCs w:val="32"/>
          <w:lang w:eastAsia="zh-CN"/>
        </w:rPr>
      </w:pPr>
      <w:r>
        <w:rPr>
          <w:rFonts w:hint="eastAsia" w:hAnsi="宋体"/>
          <w:b/>
          <w:bCs/>
          <w:sz w:val="32"/>
          <w:szCs w:val="32"/>
        </w:rPr>
        <w:t xml:space="preserve">       招   标   人：长葛市</w:t>
      </w:r>
      <w:r>
        <w:rPr>
          <w:rFonts w:hint="eastAsia" w:hAnsi="宋体"/>
          <w:b/>
          <w:bCs/>
          <w:sz w:val="32"/>
          <w:szCs w:val="32"/>
          <w:lang w:eastAsia="zh-CN"/>
        </w:rPr>
        <w:t>教育体育局</w:t>
      </w:r>
    </w:p>
    <w:p>
      <w:pPr>
        <w:spacing w:line="720" w:lineRule="auto"/>
        <w:ind w:left="479" w:leftChars="141"/>
        <w:jc w:val="left"/>
        <w:rPr>
          <w:rFonts w:hint="eastAsia" w:hAnsi="宋体" w:eastAsia="宋体"/>
          <w:b/>
          <w:bCs/>
          <w:sz w:val="36"/>
          <w:szCs w:val="36"/>
          <w:lang w:eastAsia="zh-CN"/>
        </w:rPr>
      </w:pPr>
      <w:r>
        <w:rPr>
          <w:rFonts w:hint="eastAsia" w:hAnsi="宋体"/>
          <w:b/>
          <w:bCs/>
          <w:sz w:val="32"/>
          <w:szCs w:val="32"/>
        </w:rPr>
        <w:t xml:space="preserve">       招标代理机构：</w:t>
      </w:r>
      <w:r>
        <w:rPr>
          <w:rFonts w:hint="eastAsia" w:hAnsi="宋体"/>
          <w:b/>
          <w:bCs/>
          <w:sz w:val="32"/>
          <w:szCs w:val="32"/>
          <w:lang w:eastAsia="zh-CN"/>
        </w:rPr>
        <w:t xml:space="preserve">山西文昌工程咨询有限公司 </w:t>
      </w:r>
    </w:p>
    <w:p>
      <w:pPr>
        <w:spacing w:line="720" w:lineRule="auto"/>
        <w:jc w:val="center"/>
        <w:rPr>
          <w:rFonts w:hAnsi="宋体" w:cs="黑体"/>
          <w:b/>
          <w:sz w:val="32"/>
          <w:szCs w:val="32"/>
        </w:rPr>
      </w:pPr>
      <w:r>
        <w:rPr>
          <w:rFonts w:hint="eastAsia" w:hAnsi="宋体"/>
          <w:b/>
          <w:bCs/>
          <w:sz w:val="36"/>
          <w:szCs w:val="36"/>
        </w:rPr>
        <w:t>二〇二〇年</w:t>
      </w:r>
      <w:r>
        <w:rPr>
          <w:rFonts w:hint="eastAsia" w:hAnsi="宋体"/>
          <w:b/>
          <w:bCs/>
          <w:sz w:val="36"/>
          <w:szCs w:val="36"/>
          <w:lang w:eastAsia="zh-CN"/>
        </w:rPr>
        <w:t>四</w:t>
      </w:r>
      <w:r>
        <w:rPr>
          <w:rFonts w:hint="eastAsia" w:hAnsi="宋体"/>
          <w:b/>
          <w:bCs/>
          <w:sz w:val="36"/>
          <w:szCs w:val="36"/>
        </w:rPr>
        <w:t>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r>
        <w:rPr>
          <w:rFonts w:hint="eastAsia" w:ascii="黑体" w:hAnsi="宋体" w:eastAsia="黑体"/>
          <w:b/>
          <w:sz w:val="28"/>
          <w:lang w:val="en-US" w:eastAsia="zh-CN"/>
        </w:rPr>
        <w:t>3</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lang w:val="en-US" w:eastAsia="zh-CN"/>
        </w:rPr>
        <w:t>30</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lang w:val="en-US" w:eastAsia="zh-CN"/>
        </w:rPr>
        <w:t>45</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46</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47</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lang w:val="en-US" w:eastAsia="zh-CN"/>
        </w:rPr>
        <w:t>47</w:t>
      </w:r>
    </w:p>
    <w:p>
      <w:pPr>
        <w:tabs>
          <w:tab w:val="left" w:leader="hyphen" w:pos="7919"/>
        </w:tabs>
        <w:snapToGrid w:val="0"/>
        <w:spacing w:line="480" w:lineRule="auto"/>
        <w:ind w:firstLine="645"/>
        <w:rPr>
          <w:rFonts w:hint="default" w:hAnsi="宋体" w:eastAsia="黑体" w:cs="黑体"/>
          <w:b/>
          <w:sz w:val="36"/>
          <w:szCs w:val="36"/>
          <w:lang w:val="en-US" w:eastAsia="zh-CN"/>
        </w:rPr>
      </w:pPr>
      <w:r>
        <w:rPr>
          <w:rFonts w:hint="eastAsia" w:ascii="黑体" w:hAnsi="宋体" w:eastAsia="黑体"/>
          <w:b/>
          <w:sz w:val="28"/>
        </w:rPr>
        <w:t>第八章  投标文件格式</w:t>
      </w:r>
      <w:r>
        <w:rPr>
          <w:rFonts w:ascii="黑体" w:hAnsi="宋体" w:eastAsia="黑体"/>
          <w:b/>
          <w:sz w:val="28"/>
        </w:rPr>
        <w:tab/>
      </w:r>
      <w:bookmarkStart w:id="0" w:name="_Toc215282124"/>
      <w:r>
        <w:rPr>
          <w:rFonts w:hint="eastAsia" w:ascii="黑体" w:hAnsi="宋体" w:eastAsia="黑体"/>
          <w:b/>
          <w:sz w:val="28"/>
          <w:lang w:val="en-US" w:eastAsia="zh-CN"/>
        </w:rPr>
        <w:t>48</w:t>
      </w: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pStyle w:val="2"/>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int="eastAsia" w:hAnsi="宋体" w:eastAsia="宋体"/>
          <w:b/>
          <w:sz w:val="30"/>
          <w:szCs w:val="30"/>
          <w:lang w:eastAsia="zh-CN"/>
        </w:rPr>
      </w:pPr>
      <w:r>
        <w:rPr>
          <w:rFonts w:hint="eastAsia" w:hAnsi="宋体"/>
          <w:b/>
          <w:sz w:val="30"/>
          <w:szCs w:val="30"/>
          <w:lang w:eastAsia="zh-CN"/>
        </w:rPr>
        <w:t>长葛市董村镇殿后刘小学教学楼及附属工程</w:t>
      </w:r>
    </w:p>
    <w:p>
      <w:pPr>
        <w:adjustRightInd w:val="0"/>
        <w:snapToGrid w:val="0"/>
        <w:spacing w:line="360" w:lineRule="auto"/>
        <w:rPr>
          <w:rFonts w:hAnsi="宋体"/>
          <w:b/>
          <w:sz w:val="24"/>
          <w:szCs w:val="24"/>
        </w:rPr>
      </w:pPr>
      <w:r>
        <w:rPr>
          <w:rFonts w:hint="eastAsia" w:hAnsi="宋体"/>
          <w:b/>
          <w:sz w:val="24"/>
          <w:szCs w:val="24"/>
        </w:rPr>
        <w:t>1.招标条件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jc w:val="left"/>
        <w:rPr>
          <w:rFonts w:hAnsi="宋体"/>
          <w:b/>
          <w:sz w:val="24"/>
          <w:szCs w:val="24"/>
          <w:u w:val="single"/>
        </w:rPr>
      </w:pPr>
      <w:r>
        <w:rPr>
          <w:rFonts w:hint="eastAsia" w:hAnsi="宋体"/>
          <w:sz w:val="24"/>
          <w:szCs w:val="24"/>
        </w:rPr>
        <w:t>本招标项目</w:t>
      </w:r>
      <w:r>
        <w:rPr>
          <w:rFonts w:hint="eastAsia" w:hAnsi="宋体"/>
          <w:sz w:val="24"/>
          <w:szCs w:val="24"/>
          <w:lang w:eastAsia="zh-CN"/>
        </w:rPr>
        <w:t>长葛市董村镇殿后刘小学教学楼及附属工程</w:t>
      </w:r>
      <w:r>
        <w:rPr>
          <w:rFonts w:hint="eastAsia" w:hAnsi="宋体" w:cs="宋体"/>
          <w:sz w:val="24"/>
        </w:rPr>
        <w:t>已由</w:t>
      </w:r>
      <w:r>
        <w:rPr>
          <w:rFonts w:hint="eastAsia" w:hAnsi="宋体"/>
          <w:sz w:val="24"/>
          <w:szCs w:val="24"/>
          <w:lang w:val="en-US" w:eastAsia="zh-CN"/>
        </w:rPr>
        <w:t>长葛市发展和改革委员会以长发改社会【2019】179号文批准建设</w:t>
      </w:r>
      <w:r>
        <w:rPr>
          <w:rFonts w:hint="eastAsia" w:hAnsi="宋体"/>
          <w:sz w:val="24"/>
          <w:szCs w:val="24"/>
        </w:rPr>
        <w:t>。建设资金来自财政投资，招标人为长葛市</w:t>
      </w:r>
      <w:r>
        <w:rPr>
          <w:rFonts w:hint="eastAsia" w:hAnsi="宋体"/>
          <w:sz w:val="24"/>
          <w:szCs w:val="24"/>
          <w:lang w:eastAsia="zh-CN"/>
        </w:rPr>
        <w:t>教育体育局</w:t>
      </w:r>
      <w:r>
        <w:rPr>
          <w:rFonts w:hint="eastAsia" w:hAnsi="宋体"/>
          <w:sz w:val="24"/>
          <w:szCs w:val="24"/>
        </w:rPr>
        <w:t>，招标代理机构为</w:t>
      </w:r>
      <w:r>
        <w:rPr>
          <w:rFonts w:hint="eastAsia" w:hAnsi="宋体"/>
          <w:sz w:val="24"/>
          <w:szCs w:val="24"/>
          <w:lang w:eastAsia="zh-CN"/>
        </w:rPr>
        <w:t xml:space="preserve">山西文昌工程咨询有限公司 </w:t>
      </w:r>
      <w:r>
        <w:rPr>
          <w:rFonts w:hint="eastAsia" w:hAnsi="宋体"/>
          <w:sz w:val="24"/>
          <w:szCs w:val="24"/>
        </w:rPr>
        <w:t>。项目已具备招标条件，现对本项目的施工进行公开招标。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color w:val="0000FF"/>
          <w:sz w:val="24"/>
          <w:szCs w:val="24"/>
        </w:rPr>
      </w:pPr>
      <w:r>
        <w:rPr>
          <w:rFonts w:hint="eastAsia" w:hAnsi="宋体"/>
          <w:sz w:val="24"/>
          <w:szCs w:val="24"/>
        </w:rPr>
        <w:t>2.1项目编号：</w:t>
      </w:r>
      <w:r>
        <w:rPr>
          <w:rFonts w:hint="eastAsia" w:hAnsi="宋体"/>
          <w:sz w:val="24"/>
          <w:szCs w:val="24"/>
          <w:lang w:eastAsia="zh-CN"/>
        </w:rPr>
        <w:t>长交建【2020】GZ045号</w:t>
      </w:r>
      <w:r>
        <w:rPr>
          <w:rFonts w:hint="eastAsia" w:hAnsi="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11"/>
        <w:textAlignment w:val="auto"/>
        <w:rPr>
          <w:rFonts w:hint="eastAsia" w:hAnsi="宋体" w:eastAsia="宋体"/>
          <w:color w:val="0000FF"/>
          <w:sz w:val="24"/>
          <w:szCs w:val="24"/>
          <w:lang w:eastAsia="zh-CN"/>
        </w:rPr>
      </w:pPr>
      <w:r>
        <w:rPr>
          <w:rFonts w:hint="eastAsia" w:hAnsi="宋体"/>
          <w:sz w:val="24"/>
          <w:szCs w:val="24"/>
        </w:rPr>
        <w:t>2.2项目名称：</w:t>
      </w:r>
      <w:r>
        <w:rPr>
          <w:rFonts w:hint="eastAsia" w:hAnsi="宋体"/>
          <w:sz w:val="24"/>
          <w:szCs w:val="24"/>
          <w:lang w:eastAsia="zh-CN"/>
        </w:rPr>
        <w:t>长葛市董村镇殿后刘小学教学楼及附属工程</w:t>
      </w:r>
    </w:p>
    <w:p>
      <w:pPr>
        <w:keepNext w:val="0"/>
        <w:keepLines w:val="0"/>
        <w:pageBreakBefore w:val="0"/>
        <w:widowControl w:val="0"/>
        <w:kinsoku/>
        <w:wordWrap/>
        <w:overflowPunct/>
        <w:topLinePunct w:val="0"/>
        <w:autoSpaceDE/>
        <w:autoSpaceDN/>
        <w:bidi w:val="0"/>
        <w:spacing w:line="360" w:lineRule="auto"/>
        <w:ind w:left="1195" w:leftChars="140" w:hanging="720" w:hangingChars="300"/>
        <w:textAlignment w:val="auto"/>
        <w:rPr>
          <w:rFonts w:hint="eastAsia" w:hAnsi="宋体"/>
          <w:sz w:val="24"/>
          <w:szCs w:val="24"/>
          <w:lang w:val="en-US" w:eastAsia="zh-CN"/>
        </w:rPr>
      </w:pPr>
      <w:r>
        <w:rPr>
          <w:rFonts w:hint="eastAsia" w:hAnsi="宋体"/>
          <w:sz w:val="24"/>
          <w:szCs w:val="24"/>
        </w:rPr>
        <w:t>2.3项目概况：</w:t>
      </w:r>
      <w:r>
        <w:rPr>
          <w:rFonts w:hint="eastAsia" w:hAnsi="宋体"/>
          <w:sz w:val="24"/>
          <w:szCs w:val="24"/>
          <w:lang w:val="en-US" w:eastAsia="zh-CN"/>
        </w:rPr>
        <w:t>长葛市董村镇殿后刘小学教学楼及附属工程，建设地点位于长葛市董村镇殿后刘，建筑面积1121.58㎡，本工程地上三层，室内外高差0.45m，建筑高度为10.8m，本建筑结构形式框架结构，基础为独立基础，抗震设防烈度为7度，使用年限为50年。</w:t>
      </w:r>
      <w:r>
        <w:rPr>
          <w:rFonts w:hint="eastAsia" w:ascii="宋体" w:hAnsi="宋体" w:cs="宋体"/>
          <w:sz w:val="24"/>
          <w:szCs w:val="24"/>
        </w:rPr>
        <w:t>具体工作内容详见工程量清单。</w:t>
      </w:r>
    </w:p>
    <w:p>
      <w:pPr>
        <w:adjustRightInd w:val="0"/>
        <w:snapToGrid w:val="0"/>
        <w:spacing w:line="360" w:lineRule="auto"/>
        <w:ind w:firstLine="506" w:firstLineChars="211"/>
        <w:rPr>
          <w:rFonts w:hint="eastAsia" w:hAnsi="宋体"/>
          <w:sz w:val="24"/>
          <w:szCs w:val="24"/>
          <w:lang w:eastAsia="zh-CN"/>
        </w:rPr>
      </w:pPr>
      <w:r>
        <w:rPr>
          <w:rFonts w:hint="eastAsia" w:hAnsi="宋体"/>
          <w:sz w:val="24"/>
          <w:szCs w:val="24"/>
        </w:rPr>
        <w:t>2.4建设地点：</w:t>
      </w:r>
      <w:r>
        <w:rPr>
          <w:rFonts w:hint="eastAsia" w:hAnsi="宋体"/>
          <w:sz w:val="24"/>
          <w:szCs w:val="24"/>
          <w:lang w:eastAsia="zh-CN"/>
        </w:rPr>
        <w:t>长葛市董村镇殿后刘小学</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sz w:val="24"/>
          <w:szCs w:val="24"/>
        </w:rPr>
      </w:pPr>
      <w:r>
        <w:rPr>
          <w:rFonts w:hint="eastAsia" w:hAnsi="宋体"/>
          <w:sz w:val="24"/>
          <w:szCs w:val="24"/>
        </w:rPr>
        <w:t>2.6标段划分：本项目共划分为</w:t>
      </w:r>
      <w:r>
        <w:rPr>
          <w:rFonts w:hint="eastAsia" w:hAnsi="宋体"/>
          <w:sz w:val="24"/>
          <w:szCs w:val="24"/>
          <w:lang w:val="en-US" w:eastAsia="zh-CN"/>
        </w:rPr>
        <w:t>一</w:t>
      </w:r>
      <w:r>
        <w:rPr>
          <w:rFonts w:hint="eastAsia" w:hAnsi="宋体"/>
          <w:sz w:val="24"/>
          <w:szCs w:val="24"/>
        </w:rPr>
        <w:t>个标段；</w:t>
      </w:r>
    </w:p>
    <w:p>
      <w:pPr>
        <w:adjustRightInd w:val="0"/>
        <w:snapToGrid w:val="0"/>
        <w:spacing w:line="360" w:lineRule="auto"/>
        <w:ind w:firstLine="506" w:firstLineChars="211"/>
        <w:rPr>
          <w:rFonts w:hint="eastAsia" w:hAnsi="宋体"/>
          <w:sz w:val="24"/>
          <w:szCs w:val="24"/>
          <w:lang w:val="en-US" w:eastAsia="zh-CN"/>
        </w:rPr>
      </w:pPr>
      <w:r>
        <w:rPr>
          <w:rFonts w:hint="eastAsia" w:hAnsi="宋体"/>
          <w:sz w:val="24"/>
          <w:szCs w:val="24"/>
        </w:rPr>
        <w:t>2.7招标控制价：</w:t>
      </w:r>
      <w:r>
        <w:rPr>
          <w:rFonts w:hint="eastAsia" w:hAnsi="宋体"/>
          <w:sz w:val="24"/>
          <w:szCs w:val="24"/>
          <w:lang w:val="en-US" w:eastAsia="zh-CN"/>
        </w:rPr>
        <w:t xml:space="preserve"> 2543907.85元 </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sz w:val="24"/>
          <w:szCs w:val="24"/>
        </w:rPr>
      </w:pPr>
      <w:r>
        <w:rPr>
          <w:rFonts w:hint="eastAsia" w:hAnsi="宋体"/>
          <w:sz w:val="24"/>
          <w:szCs w:val="24"/>
        </w:rPr>
        <w:t>2.9工期要求：</w:t>
      </w:r>
      <w:r>
        <w:rPr>
          <w:rFonts w:hint="eastAsia" w:hAnsi="宋体"/>
          <w:sz w:val="24"/>
          <w:szCs w:val="24"/>
          <w:lang w:val="en-US" w:eastAsia="zh-CN"/>
        </w:rPr>
        <w:t>180</w:t>
      </w:r>
      <w:r>
        <w:rPr>
          <w:rFonts w:hint="eastAsia" w:hAnsi="宋体"/>
          <w:sz w:val="24"/>
          <w:szCs w:val="24"/>
        </w:rPr>
        <w:t>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auto"/>
        <w:ind w:firstLine="506" w:firstLineChars="211"/>
        <w:rPr>
          <w:rFonts w:hint="eastAsia" w:hAnsi="宋体" w:cs="Times New Roman"/>
          <w:sz w:val="24"/>
          <w:szCs w:val="24"/>
        </w:rPr>
      </w:pPr>
      <w:r>
        <w:rPr>
          <w:rFonts w:hint="eastAsia" w:hAnsi="宋体" w:cs="Times New Roman"/>
          <w:sz w:val="24"/>
          <w:szCs w:val="24"/>
        </w:rPr>
        <w:t>3.1 投标人须具备房屋建筑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djustRightInd w:val="0"/>
        <w:snapToGrid w:val="0"/>
        <w:spacing w:line="360" w:lineRule="auto"/>
        <w:ind w:firstLine="506" w:firstLineChars="211"/>
        <w:rPr>
          <w:rFonts w:hint="eastAsia" w:hAnsi="宋体" w:cs="Times New Roman"/>
          <w:sz w:val="24"/>
          <w:szCs w:val="24"/>
        </w:rPr>
      </w:pPr>
      <w:r>
        <w:rPr>
          <w:rFonts w:hint="eastAsia" w:hAnsi="宋体" w:cs="Times New Roman"/>
          <w:sz w:val="24"/>
          <w:szCs w:val="24"/>
        </w:rPr>
        <w:t>3.2未被列入“信用中国”/“信用河南”网站信用信息栏黑名单，“国家企业信用信息公示系统”经营异常名录或严重失信黑名单,无行贿犯罪记录的投标人。</w:t>
      </w:r>
    </w:p>
    <w:p>
      <w:pPr>
        <w:adjustRightInd w:val="0"/>
        <w:snapToGrid w:val="0"/>
        <w:spacing w:line="360" w:lineRule="auto"/>
        <w:ind w:firstLine="506" w:firstLineChars="211"/>
        <w:rPr>
          <w:rFonts w:hint="eastAsia" w:hAnsi="宋体" w:cs="Times New Roman"/>
          <w:sz w:val="24"/>
          <w:szCs w:val="24"/>
        </w:rPr>
      </w:pPr>
      <w:r>
        <w:rPr>
          <w:rFonts w:hint="eastAsia" w:hAnsi="宋体" w:cs="Times New Roman"/>
          <w:sz w:val="24"/>
          <w:szCs w:val="24"/>
        </w:rPr>
        <w:t>3.3本项目不接受联合体投标，不得转包、挂靠及违法分包。</w:t>
      </w:r>
    </w:p>
    <w:p>
      <w:pPr>
        <w:adjustRightInd w:val="0"/>
        <w:snapToGrid w:val="0"/>
        <w:spacing w:line="360" w:lineRule="auto"/>
        <w:ind w:firstLine="506" w:firstLineChars="211"/>
        <w:rPr>
          <w:rFonts w:hint="eastAsia" w:hAnsi="宋体" w:cs="Times New Roman"/>
          <w:sz w:val="24"/>
          <w:szCs w:val="24"/>
        </w:rPr>
      </w:pPr>
      <w:r>
        <w:rPr>
          <w:rFonts w:hint="eastAsia" w:hAnsi="宋体" w:cs="Times New Roman"/>
          <w:sz w:val="24"/>
          <w:szCs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w:t>
      </w:r>
      <w:r>
        <w:rPr>
          <w:rFonts w:hint="eastAsia" w:hAnsi="宋体" w:cs="仿宋"/>
          <w:b/>
          <w:color w:val="0000FF"/>
          <w:sz w:val="24"/>
          <w:szCs w:val="24"/>
          <w:u w:val="single"/>
          <w:lang w:val="en-US" w:eastAsia="zh-CN"/>
        </w:rPr>
        <w:t xml:space="preserve"> 5 </w:t>
      </w:r>
      <w:r>
        <w:rPr>
          <w:rFonts w:hint="eastAsia" w:hAnsi="宋体" w:cs="仿宋"/>
          <w:b/>
          <w:color w:val="0000FF"/>
          <w:sz w:val="24"/>
          <w:szCs w:val="24"/>
        </w:rPr>
        <w:t>月</w:t>
      </w:r>
      <w:r>
        <w:rPr>
          <w:rFonts w:hint="eastAsia" w:hAnsi="宋体" w:cs="仿宋"/>
          <w:b/>
          <w:color w:val="0000FF"/>
          <w:sz w:val="24"/>
          <w:szCs w:val="24"/>
          <w:u w:val="single"/>
          <w:lang w:val="en-US" w:eastAsia="zh-CN"/>
        </w:rPr>
        <w:t xml:space="preserve"> 9 </w:t>
      </w:r>
      <w:r>
        <w:rPr>
          <w:rFonts w:hint="eastAsia" w:hAnsi="宋体" w:cs="仿宋"/>
          <w:b/>
          <w:color w:val="0000FF"/>
          <w:sz w:val="24"/>
          <w:szCs w:val="24"/>
        </w:rPr>
        <w:t>日</w:t>
      </w:r>
      <w:r>
        <w:rPr>
          <w:rFonts w:hint="eastAsia" w:hAnsi="宋体" w:cs="仿宋"/>
          <w:b/>
          <w:color w:val="0000FF"/>
          <w:sz w:val="24"/>
          <w:szCs w:val="24"/>
          <w:u w:val="single"/>
          <w:lang w:val="en-US" w:eastAsia="zh-CN"/>
        </w:rPr>
        <w:t xml:space="preserve"> 09</w:t>
      </w:r>
      <w:r>
        <w:rPr>
          <w:rFonts w:hint="eastAsia" w:hAnsi="宋体" w:cs="仿宋"/>
          <w:b/>
          <w:color w:val="0000FF"/>
          <w:sz w:val="24"/>
          <w:szCs w:val="24"/>
        </w:rPr>
        <w:t>时</w:t>
      </w:r>
      <w:r>
        <w:rPr>
          <w:rFonts w:hint="eastAsia" w:hAnsi="宋体" w:cs="仿宋"/>
          <w:b/>
          <w:color w:val="0000FF"/>
          <w:sz w:val="24"/>
          <w:szCs w:val="24"/>
          <w:u w:val="single"/>
          <w:lang w:val="en-US" w:eastAsia="zh-CN"/>
        </w:rPr>
        <w:t xml:space="preserve"> 30</w:t>
      </w:r>
      <w:r>
        <w:rPr>
          <w:rFonts w:hint="eastAsia" w:hAnsi="宋体" w:cs="仿宋"/>
          <w:b/>
          <w:color w:val="0000FF"/>
          <w:sz w:val="24"/>
          <w:szCs w:val="24"/>
        </w:rPr>
        <w:t>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u w:val="single"/>
          <w:lang w:val="en-US" w:eastAsia="zh-CN"/>
        </w:rPr>
        <w:t>5</w:t>
      </w:r>
      <w:r>
        <w:rPr>
          <w:rFonts w:hint="eastAsia" w:hAnsi="宋体" w:cs="仿宋"/>
          <w:b/>
          <w:color w:val="0000FF"/>
          <w:sz w:val="24"/>
          <w:szCs w:val="24"/>
          <w:u w:val="single"/>
        </w:rPr>
        <w:t>楼开标</w:t>
      </w:r>
      <w:r>
        <w:rPr>
          <w:rFonts w:hint="eastAsia" w:hAnsi="宋体" w:cs="仿宋"/>
          <w:b/>
          <w:color w:val="0000FF"/>
          <w:sz w:val="24"/>
          <w:szCs w:val="24"/>
          <w:u w:val="single"/>
          <w:lang w:val="en-US" w:eastAsia="zh-CN"/>
        </w:rPr>
        <w:t>一</w:t>
      </w:r>
      <w:r>
        <w:rPr>
          <w:rFonts w:hint="eastAsia" w:hAnsi="宋体" w:cs="仿宋"/>
          <w:b/>
          <w:color w:val="0000FF"/>
          <w:sz w:val="24"/>
          <w:szCs w:val="24"/>
          <w:u w:val="single"/>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招 标 人：长葛市</w:t>
      </w:r>
      <w:r>
        <w:rPr>
          <w:rFonts w:hint="eastAsia" w:hAnsi="宋体"/>
          <w:sz w:val="24"/>
          <w:szCs w:val="24"/>
          <w:lang w:eastAsia="zh-CN"/>
        </w:rPr>
        <w:t>教育体育局</w:t>
      </w:r>
    </w:p>
    <w:p>
      <w:pPr>
        <w:adjustRightInd w:val="0"/>
        <w:snapToGrid w:val="0"/>
        <w:spacing w:line="360" w:lineRule="auto"/>
        <w:ind w:firstLine="240" w:firstLineChars="100"/>
        <w:rPr>
          <w:rFonts w:hAnsi="宋体"/>
          <w:sz w:val="24"/>
          <w:szCs w:val="24"/>
        </w:rPr>
      </w:pPr>
      <w:r>
        <w:rPr>
          <w:rFonts w:hint="eastAsia" w:hAnsi="宋体"/>
          <w:sz w:val="24"/>
          <w:szCs w:val="24"/>
        </w:rPr>
        <w:t>联 系 人：朱</w:t>
      </w:r>
      <w:r>
        <w:rPr>
          <w:rFonts w:hint="eastAsia" w:hAnsi="宋体"/>
          <w:sz w:val="24"/>
          <w:szCs w:val="24"/>
          <w:lang w:eastAsia="zh-CN"/>
        </w:rPr>
        <w:t>先生</w:t>
      </w:r>
      <w:r>
        <w:rPr>
          <w:rFonts w:hint="eastAsia" w:hAnsi="宋体"/>
          <w:sz w:val="24"/>
          <w:szCs w:val="24"/>
          <w:lang w:val="en-US" w:eastAsia="zh-CN"/>
        </w:rPr>
        <w:t xml:space="preserve">  </w:t>
      </w:r>
      <w:r>
        <w:rPr>
          <w:rFonts w:hint="eastAsia" w:hAnsi="宋体"/>
          <w:sz w:val="24"/>
          <w:szCs w:val="24"/>
        </w:rPr>
        <w:t xml:space="preserve"> 联系电话：0374</w:t>
      </w:r>
      <w:r>
        <w:rPr>
          <w:rFonts w:hint="eastAsia" w:hAnsi="宋体"/>
          <w:sz w:val="24"/>
          <w:szCs w:val="24"/>
          <w:lang w:val="en-US" w:eastAsia="zh-CN"/>
        </w:rPr>
        <w:t>-</w:t>
      </w:r>
      <w:r>
        <w:rPr>
          <w:rFonts w:hint="eastAsia" w:hAnsi="宋体"/>
          <w:sz w:val="24"/>
          <w:szCs w:val="24"/>
        </w:rPr>
        <w:t xml:space="preserve">6110259  </w:t>
      </w:r>
    </w:p>
    <w:p>
      <w:pPr>
        <w:adjustRightInd w:val="0"/>
        <w:snapToGrid w:val="0"/>
        <w:spacing w:line="360" w:lineRule="auto"/>
        <w:ind w:firstLine="240" w:firstLineChars="100"/>
        <w:rPr>
          <w:rFonts w:hint="eastAsia" w:hAnsi="宋体"/>
          <w:sz w:val="24"/>
          <w:szCs w:val="24"/>
        </w:rPr>
      </w:pPr>
      <w:r>
        <w:rPr>
          <w:rFonts w:hint="eastAsia" w:hAnsi="宋体"/>
          <w:sz w:val="24"/>
          <w:szCs w:val="24"/>
        </w:rPr>
        <w:t>地址:长葛市葛天大道东段商务区</w:t>
      </w:r>
      <w:r>
        <w:rPr>
          <w:rFonts w:hint="eastAsia" w:hAnsi="宋体"/>
          <w:sz w:val="24"/>
          <w:szCs w:val="24"/>
          <w:lang w:val="en-US" w:eastAsia="zh-CN"/>
        </w:rPr>
        <w:t>10</w:t>
      </w:r>
      <w:r>
        <w:rPr>
          <w:rFonts w:hint="eastAsia" w:hAnsi="宋体"/>
          <w:sz w:val="24"/>
          <w:szCs w:val="24"/>
        </w:rPr>
        <w:t>号楼</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代理机构：</w:t>
      </w:r>
      <w:r>
        <w:rPr>
          <w:rFonts w:hint="eastAsia" w:hAnsi="宋体"/>
          <w:sz w:val="24"/>
          <w:szCs w:val="24"/>
          <w:lang w:eastAsia="zh-CN"/>
        </w:rPr>
        <w:t xml:space="preserve">山西文昌工程咨询有限公司 </w:t>
      </w:r>
    </w:p>
    <w:p>
      <w:pPr>
        <w:adjustRightInd w:val="0"/>
        <w:snapToGrid w:val="0"/>
        <w:spacing w:line="360" w:lineRule="auto"/>
        <w:ind w:firstLine="240" w:firstLineChars="100"/>
        <w:rPr>
          <w:rFonts w:hint="eastAsia" w:hAnsi="宋体"/>
          <w:sz w:val="24"/>
          <w:szCs w:val="24"/>
        </w:rPr>
      </w:pPr>
      <w:r>
        <w:rPr>
          <w:rFonts w:hint="eastAsia" w:hAnsi="宋体"/>
          <w:sz w:val="24"/>
          <w:szCs w:val="24"/>
        </w:rPr>
        <w:t>联 系 人：代理机构联系方式：张先生   13271279113</w:t>
      </w:r>
    </w:p>
    <w:p>
      <w:pPr>
        <w:adjustRightInd w:val="0"/>
        <w:snapToGrid w:val="0"/>
        <w:spacing w:line="360" w:lineRule="auto"/>
        <w:ind w:firstLine="240" w:firstLineChars="100"/>
        <w:rPr>
          <w:rFonts w:hint="eastAsia" w:hAnsi="宋体"/>
          <w:sz w:val="24"/>
          <w:szCs w:val="24"/>
        </w:rPr>
      </w:pPr>
      <w:r>
        <w:rPr>
          <w:rFonts w:hint="eastAsia" w:hAnsi="宋体"/>
          <w:sz w:val="24"/>
          <w:szCs w:val="24"/>
        </w:rPr>
        <w:t>代理机构地址：郑州市郑州高新技术产业开发区冬青街7号B1606</w:t>
      </w:r>
    </w:p>
    <w:p>
      <w:pPr>
        <w:adjustRightInd w:val="0"/>
        <w:snapToGrid w:val="0"/>
        <w:spacing w:line="360" w:lineRule="auto"/>
        <w:ind w:firstLine="240" w:firstLineChars="100"/>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480"/>
        <w:jc w:val="left"/>
        <w:rPr>
          <w:rFonts w:hAnsi="宋体" w:cs="黑体"/>
          <w:b/>
          <w:sz w:val="36"/>
          <w:szCs w:val="36"/>
        </w:rPr>
      </w:pPr>
      <w:r>
        <w:rPr>
          <w:rFonts w:hAnsi="宋体"/>
          <w:b/>
          <w:sz w:val="24"/>
          <w:szCs w:val="24"/>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lang w:val="en-US" w:eastAsia="zh-CN"/>
              </w:rPr>
              <w:t>长交建【2020】GZ045号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int="eastAsia" w:hAnsi="宋体" w:eastAsia="宋体" w:cs="仿宋_GB2312"/>
                <w:sz w:val="24"/>
                <w:szCs w:val="24"/>
                <w:lang w:eastAsia="zh-CN"/>
              </w:rPr>
            </w:pPr>
            <w:r>
              <w:rPr>
                <w:rFonts w:hint="eastAsia" w:hAnsi="宋体" w:cs="仿宋_GB2312"/>
                <w:sz w:val="24"/>
                <w:szCs w:val="24"/>
              </w:rPr>
              <w:t>招 标 人：长葛市</w:t>
            </w:r>
            <w:r>
              <w:rPr>
                <w:rFonts w:hint="eastAsia" w:hAnsi="宋体" w:cs="仿宋_GB2312"/>
                <w:sz w:val="24"/>
                <w:szCs w:val="24"/>
                <w:lang w:eastAsia="zh-CN"/>
              </w:rPr>
              <w:t>教育体育局</w:t>
            </w:r>
          </w:p>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cs="仿宋_GB2312"/>
                <w:sz w:val="24"/>
                <w:szCs w:val="24"/>
              </w:rPr>
              <w:t>联 系 人：</w:t>
            </w:r>
            <w:r>
              <w:rPr>
                <w:rFonts w:hint="eastAsia" w:hAnsi="宋体"/>
                <w:sz w:val="24"/>
                <w:szCs w:val="24"/>
              </w:rPr>
              <w:t>朱</w:t>
            </w:r>
            <w:r>
              <w:rPr>
                <w:rFonts w:hint="eastAsia" w:hAnsi="宋体"/>
                <w:sz w:val="24"/>
                <w:szCs w:val="24"/>
                <w:lang w:eastAsia="zh-CN"/>
              </w:rPr>
              <w:t>先生</w:t>
            </w:r>
            <w:r>
              <w:rPr>
                <w:rFonts w:hint="eastAsia" w:hAnsi="宋体"/>
                <w:sz w:val="24"/>
                <w:szCs w:val="24"/>
              </w:rPr>
              <w:t xml:space="preserve">   </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sz w:val="24"/>
                <w:szCs w:val="24"/>
              </w:rPr>
              <w:t>联系电话：0374</w:t>
            </w:r>
            <w:r>
              <w:rPr>
                <w:rFonts w:hint="eastAsia" w:hAnsi="宋体"/>
                <w:sz w:val="24"/>
                <w:szCs w:val="24"/>
                <w:lang w:val="en-US" w:eastAsia="zh-CN"/>
              </w:rPr>
              <w:t>-</w:t>
            </w:r>
            <w:r>
              <w:rPr>
                <w:rFonts w:hint="eastAsia" w:hAnsi="宋体"/>
                <w:sz w:val="24"/>
                <w:szCs w:val="24"/>
              </w:rPr>
              <w:t xml:space="preserve">6110259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int="eastAsia" w:hAnsi="宋体" w:eastAsia="宋体" w:cs="仿宋_GB2312"/>
                <w:sz w:val="24"/>
                <w:szCs w:val="24"/>
                <w:lang w:eastAsia="zh-CN"/>
              </w:rPr>
            </w:pPr>
            <w:r>
              <w:rPr>
                <w:rFonts w:hint="eastAsia" w:hAnsi="宋体" w:cs="仿宋_GB2312"/>
                <w:sz w:val="24"/>
                <w:szCs w:val="24"/>
              </w:rPr>
              <w:t>代理机构：</w:t>
            </w:r>
            <w:r>
              <w:rPr>
                <w:rFonts w:hint="eastAsia" w:hAnsi="宋体" w:cs="仿宋_GB2312"/>
                <w:sz w:val="24"/>
                <w:szCs w:val="24"/>
                <w:lang w:eastAsia="zh-CN"/>
              </w:rPr>
              <w:t xml:space="preserve">山西文昌工程咨询有限公司 </w:t>
            </w:r>
          </w:p>
          <w:p>
            <w:pPr>
              <w:autoSpaceDE w:val="0"/>
              <w:autoSpaceDN w:val="0"/>
              <w:adjustRightInd w:val="0"/>
              <w:snapToGrid w:val="0"/>
              <w:spacing w:line="276" w:lineRule="auto"/>
              <w:ind w:left="720" w:hanging="720" w:hangingChars="300"/>
              <w:rPr>
                <w:rFonts w:hint="eastAsia" w:hAnsi="宋体" w:eastAsia="宋体" w:cs="仿宋_GB2312"/>
                <w:sz w:val="24"/>
                <w:szCs w:val="24"/>
                <w:lang w:eastAsia="zh-CN"/>
              </w:rPr>
            </w:pPr>
            <w:r>
              <w:rPr>
                <w:rFonts w:hint="eastAsia" w:hAnsi="宋体" w:cs="仿宋_GB2312"/>
                <w:sz w:val="24"/>
                <w:szCs w:val="24"/>
              </w:rPr>
              <w:t>联 系 人：</w:t>
            </w:r>
            <w:r>
              <w:rPr>
                <w:rFonts w:hint="eastAsia" w:hAnsi="宋体" w:cs="仿宋_GB2312"/>
                <w:sz w:val="24"/>
                <w:szCs w:val="24"/>
                <w:lang w:val="en-US" w:eastAsia="zh-CN"/>
              </w:rPr>
              <w:t>张先生  </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w:t>
            </w:r>
            <w:r>
              <w:rPr>
                <w:rFonts w:hint="eastAsia" w:hAnsi="宋体" w:cs="仿宋_GB2312"/>
                <w:sz w:val="24"/>
                <w:szCs w:val="24"/>
                <w:lang w:val="en-US" w:eastAsia="zh-CN"/>
              </w:rPr>
              <w:t xml:space="preserve"> 13271279113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olor w:val="000000"/>
                <w:sz w:val="24"/>
                <w:szCs w:val="24"/>
                <w:shd w:val="clear" w:color="auto" w:fill="FFFFFF"/>
              </w:rPr>
              <w:t>项目名称</w:t>
            </w:r>
          </w:p>
        </w:tc>
        <w:tc>
          <w:tcPr>
            <w:tcW w:w="6754" w:type="dxa"/>
            <w:vAlign w:val="center"/>
          </w:tcPr>
          <w:p>
            <w:pPr>
              <w:rPr>
                <w:rFonts w:hint="eastAsia" w:hAnsi="宋体" w:eastAsia="宋体"/>
                <w:sz w:val="24"/>
                <w:szCs w:val="24"/>
                <w:lang w:eastAsia="zh-CN"/>
              </w:rPr>
            </w:pPr>
            <w:r>
              <w:rPr>
                <w:rFonts w:hint="eastAsia" w:hAnsi="宋体"/>
                <w:sz w:val="24"/>
                <w:szCs w:val="24"/>
                <w:lang w:eastAsia="zh-CN"/>
              </w:rPr>
              <w:t>长葛市董村镇殿后刘小学教学楼及附属工程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autoSpaceDE w:val="0"/>
              <w:autoSpaceDN w:val="0"/>
              <w:adjustRightInd w:val="0"/>
              <w:spacing w:line="440" w:lineRule="exact"/>
              <w:rPr>
                <w:rFonts w:hint="eastAsia" w:hAnsi="宋体" w:eastAsia="宋体"/>
                <w:sz w:val="24"/>
                <w:szCs w:val="24"/>
                <w:lang w:eastAsia="zh-CN"/>
              </w:rPr>
            </w:pPr>
            <w:r>
              <w:rPr>
                <w:rFonts w:hint="eastAsia" w:hAnsi="宋体"/>
                <w:sz w:val="24"/>
                <w:szCs w:val="24"/>
                <w:lang w:eastAsia="zh-CN"/>
              </w:rPr>
              <w:t>长葛市董村镇殿后刘小学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center"/>
          </w:tcPr>
          <w:p>
            <w:pPr>
              <w:adjustRightInd w:val="0"/>
              <w:snapToGrid w:val="0"/>
              <w:spacing w:line="360" w:lineRule="auto"/>
              <w:jc w:val="left"/>
              <w:rPr>
                <w:rFonts w:hint="eastAsia" w:hAnsi="宋体" w:eastAsia="宋体"/>
                <w:b/>
                <w:bCs/>
                <w:color w:val="000000"/>
                <w:sz w:val="24"/>
                <w:szCs w:val="24"/>
                <w:lang w:eastAsia="zh-CN"/>
              </w:rPr>
            </w:pPr>
            <w:r>
              <w:rPr>
                <w:rFonts w:hint="eastAsia" w:hAnsi="宋体"/>
                <w:sz w:val="24"/>
                <w:szCs w:val="24"/>
                <w:lang w:eastAsia="zh-CN"/>
              </w:rPr>
              <w:t>2543907.85元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lang w:val="en-US" w:eastAsia="zh-CN"/>
              </w:rPr>
              <w:t>180</w:t>
            </w:r>
            <w:r>
              <w:rPr>
                <w:rFonts w:hint="eastAsia" w:hAnsi="宋体" w:cs="仿宋_GB2312"/>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autoSpaceDE w:val="0"/>
              <w:autoSpaceDN w:val="0"/>
              <w:adjustRightInd w:val="0"/>
              <w:spacing w:line="440" w:lineRule="exact"/>
              <w:jc w:val="left"/>
              <w:rPr>
                <w:rFonts w:hAnsi="宋体" w:cs="宋体"/>
                <w:color w:val="000000"/>
                <w:sz w:val="24"/>
                <w:szCs w:val="24"/>
              </w:rPr>
            </w:pPr>
            <w:r>
              <w:rPr>
                <w:rFonts w:hint="eastAsia" w:hAnsi="宋体" w:cs="宋体"/>
                <w:color w:val="000000"/>
                <w:sz w:val="24"/>
                <w:szCs w:val="24"/>
                <w:lang w:val="en-US" w:eastAsia="zh-CN"/>
              </w:rPr>
              <w:t>1.</w:t>
            </w:r>
            <w:r>
              <w:rPr>
                <w:rFonts w:hint="eastAsia" w:hAnsi="宋体" w:cs="宋体"/>
                <w:color w:val="000000"/>
                <w:sz w:val="24"/>
                <w:szCs w:val="24"/>
              </w:rPr>
              <w:t>投标人须具备房屋建筑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adjustRightInd w:val="0"/>
              <w:spacing w:line="440" w:lineRule="exact"/>
              <w:jc w:val="left"/>
              <w:rPr>
                <w:rFonts w:hint="eastAsia" w:hAnsi="宋体" w:cs="宋体"/>
                <w:color w:val="000000"/>
                <w:sz w:val="24"/>
                <w:szCs w:val="24"/>
              </w:rPr>
            </w:pPr>
            <w:r>
              <w:rPr>
                <w:rFonts w:hint="eastAsia" w:hAnsi="宋体" w:cs="宋体"/>
                <w:color w:val="000000"/>
                <w:sz w:val="24"/>
                <w:szCs w:val="24"/>
              </w:rPr>
              <w:t>2.未被列入“信用中国”/“信用河南”网站信用信息栏黑名单，“国家企业信用信息公示系统”经营异常名录或严重失信黑名单,无行贿犯罪记录的投标人。</w:t>
            </w:r>
          </w:p>
          <w:p>
            <w:pPr>
              <w:autoSpaceDE w:val="0"/>
              <w:autoSpaceDN w:val="0"/>
              <w:adjustRightInd w:val="0"/>
              <w:spacing w:line="440" w:lineRule="exact"/>
              <w:jc w:val="left"/>
              <w:rPr>
                <w:rFonts w:hint="eastAsia" w:hAnsi="宋体" w:cs="宋体"/>
                <w:color w:val="000000"/>
                <w:sz w:val="24"/>
                <w:szCs w:val="24"/>
              </w:rPr>
            </w:pPr>
            <w:r>
              <w:rPr>
                <w:rFonts w:hint="eastAsia" w:hAnsi="宋体" w:cs="宋体"/>
                <w:color w:val="000000"/>
                <w:sz w:val="24"/>
                <w:szCs w:val="24"/>
              </w:rPr>
              <w:t>3.本项目不接受联合体投标，不得转包、挂靠及违法分包。</w:t>
            </w:r>
          </w:p>
          <w:p>
            <w:pPr>
              <w:autoSpaceDE w:val="0"/>
              <w:autoSpaceDN w:val="0"/>
              <w:adjustRightInd w:val="0"/>
              <w:spacing w:line="440" w:lineRule="exact"/>
              <w:jc w:val="left"/>
              <w:rPr>
                <w:rFonts w:hAnsi="宋体" w:cs="宋体"/>
                <w:color w:val="000000"/>
                <w:sz w:val="24"/>
                <w:szCs w:val="24"/>
              </w:rPr>
            </w:pPr>
            <w:r>
              <w:rPr>
                <w:rFonts w:hint="eastAsia" w:hAnsi="宋体" w:cs="宋体"/>
                <w:color w:val="000000"/>
                <w:sz w:val="24"/>
                <w:szCs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w:t>
            </w:r>
            <w:r>
              <w:rPr>
                <w:rFonts w:hint="eastAsia" w:hAnsi="宋体" w:cs="仿宋"/>
                <w:b/>
                <w:color w:val="FF0000"/>
                <w:sz w:val="24"/>
                <w:szCs w:val="24"/>
                <w:u w:val="single"/>
                <w:lang w:val="en-US" w:eastAsia="zh-CN"/>
              </w:rPr>
              <w:t xml:space="preserve">5 </w:t>
            </w:r>
            <w:r>
              <w:rPr>
                <w:rFonts w:hint="eastAsia" w:hAnsi="宋体" w:cs="仿宋"/>
                <w:b/>
                <w:color w:val="FF0000"/>
                <w:sz w:val="24"/>
                <w:szCs w:val="24"/>
              </w:rPr>
              <w:t>月</w:t>
            </w:r>
            <w:r>
              <w:rPr>
                <w:rFonts w:hint="eastAsia" w:hAnsi="宋体" w:cs="仿宋"/>
                <w:b/>
                <w:color w:val="FF0000"/>
                <w:sz w:val="24"/>
                <w:szCs w:val="24"/>
                <w:u w:val="single"/>
                <w:lang w:val="en-US" w:eastAsia="zh-CN"/>
              </w:rPr>
              <w:t xml:space="preserve"> 9</w:t>
            </w:r>
            <w:r>
              <w:rPr>
                <w:rFonts w:hint="eastAsia" w:hAnsi="宋体" w:cs="仿宋"/>
                <w:b/>
                <w:color w:val="FF0000"/>
                <w:sz w:val="24"/>
                <w:szCs w:val="24"/>
                <w:u w:val="none"/>
              </w:rPr>
              <w:t>日</w:t>
            </w:r>
            <w:r>
              <w:rPr>
                <w:rFonts w:hint="eastAsia" w:hAnsi="宋体" w:cs="仿宋"/>
                <w:b/>
                <w:color w:val="FF0000"/>
                <w:sz w:val="24"/>
                <w:szCs w:val="24"/>
                <w:u w:val="single"/>
                <w:lang w:val="en-US" w:eastAsia="zh-CN"/>
              </w:rPr>
              <w:t>09</w:t>
            </w:r>
            <w:r>
              <w:rPr>
                <w:rFonts w:hint="eastAsia" w:hAnsi="宋体" w:cs="仿宋"/>
                <w:b/>
                <w:color w:val="FF0000"/>
                <w:sz w:val="24"/>
                <w:szCs w:val="24"/>
              </w:rPr>
              <w:t>时</w:t>
            </w:r>
            <w:r>
              <w:rPr>
                <w:rFonts w:hint="eastAsia" w:hAnsi="宋体" w:cs="仿宋"/>
                <w:b/>
                <w:color w:val="FF0000"/>
                <w:sz w:val="24"/>
                <w:szCs w:val="24"/>
                <w:u w:val="single"/>
                <w:lang w:val="en-US" w:eastAsia="zh-CN"/>
              </w:rPr>
              <w:t>30</w:t>
            </w:r>
            <w:r>
              <w:rPr>
                <w:rFonts w:hint="eastAsia" w:hAnsi="宋体" w:cs="仿宋"/>
                <w:b/>
                <w:color w:val="FF0000"/>
                <w:sz w:val="24"/>
                <w:szCs w:val="24"/>
              </w:rPr>
              <w:t>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w:t>
            </w:r>
            <w:r>
              <w:rPr>
                <w:rFonts w:hint="eastAsia" w:hAnsi="宋体"/>
                <w:sz w:val="24"/>
                <w:szCs w:val="24"/>
                <w:lang w:eastAsia="zh-CN"/>
              </w:rPr>
              <w:t>投标担保</w:t>
            </w:r>
            <w:r>
              <w:rPr>
                <w:rFonts w:hint="eastAsia" w:hAnsi="宋体"/>
                <w:sz w:val="24"/>
                <w:szCs w:val="24"/>
              </w:rPr>
              <w:t>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lang w:val="en-US" w:eastAsia="zh-CN"/>
              </w:rPr>
              <w:t>伍万零捌佰元整</w:t>
            </w:r>
            <w:r>
              <w:rPr>
                <w:rFonts w:hint="eastAsia" w:hAnsi="宋体"/>
                <w:color w:val="0000FF"/>
                <w:sz w:val="24"/>
                <w:szCs w:val="24"/>
              </w:rPr>
              <w:t>（￥</w:t>
            </w:r>
            <w:r>
              <w:rPr>
                <w:rFonts w:hint="eastAsia" w:hAnsi="宋体"/>
                <w:color w:val="0000FF"/>
                <w:sz w:val="24"/>
                <w:szCs w:val="24"/>
                <w:lang w:val="en-US" w:eastAsia="zh-CN"/>
              </w:rPr>
              <w:t>50800</w:t>
            </w:r>
            <w:r>
              <w:rPr>
                <w:rFonts w:hint="eastAsia" w:hAnsi="宋体"/>
                <w:color w:val="0000FF"/>
                <w:sz w:val="24"/>
                <w:szCs w:val="24"/>
              </w:rPr>
              <w:t>元）；</w:t>
            </w:r>
          </w:p>
          <w:p>
            <w:pPr>
              <w:rPr>
                <w:rFonts w:hAnsi="宋体"/>
                <w:sz w:val="24"/>
                <w:szCs w:val="24"/>
              </w:rPr>
            </w:pPr>
            <w:r>
              <w:rPr>
                <w:rFonts w:hint="eastAsia" w:hAnsi="宋体"/>
                <w:sz w:val="24"/>
                <w:szCs w:val="24"/>
              </w:rPr>
              <w:t>3.递交方式：银行转账、银行电汇（均需从投标人的基本账户汇出），不接受以现金方式缴纳的</w:t>
            </w:r>
            <w:r>
              <w:rPr>
                <w:rFonts w:hint="eastAsia" w:hAnsi="宋体"/>
                <w:sz w:val="24"/>
                <w:szCs w:val="24"/>
                <w:lang w:eastAsia="zh-CN"/>
              </w:rPr>
              <w:t>投标担保</w:t>
            </w:r>
            <w:r>
              <w:rPr>
                <w:rFonts w:hint="eastAsia" w:hAnsi="宋体"/>
                <w:sz w:val="24"/>
                <w:szCs w:val="24"/>
              </w:rPr>
              <w:t>。</w:t>
            </w:r>
            <w:r>
              <w:rPr>
                <w:rFonts w:hint="eastAsia" w:hAnsi="宋体"/>
                <w:b/>
                <w:bCs/>
                <w:sz w:val="24"/>
                <w:szCs w:val="24"/>
              </w:rPr>
              <w:t>凡以现金方式缴纳</w:t>
            </w:r>
            <w:r>
              <w:rPr>
                <w:rFonts w:hint="eastAsia" w:hAnsi="宋体"/>
                <w:b/>
                <w:bCs/>
                <w:sz w:val="24"/>
                <w:szCs w:val="24"/>
                <w:lang w:eastAsia="zh-CN"/>
              </w:rPr>
              <w:t>投标担保</w:t>
            </w:r>
            <w:r>
              <w:rPr>
                <w:rFonts w:hint="eastAsia" w:hAnsi="宋体"/>
                <w:b/>
                <w:bCs/>
                <w:sz w:val="24"/>
                <w:szCs w:val="24"/>
              </w:rPr>
              <w:t>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w:t>
            </w:r>
            <w:r>
              <w:rPr>
                <w:rFonts w:hint="eastAsia" w:hAnsi="宋体"/>
                <w:sz w:val="24"/>
                <w:szCs w:val="24"/>
                <w:lang w:eastAsia="zh-CN"/>
              </w:rPr>
              <w:t>投标担保</w:t>
            </w:r>
            <w:r>
              <w:rPr>
                <w:rFonts w:hint="eastAsia" w:hAnsi="宋体"/>
                <w:sz w:val="24"/>
                <w:szCs w:val="24"/>
              </w:rPr>
              <w:t>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w:t>
            </w:r>
            <w:r>
              <w:rPr>
                <w:rFonts w:hint="eastAsia" w:hAnsi="宋体"/>
                <w:sz w:val="24"/>
                <w:szCs w:val="24"/>
                <w:lang w:eastAsia="zh-CN"/>
              </w:rPr>
              <w:t>投标担保</w:t>
            </w:r>
            <w:r>
              <w:rPr>
                <w:rFonts w:hint="eastAsia" w:hAnsi="宋体"/>
                <w:sz w:val="24"/>
                <w:szCs w:val="24"/>
              </w:rPr>
              <w:t>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Ansi="宋体"/>
                <w:color w:val="000000"/>
                <w:sz w:val="24"/>
                <w:szCs w:val="24"/>
              </w:rPr>
            </w:pPr>
            <w:r>
              <w:rPr>
                <w:rFonts w:hint="eastAsia" w:hAnsi="宋体" w:cs="仿宋_GB2312"/>
                <w:color w:val="000000"/>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u w:val="single"/>
                <w:lang w:val="en-US" w:eastAsia="zh-CN"/>
              </w:rPr>
              <w:t>5</w:t>
            </w:r>
            <w:r>
              <w:rPr>
                <w:rFonts w:hint="eastAsia" w:hAnsi="宋体"/>
                <w:color w:val="0000FF"/>
                <w:sz w:val="24"/>
                <w:szCs w:val="24"/>
              </w:rPr>
              <w:t>楼开标</w:t>
            </w:r>
            <w:r>
              <w:rPr>
                <w:rFonts w:hint="eastAsia" w:hAnsi="宋体"/>
                <w:color w:val="0000FF"/>
                <w:sz w:val="24"/>
                <w:szCs w:val="24"/>
                <w:u w:val="single"/>
                <w:lang w:val="en-US" w:eastAsia="zh-CN"/>
              </w:rPr>
              <w:t>一</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u w:val="single"/>
                <w:lang w:val="en-US" w:eastAsia="zh-CN"/>
              </w:rPr>
              <w:t>5</w:t>
            </w:r>
            <w:r>
              <w:rPr>
                <w:rFonts w:hint="eastAsia" w:hAnsi="宋体"/>
                <w:color w:val="0000FF"/>
                <w:sz w:val="24"/>
                <w:szCs w:val="24"/>
              </w:rPr>
              <w:t>楼开标</w:t>
            </w:r>
            <w:r>
              <w:rPr>
                <w:rFonts w:hint="eastAsia" w:hAnsi="宋体"/>
                <w:color w:val="0000FF"/>
                <w:sz w:val="24"/>
                <w:szCs w:val="24"/>
                <w:u w:val="single"/>
                <w:lang w:val="en-US" w:eastAsia="zh-CN"/>
              </w:rPr>
              <w:t>一</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spacing w:line="300" w:lineRule="auto"/>
              <w:rPr>
                <w:rFonts w:hAnsi="宋体" w:cs="宋体"/>
                <w:sz w:val="24"/>
              </w:rPr>
            </w:pPr>
            <w:r>
              <w:rPr>
                <w:rFonts w:hint="eastAsia" w:hAnsi="宋体" w:cs="宋体"/>
                <w:sz w:val="24"/>
              </w:rPr>
              <w:t>密封情况检查：由投标人代表检查其投标文件是否密封完好。</w:t>
            </w:r>
          </w:p>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int="eastAsia" w:hAnsi="宋体" w:eastAsia="宋体"/>
                <w:sz w:val="24"/>
                <w:szCs w:val="24"/>
                <w:lang w:eastAsia="zh-CN"/>
              </w:rPr>
            </w:pPr>
            <w:r>
              <w:rPr>
                <w:rFonts w:hint="eastAsia" w:hAnsi="宋体"/>
                <w:sz w:val="24"/>
                <w:szCs w:val="24"/>
              </w:rPr>
              <w:t>指2017年1月1日以来承接的建筑工程类似项目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w:t>
            </w:r>
            <w:r>
              <w:rPr>
                <w:rFonts w:hint="eastAsia" w:hAnsi="宋体"/>
                <w:sz w:val="24"/>
                <w:szCs w:val="24"/>
                <w:lang w:eastAsia="zh-CN"/>
              </w:rPr>
              <w:t>担保</w:t>
            </w:r>
            <w:r>
              <w:rPr>
                <w:rFonts w:hint="eastAsia" w:hAnsi="宋体"/>
                <w:sz w:val="24"/>
                <w:szCs w:val="24"/>
              </w:rPr>
              <w:t>的，取消其中标资格，</w:t>
            </w:r>
            <w:r>
              <w:rPr>
                <w:rFonts w:hint="eastAsia" w:hAnsi="宋体"/>
                <w:sz w:val="24"/>
                <w:szCs w:val="24"/>
                <w:lang w:eastAsia="zh-CN"/>
              </w:rPr>
              <w:t>投标担保</w:t>
            </w:r>
            <w:r>
              <w:rPr>
                <w:rFonts w:hint="eastAsia" w:hAnsi="宋体"/>
                <w:sz w:val="24"/>
                <w:szCs w:val="24"/>
              </w:rPr>
              <w:t>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w:t>
            </w:r>
            <w:r>
              <w:rPr>
                <w:rFonts w:hint="eastAsia" w:hAnsi="宋体"/>
                <w:sz w:val="24"/>
                <w:szCs w:val="24"/>
                <w:lang w:eastAsia="zh-CN"/>
              </w:rPr>
              <w:t>履约担保</w:t>
            </w:r>
            <w:r>
              <w:rPr>
                <w:rFonts w:hint="eastAsia" w:hAnsi="宋体"/>
                <w:sz w:val="24"/>
                <w:szCs w:val="24"/>
              </w:rPr>
              <w:t>不予退还，给招标人造成的损失超过</w:t>
            </w:r>
            <w:r>
              <w:rPr>
                <w:rFonts w:hint="eastAsia" w:hAnsi="宋体"/>
                <w:sz w:val="24"/>
                <w:szCs w:val="24"/>
                <w:lang w:eastAsia="zh-CN"/>
              </w:rPr>
              <w:t>履约担保</w:t>
            </w:r>
            <w:r>
              <w:rPr>
                <w:rFonts w:hint="eastAsia" w:hAnsi="宋体"/>
                <w:sz w:val="24"/>
                <w:szCs w:val="24"/>
              </w:rPr>
              <w:t>数额的，还应当对超过部分予以赔偿；没有提交</w:t>
            </w:r>
            <w:r>
              <w:rPr>
                <w:rFonts w:hint="eastAsia" w:hAnsi="宋体"/>
                <w:sz w:val="24"/>
                <w:szCs w:val="24"/>
                <w:lang w:eastAsia="zh-CN"/>
              </w:rPr>
              <w:t>履约担保</w:t>
            </w:r>
            <w:r>
              <w:rPr>
                <w:rFonts w:hint="eastAsia" w:hAnsi="宋体"/>
                <w:sz w:val="24"/>
                <w:szCs w:val="24"/>
              </w:rPr>
              <w:t>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w:t>
            </w:r>
            <w:r>
              <w:rPr>
                <w:rFonts w:hint="eastAsia" w:ascii="新宋体" w:hAnsi="新宋体" w:eastAsia="新宋体" w:cs="宋体"/>
                <w:sz w:val="24"/>
                <w:szCs w:val="24"/>
                <w:lang w:eastAsia="zh-CN"/>
              </w:rPr>
              <w:t>投标担保</w:t>
            </w:r>
            <w:r>
              <w:rPr>
                <w:rFonts w:hint="eastAsia" w:ascii="新宋体" w:hAnsi="新宋体" w:eastAsia="新宋体" w:cs="宋体"/>
                <w:sz w:val="24"/>
                <w:szCs w:val="24"/>
              </w:rPr>
              <w:t>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605803"/>
            <w:bookmarkStart w:id="9" w:name="_Toc397507934"/>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522"/>
            <w:bookmarkStart w:id="12" w:name="_Toc397605804"/>
            <w:bookmarkStart w:id="13" w:name="_Toc397507935"/>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507936"/>
            <w:bookmarkStart w:id="15" w:name="_Toc397605805"/>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int="eastAsia" w:hAnsi="宋体"/>
                <w:color w:val="0000FF"/>
                <w:sz w:val="24"/>
                <w:szCs w:val="24"/>
              </w:rPr>
            </w:pPr>
            <w:r>
              <w:rPr>
                <w:rFonts w:hint="eastAsia" w:hAnsi="宋体"/>
                <w:color w:val="0000FF"/>
                <w:sz w:val="24"/>
                <w:szCs w:val="24"/>
              </w:rPr>
              <w:t>开户行：河南长葛农村商业银行股份有限公司营业部</w:t>
            </w:r>
          </w:p>
          <w:p>
            <w:pPr>
              <w:autoSpaceDE w:val="0"/>
              <w:autoSpaceDN w:val="0"/>
              <w:spacing w:line="360" w:lineRule="exact"/>
              <w:jc w:val="left"/>
              <w:outlineLvl w:val="0"/>
              <w:rPr>
                <w:rFonts w:hint="eastAsia" w:hAnsi="宋体"/>
                <w:color w:val="0000FF"/>
                <w:sz w:val="24"/>
                <w:szCs w:val="24"/>
              </w:rPr>
            </w:pPr>
            <w:r>
              <w:rPr>
                <w:rFonts w:hint="eastAsia" w:hAnsi="宋体"/>
                <w:color w:val="0000FF"/>
                <w:sz w:val="24"/>
                <w:szCs w:val="24"/>
              </w:rPr>
              <w:t>户  名：长葛市公共资源交易中心</w:t>
            </w:r>
          </w:p>
          <w:p>
            <w:pPr>
              <w:autoSpaceDE w:val="0"/>
              <w:autoSpaceDN w:val="0"/>
              <w:spacing w:line="360" w:lineRule="exact"/>
              <w:jc w:val="left"/>
              <w:outlineLvl w:val="0"/>
              <w:rPr>
                <w:rFonts w:hint="eastAsia" w:hAnsi="宋体"/>
                <w:color w:val="0000FF"/>
                <w:sz w:val="24"/>
                <w:szCs w:val="24"/>
              </w:rPr>
            </w:pPr>
            <w:r>
              <w:rPr>
                <w:rFonts w:hint="eastAsia" w:hAnsi="宋体"/>
                <w:color w:val="0000FF"/>
                <w:sz w:val="24"/>
                <w:szCs w:val="24"/>
              </w:rPr>
              <w:t>账  号：13201001800000552</w:t>
            </w:r>
          </w:p>
          <w:p>
            <w:pPr>
              <w:autoSpaceDE w:val="0"/>
              <w:autoSpaceDN w:val="0"/>
              <w:spacing w:line="360" w:lineRule="exact"/>
              <w:jc w:val="left"/>
              <w:outlineLvl w:val="0"/>
              <w:rPr>
                <w:rFonts w:hAnsi="宋体"/>
                <w:color w:val="0000FF"/>
                <w:sz w:val="24"/>
                <w:szCs w:val="24"/>
              </w:rPr>
            </w:pPr>
            <w:r>
              <w:rPr>
                <w:rFonts w:hint="eastAsia" w:hAnsi="宋体"/>
                <w:color w:val="0000FF"/>
                <w:sz w:val="24"/>
                <w:szCs w:val="24"/>
              </w:rPr>
              <w:t>履约担保的金额：中标金额的10%</w:t>
            </w:r>
          </w:p>
          <w:p>
            <w:pPr>
              <w:autoSpaceDE w:val="0"/>
              <w:autoSpaceDN w:val="0"/>
              <w:spacing w:line="360" w:lineRule="exact"/>
              <w:jc w:val="left"/>
              <w:outlineLvl w:val="0"/>
              <w:rPr>
                <w:rFonts w:hAnsi="宋体"/>
                <w:color w:val="0000FF"/>
                <w:sz w:val="24"/>
                <w:szCs w:val="24"/>
              </w:rPr>
            </w:pPr>
            <w:r>
              <w:rPr>
                <w:rFonts w:hint="eastAsia" w:hAnsi="宋体"/>
                <w:color w:val="0000FF"/>
                <w:sz w:val="24"/>
                <w:szCs w:val="24"/>
              </w:rPr>
              <w:t>中标人无正当理由不与招标人订立合同，在签订合同时向招标人提出附加条件，或者不按照招标文件要求提交履约担保的，取消其中标资格，</w:t>
            </w:r>
            <w:r>
              <w:rPr>
                <w:rFonts w:hint="eastAsia" w:hAnsi="宋体"/>
                <w:color w:val="0000FF"/>
                <w:sz w:val="24"/>
                <w:szCs w:val="24"/>
                <w:lang w:eastAsia="zh-CN"/>
              </w:rPr>
              <w:t>投标担保</w:t>
            </w:r>
            <w:r>
              <w:rPr>
                <w:rFonts w:hint="eastAsia" w:hAnsi="宋体"/>
                <w:color w:val="0000FF"/>
                <w:sz w:val="24"/>
                <w:szCs w:val="24"/>
              </w:rPr>
              <w:t>不予退还。</w:t>
            </w:r>
          </w:p>
          <w:p>
            <w:pPr>
              <w:autoSpaceDE w:val="0"/>
              <w:autoSpaceDN w:val="0"/>
              <w:spacing w:line="360" w:lineRule="exact"/>
              <w:jc w:val="left"/>
              <w:outlineLvl w:val="0"/>
              <w:rPr>
                <w:sz w:val="24"/>
                <w:szCs w:val="24"/>
              </w:rPr>
            </w:pPr>
            <w:r>
              <w:rPr>
                <w:rFonts w:hint="eastAsia" w:hAnsi="宋体"/>
                <w:color w:val="0000FF"/>
                <w:sz w:val="24"/>
                <w:szCs w:val="24"/>
              </w:rPr>
              <w:t>注：缴纳履约担保时需备注项目编号：长交建【20</w:t>
            </w:r>
            <w:r>
              <w:rPr>
                <w:rFonts w:hint="eastAsia" w:hAnsi="宋体"/>
                <w:color w:val="0000FF"/>
                <w:sz w:val="24"/>
                <w:szCs w:val="24"/>
                <w:lang w:val="en-US" w:eastAsia="zh-CN"/>
              </w:rPr>
              <w:t>20</w:t>
            </w:r>
            <w:r>
              <w:rPr>
                <w:rFonts w:hint="eastAsia" w:hAnsi="宋体"/>
                <w:color w:val="0000FF"/>
                <w:sz w:val="24"/>
                <w:szCs w:val="24"/>
              </w:rPr>
              <w:t>】GZ</w:t>
            </w:r>
            <w:r>
              <w:rPr>
                <w:rFonts w:hint="eastAsia" w:hAnsi="宋体"/>
                <w:color w:val="0000FF"/>
                <w:sz w:val="24"/>
                <w:szCs w:val="24"/>
                <w:lang w:val="en-US" w:eastAsia="zh-CN"/>
              </w:rPr>
              <w:t>045</w:t>
            </w:r>
            <w:r>
              <w:rPr>
                <w:rFonts w:hint="eastAsia" w:hAnsi="宋体"/>
                <w:color w:val="0000FF"/>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w:t>
            </w:r>
            <w:r>
              <w:rPr>
                <w:rFonts w:hint="eastAsia" w:hAnsi="宋体" w:cs="仿宋_GB2312"/>
                <w:color w:val="000000"/>
                <w:sz w:val="24"/>
                <w:szCs w:val="24"/>
                <w:lang w:eastAsia="zh-CN"/>
              </w:rPr>
              <w:t>投标担保</w:t>
            </w:r>
            <w:r>
              <w:rPr>
                <w:rFonts w:hint="eastAsia" w:hAnsi="宋体" w:cs="仿宋_GB2312"/>
                <w:color w:val="000000"/>
                <w:sz w:val="24"/>
                <w:szCs w:val="24"/>
              </w:rPr>
              <w:t>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44974503"/>
      <w:bookmarkStart w:id="18" w:name="_Toc152045535"/>
      <w:bookmarkStart w:id="19" w:name="_Toc152042311"/>
      <w:bookmarkStart w:id="20" w:name="_Toc179632552"/>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52042312"/>
      <w:bookmarkStart w:id="22" w:name="_Toc152045536"/>
      <w:bookmarkStart w:id="23" w:name="_Toc179632553"/>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2313"/>
      <w:bookmarkStart w:id="27" w:name="_Toc152045537"/>
      <w:bookmarkStart w:id="28" w:name="_Toc179632554"/>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79632555"/>
      <w:bookmarkStart w:id="30" w:name="_Toc144974506"/>
      <w:bookmarkStart w:id="31" w:name="_Toc152042314"/>
      <w:bookmarkStart w:id="32" w:name="_Toc152045538"/>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79632564"/>
      <w:bookmarkStart w:id="41" w:name="_Toc152042322"/>
      <w:bookmarkStart w:id="42" w:name="_Toc152045546"/>
      <w:bookmarkStart w:id="43" w:name="_Toc14497451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w:t>
      </w:r>
      <w:r>
        <w:rPr>
          <w:rFonts w:hint="eastAsia" w:hAnsi="宋体" w:cs="宋体"/>
          <w:sz w:val="24"/>
          <w:lang w:eastAsia="zh-CN"/>
        </w:rPr>
        <w:t>投标担保</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w:t>
      </w:r>
      <w:r>
        <w:rPr>
          <w:rFonts w:hint="eastAsia" w:ascii="新宋体" w:hAnsi="新宋体" w:eastAsia="新宋体" w:cs="仿宋_GB2312"/>
          <w:sz w:val="24"/>
          <w:lang w:eastAsia="zh-CN"/>
        </w:rPr>
        <w:t>投标担保</w:t>
      </w:r>
      <w:r>
        <w:rPr>
          <w:rFonts w:hint="eastAsia" w:ascii="新宋体" w:hAnsi="新宋体" w:eastAsia="新宋体" w:cs="仿宋_GB2312"/>
          <w:sz w:val="24"/>
        </w:rPr>
        <w:t>的有效期，但不得要求或被允许修改或撤销其投标文件；投标人拒绝延长的，其投标失效，但投标人有权收回其</w:t>
      </w:r>
      <w:r>
        <w:rPr>
          <w:rFonts w:hint="eastAsia" w:ascii="新宋体" w:hAnsi="新宋体" w:eastAsia="新宋体" w:cs="仿宋_GB2312"/>
          <w:sz w:val="24"/>
          <w:lang w:eastAsia="zh-CN"/>
        </w:rPr>
        <w:t>投标担保</w:t>
      </w:r>
      <w:r>
        <w:rPr>
          <w:rFonts w:hint="eastAsia" w:ascii="新宋体" w:hAnsi="新宋体" w:eastAsia="新宋体" w:cs="仿宋_GB2312"/>
          <w:sz w:val="24"/>
        </w:rPr>
        <w:t>。</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w:t>
      </w:r>
      <w:r>
        <w:rPr>
          <w:rFonts w:hint="eastAsia"/>
          <w:sz w:val="24"/>
          <w:szCs w:val="24"/>
          <w:lang w:eastAsia="zh-CN"/>
        </w:rPr>
        <w:t>投标担保</w:t>
      </w:r>
      <w:r>
        <w:rPr>
          <w:rFonts w:hint="eastAsia"/>
          <w:sz w:val="24"/>
          <w:szCs w:val="24"/>
        </w:rPr>
        <w:t>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w:t>
      </w:r>
      <w:r>
        <w:rPr>
          <w:rFonts w:hint="eastAsia"/>
          <w:sz w:val="24"/>
          <w:szCs w:val="24"/>
          <w:lang w:eastAsia="zh-CN"/>
        </w:rPr>
        <w:t>投标担保</w:t>
      </w:r>
      <w:r>
        <w:rPr>
          <w:rFonts w:hint="eastAsia"/>
          <w:sz w:val="24"/>
          <w:szCs w:val="24"/>
        </w:rPr>
        <w:t>缴纳方式：银行转账、银行电汇（均需从投标人的基本账户汇出），不接受以现金方式缴纳的</w:t>
      </w:r>
      <w:r>
        <w:rPr>
          <w:rFonts w:hint="eastAsia"/>
          <w:sz w:val="24"/>
          <w:szCs w:val="24"/>
          <w:lang w:eastAsia="zh-CN"/>
        </w:rPr>
        <w:t>投标担保</w:t>
      </w:r>
      <w:r>
        <w:rPr>
          <w:rFonts w:hint="eastAsia"/>
          <w:sz w:val="24"/>
          <w:szCs w:val="24"/>
        </w:rPr>
        <w:t>。凡以现金方式缴纳</w:t>
      </w:r>
      <w:r>
        <w:rPr>
          <w:rFonts w:hint="eastAsia"/>
          <w:sz w:val="24"/>
          <w:szCs w:val="24"/>
          <w:lang w:eastAsia="zh-CN"/>
        </w:rPr>
        <w:t>投标担保</w:t>
      </w:r>
      <w:r>
        <w:rPr>
          <w:rFonts w:hint="eastAsia"/>
          <w:sz w:val="24"/>
          <w:szCs w:val="24"/>
        </w:rPr>
        <w:t>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（2）成功缴纳后重新登录前述系统，依次点击“会员向导”→“参与投标”→“保证金绑定”→“绑定”进行</w:t>
      </w:r>
      <w:r>
        <w:rPr>
          <w:rFonts w:hint="eastAsia"/>
          <w:sz w:val="24"/>
          <w:szCs w:val="24"/>
          <w:lang w:eastAsia="zh-CN"/>
        </w:rPr>
        <w:t>投标担保</w:t>
      </w:r>
      <w:r>
        <w:rPr>
          <w:rFonts w:hint="eastAsia"/>
          <w:sz w:val="24"/>
          <w:szCs w:val="24"/>
        </w:rPr>
        <w:t>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（3）投标人要严格按照“保证金缴纳说明单”内容缴纳、成功绑定</w:t>
      </w:r>
      <w:r>
        <w:rPr>
          <w:rFonts w:hint="eastAsia"/>
          <w:sz w:val="24"/>
          <w:szCs w:val="24"/>
          <w:lang w:eastAsia="zh-CN"/>
        </w:rPr>
        <w:t>投标担保</w:t>
      </w:r>
      <w:r>
        <w:rPr>
          <w:rFonts w:hint="eastAsia"/>
          <w:sz w:val="24"/>
          <w:szCs w:val="24"/>
        </w:rPr>
        <w:t>。未绑定标段的</w:t>
      </w:r>
      <w:r>
        <w:rPr>
          <w:rFonts w:hint="eastAsia"/>
          <w:sz w:val="24"/>
          <w:szCs w:val="24"/>
          <w:lang w:eastAsia="zh-CN"/>
        </w:rPr>
        <w:t>投标担保</w:t>
      </w:r>
      <w:r>
        <w:rPr>
          <w:rFonts w:hint="eastAsia"/>
          <w:sz w:val="24"/>
          <w:szCs w:val="24"/>
        </w:rPr>
        <w:t>，视为未按时交纳。并将缴纳凭证“长葛市公共资源交易中心保证金缴纳回执”附于投标文件中，同时在开标现场提供一份，以备查询。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w:t>
      </w:r>
      <w:r>
        <w:rPr>
          <w:rFonts w:hint="eastAsia"/>
          <w:sz w:val="24"/>
          <w:szCs w:val="24"/>
          <w:lang w:eastAsia="zh-CN"/>
        </w:rPr>
        <w:t>投标担保</w:t>
      </w:r>
      <w:r>
        <w:rPr>
          <w:rFonts w:hint="eastAsia"/>
          <w:sz w:val="24"/>
          <w:szCs w:val="24"/>
        </w:rPr>
        <w:t>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w:t>
      </w:r>
      <w:r>
        <w:rPr>
          <w:rFonts w:hint="eastAsia"/>
          <w:sz w:val="24"/>
          <w:szCs w:val="24"/>
          <w:lang w:eastAsia="zh-CN"/>
        </w:rPr>
        <w:t>投标担保</w:t>
      </w:r>
      <w:r>
        <w:rPr>
          <w:rFonts w:hint="eastAsia"/>
          <w:sz w:val="24"/>
          <w:szCs w:val="24"/>
        </w:rPr>
        <w:t>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w:t>
      </w:r>
      <w:r>
        <w:rPr>
          <w:rFonts w:hint="eastAsia"/>
          <w:sz w:val="24"/>
          <w:szCs w:val="24"/>
          <w:lang w:eastAsia="zh-CN"/>
        </w:rPr>
        <w:t>投标担保</w:t>
      </w:r>
      <w:r>
        <w:rPr>
          <w:rFonts w:hint="eastAsia"/>
          <w:sz w:val="24"/>
          <w:szCs w:val="24"/>
        </w:rPr>
        <w:t>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w:t>
      </w:r>
      <w:r>
        <w:rPr>
          <w:rFonts w:hint="eastAsia"/>
          <w:sz w:val="24"/>
          <w:szCs w:val="24"/>
          <w:lang w:eastAsia="zh-CN"/>
        </w:rPr>
        <w:t>投标担保</w:t>
      </w:r>
      <w:r>
        <w:rPr>
          <w:rFonts w:hint="eastAsia"/>
          <w:sz w:val="24"/>
          <w:szCs w:val="24"/>
        </w:rPr>
        <w:t>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w:t>
      </w:r>
      <w:r>
        <w:rPr>
          <w:rFonts w:hint="eastAsia"/>
          <w:sz w:val="24"/>
          <w:szCs w:val="24"/>
          <w:lang w:eastAsia="zh-CN"/>
        </w:rPr>
        <w:t>投标担保</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w:t>
      </w:r>
      <w:r>
        <w:rPr>
          <w:rFonts w:hint="eastAsia"/>
          <w:sz w:val="24"/>
          <w:szCs w:val="24"/>
          <w:lang w:eastAsia="zh-CN"/>
        </w:rPr>
        <w:t>投标担保</w:t>
      </w:r>
      <w:r>
        <w:rPr>
          <w:rFonts w:hint="eastAsia"/>
          <w:sz w:val="24"/>
          <w:szCs w:val="24"/>
        </w:rPr>
        <w:t>、滞留三年以上的，</w:t>
      </w:r>
      <w:r>
        <w:rPr>
          <w:rFonts w:hint="eastAsia"/>
          <w:sz w:val="24"/>
          <w:szCs w:val="24"/>
          <w:lang w:eastAsia="zh-CN"/>
        </w:rPr>
        <w:t>投标担保</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w:t>
      </w:r>
      <w:r>
        <w:rPr>
          <w:rFonts w:hint="eastAsia"/>
          <w:sz w:val="24"/>
          <w:szCs w:val="24"/>
          <w:lang w:eastAsia="zh-CN"/>
        </w:rPr>
        <w:t>投标担保</w:t>
      </w:r>
      <w:r>
        <w:rPr>
          <w:rFonts w:hint="eastAsia"/>
          <w:sz w:val="24"/>
          <w:szCs w:val="24"/>
        </w:rPr>
        <w:t>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w:t>
      </w:r>
      <w:r>
        <w:rPr>
          <w:rFonts w:hint="eastAsia"/>
          <w:b/>
          <w:sz w:val="24"/>
          <w:szCs w:val="24"/>
          <w:lang w:eastAsia="zh-CN"/>
        </w:rPr>
        <w:t>投标担保</w:t>
      </w:r>
      <w:r>
        <w:rPr>
          <w:rFonts w:hint="eastAsia"/>
          <w:b/>
          <w:sz w:val="24"/>
          <w:szCs w:val="24"/>
        </w:rPr>
        <w:t>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w:t>
      </w:r>
      <w:r>
        <w:rPr>
          <w:rFonts w:hint="eastAsia"/>
          <w:sz w:val="24"/>
          <w:szCs w:val="24"/>
          <w:lang w:eastAsia="zh-CN"/>
        </w:rPr>
        <w:t>投标担保</w:t>
      </w:r>
      <w:r>
        <w:rPr>
          <w:rFonts w:hint="eastAsia"/>
          <w:sz w:val="24"/>
          <w:szCs w:val="24"/>
        </w:rPr>
        <w:t>及银行同期存款利息；在书面合同签订后5日内向中标人（携带其中标通知书和合同原件）和其他中标候选人退还</w:t>
      </w:r>
      <w:r>
        <w:rPr>
          <w:rFonts w:hint="eastAsia"/>
          <w:sz w:val="24"/>
          <w:szCs w:val="24"/>
          <w:lang w:eastAsia="zh-CN"/>
        </w:rPr>
        <w:t>投标担保</w:t>
      </w:r>
      <w:r>
        <w:rPr>
          <w:rFonts w:hint="eastAsia"/>
          <w:sz w:val="24"/>
          <w:szCs w:val="24"/>
        </w:rPr>
        <w:t>及银行同期存款利息。</w:t>
      </w:r>
    </w:p>
    <w:p>
      <w:pPr>
        <w:autoSpaceDE w:val="0"/>
        <w:autoSpaceDN w:val="0"/>
        <w:adjustRightInd w:val="0"/>
        <w:snapToGrid w:val="0"/>
        <w:spacing w:line="420" w:lineRule="exact"/>
        <w:ind w:firstLine="480"/>
        <w:jc w:val="left"/>
        <w:outlineLvl w:val="0"/>
        <w:rPr>
          <w:rFonts w:hint="default" w:eastAsia="宋体"/>
          <w:sz w:val="24"/>
          <w:szCs w:val="24"/>
          <w:lang w:val="en-US" w:eastAsia="zh-CN"/>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lang w:val="en-US" w:eastAsia="zh-CN"/>
        </w:rPr>
        <w:t>6189526</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w:t>
      </w:r>
      <w:r>
        <w:rPr>
          <w:rFonts w:hint="eastAsia"/>
          <w:sz w:val="24"/>
          <w:szCs w:val="24"/>
          <w:lang w:eastAsia="zh-CN"/>
        </w:rPr>
        <w:t>投标担保</w:t>
      </w:r>
      <w:r>
        <w:rPr>
          <w:rFonts w:hint="eastAsia"/>
          <w:sz w:val="24"/>
          <w:szCs w:val="24"/>
        </w:rPr>
        <w:t>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w:t>
      </w:r>
      <w:r>
        <w:rPr>
          <w:rFonts w:hint="eastAsia"/>
          <w:sz w:val="24"/>
          <w:szCs w:val="24"/>
          <w:lang w:eastAsia="zh-CN"/>
        </w:rPr>
        <w:t>投标担保</w:t>
      </w:r>
      <w:r>
        <w:rPr>
          <w:rFonts w:hint="eastAsia"/>
          <w:sz w:val="24"/>
          <w:szCs w:val="24"/>
        </w:rPr>
        <w:t>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w:t>
      </w:r>
      <w:r>
        <w:rPr>
          <w:rFonts w:hint="eastAsia"/>
          <w:sz w:val="24"/>
          <w:szCs w:val="24"/>
          <w:lang w:eastAsia="zh-CN"/>
        </w:rPr>
        <w:t>投标担保</w:t>
      </w:r>
      <w:r>
        <w:rPr>
          <w:rFonts w:hint="eastAsia"/>
          <w:sz w:val="24"/>
          <w:szCs w:val="24"/>
        </w:rPr>
        <w:t>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w:t>
      </w:r>
      <w:r>
        <w:rPr>
          <w:rFonts w:hint="eastAsia"/>
          <w:sz w:val="24"/>
          <w:szCs w:val="24"/>
          <w:lang w:eastAsia="zh-CN"/>
        </w:rPr>
        <w:t>投标担保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w:t>
      </w:r>
      <w:r>
        <w:rPr>
          <w:rFonts w:hint="eastAsia"/>
          <w:sz w:val="24"/>
          <w:szCs w:val="24"/>
          <w:lang w:eastAsia="zh-CN"/>
        </w:rPr>
        <w:t>投标担保</w:t>
      </w:r>
      <w:r>
        <w:rPr>
          <w:rFonts w:hint="eastAsia"/>
          <w:sz w:val="24"/>
          <w:szCs w:val="24"/>
        </w:rPr>
        <w:t>，除另有规定外，一般以转账方式一次性退还至</w:t>
      </w:r>
      <w:r>
        <w:rPr>
          <w:rFonts w:hint="eastAsia"/>
          <w:sz w:val="24"/>
          <w:szCs w:val="24"/>
          <w:lang w:eastAsia="zh-CN"/>
        </w:rPr>
        <w:t>投标担保</w:t>
      </w:r>
      <w:r>
        <w:rPr>
          <w:rFonts w:hint="eastAsia"/>
          <w:sz w:val="24"/>
          <w:szCs w:val="24"/>
        </w:rPr>
        <w:t>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w:t>
      </w:r>
      <w:r>
        <w:rPr>
          <w:rFonts w:hint="eastAsia"/>
          <w:sz w:val="24"/>
          <w:szCs w:val="24"/>
          <w:lang w:eastAsia="zh-CN"/>
        </w:rPr>
        <w:t>投标担保</w:t>
      </w:r>
      <w:r>
        <w:rPr>
          <w:rFonts w:hint="eastAsia"/>
          <w:sz w:val="24"/>
          <w:szCs w:val="24"/>
        </w:rPr>
        <w:t>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w:t>
      </w:r>
      <w:r>
        <w:rPr>
          <w:rFonts w:hint="eastAsia"/>
          <w:sz w:val="24"/>
          <w:szCs w:val="24"/>
          <w:lang w:val="en-US" w:eastAsia="zh-CN"/>
        </w:rPr>
        <w:t>89133</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w:t>
      </w:r>
      <w:r>
        <w:rPr>
          <w:rFonts w:hint="eastAsia"/>
          <w:sz w:val="24"/>
          <w:szCs w:val="24"/>
          <w:lang w:eastAsia="zh-CN"/>
        </w:rPr>
        <w:t>投标担保</w:t>
      </w:r>
      <w:r>
        <w:rPr>
          <w:rFonts w:hint="eastAsia"/>
          <w:sz w:val="24"/>
          <w:szCs w:val="24"/>
        </w:rPr>
        <w:t>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3.4.10.1中标人无正当理由不与招标人订立合同，在签订合同时向招标人提出附加条件，或者不按照招标文件要求提交履约担保的，取消其中标资格，</w:t>
      </w:r>
      <w:r>
        <w:rPr>
          <w:rFonts w:hint="eastAsia"/>
          <w:sz w:val="24"/>
          <w:szCs w:val="24"/>
          <w:lang w:eastAsia="zh-CN"/>
        </w:rPr>
        <w:t>投标担保</w:t>
      </w:r>
      <w:r>
        <w:rPr>
          <w:rFonts w:hint="eastAsia"/>
          <w:sz w:val="24"/>
          <w:szCs w:val="24"/>
        </w:rPr>
        <w:t xml:space="preserve">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w:t>
      </w:r>
      <w:r>
        <w:rPr>
          <w:rFonts w:hint="eastAsia"/>
          <w:sz w:val="24"/>
          <w:szCs w:val="24"/>
          <w:lang w:eastAsia="zh-CN"/>
        </w:rPr>
        <w:t>投标担保</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w:t>
      </w:r>
      <w:r>
        <w:rPr>
          <w:rFonts w:hint="eastAsia"/>
          <w:b/>
          <w:bCs/>
          <w:sz w:val="24"/>
          <w:szCs w:val="24"/>
          <w:lang w:eastAsia="zh-CN"/>
        </w:rPr>
        <w:t>投标担保</w:t>
      </w:r>
      <w:r>
        <w:rPr>
          <w:rFonts w:hint="eastAsia"/>
          <w:b/>
          <w:bCs/>
          <w:sz w:val="24"/>
          <w:szCs w:val="24"/>
        </w:rPr>
        <w:t>交纳至同一标段相同子账号的，保证金暂不予退还，对涉嫌串通投标等违规行为的，移交有关部门进行查处。经调查核实后，按有关规定处理。不予退还的保证金上缴国库。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firstLineChars="200"/>
        <w:jc w:val="left"/>
        <w:outlineLvl w:val="0"/>
        <w:rPr>
          <w:rFonts w:hint="eastAsia" w:hAnsi="宋体" w:cs="宋体"/>
          <w:sz w:val="24"/>
          <w:szCs w:val="22"/>
        </w:rPr>
      </w:pPr>
      <w:r>
        <w:rPr>
          <w:rFonts w:hint="eastAsia" w:hAnsi="宋体" w:cs="宋体"/>
          <w:sz w:val="24"/>
          <w:szCs w:val="22"/>
        </w:rPr>
        <w:t>投标人无须提供信用记录查询结果网页截屏，招标项目开标结束后、评标开始前，招标人（或招标代理机构）对投标人信用记录进行现场查询，并将查询结果随项目开标资料一并送入评标室，由专家进行评判。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44974521"/>
      <w:bookmarkStart w:id="48" w:name="_Toc152045553"/>
      <w:bookmarkStart w:id="49" w:name="_Toc152042329"/>
      <w:bookmarkStart w:id="50" w:name="_Toc179632571"/>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ascii="新宋体" w:hAnsi="新宋体" w:eastAsia="新宋体" w:cs="TimesNewRomanPSMT"/>
          <w:sz w:val="24"/>
        </w:rPr>
      </w:pPr>
      <w:bookmarkStart w:id="53" w:name="_Toc283559963"/>
      <w:r>
        <w:rPr>
          <w:rFonts w:hint="eastAsia" w:ascii="新宋体" w:hAnsi="新宋体" w:eastAsia="新宋体" w:cs="TimesNewRomanPSMT"/>
          <w:sz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4.1.2使用电子介质存储的投标文件应和纸质投标文件密封在一起，在投标截止时间前随纸质投标文件一并递交。</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4.1.3 投标文件的封套上应写明的其他内容见投标人须知前附表。</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4.1.4 未按本章第4.1.1项或第4.1.2项或4.1.3项要求密封和加写标记的投标文件，招标人不予受理。</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w:t>
      </w:r>
      <w:r>
        <w:rPr>
          <w:rFonts w:hint="eastAsia" w:hAnsi="宋体" w:cs="宋体"/>
          <w:sz w:val="24"/>
          <w:lang w:eastAsia="zh-CN"/>
        </w:rPr>
        <w:t>投标担保</w:t>
      </w:r>
      <w:r>
        <w:rPr>
          <w:rFonts w:hint="eastAsia" w:hAnsi="宋体" w:cs="宋体"/>
          <w:sz w:val="24"/>
        </w:rPr>
        <w:t>缴纳情况；</w:t>
      </w:r>
    </w:p>
    <w:p>
      <w:pPr>
        <w:spacing w:line="420" w:lineRule="exact"/>
        <w:ind w:firstLine="480" w:firstLineChars="200"/>
        <w:rPr>
          <w:rFonts w:hAnsi="宋体" w:cs="宋体"/>
          <w:sz w:val="24"/>
        </w:rPr>
      </w:pPr>
      <w:r>
        <w:rPr>
          <w:rFonts w:hint="eastAsia" w:hAnsi="宋体" w:cs="宋体"/>
          <w:sz w:val="24"/>
        </w:rPr>
        <w:t>（4）检查投标文件的密封情况；</w:t>
      </w:r>
    </w:p>
    <w:p>
      <w:pPr>
        <w:spacing w:line="420" w:lineRule="exact"/>
        <w:ind w:firstLine="480" w:firstLineChars="200"/>
        <w:rPr>
          <w:rFonts w:hAnsi="宋体" w:cs="宋体"/>
          <w:sz w:val="24"/>
        </w:rPr>
      </w:pPr>
      <w:r>
        <w:rPr>
          <w:rFonts w:hint="eastAsia" w:hAnsi="宋体" w:cs="宋体"/>
          <w:sz w:val="24"/>
        </w:rPr>
        <w:t>（5）电子投标文件解密；</w:t>
      </w:r>
    </w:p>
    <w:p>
      <w:pPr>
        <w:spacing w:line="420" w:lineRule="exact"/>
        <w:ind w:firstLine="480" w:firstLineChars="200"/>
        <w:rPr>
          <w:rFonts w:hAnsi="宋体" w:cs="宋体"/>
          <w:sz w:val="24"/>
        </w:rPr>
      </w:pPr>
      <w:r>
        <w:rPr>
          <w:rFonts w:hint="eastAsia" w:hAnsi="宋体" w:cs="宋体"/>
          <w:sz w:val="24"/>
        </w:rPr>
        <w:t>（6）宣布唱标顺序，按已定顺序唱标，唱标内容为：投标人名称、投标报价、质量目标、工期及其他内容，并记录；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（7）现场抽取参与计算评标基准价的K值并宣布，同时公布招标控制价；</w:t>
      </w:r>
    </w:p>
    <w:p>
      <w:pPr>
        <w:autoSpaceDE w:val="0"/>
        <w:autoSpaceDN w:val="0"/>
        <w:adjustRightInd w:val="0"/>
        <w:spacing w:line="420" w:lineRule="exact"/>
        <w:jc w:val="left"/>
        <w:outlineLvl w:val="0"/>
        <w:rPr>
          <w:rFonts w:hAnsi="宋体" w:cs="宋体"/>
          <w:b/>
          <w:sz w:val="24"/>
        </w:rPr>
      </w:pPr>
      <w:r>
        <w:rPr>
          <w:rFonts w:hint="eastAsia" w:hAnsi="宋体" w:cs="宋体"/>
          <w:sz w:val="24"/>
        </w:rPr>
        <w:t>（8）投标人代表、招标人代表、监标人、记录人等有关人员在开标记录上签字</w:t>
      </w:r>
      <w:bookmarkEnd w:id="57"/>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52042345"/>
      <w:bookmarkStart w:id="64" w:name="_Toc179632587"/>
      <w:bookmarkStart w:id="65" w:name="_Toc152045569"/>
      <w:bookmarkStart w:id="66" w:name="_Toc144974537"/>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w:t>
      </w:r>
      <w:r>
        <w:rPr>
          <w:rFonts w:hint="eastAsia" w:hAnsi="宋体" w:cs="宋体"/>
          <w:sz w:val="24"/>
          <w:lang w:eastAsia="zh-CN"/>
        </w:rPr>
        <w:t>投标担保</w:t>
      </w:r>
      <w:r>
        <w:rPr>
          <w:rFonts w:hint="eastAsia" w:hAnsi="宋体" w:cs="宋体"/>
          <w:sz w:val="24"/>
        </w:rPr>
        <w:t>不予退还，给招标人造成的损失超过</w:t>
      </w:r>
      <w:r>
        <w:rPr>
          <w:rFonts w:hint="eastAsia" w:hAnsi="宋体" w:cs="宋体"/>
          <w:sz w:val="24"/>
          <w:lang w:eastAsia="zh-CN"/>
        </w:rPr>
        <w:t>投标担保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w:t>
      </w:r>
      <w:r>
        <w:rPr>
          <w:rFonts w:hint="eastAsia" w:hAnsi="宋体" w:cs="宋体"/>
          <w:sz w:val="24"/>
          <w:lang w:eastAsia="zh-CN"/>
        </w:rPr>
        <w:t>投标担保</w:t>
      </w:r>
      <w:r>
        <w:rPr>
          <w:rFonts w:hint="eastAsia" w:hAnsi="宋体" w:cs="宋体"/>
          <w:sz w:val="24"/>
        </w:rPr>
        <w:t>不予退还；给招标人造成的损失超过</w:t>
      </w:r>
      <w:r>
        <w:rPr>
          <w:rFonts w:hint="eastAsia" w:hAnsi="宋体" w:cs="宋体"/>
          <w:sz w:val="24"/>
          <w:lang w:eastAsia="zh-CN"/>
        </w:rPr>
        <w:t>投标担保</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w:t>
      </w:r>
      <w:r>
        <w:rPr>
          <w:rFonts w:hint="eastAsia" w:hAnsi="宋体" w:cs="宋体"/>
          <w:sz w:val="24"/>
          <w:lang w:eastAsia="zh-CN"/>
        </w:rPr>
        <w:t>投标担保</w:t>
      </w:r>
      <w:r>
        <w:rPr>
          <w:rFonts w:hint="eastAsia" w:hAnsi="宋体" w:cs="宋体"/>
          <w:sz w:val="24"/>
        </w:rPr>
        <w:t>；给中标人造成损失的，还应当赔偿损失。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464824723"/>
      <w:bookmarkEnd w:id="81"/>
      <w:bookmarkStart w:id="82" w:name="_Toc27484"/>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3"/>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提供授权委托人、项目经理（项目负责人）劳动合同和由企业住所地人社部门出具的</w:t>
      </w:r>
      <w:r>
        <w:rPr>
          <w:rFonts w:hint="eastAsia"/>
          <w:sz w:val="24"/>
          <w:szCs w:val="24"/>
        </w:rPr>
        <w:t>截止开标时间前连续六个月的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b/>
          <w:bCs/>
          <w:sz w:val="24"/>
          <w:szCs w:val="24"/>
        </w:rPr>
      </w:pP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7922"/>
      <w:bookmarkEnd w:id="86"/>
      <w:bookmarkStart w:id="87" w:name="_Toc280"/>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270931535"/>
      <w:bookmarkEnd w:id="92"/>
      <w:bookmarkStart w:id="93" w:name="_Toc273546399"/>
      <w:bookmarkEnd w:id="93"/>
      <w:bookmarkStart w:id="94" w:name="_Toc397606004"/>
      <w:bookmarkEnd w:id="94"/>
      <w:bookmarkStart w:id="95" w:name="_Toc17480"/>
      <w:bookmarkEnd w:id="95"/>
      <w:bookmarkStart w:id="96" w:name="_Toc397508135"/>
      <w:bookmarkEnd w:id="96"/>
      <w:bookmarkStart w:id="97" w:name="_Toc295572536"/>
      <w:bookmarkEnd w:id="97"/>
      <w:bookmarkStart w:id="98" w:name="_Toc397507722"/>
      <w:bookmarkEnd w:id="98"/>
      <w:bookmarkStart w:id="99" w:name="_Toc272833454"/>
      <w:bookmarkEnd w:id="99"/>
      <w:bookmarkStart w:id="100" w:name="_Toc464824745"/>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w:t>
      </w:r>
      <w:r>
        <w:rPr>
          <w:rFonts w:hint="eastAsia" w:ascii="新宋体" w:hAnsi="新宋体" w:eastAsia="新宋体" w:cs="宋体"/>
          <w:sz w:val="24"/>
          <w:szCs w:val="24"/>
          <w:lang w:eastAsia="zh-CN"/>
        </w:rPr>
        <w:t>投标担保</w:t>
      </w:r>
      <w:r>
        <w:rPr>
          <w:rFonts w:hint="eastAsia" w:ascii="新宋体" w:hAnsi="新宋体" w:eastAsia="新宋体" w:cs="宋体"/>
          <w:sz w:val="24"/>
          <w:szCs w:val="24"/>
        </w:rPr>
        <w:t>或者所提供的</w:t>
      </w:r>
      <w:r>
        <w:rPr>
          <w:rFonts w:hint="eastAsia" w:ascii="新宋体" w:hAnsi="新宋体" w:eastAsia="新宋体" w:cs="宋体"/>
          <w:sz w:val="24"/>
          <w:szCs w:val="24"/>
          <w:lang w:eastAsia="zh-CN"/>
        </w:rPr>
        <w:t>投标担保</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73546400"/>
      <w:bookmarkEnd w:id="149"/>
      <w:bookmarkStart w:id="150" w:name="_Toc295572537"/>
      <w:bookmarkEnd w:id="150"/>
      <w:bookmarkStart w:id="151" w:name="_Toc270931536"/>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464824774"/>
      <w:bookmarkEnd w:id="157"/>
      <w:bookmarkStart w:id="158" w:name="_Toc397606006"/>
      <w:bookmarkEnd w:id="158"/>
      <w:bookmarkStart w:id="159" w:name="_Toc397507724"/>
      <w:bookmarkEnd w:id="159"/>
      <w:bookmarkStart w:id="160" w:name="_Toc397508137"/>
      <w:bookmarkEnd w:id="160"/>
      <w:bookmarkStart w:id="161" w:name="_Toc2959"/>
      <w:bookmarkEnd w:id="161"/>
      <w:bookmarkStart w:id="162" w:name="_Toc414"/>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397508138"/>
      <w:bookmarkEnd w:id="166"/>
      <w:bookmarkStart w:id="167" w:name="_Toc397606007"/>
      <w:bookmarkEnd w:id="167"/>
      <w:bookmarkStart w:id="168" w:name="_Toc26658"/>
      <w:bookmarkEnd w:id="168"/>
      <w:bookmarkStart w:id="169" w:name="_Toc464824775"/>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397606008"/>
      <w:bookmarkEnd w:id="172"/>
      <w:bookmarkStart w:id="173" w:name="_Toc464824776"/>
      <w:bookmarkEnd w:id="173"/>
      <w:bookmarkStart w:id="174" w:name="_Toc397508139"/>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397508140"/>
      <w:bookmarkEnd w:id="176"/>
      <w:bookmarkStart w:id="177" w:name="_Toc5729"/>
      <w:bookmarkEnd w:id="177"/>
      <w:bookmarkStart w:id="178" w:name="_Toc464824777"/>
      <w:bookmarkEnd w:id="178"/>
      <w:bookmarkStart w:id="179" w:name="_Toc397507727"/>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9"/>
        <w:ind w:left="2900" w:hanging="1200"/>
      </w:pPr>
    </w:p>
    <w:p>
      <w:pPr>
        <w:pStyle w:val="9"/>
        <w:ind w:left="2900" w:hanging="1200"/>
        <w:rPr>
          <w:rFonts w:ascii="新宋体" w:hAnsi="新宋体" w:eastAsia="新宋体"/>
        </w:rPr>
      </w:pPr>
    </w:p>
    <w:p>
      <w:pPr>
        <w:rPr>
          <w:rFonts w:ascii="新宋体" w:hAnsi="新宋体" w:eastAsia="新宋体"/>
          <w:sz w:val="24"/>
        </w:rPr>
      </w:pPr>
    </w:p>
    <w:p>
      <w:pPr>
        <w:pStyle w:val="9"/>
        <w:ind w:left="2900" w:hanging="1200"/>
        <w:rPr>
          <w:rFonts w:ascii="新宋体" w:hAnsi="新宋体" w:eastAsia="新宋体"/>
        </w:rPr>
      </w:pPr>
    </w:p>
    <w:p>
      <w:pPr>
        <w:pStyle w:val="20"/>
        <w:keepNext/>
        <w:keepLines/>
        <w:shd w:val="clear" w:color="auto" w:fill="auto"/>
        <w:spacing w:before="0"/>
        <w:ind w:left="260"/>
        <w:jc w:val="left"/>
        <w:rPr>
          <w:rFonts w:hint="eastAsia" w:eastAsia="宋体"/>
          <w:b/>
          <w:bCs/>
        </w:rPr>
      </w:pPr>
      <w:bookmarkStart w:id="183" w:name="bookmark3"/>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eastAsia="宋体"/>
          <w:b/>
          <w:bCs/>
        </w:rPr>
      </w:pPr>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3"/>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9"/>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215282225"/>
      <w:bookmarkStart w:id="187" w:name="_Toc397508143"/>
      <w:bookmarkStart w:id="188" w:name="_Toc464824785"/>
      <w:bookmarkStart w:id="189" w:name="_Toc397606012"/>
      <w:bookmarkStart w:id="190" w:name="_Toc344934500"/>
      <w:bookmarkStart w:id="191" w:name="_Toc397507816"/>
      <w:bookmarkStart w:id="192" w:name="_Toc1952"/>
      <w:r>
        <w:rPr>
          <w:rFonts w:hAnsi="宋体" w:cs="TimesNewRomanPSMT"/>
          <w:b/>
          <w:sz w:val="24"/>
          <w:szCs w:val="24"/>
        </w:rPr>
        <w:t xml:space="preserve">1. </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Ansi="宋体"/>
          <w:bCs/>
          <w:sz w:val="24"/>
          <w:szCs w:val="24"/>
        </w:rPr>
      </w:pPr>
      <w:bookmarkStart w:id="193" w:name="_Toc464824786"/>
      <w:bookmarkStart w:id="194" w:name="_Toc397507817"/>
      <w:bookmarkStart w:id="195" w:name="_Toc397606013"/>
      <w:bookmarkStart w:id="196" w:name="_Toc344934501"/>
      <w:bookmarkStart w:id="197" w:name="_Toc213230751"/>
      <w:bookmarkStart w:id="198" w:name="_Toc215282226"/>
      <w:bookmarkStart w:id="199" w:name="_Toc397508144"/>
      <w:bookmarkStart w:id="200" w:name="_Toc6254"/>
      <w:r>
        <w:rPr>
          <w:rFonts w:hint="eastAsia" w:hAnsi="宋体" w:cs="TimesNewRomanPSMT"/>
          <w:b/>
          <w:sz w:val="24"/>
          <w:szCs w:val="24"/>
        </w:rPr>
        <w:t>投标报价依据说明</w:t>
      </w:r>
      <w:bookmarkEnd w:id="193"/>
      <w:bookmarkEnd w:id="194"/>
      <w:bookmarkEnd w:id="195"/>
      <w:bookmarkEnd w:id="196"/>
      <w:bookmarkEnd w:id="197"/>
      <w:bookmarkEnd w:id="198"/>
      <w:bookmarkEnd w:id="199"/>
      <w:bookmarkEnd w:id="200"/>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w:t>
      </w:r>
      <w:r>
        <w:rPr>
          <w:rFonts w:hint="eastAsia" w:hAnsi="宋体"/>
          <w:sz w:val="24"/>
          <w:szCs w:val="24"/>
          <w:lang w:eastAsia="zh-CN"/>
        </w:rPr>
        <w:t>房屋建筑与装饰工程预算定额</w:t>
      </w:r>
      <w:r>
        <w:rPr>
          <w:rFonts w:hint="eastAsia" w:hAnsi="宋体"/>
          <w:sz w:val="24"/>
          <w:szCs w:val="24"/>
        </w:rPr>
        <w:t>》（HA 0</w:t>
      </w:r>
      <w:r>
        <w:rPr>
          <w:rFonts w:hint="eastAsia" w:hAnsi="宋体"/>
          <w:sz w:val="24"/>
          <w:szCs w:val="24"/>
          <w:lang w:val="en-US" w:eastAsia="zh-CN"/>
        </w:rPr>
        <w:t>1</w:t>
      </w:r>
      <w:r>
        <w:rPr>
          <w:rFonts w:hint="eastAsia" w:hAnsi="宋体"/>
          <w:sz w:val="24"/>
          <w:szCs w:val="24"/>
        </w:rPr>
        <w:t>-31-2016）</w:t>
      </w:r>
      <w:r>
        <w:rPr>
          <w:rFonts w:hint="eastAsia" w:hAnsi="宋体"/>
          <w:sz w:val="24"/>
          <w:szCs w:val="24"/>
          <w:lang w:eastAsia="zh-CN"/>
        </w:rPr>
        <w:t>、</w:t>
      </w:r>
      <w:r>
        <w:rPr>
          <w:rFonts w:hint="eastAsia" w:hAnsi="宋体"/>
          <w:sz w:val="24"/>
          <w:szCs w:val="24"/>
        </w:rPr>
        <w:t>《河南省</w:t>
      </w:r>
      <w:r>
        <w:rPr>
          <w:rFonts w:hint="eastAsia" w:hAnsi="宋体"/>
          <w:sz w:val="24"/>
          <w:szCs w:val="24"/>
          <w:lang w:eastAsia="zh-CN"/>
        </w:rPr>
        <w:t>通用安装工程预算定额</w:t>
      </w:r>
      <w:r>
        <w:rPr>
          <w:rFonts w:hint="eastAsia" w:hAnsi="宋体"/>
          <w:sz w:val="24"/>
          <w:szCs w:val="24"/>
        </w:rPr>
        <w:t>》（HA 0</w:t>
      </w:r>
      <w:r>
        <w:rPr>
          <w:rFonts w:hint="eastAsia" w:hAnsi="宋体"/>
          <w:sz w:val="24"/>
          <w:szCs w:val="24"/>
          <w:lang w:val="en-US" w:eastAsia="zh-CN"/>
        </w:rPr>
        <w:t>2</w:t>
      </w:r>
      <w:r>
        <w:rPr>
          <w:rFonts w:hint="eastAsia" w:hAnsi="宋体"/>
          <w:sz w:val="24"/>
          <w:szCs w:val="24"/>
        </w:rPr>
        <w:t>-31-2016）</w:t>
      </w:r>
      <w:r>
        <w:rPr>
          <w:rFonts w:hint="eastAsia" w:hAnsi="宋体"/>
          <w:sz w:val="24"/>
          <w:szCs w:val="24"/>
          <w:lang w:eastAsia="zh-CN"/>
        </w:rPr>
        <w:t>及</w:t>
      </w:r>
      <w:r>
        <w:rPr>
          <w:rFonts w:hint="eastAsia" w:hAnsi="宋体"/>
          <w:sz w:val="24"/>
          <w:szCs w:val="24"/>
        </w:rPr>
        <w:t>相关配套文件</w:t>
      </w:r>
      <w:r>
        <w:rPr>
          <w:rFonts w:hint="eastAsia" w:hAnsi="宋体"/>
          <w:sz w:val="24"/>
          <w:szCs w:val="24"/>
          <w:lang w:eastAsia="zh-CN"/>
        </w:rPr>
        <w:t>的</w:t>
      </w:r>
      <w:r>
        <w:rPr>
          <w:rFonts w:hint="eastAsia" w:hAnsi="宋体"/>
          <w:sz w:val="24"/>
          <w:szCs w:val="24"/>
        </w:rPr>
        <w:t>规定；</w:t>
      </w:r>
    </w:p>
    <w:p>
      <w:pPr>
        <w:spacing w:line="400" w:lineRule="exact"/>
        <w:ind w:firstLine="480" w:firstLineChars="200"/>
        <w:rPr>
          <w:rFonts w:hAnsi="宋体"/>
          <w:bCs/>
          <w:sz w:val="24"/>
          <w:szCs w:val="24"/>
        </w:rPr>
      </w:pPr>
      <w:r>
        <w:rPr>
          <w:rFonts w:hint="eastAsia" w:hAnsi="宋体"/>
          <w:bCs/>
          <w:sz w:val="24"/>
          <w:szCs w:val="24"/>
        </w:rPr>
        <w:t>2.4.材料价格依据2019年第</w:t>
      </w:r>
      <w:r>
        <w:rPr>
          <w:rFonts w:hint="eastAsia" w:hAnsi="宋体"/>
          <w:bCs/>
          <w:sz w:val="24"/>
          <w:szCs w:val="24"/>
          <w:lang w:val="en-US" w:eastAsia="zh-CN"/>
        </w:rPr>
        <w:t>6</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cs="宋体"/>
          <w:b/>
          <w:sz w:val="24"/>
        </w:rPr>
      </w:pPr>
      <w:bookmarkStart w:id="201" w:name="_Toc464824787"/>
      <w:bookmarkStart w:id="202" w:name="_Toc24583"/>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pStyle w:val="11"/>
        <w:ind w:firstLine="0" w:firstLineChars="0"/>
        <w:rPr>
          <w:rFonts w:hAnsi="宋体" w:cs="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both"/>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w:t>
      </w:r>
      <w:bookmarkStart w:id="209" w:name="_GoBack"/>
      <w:bookmarkEnd w:id="209"/>
      <w:r>
        <w:rPr>
          <w:rFonts w:hint="eastAsia" w:ascii="黑体" w:eastAsia="黑体"/>
          <w:b/>
          <w:sz w:val="36"/>
          <w:szCs w:val="36"/>
          <w:u w:val="single"/>
        </w:rPr>
        <w:t xml:space="preserve">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w:t>
      </w:r>
      <w:r>
        <w:rPr>
          <w:rFonts w:hint="eastAsia" w:hAnsi="宋体"/>
          <w:sz w:val="24"/>
          <w:szCs w:val="24"/>
          <w:lang w:eastAsia="zh-CN"/>
        </w:rPr>
        <w:t>投标担保</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11"/>
              <w:ind w:firstLine="0" w:firstLineChars="0"/>
              <w:rPr>
                <w:rFonts w:hAnsi="宋体"/>
                <w:sz w:val="24"/>
                <w:szCs w:val="24"/>
              </w:rPr>
            </w:pPr>
            <w:r>
              <w:rPr>
                <w:rFonts w:hint="eastAsia" w:hAnsi="宋体"/>
                <w:sz w:val="24"/>
                <w:szCs w:val="24"/>
              </w:rPr>
              <w:t>（大写）</w:t>
            </w:r>
          </w:p>
          <w:p>
            <w:pPr>
              <w:pStyle w:val="11"/>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11"/>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0"/>
              <w:widowControl/>
              <w:spacing w:line="360" w:lineRule="atLeast"/>
            </w:pPr>
            <w:r>
              <w:rPr>
                <w:rFonts w:hint="eastAsia" w:hAnsi="宋体" w:cs="宋体"/>
                <w:szCs w:val="24"/>
              </w:rPr>
              <w:t> </w:t>
            </w:r>
          </w:p>
          <w:p>
            <w:pPr>
              <w:pStyle w:val="10"/>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autoSpaceDE w:val="0"/>
        <w:autoSpaceDN w:val="0"/>
        <w:adjustRightInd w:val="0"/>
        <w:spacing w:line="420" w:lineRule="exact"/>
        <w:jc w:val="center"/>
        <w:outlineLvl w:val="0"/>
        <w:rPr>
          <w:rFonts w:ascii="黑体" w:hAnsi="新宋体" w:eastAsia="黑体" w:cs="黑体"/>
          <w:sz w:val="28"/>
          <w:szCs w:val="28"/>
        </w:rPr>
      </w:pPr>
      <w:bookmarkStart w:id="208" w:name="_Toc271787732"/>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bidi w:val="0"/>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w:t>
      </w:r>
      <w:r>
        <w:rPr>
          <w:rFonts w:hint="eastAsia" w:hAnsi="宋体" w:cs="仿宋_GB2312"/>
          <w:sz w:val="24"/>
          <w:szCs w:val="24"/>
          <w:lang w:eastAsia="zh-CN"/>
        </w:rPr>
        <w:t>投标担保</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2"/>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bidi w:val="0"/>
      </w:pPr>
    </w:p>
    <w:p>
      <w:pPr>
        <w:bidi w:val="0"/>
      </w:pPr>
    </w:p>
    <w:p>
      <w:pPr>
        <w:bidi w:val="0"/>
      </w:pPr>
    </w:p>
    <w:p>
      <w:pPr>
        <w:bidi w:val="0"/>
      </w:pPr>
    </w:p>
    <w:p>
      <w:pPr>
        <w:bidi w:val="0"/>
      </w:pPr>
    </w:p>
    <w:p>
      <w:pPr>
        <w:bidi w:val="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2"/>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11"/>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bidi w:val="0"/>
      </w:pPr>
    </w:p>
    <w:p>
      <w:pPr>
        <w:bidi w:val="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int="eastAsia" w:hAnsi="宋体"/>
          <w:sz w:val="24"/>
          <w:szCs w:val="24"/>
        </w:rPr>
      </w:pPr>
    </w:p>
    <w:p>
      <w:pPr>
        <w:spacing w:line="420" w:lineRule="exact"/>
        <w:rPr>
          <w:rFonts w:hint="eastAsia"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bidi w:val="0"/>
      </w:pPr>
    </w:p>
    <w:p>
      <w:pPr>
        <w:bidi w:val="0"/>
      </w:pPr>
    </w:p>
    <w:p>
      <w:pPr>
        <w:bidi w:val="0"/>
      </w:pPr>
    </w:p>
    <w:p>
      <w:pPr>
        <w:bidi w:val="0"/>
      </w:pPr>
    </w:p>
    <w:p>
      <w:pPr>
        <w:bidi w:val="0"/>
      </w:pPr>
    </w:p>
    <w:p>
      <w:pPr>
        <w:bidi w:val="0"/>
      </w:pPr>
    </w:p>
    <w:p>
      <w:pPr>
        <w:bidi w:val="0"/>
      </w:pPr>
    </w:p>
    <w:p>
      <w:pPr>
        <w:bidi w:val="0"/>
      </w:pPr>
    </w:p>
    <w:p>
      <w:pPr>
        <w:numPr>
          <w:numId w:val="0"/>
        </w:numPr>
        <w:autoSpaceDE w:val="0"/>
        <w:autoSpaceDN w:val="0"/>
        <w:adjustRightInd w:val="0"/>
        <w:spacing w:line="360" w:lineRule="auto"/>
        <w:ind w:right="215" w:rightChars="0"/>
        <w:jc w:val="center"/>
        <w:rPr>
          <w:rFonts w:hAnsi="宋体"/>
          <w:b/>
          <w:sz w:val="32"/>
          <w:szCs w:val="32"/>
        </w:rPr>
      </w:pPr>
      <w:r>
        <w:rPr>
          <w:rFonts w:hint="eastAsia" w:hAnsi="宋体"/>
          <w:b/>
          <w:sz w:val="32"/>
          <w:szCs w:val="32"/>
          <w:lang w:eastAsia="zh-CN"/>
        </w:rPr>
        <w:t>七、</w:t>
      </w: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int="eastAsia"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
      <w:pPr>
        <w:pStyle w:val="11"/>
        <w:ind w:firstLine="34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w:t>
      </w:r>
      <w:r>
        <w:rPr>
          <w:rFonts w:hint="eastAsia" w:hAnsi="宋体" w:cs="Arial"/>
          <w:b/>
          <w:sz w:val="24"/>
          <w:szCs w:val="24"/>
          <w:shd w:val="clear" w:color="auto" w:fill="FFFFFF"/>
          <w:lang w:eastAsia="zh-CN"/>
        </w:rPr>
        <w:t>投标担保</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rFonts w:hint="eastAsia"/>
          <w:sz w:val="32"/>
          <w:szCs w:val="32"/>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fldChar w:fldCharType="begin"/>
    </w:r>
    <w:r>
      <w:rPr>
        <w:rStyle w:val="14"/>
      </w:rPr>
      <w:instrText xml:space="preserve"> PAGE </w:instrText>
    </w:r>
    <w:r>
      <w:fldChar w:fldCharType="separate"/>
    </w:r>
    <w:r>
      <w:rPr>
        <w:rStyle w:val="14"/>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DF82"/>
    <w:multiLevelType w:val="singleLevel"/>
    <w:tmpl w:val="E210DF82"/>
    <w:lvl w:ilvl="0" w:tentative="0">
      <w:start w:val="1"/>
      <w:numFmt w:val="decimal"/>
      <w:lvlText w:val="%1."/>
      <w:lvlJc w:val="left"/>
      <w:pPr>
        <w:tabs>
          <w:tab w:val="left" w:pos="312"/>
        </w:tabs>
      </w:pPr>
    </w:lvl>
  </w:abstractNum>
  <w:abstractNum w:abstractNumId="1">
    <w:nsid w:val="3710A727"/>
    <w:multiLevelType w:val="singleLevel"/>
    <w:tmpl w:val="3710A727"/>
    <w:lvl w:ilvl="0" w:tentative="0">
      <w:start w:val="3"/>
      <w:numFmt w:val="decimal"/>
      <w:lvlText w:val="%1."/>
      <w:lvlJc w:val="left"/>
      <w:pPr>
        <w:tabs>
          <w:tab w:val="left" w:pos="312"/>
        </w:tabs>
      </w:pPr>
    </w:lvl>
  </w:abstractNum>
  <w:abstractNum w:abstractNumId="2">
    <w:nsid w:val="46967C26"/>
    <w:multiLevelType w:val="singleLevel"/>
    <w:tmpl w:val="46967C26"/>
    <w:lvl w:ilvl="0" w:tentative="0">
      <w:start w:val="6"/>
      <w:numFmt w:val="decimal"/>
      <w:suff w:val="nothing"/>
      <w:lvlText w:val="%1、"/>
      <w:lvlJc w:val="left"/>
    </w:lvl>
  </w:abstractNum>
  <w:abstractNum w:abstractNumId="3">
    <w:nsid w:val="5754D847"/>
    <w:multiLevelType w:val="singleLevel"/>
    <w:tmpl w:val="5754D847"/>
    <w:lvl w:ilvl="0" w:tentative="0">
      <w:start w:val="2"/>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12A74"/>
    <w:rsid w:val="00345EA9"/>
    <w:rsid w:val="00397BAC"/>
    <w:rsid w:val="004354AC"/>
    <w:rsid w:val="0052669C"/>
    <w:rsid w:val="005547EA"/>
    <w:rsid w:val="00595A40"/>
    <w:rsid w:val="005E1201"/>
    <w:rsid w:val="00751FEA"/>
    <w:rsid w:val="00857607"/>
    <w:rsid w:val="009F0156"/>
    <w:rsid w:val="00C82E5D"/>
    <w:rsid w:val="00D22805"/>
    <w:rsid w:val="00EC0535"/>
    <w:rsid w:val="00FF1945"/>
    <w:rsid w:val="00FF198F"/>
    <w:rsid w:val="01126C08"/>
    <w:rsid w:val="011A76BE"/>
    <w:rsid w:val="01363FDA"/>
    <w:rsid w:val="01892115"/>
    <w:rsid w:val="018D26C1"/>
    <w:rsid w:val="01D15E1D"/>
    <w:rsid w:val="01F35FBE"/>
    <w:rsid w:val="03170A37"/>
    <w:rsid w:val="034A1FBC"/>
    <w:rsid w:val="03555BA4"/>
    <w:rsid w:val="044A3CCD"/>
    <w:rsid w:val="045F38AF"/>
    <w:rsid w:val="049A7562"/>
    <w:rsid w:val="04BE045D"/>
    <w:rsid w:val="04DD0F4C"/>
    <w:rsid w:val="054F1028"/>
    <w:rsid w:val="055A497B"/>
    <w:rsid w:val="055F7908"/>
    <w:rsid w:val="06664518"/>
    <w:rsid w:val="0677044A"/>
    <w:rsid w:val="067D2913"/>
    <w:rsid w:val="0683469C"/>
    <w:rsid w:val="07232276"/>
    <w:rsid w:val="07A5071F"/>
    <w:rsid w:val="07EB65A8"/>
    <w:rsid w:val="080060F7"/>
    <w:rsid w:val="08257C7A"/>
    <w:rsid w:val="08AD0ABB"/>
    <w:rsid w:val="08E90FA0"/>
    <w:rsid w:val="09336BA2"/>
    <w:rsid w:val="097A7F8A"/>
    <w:rsid w:val="09A74019"/>
    <w:rsid w:val="09A82907"/>
    <w:rsid w:val="0AAA22DD"/>
    <w:rsid w:val="0B6C2B06"/>
    <w:rsid w:val="0B71205B"/>
    <w:rsid w:val="0B761278"/>
    <w:rsid w:val="0BCE7B10"/>
    <w:rsid w:val="0C582145"/>
    <w:rsid w:val="0C5B7B83"/>
    <w:rsid w:val="0CA1123F"/>
    <w:rsid w:val="0CD2350E"/>
    <w:rsid w:val="0D354692"/>
    <w:rsid w:val="0D3F3AEF"/>
    <w:rsid w:val="0DC81C38"/>
    <w:rsid w:val="0DE36A5E"/>
    <w:rsid w:val="0E1E6E42"/>
    <w:rsid w:val="0E2F1CCF"/>
    <w:rsid w:val="0E532877"/>
    <w:rsid w:val="0E9B130C"/>
    <w:rsid w:val="0EB442B3"/>
    <w:rsid w:val="0F41072E"/>
    <w:rsid w:val="1017001B"/>
    <w:rsid w:val="10491436"/>
    <w:rsid w:val="1060107D"/>
    <w:rsid w:val="10A93705"/>
    <w:rsid w:val="10D0641C"/>
    <w:rsid w:val="11C873B4"/>
    <w:rsid w:val="12D04B78"/>
    <w:rsid w:val="12D06E9A"/>
    <w:rsid w:val="12F941B9"/>
    <w:rsid w:val="133713E9"/>
    <w:rsid w:val="141651F7"/>
    <w:rsid w:val="145D754F"/>
    <w:rsid w:val="14A70B0D"/>
    <w:rsid w:val="15644BC4"/>
    <w:rsid w:val="15721016"/>
    <w:rsid w:val="16230943"/>
    <w:rsid w:val="163E623F"/>
    <w:rsid w:val="166D4D19"/>
    <w:rsid w:val="17413C0E"/>
    <w:rsid w:val="18351E29"/>
    <w:rsid w:val="18B27CAD"/>
    <w:rsid w:val="18EC2C7B"/>
    <w:rsid w:val="19443669"/>
    <w:rsid w:val="1A2E0D1D"/>
    <w:rsid w:val="1A9543E1"/>
    <w:rsid w:val="1AE036DB"/>
    <w:rsid w:val="1AED089C"/>
    <w:rsid w:val="1AF8758C"/>
    <w:rsid w:val="1B5105E7"/>
    <w:rsid w:val="1B747FFE"/>
    <w:rsid w:val="1B9A09DA"/>
    <w:rsid w:val="1B9C3ED2"/>
    <w:rsid w:val="1BA30450"/>
    <w:rsid w:val="1BFB2D54"/>
    <w:rsid w:val="1C2F54DA"/>
    <w:rsid w:val="1C96622D"/>
    <w:rsid w:val="1D1C72C5"/>
    <w:rsid w:val="1D2B2C11"/>
    <w:rsid w:val="1DA01A4D"/>
    <w:rsid w:val="1DCA7D85"/>
    <w:rsid w:val="1DFD0084"/>
    <w:rsid w:val="1E1838C5"/>
    <w:rsid w:val="1E537242"/>
    <w:rsid w:val="1E7B7832"/>
    <w:rsid w:val="1E881266"/>
    <w:rsid w:val="1E8D0007"/>
    <w:rsid w:val="1EC85A8A"/>
    <w:rsid w:val="1EDE61C0"/>
    <w:rsid w:val="1EEF0188"/>
    <w:rsid w:val="1F1F0CB9"/>
    <w:rsid w:val="1F2D7312"/>
    <w:rsid w:val="1FE75B31"/>
    <w:rsid w:val="1FF26AF7"/>
    <w:rsid w:val="205028E1"/>
    <w:rsid w:val="20700A1A"/>
    <w:rsid w:val="212349D6"/>
    <w:rsid w:val="215D1D1A"/>
    <w:rsid w:val="21661285"/>
    <w:rsid w:val="21F45A53"/>
    <w:rsid w:val="22322212"/>
    <w:rsid w:val="228B7C79"/>
    <w:rsid w:val="22C823B1"/>
    <w:rsid w:val="232C4C76"/>
    <w:rsid w:val="2411269C"/>
    <w:rsid w:val="24403762"/>
    <w:rsid w:val="248C10DA"/>
    <w:rsid w:val="24B33CA6"/>
    <w:rsid w:val="25C91DA1"/>
    <w:rsid w:val="25CD3E50"/>
    <w:rsid w:val="25E9022D"/>
    <w:rsid w:val="26E33B73"/>
    <w:rsid w:val="26E6466E"/>
    <w:rsid w:val="279D18E2"/>
    <w:rsid w:val="27D66395"/>
    <w:rsid w:val="28B3254D"/>
    <w:rsid w:val="29305F21"/>
    <w:rsid w:val="296E3A98"/>
    <w:rsid w:val="29D64677"/>
    <w:rsid w:val="29E573D0"/>
    <w:rsid w:val="2A736A8E"/>
    <w:rsid w:val="2B504D06"/>
    <w:rsid w:val="2BFB1CE9"/>
    <w:rsid w:val="2C147EFD"/>
    <w:rsid w:val="2C4D7B24"/>
    <w:rsid w:val="2CA5088E"/>
    <w:rsid w:val="2CFD4314"/>
    <w:rsid w:val="2D6018FB"/>
    <w:rsid w:val="2D634FA9"/>
    <w:rsid w:val="2DA0717B"/>
    <w:rsid w:val="2E0B67D0"/>
    <w:rsid w:val="2E0C7A09"/>
    <w:rsid w:val="2F5C3CC7"/>
    <w:rsid w:val="2F7965EA"/>
    <w:rsid w:val="2FAA591F"/>
    <w:rsid w:val="2FDA0EDE"/>
    <w:rsid w:val="31956191"/>
    <w:rsid w:val="31BA7608"/>
    <w:rsid w:val="31DF3FDB"/>
    <w:rsid w:val="32645A7B"/>
    <w:rsid w:val="33281AE3"/>
    <w:rsid w:val="334B5CBE"/>
    <w:rsid w:val="341820CE"/>
    <w:rsid w:val="342D410E"/>
    <w:rsid w:val="34C773CB"/>
    <w:rsid w:val="34CA2D48"/>
    <w:rsid w:val="354A5D27"/>
    <w:rsid w:val="35D45987"/>
    <w:rsid w:val="35F634D6"/>
    <w:rsid w:val="36043640"/>
    <w:rsid w:val="360908D1"/>
    <w:rsid w:val="36220549"/>
    <w:rsid w:val="362E3F32"/>
    <w:rsid w:val="3643648B"/>
    <w:rsid w:val="36722676"/>
    <w:rsid w:val="371A3B67"/>
    <w:rsid w:val="374660CD"/>
    <w:rsid w:val="37644CE2"/>
    <w:rsid w:val="37A06E96"/>
    <w:rsid w:val="38130E19"/>
    <w:rsid w:val="385900C5"/>
    <w:rsid w:val="38955661"/>
    <w:rsid w:val="38A84E61"/>
    <w:rsid w:val="393D5097"/>
    <w:rsid w:val="3A3D423B"/>
    <w:rsid w:val="3A766BE4"/>
    <w:rsid w:val="3A7D716C"/>
    <w:rsid w:val="3A890FCF"/>
    <w:rsid w:val="3C055810"/>
    <w:rsid w:val="3C3B70FB"/>
    <w:rsid w:val="3C7E386B"/>
    <w:rsid w:val="3DCB4902"/>
    <w:rsid w:val="3E1C1390"/>
    <w:rsid w:val="3F296CD2"/>
    <w:rsid w:val="3F537B1C"/>
    <w:rsid w:val="3F9D13B9"/>
    <w:rsid w:val="3FF40F99"/>
    <w:rsid w:val="40AF708B"/>
    <w:rsid w:val="40CF2FDF"/>
    <w:rsid w:val="40D84518"/>
    <w:rsid w:val="41472A00"/>
    <w:rsid w:val="415B129D"/>
    <w:rsid w:val="43AE778E"/>
    <w:rsid w:val="43FB118C"/>
    <w:rsid w:val="43FD242A"/>
    <w:rsid w:val="441E2394"/>
    <w:rsid w:val="443A7A94"/>
    <w:rsid w:val="44852A62"/>
    <w:rsid w:val="44CA2721"/>
    <w:rsid w:val="44ED3013"/>
    <w:rsid w:val="450B0D61"/>
    <w:rsid w:val="453250DA"/>
    <w:rsid w:val="4566668C"/>
    <w:rsid w:val="462D5B19"/>
    <w:rsid w:val="468660E3"/>
    <w:rsid w:val="46AF27FB"/>
    <w:rsid w:val="47AE59EA"/>
    <w:rsid w:val="485D3667"/>
    <w:rsid w:val="49B51BE1"/>
    <w:rsid w:val="49E95BF1"/>
    <w:rsid w:val="49ED6BAD"/>
    <w:rsid w:val="4A331EE2"/>
    <w:rsid w:val="4A784319"/>
    <w:rsid w:val="4ACF658B"/>
    <w:rsid w:val="4B274C8E"/>
    <w:rsid w:val="4B497FEC"/>
    <w:rsid w:val="4B4A26AB"/>
    <w:rsid w:val="4B732525"/>
    <w:rsid w:val="4B862564"/>
    <w:rsid w:val="4B874B9C"/>
    <w:rsid w:val="4BB4110B"/>
    <w:rsid w:val="4BC820AF"/>
    <w:rsid w:val="4C037239"/>
    <w:rsid w:val="4C494A17"/>
    <w:rsid w:val="4C8E4A67"/>
    <w:rsid w:val="4CDE1618"/>
    <w:rsid w:val="4D214877"/>
    <w:rsid w:val="4D4C2F5C"/>
    <w:rsid w:val="4D6223A4"/>
    <w:rsid w:val="4DB23841"/>
    <w:rsid w:val="4E222200"/>
    <w:rsid w:val="4E6C3FEC"/>
    <w:rsid w:val="4E9551FE"/>
    <w:rsid w:val="4EDF661C"/>
    <w:rsid w:val="4F6038D2"/>
    <w:rsid w:val="4F6A0B31"/>
    <w:rsid w:val="4F9E3C0D"/>
    <w:rsid w:val="4FBD28CD"/>
    <w:rsid w:val="4FEB7A8D"/>
    <w:rsid w:val="4FFA6E6C"/>
    <w:rsid w:val="50524BE0"/>
    <w:rsid w:val="50815947"/>
    <w:rsid w:val="508D0F62"/>
    <w:rsid w:val="50A70730"/>
    <w:rsid w:val="50FD2D44"/>
    <w:rsid w:val="51225094"/>
    <w:rsid w:val="513554D8"/>
    <w:rsid w:val="51557245"/>
    <w:rsid w:val="51DA1597"/>
    <w:rsid w:val="51F32FD1"/>
    <w:rsid w:val="52C43112"/>
    <w:rsid w:val="53350B75"/>
    <w:rsid w:val="53887117"/>
    <w:rsid w:val="53A51FFD"/>
    <w:rsid w:val="53AB3B7A"/>
    <w:rsid w:val="541C6967"/>
    <w:rsid w:val="543A51A2"/>
    <w:rsid w:val="54A42D2F"/>
    <w:rsid w:val="54BE3126"/>
    <w:rsid w:val="551C2268"/>
    <w:rsid w:val="553801BE"/>
    <w:rsid w:val="55974C24"/>
    <w:rsid w:val="55CF28CD"/>
    <w:rsid w:val="561A3930"/>
    <w:rsid w:val="56271066"/>
    <w:rsid w:val="56394F91"/>
    <w:rsid w:val="5693260B"/>
    <w:rsid w:val="576D2562"/>
    <w:rsid w:val="57817ABF"/>
    <w:rsid w:val="57AA5A18"/>
    <w:rsid w:val="57B15DA7"/>
    <w:rsid w:val="57DF607E"/>
    <w:rsid w:val="58015995"/>
    <w:rsid w:val="581B0393"/>
    <w:rsid w:val="58CB4EA2"/>
    <w:rsid w:val="58CB535F"/>
    <w:rsid w:val="59032DF6"/>
    <w:rsid w:val="59176F03"/>
    <w:rsid w:val="59A12023"/>
    <w:rsid w:val="5A085B3B"/>
    <w:rsid w:val="5A5D610E"/>
    <w:rsid w:val="5BBF032C"/>
    <w:rsid w:val="5BC36837"/>
    <w:rsid w:val="5C275D46"/>
    <w:rsid w:val="5D2A1031"/>
    <w:rsid w:val="5D3D515F"/>
    <w:rsid w:val="5DE04456"/>
    <w:rsid w:val="5EC36501"/>
    <w:rsid w:val="5F9A2030"/>
    <w:rsid w:val="5FF61250"/>
    <w:rsid w:val="604A1966"/>
    <w:rsid w:val="60A05270"/>
    <w:rsid w:val="60AE4EFD"/>
    <w:rsid w:val="60D047B8"/>
    <w:rsid w:val="60F55979"/>
    <w:rsid w:val="6111375D"/>
    <w:rsid w:val="621F14FF"/>
    <w:rsid w:val="623170BA"/>
    <w:rsid w:val="62853D41"/>
    <w:rsid w:val="637D5E6A"/>
    <w:rsid w:val="63850EE0"/>
    <w:rsid w:val="63C12C91"/>
    <w:rsid w:val="64BF5E51"/>
    <w:rsid w:val="6550083F"/>
    <w:rsid w:val="658C6C2B"/>
    <w:rsid w:val="65E716B4"/>
    <w:rsid w:val="66D03F92"/>
    <w:rsid w:val="67653EEB"/>
    <w:rsid w:val="678A0F02"/>
    <w:rsid w:val="68090CD0"/>
    <w:rsid w:val="684822B1"/>
    <w:rsid w:val="685C137B"/>
    <w:rsid w:val="68EB37D8"/>
    <w:rsid w:val="690C3CC6"/>
    <w:rsid w:val="690D31E4"/>
    <w:rsid w:val="6A1106E2"/>
    <w:rsid w:val="6A1C4CAC"/>
    <w:rsid w:val="6A2D1A2F"/>
    <w:rsid w:val="6A635202"/>
    <w:rsid w:val="6A7D331B"/>
    <w:rsid w:val="6AD3002F"/>
    <w:rsid w:val="6B7944DD"/>
    <w:rsid w:val="6B9B3863"/>
    <w:rsid w:val="6C9900F2"/>
    <w:rsid w:val="6D161DB4"/>
    <w:rsid w:val="6D535020"/>
    <w:rsid w:val="6D700144"/>
    <w:rsid w:val="6D96237B"/>
    <w:rsid w:val="6DDC6B5D"/>
    <w:rsid w:val="6E5F5722"/>
    <w:rsid w:val="6E6C38BC"/>
    <w:rsid w:val="6E940B96"/>
    <w:rsid w:val="6EEA5DF4"/>
    <w:rsid w:val="6F2E7662"/>
    <w:rsid w:val="6F455DA0"/>
    <w:rsid w:val="6F7D2587"/>
    <w:rsid w:val="6FEB609B"/>
    <w:rsid w:val="70723B56"/>
    <w:rsid w:val="71447A63"/>
    <w:rsid w:val="71815EA8"/>
    <w:rsid w:val="71BE0E91"/>
    <w:rsid w:val="71E872E2"/>
    <w:rsid w:val="72AD68E4"/>
    <w:rsid w:val="72EE2B08"/>
    <w:rsid w:val="73523A31"/>
    <w:rsid w:val="73D108F4"/>
    <w:rsid w:val="73DA78AA"/>
    <w:rsid w:val="741C2401"/>
    <w:rsid w:val="7429136A"/>
    <w:rsid w:val="742F1AA4"/>
    <w:rsid w:val="745F276E"/>
    <w:rsid w:val="74AC608C"/>
    <w:rsid w:val="74D121B6"/>
    <w:rsid w:val="75135F0B"/>
    <w:rsid w:val="756338E0"/>
    <w:rsid w:val="757A4F49"/>
    <w:rsid w:val="75A35DB8"/>
    <w:rsid w:val="75C33D97"/>
    <w:rsid w:val="76493516"/>
    <w:rsid w:val="769D2540"/>
    <w:rsid w:val="76B212A1"/>
    <w:rsid w:val="76D70603"/>
    <w:rsid w:val="772173D4"/>
    <w:rsid w:val="77636F6E"/>
    <w:rsid w:val="78660AAD"/>
    <w:rsid w:val="789E2EC3"/>
    <w:rsid w:val="79423A5E"/>
    <w:rsid w:val="7A4C5B0D"/>
    <w:rsid w:val="7AA17160"/>
    <w:rsid w:val="7B792DFD"/>
    <w:rsid w:val="7BAD25FD"/>
    <w:rsid w:val="7BB77A35"/>
    <w:rsid w:val="7D1606AB"/>
    <w:rsid w:val="7D3D74C2"/>
    <w:rsid w:val="7D5801D8"/>
    <w:rsid w:val="7DDB76BC"/>
    <w:rsid w:val="7E0127CA"/>
    <w:rsid w:val="7E2E70F6"/>
    <w:rsid w:val="7E387543"/>
    <w:rsid w:val="7E3C689E"/>
    <w:rsid w:val="7F2226F6"/>
    <w:rsid w:val="7F4C0775"/>
    <w:rsid w:val="7F914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qFormat/>
    <w:uiPriority w:val="1"/>
  </w:style>
  <w:style w:type="paragraph" w:styleId="6">
    <w:name w:val="Balloon Text"/>
    <w:basedOn w:val="1"/>
    <w:link w:val="25"/>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0">
    <w:name w:val="Normal (Web)"/>
    <w:basedOn w:val="1"/>
    <w:qFormat/>
    <w:uiPriority w:val="99"/>
    <w:pPr>
      <w:jc w:val="left"/>
    </w:pPr>
    <w:rPr>
      <w:sz w:val="24"/>
    </w:rPr>
  </w:style>
  <w:style w:type="paragraph" w:styleId="11">
    <w:name w:val="Body Text First Indent"/>
    <w:basedOn w:val="5"/>
    <w:next w:val="1"/>
    <w:unhideWhenUsed/>
    <w:qFormat/>
    <w:uiPriority w:val="99"/>
    <w:pPr>
      <w:spacing w:beforeAutospacing="1"/>
      <w:ind w:firstLine="420" w:firstLineChars="100"/>
    </w:p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3"/>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6"/>
    <w:qFormat/>
    <w:uiPriority w:val="0"/>
    <w:rPr>
      <w:rFonts w:ascii="宋体" w:hAnsi="Calibri"/>
      <w:sz w:val="18"/>
      <w:szCs w:val="18"/>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5"/>
    <w:basedOn w:val="13"/>
    <w:qFormat/>
    <w:uiPriority w:val="0"/>
  </w:style>
  <w:style w:type="character" w:customStyle="1" w:styleId="29">
    <w:name w:val="red"/>
    <w:basedOn w:val="13"/>
    <w:qFormat/>
    <w:uiPriority w:val="0"/>
    <w:rPr>
      <w:color w:val="FF0000"/>
      <w:sz w:val="18"/>
      <w:szCs w:val="18"/>
    </w:rPr>
  </w:style>
  <w:style w:type="character" w:customStyle="1" w:styleId="30">
    <w:name w:val="red1"/>
    <w:basedOn w:val="13"/>
    <w:qFormat/>
    <w:uiPriority w:val="0"/>
    <w:rPr>
      <w:color w:val="FF0000"/>
      <w:sz w:val="18"/>
      <w:szCs w:val="18"/>
    </w:rPr>
  </w:style>
  <w:style w:type="character" w:customStyle="1" w:styleId="31">
    <w:name w:val="red2"/>
    <w:basedOn w:val="13"/>
    <w:qFormat/>
    <w:uiPriority w:val="0"/>
    <w:rPr>
      <w:color w:val="CC0000"/>
    </w:rPr>
  </w:style>
  <w:style w:type="character" w:customStyle="1" w:styleId="32">
    <w:name w:val="red3"/>
    <w:basedOn w:val="13"/>
    <w:qFormat/>
    <w:uiPriority w:val="0"/>
    <w:rPr>
      <w:color w:val="FF0000"/>
    </w:rPr>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 w:type="character" w:customStyle="1" w:styleId="36">
    <w:name w:val="close"/>
    <w:basedOn w:val="13"/>
    <w:qFormat/>
    <w:uiPriority w:val="0"/>
  </w:style>
  <w:style w:type="character" w:customStyle="1" w:styleId="37">
    <w:name w:val="icon_xglc"/>
    <w:basedOn w:val="13"/>
    <w:qFormat/>
    <w:uiPriority w:val="0"/>
  </w:style>
  <w:style w:type="character" w:customStyle="1" w:styleId="38">
    <w:name w:val="icon_xzry"/>
    <w:basedOn w:val="13"/>
    <w:qFormat/>
    <w:uiPriority w:val="0"/>
  </w:style>
  <w:style w:type="character" w:customStyle="1" w:styleId="39">
    <w:name w:val="l_12"/>
    <w:basedOn w:val="13"/>
    <w:qFormat/>
    <w:uiPriority w:val="0"/>
  </w:style>
  <w:style w:type="character" w:customStyle="1" w:styleId="40">
    <w:name w:val="l_121"/>
    <w:basedOn w:val="13"/>
    <w:qFormat/>
    <w:uiPriority w:val="0"/>
  </w:style>
  <w:style w:type="character" w:customStyle="1" w:styleId="41">
    <w:name w:val="swapimg"/>
    <w:basedOn w:val="13"/>
    <w:qFormat/>
    <w:uiPriority w:val="0"/>
  </w:style>
  <w:style w:type="character" w:customStyle="1" w:styleId="42">
    <w:name w:val="swapimg1"/>
    <w:basedOn w:val="13"/>
    <w:qFormat/>
    <w:uiPriority w:val="0"/>
  </w:style>
  <w:style w:type="character" w:customStyle="1" w:styleId="43">
    <w:name w:val="focus3"/>
    <w:basedOn w:val="13"/>
    <w:qFormat/>
    <w:uiPriority w:val="0"/>
    <w:rPr>
      <w:b/>
      <w:color w:val="000000"/>
    </w:rPr>
  </w:style>
  <w:style w:type="character" w:customStyle="1" w:styleId="44">
    <w:name w:val="l_4"/>
    <w:basedOn w:val="13"/>
    <w:qFormat/>
    <w:uiPriority w:val="0"/>
  </w:style>
  <w:style w:type="character" w:customStyle="1" w:styleId="45">
    <w:name w:val="l_41"/>
    <w:basedOn w:val="13"/>
    <w:qFormat/>
    <w:uiPriority w:val="0"/>
  </w:style>
  <w:style w:type="character" w:customStyle="1" w:styleId="46">
    <w:name w:val="l_15"/>
    <w:basedOn w:val="13"/>
    <w:qFormat/>
    <w:uiPriority w:val="0"/>
  </w:style>
  <w:style w:type="character" w:customStyle="1" w:styleId="47">
    <w:name w:val="l_151"/>
    <w:basedOn w:val="13"/>
    <w:qFormat/>
    <w:uiPriority w:val="0"/>
  </w:style>
  <w:style w:type="character" w:customStyle="1" w:styleId="48">
    <w:name w:val="l_9"/>
    <w:basedOn w:val="13"/>
    <w:qFormat/>
    <w:uiPriority w:val="0"/>
  </w:style>
  <w:style w:type="character" w:customStyle="1" w:styleId="49">
    <w:name w:val="l_91"/>
    <w:basedOn w:val="13"/>
    <w:qFormat/>
    <w:uiPriority w:val="0"/>
  </w:style>
  <w:style w:type="character" w:customStyle="1" w:styleId="50">
    <w:name w:val="l_0"/>
    <w:basedOn w:val="13"/>
    <w:qFormat/>
    <w:uiPriority w:val="0"/>
  </w:style>
  <w:style w:type="character" w:customStyle="1" w:styleId="51">
    <w:name w:val="l_01"/>
    <w:basedOn w:val="13"/>
    <w:qFormat/>
    <w:uiPriority w:val="0"/>
  </w:style>
  <w:style w:type="character" w:customStyle="1" w:styleId="52">
    <w:name w:val="color_cdyy"/>
    <w:basedOn w:val="13"/>
    <w:qFormat/>
    <w:uiPriority w:val="0"/>
    <w:rPr>
      <w:color w:val="FFFFFF"/>
      <w:bdr w:val="single" w:color="FFFFFF" w:sz="6" w:space="0"/>
    </w:rPr>
  </w:style>
  <w:style w:type="character" w:customStyle="1" w:styleId="53">
    <w:name w:val="icon_dljg"/>
    <w:basedOn w:val="13"/>
    <w:qFormat/>
    <w:uiPriority w:val="0"/>
  </w:style>
  <w:style w:type="character" w:customStyle="1" w:styleId="54">
    <w:name w:val="icon_cxktbr"/>
    <w:basedOn w:val="13"/>
    <w:qFormat/>
    <w:uiPriority w:val="0"/>
  </w:style>
  <w:style w:type="character" w:customStyle="1" w:styleId="55">
    <w:name w:val="icon_cxkcyry"/>
    <w:basedOn w:val="13"/>
    <w:qFormat/>
    <w:uiPriority w:val="0"/>
  </w:style>
  <w:style w:type="character" w:customStyle="1" w:styleId="56">
    <w:name w:val="menutitle"/>
    <w:basedOn w:val="13"/>
    <w:qFormat/>
    <w:uiPriority w:val="0"/>
    <w:rPr>
      <w:color w:val="333333"/>
      <w:sz w:val="24"/>
      <w:szCs w:val="24"/>
    </w:rPr>
  </w:style>
  <w:style w:type="character" w:customStyle="1" w:styleId="57">
    <w:name w:val="menutitle1"/>
    <w:basedOn w:val="13"/>
    <w:qFormat/>
    <w:uiPriority w:val="0"/>
    <w:rPr>
      <w:color w:val="333333"/>
      <w:sz w:val="24"/>
      <w:szCs w:val="24"/>
    </w:rPr>
  </w:style>
  <w:style w:type="character" w:customStyle="1" w:styleId="58">
    <w:name w:val="searchclose"/>
    <w:basedOn w:val="13"/>
    <w:qFormat/>
    <w:uiPriority w:val="0"/>
  </w:style>
  <w:style w:type="character" w:customStyle="1" w:styleId="59">
    <w:name w:val="searchopen"/>
    <w:basedOn w:val="13"/>
    <w:qFormat/>
    <w:uiPriority w:val="0"/>
  </w:style>
  <w:style w:type="character" w:customStyle="1" w:styleId="60">
    <w:name w:val="icon_gzkj"/>
    <w:basedOn w:val="13"/>
    <w:qFormat/>
    <w:uiPriority w:val="0"/>
  </w:style>
  <w:style w:type="character" w:customStyle="1" w:styleId="61">
    <w:name w:val="icon_lzrz"/>
    <w:basedOn w:val="13"/>
    <w:qFormat/>
    <w:uiPriority w:val="0"/>
  </w:style>
  <w:style w:type="character" w:customStyle="1" w:styleId="62">
    <w:name w:val="m-text"/>
    <w:basedOn w:val="13"/>
    <w:qFormat/>
    <w:uiPriority w:val="0"/>
  </w:style>
  <w:style w:type="character" w:customStyle="1" w:styleId="63">
    <w:name w:val="l_14"/>
    <w:basedOn w:val="13"/>
    <w:qFormat/>
    <w:uiPriority w:val="0"/>
  </w:style>
  <w:style w:type="character" w:customStyle="1" w:styleId="64">
    <w:name w:val="l_141"/>
    <w:basedOn w:val="13"/>
    <w:qFormat/>
    <w:uiPriority w:val="0"/>
  </w:style>
  <w:style w:type="character" w:customStyle="1" w:styleId="65">
    <w:name w:val="l_5"/>
    <w:basedOn w:val="13"/>
    <w:qFormat/>
    <w:uiPriority w:val="0"/>
  </w:style>
  <w:style w:type="character" w:customStyle="1" w:styleId="66">
    <w:name w:val="l_51"/>
    <w:basedOn w:val="13"/>
    <w:qFormat/>
    <w:uiPriority w:val="0"/>
  </w:style>
  <w:style w:type="character" w:customStyle="1" w:styleId="67">
    <w:name w:val="l_1"/>
    <w:basedOn w:val="13"/>
    <w:qFormat/>
    <w:uiPriority w:val="0"/>
  </w:style>
  <w:style w:type="character" w:customStyle="1" w:styleId="68">
    <w:name w:val="l_11"/>
    <w:basedOn w:val="13"/>
    <w:qFormat/>
    <w:uiPriority w:val="0"/>
  </w:style>
  <w:style w:type="character" w:customStyle="1" w:styleId="69">
    <w:name w:val="l_2"/>
    <w:basedOn w:val="13"/>
    <w:qFormat/>
    <w:uiPriority w:val="0"/>
  </w:style>
  <w:style w:type="character" w:customStyle="1" w:styleId="70">
    <w:name w:val="l_21"/>
    <w:basedOn w:val="13"/>
    <w:qFormat/>
    <w:uiPriority w:val="0"/>
  </w:style>
  <w:style w:type="character" w:customStyle="1" w:styleId="71">
    <w:name w:val="l_3"/>
    <w:basedOn w:val="13"/>
    <w:qFormat/>
    <w:uiPriority w:val="0"/>
  </w:style>
  <w:style w:type="character" w:customStyle="1" w:styleId="72">
    <w:name w:val="l_31"/>
    <w:basedOn w:val="13"/>
    <w:qFormat/>
    <w:uiPriority w:val="0"/>
  </w:style>
  <w:style w:type="character" w:customStyle="1" w:styleId="73">
    <w:name w:val="l_6"/>
    <w:basedOn w:val="13"/>
    <w:qFormat/>
    <w:uiPriority w:val="0"/>
  </w:style>
  <w:style w:type="character" w:customStyle="1" w:styleId="74">
    <w:name w:val="l_61"/>
    <w:basedOn w:val="13"/>
    <w:qFormat/>
    <w:uiPriority w:val="0"/>
  </w:style>
  <w:style w:type="character" w:customStyle="1" w:styleId="75">
    <w:name w:val="l_7"/>
    <w:basedOn w:val="13"/>
    <w:uiPriority w:val="0"/>
  </w:style>
  <w:style w:type="character" w:customStyle="1" w:styleId="76">
    <w:name w:val="l_71"/>
    <w:basedOn w:val="13"/>
    <w:qFormat/>
    <w:uiPriority w:val="0"/>
  </w:style>
  <w:style w:type="character" w:customStyle="1" w:styleId="77">
    <w:name w:val="l_8"/>
    <w:basedOn w:val="13"/>
    <w:uiPriority w:val="0"/>
  </w:style>
  <w:style w:type="character" w:customStyle="1" w:styleId="78">
    <w:name w:val="l_81"/>
    <w:basedOn w:val="13"/>
    <w:qFormat/>
    <w:uiPriority w:val="0"/>
  </w:style>
  <w:style w:type="character" w:customStyle="1" w:styleId="79">
    <w:name w:val="l_10"/>
    <w:basedOn w:val="13"/>
    <w:qFormat/>
    <w:uiPriority w:val="0"/>
  </w:style>
  <w:style w:type="character" w:customStyle="1" w:styleId="80">
    <w:name w:val="l_101"/>
    <w:basedOn w:val="13"/>
    <w:qFormat/>
    <w:uiPriority w:val="0"/>
  </w:style>
  <w:style w:type="character" w:customStyle="1" w:styleId="81">
    <w:name w:val="l_111"/>
    <w:basedOn w:val="13"/>
    <w:qFormat/>
    <w:uiPriority w:val="0"/>
  </w:style>
  <w:style w:type="character" w:customStyle="1" w:styleId="82">
    <w:name w:val="l_112"/>
    <w:basedOn w:val="13"/>
    <w:qFormat/>
    <w:uiPriority w:val="0"/>
  </w:style>
  <w:style w:type="character" w:customStyle="1" w:styleId="83">
    <w:name w:val="l_13"/>
    <w:basedOn w:val="13"/>
    <w:qFormat/>
    <w:uiPriority w:val="0"/>
  </w:style>
  <w:style w:type="character" w:customStyle="1" w:styleId="84">
    <w:name w:val="l_131"/>
    <w:basedOn w:val="13"/>
    <w:qFormat/>
    <w:uiPriority w:val="0"/>
  </w:style>
  <w:style w:type="character" w:customStyle="1" w:styleId="85">
    <w:name w:val="hov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43</TotalTime>
  <ScaleCrop>false</ScaleCrop>
  <LinksUpToDate>false</LinksUpToDate>
  <CharactersWithSpaces>40464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湘湘小哥</cp:lastModifiedBy>
  <cp:lastPrinted>2020-04-15T08:00:00Z</cp:lastPrinted>
  <dcterms:modified xsi:type="dcterms:W3CDTF">2020-04-16T06:30:50Z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