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color w:val="auto"/>
          <w:sz w:val="48"/>
          <w:szCs w:val="48"/>
          <w:highlight w:val="none"/>
        </w:rPr>
      </w:pPr>
    </w:p>
    <w:p>
      <w:pPr>
        <w:autoSpaceDE w:val="0"/>
        <w:autoSpaceDN w:val="0"/>
        <w:adjustRightInd w:val="0"/>
        <w:jc w:val="center"/>
        <w:rPr>
          <w:rFonts w:hAnsi="宋体" w:cs="宋体"/>
          <w:b/>
          <w:color w:val="auto"/>
          <w:sz w:val="48"/>
          <w:szCs w:val="48"/>
          <w:highlight w:val="none"/>
        </w:rPr>
      </w:pPr>
      <w:r>
        <w:rPr>
          <w:rFonts w:hint="eastAsia" w:hAnsi="宋体" w:cs="宋体"/>
          <w:b/>
          <w:color w:val="auto"/>
          <w:sz w:val="48"/>
          <w:szCs w:val="48"/>
          <w:highlight w:val="none"/>
        </w:rPr>
        <w:t>许昌市建设投资有限责任公司</w:t>
      </w:r>
    </w:p>
    <w:p>
      <w:pPr>
        <w:autoSpaceDE w:val="0"/>
        <w:autoSpaceDN w:val="0"/>
        <w:adjustRightInd w:val="0"/>
        <w:jc w:val="center"/>
        <w:rPr>
          <w:rFonts w:hAnsi="宋体" w:cs="宋体"/>
          <w:b/>
          <w:color w:val="auto"/>
          <w:sz w:val="48"/>
          <w:szCs w:val="48"/>
          <w:highlight w:val="none"/>
        </w:rPr>
      </w:pPr>
      <w:r>
        <w:rPr>
          <w:rFonts w:hint="eastAsia" w:hAnsi="宋体" w:cs="宋体"/>
          <w:b/>
          <w:color w:val="auto"/>
          <w:sz w:val="48"/>
          <w:szCs w:val="48"/>
          <w:highlight w:val="none"/>
        </w:rPr>
        <w:t>“郑州机场至许昌市域铁路工程许昌段</w:t>
      </w:r>
    </w:p>
    <w:p>
      <w:pPr>
        <w:autoSpaceDE w:val="0"/>
        <w:autoSpaceDN w:val="0"/>
        <w:adjustRightInd w:val="0"/>
        <w:jc w:val="center"/>
        <w:rPr>
          <w:rFonts w:hAnsi="宋体" w:eastAsia="宋体" w:cs="宋体"/>
          <w:b/>
          <w:color w:val="auto"/>
          <w:spacing w:val="60"/>
          <w:szCs w:val="21"/>
          <w:highlight w:val="none"/>
        </w:rPr>
      </w:pPr>
      <w:r>
        <w:rPr>
          <w:rFonts w:hint="eastAsia" w:hAnsi="宋体" w:cs="宋体"/>
          <w:b/>
          <w:color w:val="auto"/>
          <w:sz w:val="48"/>
          <w:szCs w:val="48"/>
          <w:highlight w:val="none"/>
        </w:rPr>
        <w:t>第三方质量检测项目第二阶段”</w:t>
      </w:r>
    </w:p>
    <w:p>
      <w:pPr>
        <w:autoSpaceDE w:val="0"/>
        <w:autoSpaceDN w:val="0"/>
        <w:adjustRightInd w:val="0"/>
        <w:jc w:val="center"/>
        <w:rPr>
          <w:rFonts w:hAnsi="宋体" w:cs="宋体"/>
          <w:b/>
          <w:color w:val="auto"/>
          <w:spacing w:val="60"/>
          <w:szCs w:val="21"/>
          <w:highlight w:val="none"/>
        </w:rPr>
      </w:pPr>
    </w:p>
    <w:p>
      <w:pPr>
        <w:autoSpaceDE w:val="0"/>
        <w:autoSpaceDN w:val="0"/>
        <w:adjustRightInd w:val="0"/>
        <w:jc w:val="center"/>
        <w:rPr>
          <w:rFonts w:hAnsi="宋体" w:cs="宋体"/>
          <w:b/>
          <w:color w:val="auto"/>
          <w:spacing w:val="60"/>
          <w:sz w:val="48"/>
          <w:szCs w:val="48"/>
          <w:highlight w:val="none"/>
        </w:rPr>
      </w:pPr>
    </w:p>
    <w:p>
      <w:pPr>
        <w:autoSpaceDE w:val="0"/>
        <w:autoSpaceDN w:val="0"/>
        <w:adjustRightInd w:val="0"/>
        <w:jc w:val="center"/>
        <w:rPr>
          <w:rFonts w:hAnsi="宋体" w:cs="宋体"/>
          <w:b/>
          <w:color w:val="auto"/>
          <w:spacing w:val="60"/>
          <w:szCs w:val="21"/>
          <w:highlight w:val="none"/>
        </w:rPr>
      </w:pPr>
    </w:p>
    <w:p>
      <w:pPr>
        <w:autoSpaceDE w:val="0"/>
        <w:autoSpaceDN w:val="0"/>
        <w:adjustRightInd w:val="0"/>
        <w:jc w:val="center"/>
        <w:rPr>
          <w:rFonts w:hAnsi="宋体" w:cs="宋体"/>
          <w:b/>
          <w:color w:val="auto"/>
          <w:spacing w:val="60"/>
          <w:szCs w:val="21"/>
          <w:highlight w:val="none"/>
        </w:rPr>
      </w:pPr>
    </w:p>
    <w:p>
      <w:pPr>
        <w:autoSpaceDE w:val="0"/>
        <w:autoSpaceDN w:val="0"/>
        <w:adjustRightInd w:val="0"/>
        <w:jc w:val="center"/>
        <w:rPr>
          <w:rFonts w:hAnsi="宋体" w:cs="宋体"/>
          <w:b/>
          <w:color w:val="auto"/>
          <w:sz w:val="52"/>
          <w:szCs w:val="52"/>
          <w:highlight w:val="none"/>
        </w:rPr>
      </w:pPr>
      <w:r>
        <w:rPr>
          <w:rFonts w:hint="eastAsia" w:hAnsi="宋体" w:cs="宋体"/>
          <w:b/>
          <w:color w:val="auto"/>
          <w:sz w:val="52"/>
          <w:szCs w:val="52"/>
          <w:highlight w:val="none"/>
        </w:rPr>
        <w:t xml:space="preserve"> 招标文件</w:t>
      </w:r>
    </w:p>
    <w:p>
      <w:pPr>
        <w:autoSpaceDE w:val="0"/>
        <w:autoSpaceDN w:val="0"/>
        <w:adjustRightInd w:val="0"/>
        <w:jc w:val="center"/>
        <w:rPr>
          <w:rFonts w:hint="default" w:hAnsi="宋体" w:cs="宋体" w:eastAsiaTheme="minorEastAsia"/>
          <w:b/>
          <w:color w:val="auto"/>
          <w:sz w:val="32"/>
          <w:szCs w:val="32"/>
          <w:highlight w:val="none"/>
          <w:lang w:val="en-US" w:eastAsia="zh-CN"/>
        </w:rPr>
      </w:pPr>
      <w:r>
        <w:rPr>
          <w:rFonts w:hint="eastAsia" w:hAnsi="宋体" w:cs="宋体"/>
          <w:b/>
          <w:color w:val="auto"/>
          <w:sz w:val="32"/>
          <w:szCs w:val="32"/>
          <w:highlight w:val="none"/>
        </w:rPr>
        <w:t>项目编号：XCGC-F2020</w:t>
      </w:r>
      <w:r>
        <w:rPr>
          <w:rFonts w:hint="eastAsia" w:hAnsi="宋体" w:cs="宋体"/>
          <w:b/>
          <w:color w:val="auto"/>
          <w:sz w:val="32"/>
          <w:szCs w:val="32"/>
          <w:highlight w:val="none"/>
          <w:lang w:val="en-US" w:eastAsia="zh-CN"/>
        </w:rPr>
        <w:t>078</w:t>
      </w:r>
    </w:p>
    <w:p>
      <w:pPr>
        <w:pStyle w:val="5"/>
        <w:ind w:firstLine="0" w:firstLineChars="0"/>
        <w:jc w:val="center"/>
        <w:rPr>
          <w:color w:val="auto"/>
          <w:highlight w:val="none"/>
        </w:rPr>
      </w:pPr>
      <w:r>
        <w:rPr>
          <w:rFonts w:hint="eastAsia"/>
          <w:color w:val="auto"/>
          <w:highlight w:val="none"/>
        </w:rPr>
        <w:t>不见面开标</w:t>
      </w:r>
    </w:p>
    <w:p>
      <w:pPr>
        <w:pStyle w:val="5"/>
        <w:ind w:firstLine="0" w:firstLineChars="0"/>
        <w:jc w:val="center"/>
        <w:rPr>
          <w:rFonts w:eastAsia="宋体"/>
          <w:color w:val="auto"/>
          <w:highlight w:val="none"/>
        </w:rPr>
      </w:pPr>
    </w:p>
    <w:p>
      <w:pPr>
        <w:autoSpaceDE w:val="0"/>
        <w:autoSpaceDN w:val="0"/>
        <w:adjustRightInd w:val="0"/>
        <w:jc w:val="center"/>
        <w:rPr>
          <w:rFonts w:hAnsi="宋体" w:cs="黑体"/>
          <w:color w:val="auto"/>
          <w:sz w:val="44"/>
          <w:szCs w:val="44"/>
          <w:highlight w:val="none"/>
        </w:rPr>
      </w:pPr>
    </w:p>
    <w:p>
      <w:pPr>
        <w:pStyle w:val="5"/>
        <w:ind w:firstLine="440"/>
        <w:rPr>
          <w:rFonts w:hAnsi="宋体" w:cs="黑体"/>
          <w:color w:val="auto"/>
          <w:sz w:val="44"/>
          <w:szCs w:val="44"/>
          <w:highlight w:val="none"/>
        </w:rPr>
      </w:pPr>
    </w:p>
    <w:p>
      <w:pPr>
        <w:pStyle w:val="5"/>
        <w:ind w:firstLine="440"/>
        <w:rPr>
          <w:rFonts w:hAnsi="宋体" w:cs="黑体"/>
          <w:color w:val="auto"/>
          <w:sz w:val="44"/>
          <w:szCs w:val="44"/>
          <w:highlight w:val="none"/>
        </w:rPr>
      </w:pPr>
    </w:p>
    <w:p>
      <w:pPr>
        <w:pStyle w:val="5"/>
        <w:ind w:firstLine="440"/>
        <w:rPr>
          <w:rFonts w:hAnsi="宋体" w:cs="黑体"/>
          <w:color w:val="auto"/>
          <w:sz w:val="44"/>
          <w:szCs w:val="44"/>
          <w:highlight w:val="none"/>
        </w:rPr>
      </w:pPr>
    </w:p>
    <w:p>
      <w:pPr>
        <w:pStyle w:val="5"/>
        <w:ind w:firstLine="440"/>
        <w:rPr>
          <w:rFonts w:hAnsi="宋体" w:cs="黑体"/>
          <w:color w:val="auto"/>
          <w:sz w:val="44"/>
          <w:szCs w:val="44"/>
          <w:highlight w:val="none"/>
        </w:rPr>
      </w:pPr>
    </w:p>
    <w:p>
      <w:pPr>
        <w:pStyle w:val="25"/>
        <w:tabs>
          <w:tab w:val="left" w:pos="1980"/>
        </w:tabs>
        <w:spacing w:line="360" w:lineRule="auto"/>
        <w:ind w:firstLine="1280" w:firstLineChars="400"/>
        <w:rPr>
          <w:rFonts w:hAnsi="宋体"/>
          <w:b/>
          <w:color w:val="auto"/>
          <w:spacing w:val="-20"/>
          <w:sz w:val="32"/>
          <w:szCs w:val="32"/>
          <w:highlight w:val="none"/>
        </w:rPr>
      </w:pPr>
      <w:r>
        <w:rPr>
          <w:rFonts w:hint="eastAsia" w:hAnsi="宋体"/>
          <w:b/>
          <w:color w:val="auto"/>
          <w:sz w:val="32"/>
          <w:szCs w:val="32"/>
          <w:highlight w:val="none"/>
        </w:rPr>
        <w:t>招   标   人</w:t>
      </w:r>
      <w:r>
        <w:rPr>
          <w:rFonts w:hint="eastAsia" w:hAnsi="宋体"/>
          <w:b/>
          <w:color w:val="auto"/>
          <w:spacing w:val="-20"/>
          <w:sz w:val="32"/>
          <w:szCs w:val="32"/>
          <w:highlight w:val="none"/>
        </w:rPr>
        <w:t>：</w:t>
      </w:r>
      <w:r>
        <w:rPr>
          <w:rFonts w:hint="eastAsia" w:hAnsi="宋体"/>
          <w:b/>
          <w:color w:val="auto"/>
          <w:sz w:val="32"/>
          <w:szCs w:val="32"/>
          <w:highlight w:val="none"/>
        </w:rPr>
        <w:t>许昌市建设投资有限责任公司</w:t>
      </w:r>
    </w:p>
    <w:p>
      <w:pPr>
        <w:pStyle w:val="25"/>
        <w:tabs>
          <w:tab w:val="left" w:pos="1980"/>
        </w:tabs>
        <w:spacing w:line="360" w:lineRule="auto"/>
        <w:ind w:firstLine="1264" w:firstLineChars="395"/>
        <w:rPr>
          <w:rFonts w:hAnsi="宋体" w:eastAsia="宋体"/>
          <w:b/>
          <w:color w:val="auto"/>
          <w:sz w:val="32"/>
          <w:szCs w:val="32"/>
          <w:highlight w:val="none"/>
        </w:rPr>
      </w:pPr>
      <w:r>
        <w:rPr>
          <w:rFonts w:hint="eastAsia" w:hAnsi="宋体"/>
          <w:b/>
          <w:color w:val="auto"/>
          <w:sz w:val="32"/>
          <w:szCs w:val="32"/>
          <w:highlight w:val="none"/>
        </w:rPr>
        <w:t>招标代理机构：河南建标工程管理有限公司</w:t>
      </w:r>
    </w:p>
    <w:p>
      <w:pPr>
        <w:spacing w:line="360" w:lineRule="auto"/>
        <w:ind w:left="479" w:leftChars="141"/>
        <w:jc w:val="left"/>
        <w:rPr>
          <w:rFonts w:hAnsi="宋体" w:cs="宋体"/>
          <w:b/>
          <w:color w:val="auto"/>
          <w:sz w:val="32"/>
          <w:szCs w:val="32"/>
          <w:highlight w:val="none"/>
        </w:rPr>
      </w:pPr>
    </w:p>
    <w:p>
      <w:pPr>
        <w:spacing w:line="360" w:lineRule="auto"/>
        <w:jc w:val="center"/>
        <w:rPr>
          <w:rFonts w:hAnsi="宋体" w:cs="黑体"/>
          <w:b/>
          <w:color w:val="auto"/>
          <w:sz w:val="32"/>
          <w:szCs w:val="32"/>
          <w:highlight w:val="none"/>
        </w:rPr>
      </w:pPr>
      <w:r>
        <w:rPr>
          <w:rFonts w:hint="eastAsia" w:hAnsi="宋体" w:cs="宋体"/>
          <w:b/>
          <w:color w:val="auto"/>
          <w:sz w:val="32"/>
          <w:szCs w:val="32"/>
          <w:highlight w:val="none"/>
        </w:rPr>
        <w:t xml:space="preserve"> 二〇二〇年四</w:t>
      </w:r>
      <w:r>
        <w:rPr>
          <w:rFonts w:hint="eastAsia" w:hAnsi="宋体" w:cs="黑体"/>
          <w:b/>
          <w:color w:val="auto"/>
          <w:sz w:val="32"/>
          <w:szCs w:val="32"/>
          <w:highlight w:val="none"/>
        </w:rPr>
        <w:t>月</w:t>
      </w:r>
    </w:p>
    <w:p>
      <w:pPr>
        <w:spacing w:line="360" w:lineRule="auto"/>
        <w:rPr>
          <w:rFonts w:ascii="黑体" w:hAnsi="宋体" w:eastAsia="黑体"/>
          <w:b/>
          <w:color w:val="auto"/>
          <w:sz w:val="44"/>
          <w:highlight w:val="none"/>
        </w:rPr>
        <w:sectPr>
          <w:footerReference r:id="rId5" w:type="first"/>
          <w:headerReference r:id="rId3" w:type="default"/>
          <w:footerReference r:id="rId4"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auto"/>
          <w:highlight w:val="none"/>
        </w:rPr>
      </w:pPr>
    </w:p>
    <w:p>
      <w:pPr>
        <w:jc w:val="center"/>
        <w:rPr>
          <w:rFonts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Ansi="宋体"/>
          <w:b/>
          <w:color w:val="auto"/>
          <w:sz w:val="32"/>
          <w:highlight w:val="none"/>
        </w:rPr>
      </w:pPr>
    </w:p>
    <w:p>
      <w:pPr>
        <w:tabs>
          <w:tab w:val="left" w:leader="hyphen" w:pos="9180"/>
        </w:tabs>
        <w:snapToGrid w:val="0"/>
        <w:spacing w:line="480" w:lineRule="auto"/>
        <w:ind w:firstLine="645"/>
        <w:rPr>
          <w:rFonts w:ascii="黑体" w:hAnsi="宋体" w:eastAsia="黑体"/>
          <w:b/>
          <w:color w:val="auto"/>
          <w:sz w:val="28"/>
          <w:highlight w:val="none"/>
        </w:rPr>
      </w:pPr>
      <w:r>
        <w:rPr>
          <w:rFonts w:hint="eastAsia" w:ascii="黑体" w:hAnsi="宋体" w:eastAsia="黑体"/>
          <w:b/>
          <w:color w:val="auto"/>
          <w:sz w:val="28"/>
          <w:szCs w:val="28"/>
          <w:highlight w:val="none"/>
        </w:rPr>
        <w:t>第一章  招标公告</w:t>
      </w:r>
      <w:r>
        <w:rPr>
          <w:rFonts w:ascii="黑体" w:hAnsi="宋体" w:eastAsia="黑体"/>
          <w:b/>
          <w:color w:val="auto"/>
          <w:sz w:val="28"/>
          <w:highlight w:val="none"/>
        </w:rPr>
        <w:tab/>
      </w:r>
    </w:p>
    <w:p>
      <w:pPr>
        <w:tabs>
          <w:tab w:val="left" w:leader="hyphen" w:pos="9180"/>
        </w:tabs>
        <w:snapToGrid w:val="0"/>
        <w:spacing w:line="480" w:lineRule="auto"/>
        <w:ind w:firstLine="645"/>
        <w:rPr>
          <w:rFonts w:ascii="黑体" w:hAnsi="宋体" w:eastAsia="黑体"/>
          <w:b/>
          <w:color w:val="auto"/>
          <w:sz w:val="28"/>
          <w:highlight w:val="none"/>
        </w:rPr>
      </w:pPr>
      <w:r>
        <w:rPr>
          <w:rFonts w:hint="eastAsia" w:ascii="黑体" w:hAnsi="宋体" w:eastAsia="黑体"/>
          <w:b/>
          <w:color w:val="auto"/>
          <w:sz w:val="28"/>
          <w:highlight w:val="none"/>
        </w:rPr>
        <w:t>第二章  投标须知</w:t>
      </w:r>
      <w:r>
        <w:rPr>
          <w:rFonts w:ascii="黑体" w:hAnsi="宋体" w:eastAsia="黑体"/>
          <w:b/>
          <w:color w:val="auto"/>
          <w:sz w:val="28"/>
          <w:highlight w:val="none"/>
        </w:rPr>
        <w:tab/>
      </w:r>
    </w:p>
    <w:p>
      <w:pPr>
        <w:tabs>
          <w:tab w:val="left" w:leader="hyphen" w:pos="9180"/>
        </w:tabs>
        <w:snapToGrid w:val="0"/>
        <w:spacing w:line="480" w:lineRule="auto"/>
        <w:ind w:firstLine="645"/>
        <w:rPr>
          <w:rFonts w:ascii="黑体" w:hAnsi="宋体" w:eastAsia="黑体"/>
          <w:b/>
          <w:color w:val="auto"/>
          <w:sz w:val="28"/>
          <w:highlight w:val="none"/>
        </w:rPr>
      </w:pPr>
      <w:r>
        <w:rPr>
          <w:rFonts w:hint="eastAsia" w:ascii="黑体" w:hAnsi="宋体" w:eastAsia="黑体"/>
          <w:b/>
          <w:color w:val="auto"/>
          <w:sz w:val="28"/>
          <w:highlight w:val="none"/>
        </w:rPr>
        <w:t>第三章  评标办法</w:t>
      </w:r>
      <w:r>
        <w:rPr>
          <w:rFonts w:ascii="黑体" w:hAnsi="宋体" w:eastAsia="黑体"/>
          <w:b/>
          <w:color w:val="auto"/>
          <w:sz w:val="28"/>
          <w:highlight w:val="none"/>
        </w:rPr>
        <w:tab/>
      </w:r>
    </w:p>
    <w:p>
      <w:pPr>
        <w:tabs>
          <w:tab w:val="left" w:leader="hyphen" w:pos="9180"/>
        </w:tabs>
        <w:snapToGrid w:val="0"/>
        <w:spacing w:line="480" w:lineRule="auto"/>
        <w:ind w:firstLine="645"/>
        <w:rPr>
          <w:rFonts w:ascii="黑体" w:hAnsi="宋体" w:eastAsia="黑体"/>
          <w:b/>
          <w:color w:val="auto"/>
          <w:sz w:val="28"/>
          <w:highlight w:val="none"/>
        </w:rPr>
      </w:pPr>
      <w:r>
        <w:rPr>
          <w:rFonts w:hint="eastAsia" w:ascii="黑体" w:hAnsi="宋体" w:eastAsia="黑体"/>
          <w:b/>
          <w:color w:val="auto"/>
          <w:sz w:val="28"/>
          <w:highlight w:val="none"/>
        </w:rPr>
        <w:t>第四章  合同条款</w:t>
      </w:r>
      <w:r>
        <w:rPr>
          <w:rFonts w:ascii="黑体" w:hAnsi="宋体" w:eastAsia="黑体"/>
          <w:b/>
          <w:color w:val="auto"/>
          <w:sz w:val="28"/>
          <w:highlight w:val="none"/>
        </w:rPr>
        <w:tab/>
      </w:r>
    </w:p>
    <w:p>
      <w:pPr>
        <w:tabs>
          <w:tab w:val="left" w:leader="hyphen" w:pos="9180"/>
        </w:tabs>
        <w:snapToGrid w:val="0"/>
        <w:spacing w:line="480" w:lineRule="auto"/>
        <w:ind w:firstLine="645"/>
        <w:rPr>
          <w:rFonts w:ascii="黑体" w:hAnsi="宋体" w:eastAsia="黑体"/>
          <w:b/>
          <w:color w:val="auto"/>
          <w:sz w:val="28"/>
          <w:highlight w:val="none"/>
        </w:rPr>
      </w:pPr>
      <w:r>
        <w:rPr>
          <w:rFonts w:hint="eastAsia" w:ascii="黑体" w:hAnsi="宋体" w:eastAsia="黑体"/>
          <w:b/>
          <w:color w:val="auto"/>
          <w:sz w:val="28"/>
          <w:highlight w:val="none"/>
        </w:rPr>
        <w:t>第五章  技术标准和要求</w:t>
      </w:r>
      <w:r>
        <w:rPr>
          <w:rFonts w:ascii="黑体" w:hAnsi="宋体" w:eastAsia="黑体"/>
          <w:b/>
          <w:color w:val="auto"/>
          <w:sz w:val="28"/>
          <w:highlight w:val="none"/>
        </w:rPr>
        <w:tab/>
      </w:r>
    </w:p>
    <w:p>
      <w:pPr>
        <w:tabs>
          <w:tab w:val="left" w:leader="hyphen" w:pos="9180"/>
        </w:tabs>
        <w:snapToGrid w:val="0"/>
        <w:spacing w:line="480" w:lineRule="auto"/>
        <w:ind w:firstLine="645"/>
        <w:rPr>
          <w:rFonts w:ascii="黑体" w:hAnsi="宋体" w:eastAsia="黑体"/>
          <w:b/>
          <w:color w:val="auto"/>
          <w:sz w:val="28"/>
          <w:highlight w:val="none"/>
        </w:rPr>
      </w:pPr>
      <w:r>
        <w:rPr>
          <w:rFonts w:hint="eastAsia" w:ascii="黑体" w:hAnsi="宋体" w:eastAsia="黑体"/>
          <w:b/>
          <w:color w:val="auto"/>
          <w:sz w:val="28"/>
          <w:highlight w:val="none"/>
        </w:rPr>
        <w:t>第六章  投标文件格式</w:t>
      </w:r>
      <w:r>
        <w:rPr>
          <w:rFonts w:ascii="黑体" w:hAnsi="宋体" w:eastAsia="黑体"/>
          <w:b/>
          <w:color w:val="auto"/>
          <w:sz w:val="28"/>
          <w:highlight w:val="none"/>
        </w:rPr>
        <w:tab/>
      </w:r>
    </w:p>
    <w:p>
      <w:pPr>
        <w:rPr>
          <w:rFonts w:hAnsi="宋体" w:cs="黑体"/>
          <w:b/>
          <w:color w:val="auto"/>
          <w:sz w:val="32"/>
          <w:szCs w:val="32"/>
          <w:highlight w:val="none"/>
        </w:rPr>
      </w:pPr>
    </w:p>
    <w:p>
      <w:pPr>
        <w:ind w:firstLine="3465" w:firstLineChars="1083"/>
        <w:rPr>
          <w:rFonts w:hAnsi="宋体" w:cs="黑体"/>
          <w:b/>
          <w:color w:val="auto"/>
          <w:sz w:val="32"/>
          <w:szCs w:val="32"/>
          <w:highlight w:val="none"/>
        </w:rPr>
      </w:pPr>
    </w:p>
    <w:p>
      <w:pPr>
        <w:rPr>
          <w:b/>
          <w:color w:val="auto"/>
          <w:sz w:val="48"/>
          <w:szCs w:val="48"/>
          <w:highlight w:val="none"/>
        </w:rPr>
      </w:pPr>
    </w:p>
    <w:p>
      <w:pPr>
        <w:rPr>
          <w:rFonts w:hAnsi="宋体" w:cs="黑体"/>
          <w:b/>
          <w:color w:val="auto"/>
          <w:sz w:val="32"/>
          <w:szCs w:val="32"/>
          <w:highlight w:val="none"/>
        </w:rPr>
      </w:pPr>
    </w:p>
    <w:p>
      <w:pPr>
        <w:ind w:firstLine="4765" w:firstLineChars="1083"/>
        <w:rPr>
          <w:rFonts w:ascii="黑体" w:hAnsi="宋体" w:eastAsia="黑体"/>
          <w:b/>
          <w:color w:val="auto"/>
          <w:sz w:val="44"/>
          <w:highlight w:val="none"/>
        </w:rPr>
        <w:sectPr>
          <w:headerReference r:id="rId6" w:type="default"/>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color w:val="auto"/>
          <w:sz w:val="32"/>
          <w:szCs w:val="32"/>
          <w:highlight w:val="none"/>
        </w:rPr>
      </w:pPr>
    </w:p>
    <w:p>
      <w:pPr>
        <w:tabs>
          <w:tab w:val="left" w:pos="3185"/>
          <w:tab w:val="center" w:pos="5452"/>
        </w:tabs>
        <w:snapToGrid w:val="0"/>
        <w:spacing w:beforeLines="50"/>
        <w:jc w:val="left"/>
        <w:rPr>
          <w:rFonts w:hAnsi="宋体" w:cs="黑体"/>
          <w:b/>
          <w:color w:val="auto"/>
          <w:sz w:val="36"/>
          <w:szCs w:val="36"/>
          <w:highlight w:val="none"/>
        </w:rPr>
      </w:pPr>
    </w:p>
    <w:p>
      <w:pPr>
        <w:tabs>
          <w:tab w:val="left" w:pos="3185"/>
          <w:tab w:val="center" w:pos="5452"/>
        </w:tabs>
        <w:snapToGrid w:val="0"/>
        <w:spacing w:beforeLines="50"/>
        <w:jc w:val="left"/>
        <w:rPr>
          <w:rFonts w:hAnsi="宋体" w:cs="黑体"/>
          <w:b/>
          <w:color w:val="auto"/>
          <w:sz w:val="36"/>
          <w:szCs w:val="36"/>
          <w:highlight w:val="none"/>
        </w:rPr>
      </w:pPr>
    </w:p>
    <w:p>
      <w:pPr>
        <w:tabs>
          <w:tab w:val="left" w:pos="3185"/>
          <w:tab w:val="center" w:pos="5452"/>
        </w:tabs>
        <w:snapToGrid w:val="0"/>
        <w:spacing w:beforeLines="50"/>
        <w:jc w:val="left"/>
        <w:rPr>
          <w:rFonts w:hAnsi="宋体" w:cs="黑体"/>
          <w:b/>
          <w:color w:val="auto"/>
          <w:sz w:val="36"/>
          <w:szCs w:val="36"/>
          <w:highlight w:val="none"/>
        </w:rPr>
      </w:pPr>
    </w:p>
    <w:p>
      <w:pPr>
        <w:tabs>
          <w:tab w:val="left" w:pos="3185"/>
          <w:tab w:val="center" w:pos="5452"/>
        </w:tabs>
        <w:snapToGrid w:val="0"/>
        <w:spacing w:beforeLines="50"/>
        <w:jc w:val="left"/>
        <w:rPr>
          <w:rFonts w:hAnsi="宋体" w:cs="黑体"/>
          <w:b/>
          <w:color w:val="auto"/>
          <w:sz w:val="36"/>
          <w:szCs w:val="36"/>
          <w:highlight w:val="none"/>
        </w:rPr>
      </w:pPr>
    </w:p>
    <w:p>
      <w:pPr>
        <w:tabs>
          <w:tab w:val="left" w:pos="3185"/>
          <w:tab w:val="center" w:pos="5452"/>
        </w:tabs>
        <w:snapToGrid w:val="0"/>
        <w:spacing w:beforeLines="50"/>
        <w:jc w:val="left"/>
        <w:rPr>
          <w:rFonts w:hAnsi="宋体" w:cs="黑体"/>
          <w:b/>
          <w:color w:val="auto"/>
          <w:sz w:val="36"/>
          <w:szCs w:val="36"/>
          <w:highlight w:val="none"/>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highlight w:val="none"/>
        </w:rPr>
      </w:pPr>
    </w:p>
    <w:p>
      <w:pPr>
        <w:autoSpaceDE w:val="0"/>
        <w:autoSpaceDN w:val="0"/>
        <w:adjustRightInd w:val="0"/>
        <w:ind w:right="-333" w:rightChars="-98"/>
        <w:jc w:val="center"/>
        <w:rPr>
          <w:rFonts w:hAnsi="宋体" w:cs="宋体"/>
          <w:b/>
          <w:color w:val="auto"/>
          <w:sz w:val="32"/>
          <w:szCs w:val="32"/>
          <w:highlight w:val="none"/>
        </w:rPr>
      </w:pPr>
      <w:r>
        <w:rPr>
          <w:rFonts w:hint="eastAsia" w:hAnsi="宋体" w:cs="宋体"/>
          <w:b/>
          <w:color w:val="auto"/>
          <w:sz w:val="32"/>
          <w:szCs w:val="32"/>
          <w:highlight w:val="none"/>
        </w:rPr>
        <w:t>XCGC-F2020</w:t>
      </w:r>
      <w:r>
        <w:rPr>
          <w:rFonts w:hint="eastAsia" w:hAnsi="宋体" w:cs="宋体"/>
          <w:b/>
          <w:color w:val="auto"/>
          <w:sz w:val="32"/>
          <w:szCs w:val="32"/>
          <w:highlight w:val="none"/>
          <w:lang w:val="en-US" w:eastAsia="zh-CN"/>
        </w:rPr>
        <w:t>078</w:t>
      </w:r>
      <w:r>
        <w:rPr>
          <w:rFonts w:hint="eastAsia" w:hAnsi="宋体"/>
          <w:b/>
          <w:color w:val="auto"/>
          <w:sz w:val="32"/>
          <w:szCs w:val="32"/>
          <w:highlight w:val="none"/>
        </w:rPr>
        <w:t>许昌市建设投资有限责任公司</w:t>
      </w:r>
    </w:p>
    <w:p>
      <w:pPr>
        <w:autoSpaceDE w:val="0"/>
        <w:autoSpaceDN w:val="0"/>
        <w:adjustRightInd w:val="0"/>
        <w:ind w:right="-333" w:rightChars="-98"/>
        <w:jc w:val="center"/>
        <w:rPr>
          <w:rFonts w:hAnsi="宋体" w:cs="宋体"/>
          <w:b/>
          <w:color w:val="auto"/>
          <w:sz w:val="32"/>
          <w:szCs w:val="32"/>
          <w:highlight w:val="none"/>
        </w:rPr>
      </w:pPr>
      <w:r>
        <w:rPr>
          <w:rFonts w:hint="eastAsia" w:hAnsi="宋体" w:cs="宋体"/>
          <w:b/>
          <w:color w:val="auto"/>
          <w:sz w:val="32"/>
          <w:szCs w:val="32"/>
          <w:highlight w:val="none"/>
        </w:rPr>
        <w:t>“</w:t>
      </w:r>
      <w:r>
        <w:rPr>
          <w:rFonts w:hint="eastAsia" w:hAnsi="宋体" w:cs="宋体"/>
          <w:b/>
          <w:color w:val="auto"/>
          <w:sz w:val="32"/>
          <w:szCs w:val="32"/>
          <w:highlight w:val="none"/>
          <w:lang w:eastAsia="zh-CN"/>
        </w:rPr>
        <w:t>郑州机场至许昌市域铁路工程许昌段第三方质量检测项目第二阶段</w:t>
      </w:r>
      <w:r>
        <w:rPr>
          <w:rFonts w:hint="eastAsia" w:hAnsi="宋体" w:cs="宋体"/>
          <w:b/>
          <w:color w:val="auto"/>
          <w:sz w:val="32"/>
          <w:szCs w:val="32"/>
          <w:highlight w:val="none"/>
        </w:rPr>
        <w:t>”</w:t>
      </w:r>
      <w:r>
        <w:rPr>
          <w:rFonts w:hint="eastAsia" w:hAnsi="宋体" w:cs="宋体"/>
          <w:b/>
          <w:color w:val="auto"/>
          <w:sz w:val="32"/>
          <w:szCs w:val="32"/>
          <w:highlight w:val="none"/>
          <w:lang w:eastAsia="zh-CN"/>
        </w:rPr>
        <w:t>（不见面开标）</w:t>
      </w:r>
      <w:r>
        <w:rPr>
          <w:rFonts w:hint="eastAsia" w:hAnsi="宋体" w:cs="宋体"/>
          <w:b/>
          <w:color w:val="auto"/>
          <w:sz w:val="32"/>
          <w:szCs w:val="32"/>
          <w:highlight w:val="none"/>
        </w:rPr>
        <w:t>招标公告</w:t>
      </w:r>
    </w:p>
    <w:p>
      <w:pPr>
        <w:widowControl/>
        <w:numPr>
          <w:ilvl w:val="0"/>
          <w:numId w:val="2"/>
        </w:numPr>
        <w:spacing w:line="312" w:lineRule="auto"/>
        <w:rPr>
          <w:rFonts w:hAnsi="宋体"/>
          <w:b/>
          <w:color w:val="auto"/>
          <w:sz w:val="24"/>
          <w:highlight w:val="none"/>
        </w:rPr>
      </w:pPr>
      <w:r>
        <w:rPr>
          <w:rFonts w:hint="eastAsia" w:hAnsi="宋体"/>
          <w:b/>
          <w:color w:val="auto"/>
          <w:sz w:val="24"/>
          <w:highlight w:val="none"/>
        </w:rPr>
        <w:t>招标条件</w:t>
      </w:r>
    </w:p>
    <w:p>
      <w:pPr>
        <w:widowControl/>
        <w:spacing w:line="312" w:lineRule="auto"/>
        <w:ind w:firstLine="480" w:firstLineChars="200"/>
        <w:rPr>
          <w:rFonts w:hAnsi="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eastAsia="zh-CN"/>
        </w:rPr>
        <w:t>郑州机场至许昌市域铁路工程许昌段第三方质量检测项目第二阶段</w:t>
      </w:r>
      <w:r>
        <w:rPr>
          <w:rFonts w:hint="eastAsia" w:hAnsi="宋体" w:cs="宋体"/>
          <w:color w:val="auto"/>
          <w:sz w:val="24"/>
          <w:szCs w:val="24"/>
          <w:highlight w:val="none"/>
        </w:rPr>
        <w:t>”已由河南省发展和改革委员会以豫发改基础[2017]1192号文件批准建设</w:t>
      </w:r>
      <w:r>
        <w:rPr>
          <w:rFonts w:hint="eastAsia" w:hAnsi="宋体"/>
          <w:color w:val="auto"/>
          <w:sz w:val="24"/>
          <w:szCs w:val="24"/>
          <w:highlight w:val="none"/>
        </w:rPr>
        <w:t>，建设资金已落实</w:t>
      </w:r>
      <w:r>
        <w:rPr>
          <w:rFonts w:hint="eastAsia" w:hAnsi="宋体" w:cs="宋体"/>
          <w:color w:val="auto"/>
          <w:sz w:val="24"/>
          <w:szCs w:val="24"/>
          <w:highlight w:val="none"/>
        </w:rPr>
        <w:t>。招标人为许昌市建设投资有限责任公司，建设资金为自筹资金。项目已具备招标条件，现对该项目进行公开招标。</w:t>
      </w:r>
    </w:p>
    <w:p>
      <w:pPr>
        <w:widowControl/>
        <w:spacing w:line="312" w:lineRule="auto"/>
        <w:rPr>
          <w:rFonts w:hAnsi="宋体"/>
          <w:b/>
          <w:color w:val="auto"/>
          <w:sz w:val="24"/>
          <w:highlight w:val="none"/>
        </w:rPr>
      </w:pPr>
      <w:r>
        <w:rPr>
          <w:rFonts w:hint="eastAsia" w:hAnsi="宋体"/>
          <w:b/>
          <w:color w:val="auto"/>
          <w:sz w:val="24"/>
          <w:highlight w:val="none"/>
        </w:rPr>
        <w:t>2.项目概况与招标范围</w:t>
      </w:r>
    </w:p>
    <w:p>
      <w:pPr>
        <w:widowControl/>
        <w:spacing w:line="300" w:lineRule="auto"/>
        <w:rPr>
          <w:rFonts w:hint="default" w:hAnsi="宋体" w:eastAsiaTheme="minorEastAsia"/>
          <w:color w:val="auto"/>
          <w:sz w:val="24"/>
          <w:szCs w:val="24"/>
          <w:highlight w:val="none"/>
          <w:lang w:val="en-US" w:eastAsia="zh-CN"/>
        </w:rPr>
      </w:pPr>
      <w:r>
        <w:rPr>
          <w:rFonts w:hint="eastAsia" w:hAnsi="宋体"/>
          <w:color w:val="auto"/>
          <w:sz w:val="24"/>
          <w:highlight w:val="none"/>
        </w:rPr>
        <w:t xml:space="preserve">    2.1项目编号</w:t>
      </w:r>
      <w:r>
        <w:rPr>
          <w:rFonts w:hint="eastAsia" w:hAnsi="宋体"/>
          <w:color w:val="auto"/>
          <w:sz w:val="24"/>
          <w:szCs w:val="24"/>
          <w:highlight w:val="none"/>
        </w:rPr>
        <w:t>：</w:t>
      </w:r>
      <w:r>
        <w:rPr>
          <w:rFonts w:hint="eastAsia" w:hAnsi="宋体" w:cs="宋体"/>
          <w:color w:val="auto"/>
          <w:sz w:val="24"/>
          <w:szCs w:val="24"/>
          <w:highlight w:val="none"/>
        </w:rPr>
        <w:t>XCGC-F2020</w:t>
      </w:r>
      <w:r>
        <w:rPr>
          <w:rFonts w:hint="eastAsia" w:hAnsi="宋体" w:cs="宋体"/>
          <w:color w:val="auto"/>
          <w:sz w:val="24"/>
          <w:szCs w:val="24"/>
          <w:highlight w:val="none"/>
          <w:lang w:val="en-US" w:eastAsia="zh-CN"/>
        </w:rPr>
        <w:t>078</w:t>
      </w:r>
    </w:p>
    <w:p>
      <w:pPr>
        <w:widowControl/>
        <w:spacing w:line="312" w:lineRule="auto"/>
        <w:ind w:firstLine="480" w:firstLineChars="200"/>
        <w:rPr>
          <w:rFonts w:hAnsi="宋体"/>
          <w:color w:val="auto"/>
          <w:sz w:val="24"/>
          <w:highlight w:val="none"/>
        </w:rPr>
      </w:pPr>
      <w:r>
        <w:rPr>
          <w:rFonts w:hint="eastAsia" w:hAnsi="宋体"/>
          <w:color w:val="auto"/>
          <w:sz w:val="24"/>
          <w:highlight w:val="none"/>
        </w:rPr>
        <w:t>2.2项目建设地点：</w:t>
      </w:r>
      <w:r>
        <w:rPr>
          <w:rFonts w:hAnsi="宋体" w:cs="宋体"/>
          <w:color w:val="auto"/>
          <w:sz w:val="24"/>
          <w:szCs w:val="24"/>
          <w:highlight w:val="none"/>
        </w:rPr>
        <w:t>郑州机场至许昌市域铁路工程许昌段北起郑州、许昌市界</w:t>
      </w:r>
      <w:r>
        <w:rPr>
          <w:rFonts w:hint="eastAsia" w:hAnsi="宋体" w:cs="宋体"/>
          <w:color w:val="auto"/>
          <w:sz w:val="24"/>
          <w:szCs w:val="24"/>
          <w:highlight w:val="none"/>
        </w:rPr>
        <w:t>，</w:t>
      </w:r>
      <w:r>
        <w:rPr>
          <w:rFonts w:hAnsi="宋体" w:cs="宋体"/>
          <w:color w:val="auto"/>
          <w:sz w:val="24"/>
          <w:szCs w:val="24"/>
          <w:highlight w:val="none"/>
        </w:rPr>
        <w:t>经华夏幸福城站，向南至许昌东站</w:t>
      </w:r>
      <w:r>
        <w:rPr>
          <w:rFonts w:hint="eastAsia" w:hAnsi="宋体"/>
          <w:color w:val="auto"/>
          <w:sz w:val="24"/>
          <w:highlight w:val="none"/>
        </w:rPr>
        <w:t>。</w:t>
      </w:r>
    </w:p>
    <w:p>
      <w:pPr>
        <w:widowControl/>
        <w:spacing w:line="300" w:lineRule="auto"/>
        <w:ind w:firstLine="480"/>
        <w:rPr>
          <w:rFonts w:hAnsi="宋体"/>
          <w:color w:val="auto"/>
          <w:sz w:val="24"/>
          <w:highlight w:val="none"/>
        </w:rPr>
      </w:pPr>
      <w:r>
        <w:rPr>
          <w:rFonts w:hint="eastAsia" w:hAnsi="宋体"/>
          <w:color w:val="auto"/>
          <w:sz w:val="24"/>
          <w:highlight w:val="none"/>
        </w:rPr>
        <w:t>2.3工程概况：本工程</w:t>
      </w:r>
      <w:r>
        <w:rPr>
          <w:rFonts w:hAnsi="宋体" w:cs="宋体"/>
          <w:color w:val="auto"/>
          <w:sz w:val="24"/>
          <w:szCs w:val="24"/>
          <w:highlight w:val="none"/>
        </w:rPr>
        <w:t>线路全长</w:t>
      </w:r>
      <w:r>
        <w:rPr>
          <w:rFonts w:hint="eastAsia" w:hAnsi="宋体" w:cs="宋体"/>
          <w:color w:val="auto"/>
          <w:sz w:val="24"/>
          <w:szCs w:val="24"/>
          <w:highlight w:val="none"/>
        </w:rPr>
        <w:t>33.78km，</w:t>
      </w:r>
      <w:r>
        <w:rPr>
          <w:rFonts w:hAnsi="宋体" w:cs="宋体"/>
          <w:color w:val="auto"/>
          <w:sz w:val="24"/>
          <w:szCs w:val="24"/>
          <w:highlight w:val="none"/>
        </w:rPr>
        <w:t>设站</w:t>
      </w:r>
      <w:r>
        <w:rPr>
          <w:rFonts w:hint="eastAsia" w:hAnsi="宋体" w:cs="宋体"/>
          <w:color w:val="auto"/>
          <w:sz w:val="24"/>
          <w:szCs w:val="24"/>
          <w:highlight w:val="none"/>
        </w:rPr>
        <w:t>11</w:t>
      </w:r>
      <w:r>
        <w:rPr>
          <w:rFonts w:hAnsi="宋体" w:cs="宋体"/>
          <w:color w:val="auto"/>
          <w:sz w:val="24"/>
          <w:szCs w:val="24"/>
          <w:highlight w:val="none"/>
        </w:rPr>
        <w:t>座</w:t>
      </w:r>
      <w:r>
        <w:rPr>
          <w:rFonts w:hint="eastAsia" w:hAnsi="宋体" w:cs="宋体"/>
          <w:color w:val="auto"/>
          <w:sz w:val="24"/>
          <w:szCs w:val="24"/>
          <w:highlight w:val="none"/>
        </w:rPr>
        <w:t>。</w:t>
      </w:r>
      <w:r>
        <w:rPr>
          <w:rFonts w:hAnsi="宋体" w:cs="宋体"/>
          <w:color w:val="auto"/>
          <w:sz w:val="24"/>
          <w:szCs w:val="24"/>
          <w:highlight w:val="none"/>
        </w:rPr>
        <w:t>其中高架站</w:t>
      </w:r>
      <w:r>
        <w:rPr>
          <w:rFonts w:hint="eastAsia" w:hAnsi="宋体" w:cs="宋体"/>
          <w:color w:val="auto"/>
          <w:sz w:val="24"/>
          <w:szCs w:val="24"/>
          <w:highlight w:val="none"/>
        </w:rPr>
        <w:t>9</w:t>
      </w:r>
      <w:r>
        <w:rPr>
          <w:rFonts w:hAnsi="宋体" w:cs="宋体"/>
          <w:color w:val="auto"/>
          <w:sz w:val="24"/>
          <w:szCs w:val="24"/>
          <w:highlight w:val="none"/>
        </w:rPr>
        <w:t>座，地下站</w:t>
      </w:r>
      <w:r>
        <w:rPr>
          <w:rFonts w:hint="eastAsia" w:hAnsi="宋体" w:cs="宋体"/>
          <w:color w:val="auto"/>
          <w:sz w:val="24"/>
          <w:szCs w:val="24"/>
          <w:highlight w:val="none"/>
        </w:rPr>
        <w:t>2座</w:t>
      </w:r>
      <w:r>
        <w:rPr>
          <w:rFonts w:hAnsi="宋体" w:cs="宋体"/>
          <w:color w:val="auto"/>
          <w:sz w:val="24"/>
          <w:szCs w:val="24"/>
          <w:highlight w:val="none"/>
        </w:rPr>
        <w:t>，平均站间距约</w:t>
      </w:r>
      <w:r>
        <w:rPr>
          <w:rFonts w:hint="eastAsia" w:hAnsi="宋体" w:cs="宋体"/>
          <w:color w:val="auto"/>
          <w:sz w:val="24"/>
          <w:szCs w:val="24"/>
          <w:highlight w:val="none"/>
        </w:rPr>
        <w:t>3.6km</w:t>
      </w:r>
      <w:r>
        <w:rPr>
          <w:rFonts w:hAnsi="宋体" w:cs="宋体"/>
          <w:color w:val="auto"/>
          <w:sz w:val="24"/>
          <w:szCs w:val="24"/>
          <w:highlight w:val="none"/>
        </w:rPr>
        <w:t>，设梅庄停车场</w:t>
      </w:r>
      <w:r>
        <w:rPr>
          <w:rFonts w:hint="eastAsia" w:hAnsi="宋体" w:cs="宋体"/>
          <w:color w:val="auto"/>
          <w:sz w:val="24"/>
          <w:szCs w:val="24"/>
          <w:highlight w:val="none"/>
        </w:rPr>
        <w:t>1</w:t>
      </w:r>
      <w:r>
        <w:rPr>
          <w:rFonts w:hAnsi="宋体" w:cs="宋体"/>
          <w:color w:val="auto"/>
          <w:sz w:val="24"/>
          <w:szCs w:val="24"/>
          <w:highlight w:val="none"/>
        </w:rPr>
        <w:t>座，在颍川大道站、永兴东路站附近设主变</w:t>
      </w:r>
      <w:r>
        <w:rPr>
          <w:rFonts w:hint="eastAsia" w:hAnsi="宋体" w:cs="宋体"/>
          <w:color w:val="auto"/>
          <w:sz w:val="24"/>
          <w:szCs w:val="24"/>
          <w:highlight w:val="none"/>
        </w:rPr>
        <w:t>2</w:t>
      </w:r>
      <w:r>
        <w:rPr>
          <w:rFonts w:hAnsi="宋体" w:cs="宋体"/>
          <w:color w:val="auto"/>
          <w:sz w:val="24"/>
          <w:szCs w:val="24"/>
          <w:highlight w:val="none"/>
        </w:rPr>
        <w:t>座。本段线路初、近期采用</w:t>
      </w:r>
      <w:r>
        <w:rPr>
          <w:rFonts w:hint="eastAsia" w:hAnsi="宋体" w:cs="宋体"/>
          <w:color w:val="auto"/>
          <w:sz w:val="24"/>
          <w:szCs w:val="24"/>
          <w:highlight w:val="none"/>
        </w:rPr>
        <w:t>B</w:t>
      </w:r>
      <w:r>
        <w:rPr>
          <w:rFonts w:hAnsi="宋体" w:cs="宋体"/>
          <w:color w:val="auto"/>
          <w:sz w:val="24"/>
          <w:szCs w:val="24"/>
          <w:highlight w:val="none"/>
        </w:rPr>
        <w:t>型车</w:t>
      </w:r>
      <w:r>
        <w:rPr>
          <w:rFonts w:hint="eastAsia" w:hAnsi="宋体" w:cs="宋体"/>
          <w:color w:val="auto"/>
          <w:sz w:val="24"/>
          <w:szCs w:val="24"/>
          <w:highlight w:val="none"/>
        </w:rPr>
        <w:t>4</w:t>
      </w:r>
      <w:r>
        <w:rPr>
          <w:rFonts w:hAnsi="宋体" w:cs="宋体"/>
          <w:color w:val="auto"/>
          <w:sz w:val="24"/>
          <w:szCs w:val="24"/>
          <w:highlight w:val="none"/>
        </w:rPr>
        <w:t>辆编组，远期采用</w:t>
      </w:r>
      <w:r>
        <w:rPr>
          <w:rFonts w:hint="eastAsia" w:hAnsi="宋体" w:cs="宋体"/>
          <w:color w:val="auto"/>
          <w:sz w:val="24"/>
          <w:szCs w:val="24"/>
          <w:highlight w:val="none"/>
        </w:rPr>
        <w:t>B</w:t>
      </w:r>
      <w:r>
        <w:rPr>
          <w:rFonts w:hAnsi="宋体" w:cs="宋体"/>
          <w:color w:val="auto"/>
          <w:sz w:val="24"/>
          <w:szCs w:val="24"/>
          <w:highlight w:val="none"/>
        </w:rPr>
        <w:t>型车</w:t>
      </w:r>
      <w:r>
        <w:rPr>
          <w:rFonts w:hint="eastAsia" w:hAnsi="宋体" w:cs="宋体"/>
          <w:color w:val="auto"/>
          <w:sz w:val="24"/>
          <w:szCs w:val="24"/>
          <w:highlight w:val="none"/>
        </w:rPr>
        <w:t>6</w:t>
      </w:r>
      <w:r>
        <w:rPr>
          <w:rFonts w:hAnsi="宋体" w:cs="宋体"/>
          <w:color w:val="auto"/>
          <w:sz w:val="24"/>
          <w:szCs w:val="24"/>
          <w:highlight w:val="none"/>
        </w:rPr>
        <w:t>辆编组，设计时速为</w:t>
      </w:r>
      <w:r>
        <w:rPr>
          <w:rFonts w:hint="eastAsia" w:hAnsi="宋体" w:cs="宋体"/>
          <w:color w:val="auto"/>
          <w:sz w:val="24"/>
          <w:szCs w:val="24"/>
          <w:highlight w:val="none"/>
        </w:rPr>
        <w:t>120km/h。</w:t>
      </w:r>
    </w:p>
    <w:p>
      <w:pPr>
        <w:widowControl/>
        <w:spacing w:line="312" w:lineRule="auto"/>
        <w:ind w:firstLine="480" w:firstLineChars="200"/>
        <w:rPr>
          <w:rFonts w:hAnsi="宋体"/>
          <w:color w:val="auto"/>
          <w:sz w:val="24"/>
          <w:highlight w:val="none"/>
        </w:rPr>
      </w:pPr>
      <w:r>
        <w:rPr>
          <w:rFonts w:hint="eastAsia" w:hAnsi="宋体"/>
          <w:color w:val="auto"/>
          <w:sz w:val="24"/>
          <w:highlight w:val="none"/>
        </w:rPr>
        <w:t>2.4招标范围：</w:t>
      </w:r>
      <w:r>
        <w:rPr>
          <w:rFonts w:hint="eastAsia" w:hAnsi="宋体" w:cs="宋体"/>
          <w:color w:val="auto"/>
          <w:sz w:val="24"/>
          <w:szCs w:val="24"/>
          <w:highlight w:val="none"/>
        </w:rPr>
        <w:t>包括但不限于工程竣工前的车站、梅庄停车场、桥梁、路基、隧道、道砟、装修装饰、“四电”设备及安装等检测工作及招标人要求的其他检测工作。</w:t>
      </w:r>
    </w:p>
    <w:p>
      <w:pPr>
        <w:spacing w:line="360" w:lineRule="auto"/>
        <w:ind w:firstLine="480"/>
        <w:rPr>
          <w:rFonts w:hAnsi="宋体"/>
          <w:color w:val="auto"/>
          <w:sz w:val="24"/>
          <w:highlight w:val="none"/>
        </w:rPr>
      </w:pPr>
      <w:r>
        <w:rPr>
          <w:rFonts w:hint="eastAsia" w:hAnsi="宋体"/>
          <w:color w:val="auto"/>
          <w:sz w:val="24"/>
          <w:highlight w:val="none"/>
        </w:rPr>
        <w:t>2.5标段划分：本工程共设一个标段。</w:t>
      </w:r>
    </w:p>
    <w:p>
      <w:pPr>
        <w:spacing w:line="360" w:lineRule="auto"/>
        <w:ind w:firstLine="480"/>
        <w:rPr>
          <w:rFonts w:hAnsi="宋体"/>
          <w:color w:val="auto"/>
          <w:sz w:val="24"/>
          <w:highlight w:val="none"/>
        </w:rPr>
      </w:pPr>
      <w:r>
        <w:rPr>
          <w:rFonts w:hint="eastAsia" w:hAnsi="宋体"/>
          <w:color w:val="auto"/>
          <w:sz w:val="24"/>
          <w:highlight w:val="none"/>
        </w:rPr>
        <w:t>2.6招标控制价:</w:t>
      </w:r>
      <w:r>
        <w:rPr>
          <w:rFonts w:hint="eastAsia" w:hAnsi="宋体" w:cs="宋体"/>
          <w:color w:val="auto"/>
          <w:sz w:val="24"/>
          <w:szCs w:val="24"/>
          <w:highlight w:val="none"/>
          <w:lang w:eastAsia="zh-CN"/>
        </w:rPr>
        <w:t>7468265.00元</w:t>
      </w:r>
      <w:r>
        <w:rPr>
          <w:rFonts w:hint="eastAsia" w:hAnsi="宋体" w:cs="宋体"/>
          <w:color w:val="auto"/>
          <w:sz w:val="24"/>
          <w:szCs w:val="24"/>
          <w:highlight w:val="none"/>
        </w:rPr>
        <w:t>。</w:t>
      </w:r>
    </w:p>
    <w:p>
      <w:pPr>
        <w:widowControl/>
        <w:spacing w:line="300" w:lineRule="auto"/>
        <w:ind w:firstLine="480"/>
        <w:rPr>
          <w:rFonts w:hAnsi="宋体"/>
          <w:color w:val="auto"/>
          <w:sz w:val="24"/>
          <w:highlight w:val="none"/>
        </w:rPr>
      </w:pPr>
      <w:r>
        <w:rPr>
          <w:rFonts w:hint="eastAsia" w:hAnsi="宋体"/>
          <w:color w:val="auto"/>
          <w:sz w:val="24"/>
          <w:highlight w:val="none"/>
        </w:rPr>
        <w:t>2.7计划</w:t>
      </w:r>
      <w:r>
        <w:rPr>
          <w:rFonts w:hint="eastAsia" w:hAnsi="宋体" w:cs="宋体"/>
          <w:color w:val="auto"/>
          <w:sz w:val="24"/>
          <w:szCs w:val="24"/>
          <w:highlight w:val="none"/>
        </w:rPr>
        <w:t>服务周期:</w:t>
      </w:r>
      <w:bookmarkStart w:id="0" w:name="OLE_LINK2"/>
      <w:bookmarkEnd w:id="0"/>
      <w:bookmarkStart w:id="1" w:name="OLE_LINK1"/>
      <w:bookmarkEnd w:id="1"/>
      <w:r>
        <w:rPr>
          <w:rFonts w:hAnsi="宋体" w:cs="宋体"/>
          <w:color w:val="auto"/>
          <w:sz w:val="24"/>
          <w:szCs w:val="24"/>
          <w:highlight w:val="none"/>
        </w:rPr>
        <w:t>质量检测工作完成及提交报告时间满足发包人对本工程进度的要求，至通车试运营开始之日止</w:t>
      </w:r>
      <w:r>
        <w:rPr>
          <w:rFonts w:hint="eastAsia" w:hAnsi="宋体" w:cs="宋体"/>
          <w:color w:val="auto"/>
          <w:sz w:val="24"/>
          <w:szCs w:val="24"/>
          <w:highlight w:val="none"/>
        </w:rPr>
        <w:t>。</w:t>
      </w:r>
    </w:p>
    <w:p>
      <w:pPr>
        <w:widowControl/>
        <w:spacing w:line="300" w:lineRule="auto"/>
        <w:rPr>
          <w:rFonts w:hAnsi="宋体"/>
          <w:color w:val="auto"/>
          <w:sz w:val="24"/>
          <w:highlight w:val="none"/>
        </w:rPr>
      </w:pPr>
      <w:r>
        <w:rPr>
          <w:rFonts w:hint="eastAsia" w:hAnsi="宋体"/>
          <w:color w:val="auto"/>
          <w:sz w:val="24"/>
          <w:highlight w:val="none"/>
        </w:rPr>
        <w:t xml:space="preserve">    2.8质量要求：</w:t>
      </w:r>
      <w:r>
        <w:rPr>
          <w:rFonts w:hint="eastAsia" w:hAnsi="宋体" w:cs="宋体"/>
          <w:color w:val="auto"/>
          <w:sz w:val="24"/>
          <w:szCs w:val="24"/>
          <w:highlight w:val="none"/>
        </w:rPr>
        <w:t>合格（符合国家规定要求）。</w:t>
      </w:r>
    </w:p>
    <w:p>
      <w:pPr>
        <w:widowControl/>
        <w:numPr>
          <w:ilvl w:val="0"/>
          <w:numId w:val="3"/>
        </w:numPr>
        <w:spacing w:line="360" w:lineRule="auto"/>
        <w:rPr>
          <w:rFonts w:hAnsi="宋体"/>
          <w:b/>
          <w:color w:val="auto"/>
          <w:sz w:val="24"/>
          <w:highlight w:val="none"/>
        </w:rPr>
      </w:pPr>
      <w:r>
        <w:rPr>
          <w:rFonts w:hint="eastAsia" w:hAnsi="宋体"/>
          <w:b/>
          <w:color w:val="auto"/>
          <w:sz w:val="24"/>
          <w:highlight w:val="none"/>
        </w:rPr>
        <w:t>资格要求</w:t>
      </w:r>
    </w:p>
    <w:p>
      <w:pPr>
        <w:spacing w:line="360" w:lineRule="auto"/>
        <w:ind w:firstLine="480" w:firstLineChars="200"/>
        <w:outlineLvl w:val="0"/>
        <w:rPr>
          <w:rFonts w:hAnsi="宋体" w:cs="宋体"/>
          <w:bCs/>
          <w:color w:val="auto"/>
          <w:sz w:val="24"/>
          <w:szCs w:val="24"/>
          <w:highlight w:val="none"/>
        </w:rPr>
      </w:pPr>
      <w:r>
        <w:rPr>
          <w:rFonts w:hAnsi="宋体" w:cs="宋体"/>
          <w:bCs/>
          <w:color w:val="auto"/>
          <w:sz w:val="24"/>
          <w:szCs w:val="24"/>
          <w:highlight w:val="none"/>
        </w:rPr>
        <w:t>3.1 投标人须是在中华人民共和国境内注册的企业法人，持有有效的企业法人营业执照。</w:t>
      </w:r>
    </w:p>
    <w:p>
      <w:pPr>
        <w:spacing w:line="360" w:lineRule="auto"/>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3.2</w:t>
      </w:r>
      <w:r>
        <w:rPr>
          <w:rFonts w:hAnsi="宋体" w:cs="宋体"/>
          <w:bCs/>
          <w:color w:val="auto"/>
          <w:sz w:val="24"/>
          <w:szCs w:val="24"/>
          <w:highlight w:val="none"/>
        </w:rPr>
        <w:t>投标人须具有省级（含）以上相关主管部门颁发的建设工程质量检测机构资质证书和建设工程质量检测机构专项检测资质证书，检测业务范围须同时包括主体结构工程现场检测</w:t>
      </w:r>
      <w:r>
        <w:rPr>
          <w:rFonts w:hint="eastAsia" w:hAnsi="宋体" w:cs="宋体"/>
          <w:bCs/>
          <w:color w:val="auto"/>
          <w:sz w:val="24"/>
          <w:szCs w:val="24"/>
          <w:highlight w:val="none"/>
        </w:rPr>
        <w:t>、</w:t>
      </w:r>
      <w:r>
        <w:rPr>
          <w:rFonts w:hAnsi="宋体" w:cs="宋体"/>
          <w:bCs/>
          <w:color w:val="auto"/>
          <w:sz w:val="24"/>
          <w:szCs w:val="24"/>
          <w:highlight w:val="none"/>
        </w:rPr>
        <w:t>见证取样检测和地基基础工程检测。</w:t>
      </w:r>
    </w:p>
    <w:p>
      <w:pPr>
        <w:spacing w:line="360" w:lineRule="auto"/>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 xml:space="preserve">3.3 </w:t>
      </w:r>
      <w:r>
        <w:rPr>
          <w:rFonts w:hAnsi="宋体" w:cs="宋体"/>
          <w:bCs/>
          <w:color w:val="auto"/>
          <w:sz w:val="24"/>
          <w:szCs w:val="24"/>
          <w:highlight w:val="none"/>
        </w:rPr>
        <w:t>投标人须具有省级（含）以上质量技术监督部门核发的相应计量认证证书（CMA），且证书合格、有效。</w:t>
      </w:r>
    </w:p>
    <w:p>
      <w:pPr>
        <w:spacing w:line="360" w:lineRule="auto"/>
        <w:ind w:firstLine="480" w:firstLineChars="200"/>
        <w:outlineLvl w:val="0"/>
        <w:rPr>
          <w:rFonts w:hAnsi="宋体" w:cs="宋体"/>
          <w:bCs/>
          <w:color w:val="auto"/>
          <w:sz w:val="24"/>
          <w:szCs w:val="24"/>
          <w:highlight w:val="none"/>
        </w:rPr>
      </w:pPr>
      <w:r>
        <w:rPr>
          <w:rFonts w:hAnsi="宋体" w:cs="宋体"/>
          <w:bCs/>
          <w:color w:val="auto"/>
          <w:sz w:val="24"/>
          <w:szCs w:val="24"/>
          <w:highlight w:val="none"/>
        </w:rPr>
        <w:t>3.4投标人应具有至少一项</w:t>
      </w:r>
      <w:r>
        <w:rPr>
          <w:rFonts w:hint="eastAsia" w:hAnsi="宋体" w:cs="宋体"/>
          <w:bCs/>
          <w:color w:val="auto"/>
          <w:sz w:val="24"/>
          <w:szCs w:val="24"/>
          <w:highlight w:val="none"/>
        </w:rPr>
        <w:t>200</w:t>
      </w:r>
      <w:r>
        <w:rPr>
          <w:rFonts w:hAnsi="宋体" w:cs="宋体"/>
          <w:bCs/>
          <w:color w:val="auto"/>
          <w:sz w:val="24"/>
          <w:szCs w:val="24"/>
          <w:highlight w:val="none"/>
        </w:rPr>
        <w:t>万元人民币及以上的见证取样和专项检测（含主体结构工程检测</w:t>
      </w:r>
      <w:r>
        <w:rPr>
          <w:rFonts w:hint="eastAsia" w:hAnsi="宋体" w:cs="宋体"/>
          <w:bCs/>
          <w:color w:val="auto"/>
          <w:sz w:val="24"/>
          <w:szCs w:val="24"/>
          <w:highlight w:val="none"/>
        </w:rPr>
        <w:t>、</w:t>
      </w:r>
      <w:r>
        <w:rPr>
          <w:rFonts w:hAnsi="宋体" w:cs="宋体"/>
          <w:bCs/>
          <w:color w:val="auto"/>
          <w:sz w:val="24"/>
          <w:szCs w:val="24"/>
          <w:highlight w:val="none"/>
        </w:rPr>
        <w:t>地基基础工程检测）内容的质量检测业绩。</w:t>
      </w:r>
    </w:p>
    <w:p>
      <w:pPr>
        <w:spacing w:line="360" w:lineRule="auto"/>
        <w:ind w:firstLine="480" w:firstLineChars="200"/>
        <w:outlineLvl w:val="0"/>
        <w:rPr>
          <w:rFonts w:hAnsi="宋体" w:cs="宋体"/>
          <w:bCs/>
          <w:color w:val="auto"/>
          <w:sz w:val="24"/>
          <w:szCs w:val="24"/>
          <w:highlight w:val="none"/>
        </w:rPr>
      </w:pPr>
      <w:r>
        <w:rPr>
          <w:rFonts w:hAnsi="宋体" w:cs="宋体"/>
          <w:bCs/>
          <w:color w:val="auto"/>
          <w:sz w:val="24"/>
          <w:szCs w:val="24"/>
          <w:highlight w:val="none"/>
        </w:rPr>
        <w:t>3.5投标人</w:t>
      </w:r>
      <w:r>
        <w:rPr>
          <w:rFonts w:hint="eastAsia" w:hAnsi="宋体" w:cs="宋体"/>
          <w:bCs/>
          <w:color w:val="auto"/>
          <w:sz w:val="24"/>
          <w:szCs w:val="24"/>
          <w:highlight w:val="none"/>
        </w:rPr>
        <w:t>须具有或承诺设立</w:t>
      </w:r>
      <w:r>
        <w:rPr>
          <w:rFonts w:hAnsi="宋体" w:cs="宋体"/>
          <w:bCs/>
          <w:color w:val="auto"/>
          <w:sz w:val="24"/>
          <w:szCs w:val="24"/>
          <w:highlight w:val="none"/>
        </w:rPr>
        <w:t>满足本工程检测需要的实验室。</w:t>
      </w:r>
    </w:p>
    <w:p>
      <w:pPr>
        <w:spacing w:line="360" w:lineRule="auto"/>
        <w:ind w:firstLine="480" w:firstLineChars="200"/>
        <w:outlineLvl w:val="0"/>
        <w:rPr>
          <w:rFonts w:hAnsi="宋体" w:cs="宋体"/>
          <w:bCs/>
          <w:color w:val="auto"/>
          <w:sz w:val="24"/>
          <w:szCs w:val="24"/>
          <w:highlight w:val="none"/>
        </w:rPr>
      </w:pPr>
      <w:r>
        <w:rPr>
          <w:rFonts w:hAnsi="宋体" w:cs="宋体"/>
          <w:bCs/>
          <w:color w:val="auto"/>
          <w:sz w:val="24"/>
          <w:szCs w:val="24"/>
          <w:highlight w:val="none"/>
        </w:rPr>
        <w:t>3.6</w:t>
      </w:r>
      <w:r>
        <w:rPr>
          <w:rFonts w:hAnsi="宋体" w:cs="宋体"/>
          <w:color w:val="auto"/>
          <w:sz w:val="24"/>
          <w:szCs w:val="24"/>
          <w:highlight w:val="none"/>
        </w:rPr>
        <w:t>项目负责人、技术负责人及检测人员要求</w:t>
      </w:r>
      <w:r>
        <w:rPr>
          <w:rFonts w:hAnsi="宋体" w:cs="宋体"/>
          <w:bCs/>
          <w:color w:val="auto"/>
          <w:sz w:val="24"/>
          <w:szCs w:val="24"/>
          <w:highlight w:val="none"/>
        </w:rPr>
        <w:t>：</w:t>
      </w:r>
    </w:p>
    <w:p>
      <w:pPr>
        <w:spacing w:line="360" w:lineRule="auto"/>
        <w:ind w:firstLine="480" w:firstLineChars="200"/>
        <w:outlineLvl w:val="0"/>
        <w:rPr>
          <w:rFonts w:hAnsi="宋体" w:cs="宋体"/>
          <w:bCs/>
          <w:color w:val="auto"/>
          <w:sz w:val="24"/>
          <w:szCs w:val="24"/>
          <w:highlight w:val="none"/>
        </w:rPr>
      </w:pPr>
      <w:r>
        <w:rPr>
          <w:rFonts w:hAnsi="宋体" w:cs="宋体"/>
          <w:bCs/>
          <w:color w:val="auto"/>
          <w:sz w:val="24"/>
          <w:szCs w:val="24"/>
          <w:highlight w:val="none"/>
        </w:rPr>
        <w:t>3.6.1项目负责人须至少有中级工程师职称，有相应试验检测从业证书，为投标人在职正式员工，与投标人单位签订了劳动合同；自投标文件递交截止时间之前的12个月内，投标人已为其缴纳连续6个月及以上的养老保险；</w:t>
      </w:r>
      <w:r>
        <w:rPr>
          <w:rFonts w:hAnsi="宋体" w:cs="宋体"/>
          <w:color w:val="auto"/>
          <w:sz w:val="24"/>
          <w:szCs w:val="24"/>
          <w:highlight w:val="none"/>
        </w:rPr>
        <w:t>且不得担任其他在建项目的项目负责人</w:t>
      </w:r>
      <w:r>
        <w:rPr>
          <w:rFonts w:hAnsi="宋体" w:cs="宋体"/>
          <w:bCs/>
          <w:color w:val="auto"/>
          <w:sz w:val="24"/>
          <w:szCs w:val="24"/>
          <w:highlight w:val="none"/>
        </w:rPr>
        <w:t>。</w:t>
      </w:r>
    </w:p>
    <w:p>
      <w:pPr>
        <w:spacing w:line="360" w:lineRule="auto"/>
        <w:ind w:firstLine="480" w:firstLineChars="200"/>
        <w:outlineLvl w:val="0"/>
        <w:rPr>
          <w:rFonts w:hAnsi="宋体" w:cs="宋体"/>
          <w:bCs/>
          <w:color w:val="auto"/>
          <w:sz w:val="24"/>
          <w:szCs w:val="24"/>
          <w:highlight w:val="none"/>
        </w:rPr>
      </w:pPr>
      <w:r>
        <w:rPr>
          <w:rFonts w:hAnsi="宋体" w:cs="宋体"/>
          <w:bCs/>
          <w:color w:val="auto"/>
          <w:sz w:val="24"/>
          <w:szCs w:val="24"/>
          <w:highlight w:val="none"/>
        </w:rPr>
        <w:t>3.6.2 项目技术负责人须至少有</w:t>
      </w:r>
      <w:r>
        <w:rPr>
          <w:rFonts w:hint="eastAsia" w:hAnsi="宋体" w:cs="宋体"/>
          <w:bCs/>
          <w:color w:val="auto"/>
          <w:sz w:val="24"/>
          <w:szCs w:val="24"/>
          <w:highlight w:val="none"/>
        </w:rPr>
        <w:t>中</w:t>
      </w:r>
      <w:r>
        <w:rPr>
          <w:rFonts w:hAnsi="宋体" w:cs="宋体"/>
          <w:bCs/>
          <w:color w:val="auto"/>
          <w:sz w:val="24"/>
          <w:szCs w:val="24"/>
          <w:highlight w:val="none"/>
        </w:rPr>
        <w:t>级工程师职称，有相应试验检测从业证书，为投标人在职正式员工，与投标人单位签订了劳动合同；自投标文件递交截止时间之前的12个月内，投标人已为其缴纳连续6个月及以上的养老保险。</w:t>
      </w:r>
    </w:p>
    <w:p>
      <w:pPr>
        <w:spacing w:line="360" w:lineRule="auto"/>
        <w:ind w:firstLine="480" w:firstLineChars="200"/>
        <w:outlineLvl w:val="0"/>
        <w:rPr>
          <w:rFonts w:hAnsi="宋体" w:cs="宋体"/>
          <w:bCs/>
          <w:color w:val="auto"/>
          <w:sz w:val="24"/>
          <w:szCs w:val="24"/>
          <w:highlight w:val="none"/>
        </w:rPr>
      </w:pPr>
      <w:r>
        <w:rPr>
          <w:rFonts w:hAnsi="宋体" w:cs="宋体"/>
          <w:bCs/>
          <w:color w:val="auto"/>
          <w:sz w:val="24"/>
          <w:szCs w:val="24"/>
          <w:highlight w:val="none"/>
        </w:rPr>
        <w:t>3.6.3检测人员须具有相应试验检测从业证书。</w:t>
      </w:r>
    </w:p>
    <w:p>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其他资格要求：</w:t>
      </w:r>
    </w:p>
    <w:p>
      <w:pPr>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1）投标人须提供近三年度（2016年度-2018年度）审计报告，投标人未连续三年亏损。审计报告中无否定意见或无法表示意见。</w:t>
      </w:r>
    </w:p>
    <w:p>
      <w:pPr>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2）投标人没有处于破产、被责令停产、停业、投标资格被限制状态。</w:t>
      </w:r>
    </w:p>
    <w:p>
      <w:pPr>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3）单位负责人为同一人或者存在控股、管理关系的不同单位，不得同时参加本项目同一标段投标。</w:t>
      </w:r>
    </w:p>
    <w:p>
      <w:pPr>
        <w:pStyle w:val="14"/>
        <w:spacing w:beforeAutospacing="0" w:afterAutospacing="0" w:line="360" w:lineRule="auto"/>
        <w:ind w:firstLine="480" w:firstLineChars="200"/>
        <w:contextualSpacing/>
        <w:jc w:val="both"/>
        <w:rPr>
          <w:rFonts w:cs="Times New Roman"/>
          <w:color w:val="auto"/>
          <w:szCs w:val="24"/>
          <w:highlight w:val="none"/>
        </w:rPr>
      </w:pPr>
      <w:r>
        <w:rPr>
          <w:rFonts w:hint="eastAsia"/>
          <w:color w:val="auto"/>
          <w:szCs w:val="24"/>
          <w:highlight w:val="none"/>
        </w:rPr>
        <w:t>4）</w:t>
      </w:r>
      <w:r>
        <w:rPr>
          <w:rFonts w:hint="eastAsia" w:cs="Times New Roman"/>
          <w:color w:val="auto"/>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480" w:firstLineChars="200"/>
        <w:outlineLvl w:val="0"/>
        <w:rPr>
          <w:rFonts w:hAnsi="宋体" w:cs="宋体"/>
          <w:color w:val="auto"/>
          <w:sz w:val="24"/>
          <w:szCs w:val="24"/>
          <w:highlight w:val="none"/>
        </w:rPr>
      </w:pPr>
      <w:r>
        <w:rPr>
          <w:rFonts w:hint="eastAsia" w:hAnsi="宋体" w:cs="宋体"/>
          <w:color w:val="auto"/>
          <w:sz w:val="24"/>
          <w:szCs w:val="24"/>
          <w:highlight w:val="none"/>
        </w:rPr>
        <w:t>5）投标人近三年内无不良行为记录，并提供《不良行为记录承诺书》（格式见招标文件）</w:t>
      </w:r>
    </w:p>
    <w:p>
      <w:pPr>
        <w:spacing w:line="360" w:lineRule="auto"/>
        <w:ind w:firstLine="480"/>
        <w:outlineLvl w:val="0"/>
        <w:rPr>
          <w:rFonts w:hint="eastAsia" w:hAnsi="宋体" w:cs="宋体"/>
          <w:color w:val="auto"/>
          <w:sz w:val="24"/>
          <w:szCs w:val="24"/>
          <w:highlight w:val="none"/>
        </w:rPr>
      </w:pPr>
      <w:r>
        <w:rPr>
          <w:rFonts w:hint="eastAsia" w:hAnsi="宋体" w:cs="宋体"/>
          <w:color w:val="auto"/>
          <w:sz w:val="24"/>
          <w:szCs w:val="24"/>
          <w:highlight w:val="none"/>
        </w:rPr>
        <w:t>6）本次招标接受联合体投标。</w:t>
      </w:r>
    </w:p>
    <w:p>
      <w:pPr>
        <w:pStyle w:val="14"/>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lang w:val="en-US" w:eastAsia="zh-CN"/>
        </w:rPr>
        <w:t>A.</w:t>
      </w:r>
      <w:r>
        <w:rPr>
          <w:rFonts w:hint="eastAsia"/>
          <w:color w:val="auto"/>
          <w:szCs w:val="24"/>
          <w:highlight w:val="none"/>
        </w:rPr>
        <w:t>联合体各方应按国家《标准施工招标文件》提供的格式签订联合体协议书，明确联合体牵头人和各方的权利义务。</w:t>
      </w:r>
    </w:p>
    <w:p>
      <w:pPr>
        <w:pStyle w:val="14"/>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lang w:val="en-US" w:eastAsia="zh-CN"/>
        </w:rPr>
        <w:t>B.</w:t>
      </w:r>
      <w:r>
        <w:rPr>
          <w:rFonts w:hint="eastAsia"/>
          <w:color w:val="auto"/>
          <w:szCs w:val="24"/>
          <w:highlight w:val="none"/>
        </w:rPr>
        <w:t>由同一专业的单位组成的联合体，按照资质等级较低的单位确定资质等级。</w:t>
      </w:r>
    </w:p>
    <w:p>
      <w:pPr>
        <w:pStyle w:val="14"/>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lang w:val="en-US" w:eastAsia="zh-CN"/>
        </w:rPr>
        <w:t>C.</w:t>
      </w:r>
      <w:r>
        <w:rPr>
          <w:rFonts w:hint="eastAsia"/>
          <w:color w:val="auto"/>
          <w:szCs w:val="24"/>
          <w:highlight w:val="none"/>
        </w:rPr>
        <w:t>联合体各方不得再以自己名义单独或参加其他联合体在同一标段中投标。</w:t>
      </w:r>
    </w:p>
    <w:p>
      <w:pPr>
        <w:pStyle w:val="14"/>
        <w:spacing w:before="0" w:beforeAutospacing="0" w:after="0" w:afterAutospacing="0" w:line="360" w:lineRule="auto"/>
        <w:ind w:firstLine="480" w:firstLineChars="200"/>
        <w:contextualSpacing/>
        <w:jc w:val="both"/>
        <w:rPr>
          <w:rFonts w:hint="eastAsia" w:eastAsiaTheme="minorEastAsia"/>
          <w:color w:val="auto"/>
          <w:szCs w:val="24"/>
          <w:highlight w:val="none"/>
          <w:lang w:val="en-US" w:eastAsia="zh-CN"/>
        </w:rPr>
      </w:pPr>
      <w:r>
        <w:rPr>
          <w:rFonts w:hint="eastAsia"/>
          <w:color w:val="auto"/>
          <w:szCs w:val="24"/>
          <w:highlight w:val="none"/>
          <w:lang w:val="en-US" w:eastAsia="zh-CN"/>
        </w:rPr>
        <w:t>D.联合体投标的项目负责人及技术负责人应为牵头单位的在职正式员工。</w:t>
      </w:r>
    </w:p>
    <w:p>
      <w:pPr>
        <w:spacing w:line="360" w:lineRule="auto"/>
        <w:outlineLvl w:val="0"/>
        <w:rPr>
          <w:rFonts w:hAnsi="宋体" w:cs="宋体"/>
          <w:color w:val="auto"/>
          <w:sz w:val="24"/>
          <w:szCs w:val="24"/>
          <w:highlight w:val="none"/>
        </w:rPr>
      </w:pPr>
      <w:r>
        <w:rPr>
          <w:rFonts w:hint="eastAsia" w:hAnsi="宋体" w:cs="宋体"/>
          <w:color w:val="auto"/>
          <w:sz w:val="24"/>
          <w:szCs w:val="24"/>
          <w:highlight w:val="none"/>
        </w:rPr>
        <w:t xml:space="preserve">    7）本次招标实行资格后审。</w:t>
      </w:r>
    </w:p>
    <w:p>
      <w:pPr>
        <w:widowControl/>
        <w:spacing w:line="360" w:lineRule="auto"/>
        <w:rPr>
          <w:rFonts w:hAnsi="宋体"/>
          <w:b/>
          <w:color w:val="auto"/>
          <w:sz w:val="24"/>
          <w:highlight w:val="none"/>
        </w:rPr>
      </w:pPr>
      <w:r>
        <w:rPr>
          <w:rFonts w:hint="eastAsia" w:hAnsi="宋体"/>
          <w:b/>
          <w:color w:val="auto"/>
          <w:sz w:val="24"/>
          <w:highlight w:val="none"/>
        </w:rPr>
        <w:t>4、网上下载招标文件</w:t>
      </w:r>
    </w:p>
    <w:p>
      <w:pPr>
        <w:pStyle w:val="14"/>
        <w:wordWrap w:val="0"/>
        <w:spacing w:beforeAutospacing="0" w:afterAutospacing="0" w:line="360" w:lineRule="auto"/>
        <w:ind w:firstLine="480" w:firstLineChars="200"/>
        <w:rPr>
          <w:rFonts w:cs="Times New Roman"/>
          <w:color w:val="auto"/>
          <w:szCs w:val="24"/>
          <w:highlight w:val="none"/>
        </w:rPr>
      </w:pPr>
      <w:r>
        <w:rPr>
          <w:rFonts w:hint="eastAsia" w:cs="Times New Roman"/>
          <w:color w:val="auto"/>
          <w:szCs w:val="24"/>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4"/>
        <w:wordWrap w:val="0"/>
        <w:spacing w:beforeAutospacing="0" w:afterAutospacing="0" w:line="360" w:lineRule="auto"/>
        <w:ind w:firstLine="480" w:firstLineChars="200"/>
        <w:rPr>
          <w:rFonts w:cs="Times New Roman"/>
          <w:color w:val="auto"/>
          <w:szCs w:val="24"/>
          <w:highlight w:val="none"/>
        </w:rPr>
      </w:pPr>
      <w:r>
        <w:rPr>
          <w:rFonts w:hint="eastAsia" w:cs="Times New Roman"/>
          <w:color w:val="auto"/>
          <w:szCs w:val="24"/>
          <w:highlight w:val="none"/>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highlight w:val="none"/>
        </w:rPr>
      </w:pPr>
      <w:r>
        <w:rPr>
          <w:rFonts w:hint="eastAsia" w:hAnsi="宋体"/>
          <w:b/>
          <w:color w:val="auto"/>
          <w:sz w:val="24"/>
          <w:highlight w:val="none"/>
        </w:rPr>
        <w:t xml:space="preserve">5.招标文件的获取                                                                                                                                                                                                                                 </w:t>
      </w:r>
    </w:p>
    <w:p>
      <w:pPr>
        <w:widowControl/>
        <w:spacing w:line="360" w:lineRule="auto"/>
        <w:ind w:firstLine="480" w:firstLineChars="200"/>
        <w:rPr>
          <w:rFonts w:hAnsi="宋体"/>
          <w:bCs/>
          <w:color w:val="auto"/>
          <w:sz w:val="24"/>
          <w:highlight w:val="none"/>
        </w:rPr>
      </w:pPr>
      <w:r>
        <w:rPr>
          <w:rFonts w:hint="eastAsia" w:hAnsi="宋体"/>
          <w:bCs/>
          <w:color w:val="auto"/>
          <w:sz w:val="24"/>
          <w:highlight w:val="none"/>
        </w:rPr>
        <w:t xml:space="preserve"> 5.1招标文件的获取：投标人于投标文件递交截止时间前均可登录《全国公共资源交易平台(河南省▪许昌市)》（http://ggzy.xuchang.gov.cn/），通过“投标人/供应商登录”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highlight w:val="none"/>
        </w:rPr>
      </w:pPr>
      <w:r>
        <w:rPr>
          <w:rFonts w:hint="eastAsia" w:hAnsi="宋体"/>
          <w:bCs/>
          <w:color w:val="auto"/>
          <w:sz w:val="24"/>
          <w:highlight w:val="none"/>
        </w:rPr>
        <w:t xml:space="preserve"> 5.2招标文件每套售价</w:t>
      </w:r>
      <w:r>
        <w:rPr>
          <w:rFonts w:hint="eastAsia" w:hAnsi="宋体"/>
          <w:bCs/>
          <w:color w:val="auto"/>
          <w:sz w:val="24"/>
          <w:highlight w:val="none"/>
          <w:u w:val="single"/>
        </w:rPr>
        <w:t>300</w:t>
      </w:r>
      <w:r>
        <w:rPr>
          <w:rFonts w:hint="eastAsia" w:hAnsi="宋体"/>
          <w:bCs/>
          <w:color w:val="auto"/>
          <w:sz w:val="24"/>
          <w:highlight w:val="none"/>
        </w:rPr>
        <w:t>元，投标人于开标结束后转账至下面账号（转账时请注明项目编号、标段及公司名称）。</w:t>
      </w:r>
    </w:p>
    <w:p>
      <w:pPr>
        <w:widowControl/>
        <w:spacing w:line="312" w:lineRule="auto"/>
        <w:ind w:firstLine="480" w:firstLineChars="200"/>
        <w:rPr>
          <w:rFonts w:hAnsi="宋体"/>
          <w:bCs/>
          <w:color w:val="auto"/>
          <w:sz w:val="24"/>
          <w:highlight w:val="none"/>
        </w:rPr>
      </w:pPr>
      <w:r>
        <w:rPr>
          <w:rFonts w:hint="eastAsia" w:hAnsi="宋体"/>
          <w:bCs/>
          <w:color w:val="auto"/>
          <w:sz w:val="24"/>
          <w:highlight w:val="none"/>
        </w:rPr>
        <w:t>收款单位：贾迎春</w:t>
      </w:r>
    </w:p>
    <w:p>
      <w:pPr>
        <w:widowControl/>
        <w:spacing w:line="312" w:lineRule="auto"/>
        <w:ind w:firstLine="480" w:firstLineChars="200"/>
        <w:rPr>
          <w:rFonts w:hAnsi="宋体"/>
          <w:bCs/>
          <w:color w:val="auto"/>
          <w:sz w:val="24"/>
          <w:highlight w:val="none"/>
        </w:rPr>
      </w:pPr>
      <w:r>
        <w:rPr>
          <w:rFonts w:hint="eastAsia" w:hAnsi="宋体"/>
          <w:bCs/>
          <w:color w:val="auto"/>
          <w:sz w:val="24"/>
          <w:highlight w:val="none"/>
        </w:rPr>
        <w:t>开 户 行：中国工商银行许昌八一路支行</w:t>
      </w:r>
    </w:p>
    <w:p>
      <w:pPr>
        <w:widowControl/>
        <w:spacing w:line="312" w:lineRule="auto"/>
        <w:ind w:firstLine="480" w:firstLineChars="200"/>
        <w:rPr>
          <w:color w:val="auto"/>
          <w:highlight w:val="none"/>
        </w:rPr>
      </w:pPr>
      <w:r>
        <w:rPr>
          <w:rFonts w:hint="eastAsia" w:hAnsi="宋体"/>
          <w:bCs/>
          <w:color w:val="auto"/>
          <w:sz w:val="24"/>
          <w:highlight w:val="none"/>
        </w:rPr>
        <w:t>账    号：6222 0817 0800 1119 811</w:t>
      </w:r>
    </w:p>
    <w:p>
      <w:pPr>
        <w:widowControl/>
        <w:numPr>
          <w:ilvl w:val="0"/>
          <w:numId w:val="4"/>
        </w:numPr>
        <w:spacing w:line="312" w:lineRule="auto"/>
        <w:rPr>
          <w:rFonts w:hAnsi="宋体"/>
          <w:b/>
          <w:color w:val="auto"/>
          <w:sz w:val="24"/>
          <w:highlight w:val="none"/>
        </w:rPr>
      </w:pPr>
      <w:r>
        <w:rPr>
          <w:rFonts w:hint="eastAsia" w:hAnsi="宋体"/>
          <w:b/>
          <w:color w:val="auto"/>
          <w:sz w:val="24"/>
          <w:highlight w:val="none"/>
        </w:rPr>
        <w:t>投标文件的递交</w:t>
      </w:r>
    </w:p>
    <w:p>
      <w:pPr>
        <w:spacing w:line="530" w:lineRule="exact"/>
        <w:ind w:firstLine="465"/>
        <w:rPr>
          <w:rFonts w:hAnsi="宋体" w:cs="宋体"/>
          <w:color w:val="auto"/>
          <w:sz w:val="24"/>
          <w:szCs w:val="24"/>
          <w:highlight w:val="none"/>
        </w:rPr>
      </w:pPr>
      <w:r>
        <w:rPr>
          <w:rFonts w:hAnsi="宋体"/>
          <w:bCs/>
          <w:color w:val="auto"/>
          <w:sz w:val="24"/>
          <w:highlight w:val="none"/>
        </w:rPr>
        <w:t>6</w:t>
      </w:r>
      <w:r>
        <w:rPr>
          <w:rFonts w:hint="eastAsia" w:hAnsi="宋体"/>
          <w:bCs/>
          <w:color w:val="auto"/>
          <w:sz w:val="24"/>
          <w:highlight w:val="none"/>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auto"/>
          <w:sz w:val="24"/>
          <w:highlight w:val="none"/>
        </w:rPr>
      </w:pPr>
      <w:r>
        <w:rPr>
          <w:rFonts w:hint="eastAsia" w:hAnsi="宋体"/>
          <w:bCs/>
          <w:color w:val="auto"/>
          <w:sz w:val="24"/>
          <w:highlight w:val="none"/>
        </w:rPr>
        <w:t xml:space="preserve">6.2 </w:t>
      </w:r>
      <w:bookmarkStart w:id="284" w:name="_GoBack"/>
      <w:bookmarkEnd w:id="284"/>
      <w:r>
        <w:rPr>
          <w:rFonts w:hint="eastAsia" w:hAnsi="宋体"/>
          <w:bCs/>
          <w:color w:val="auto"/>
          <w:sz w:val="24"/>
          <w:highlight w:val="none"/>
        </w:rPr>
        <w:t>投标截止时间及开标时间：2020年</w:t>
      </w:r>
      <w:r>
        <w:rPr>
          <w:rFonts w:hint="eastAsia" w:hAnsi="宋体"/>
          <w:bCs/>
          <w:color w:val="auto"/>
          <w:sz w:val="24"/>
          <w:highlight w:val="none"/>
          <w:lang w:val="en-US" w:eastAsia="zh-CN"/>
        </w:rPr>
        <w:t>5</w:t>
      </w:r>
      <w:r>
        <w:rPr>
          <w:rFonts w:hint="eastAsia" w:hAnsi="宋体"/>
          <w:bCs/>
          <w:color w:val="auto"/>
          <w:sz w:val="24"/>
          <w:highlight w:val="none"/>
        </w:rPr>
        <w:t>月</w:t>
      </w:r>
      <w:r>
        <w:rPr>
          <w:rFonts w:hint="eastAsia" w:hAnsi="宋体"/>
          <w:bCs/>
          <w:color w:val="auto"/>
          <w:sz w:val="24"/>
          <w:highlight w:val="none"/>
          <w:lang w:val="en-US" w:eastAsia="zh-CN"/>
        </w:rPr>
        <w:t>12</w:t>
      </w:r>
      <w:r>
        <w:rPr>
          <w:rFonts w:hint="eastAsia" w:hAnsi="宋体"/>
          <w:bCs/>
          <w:color w:val="auto"/>
          <w:sz w:val="24"/>
          <w:highlight w:val="none"/>
        </w:rPr>
        <w:t>日</w:t>
      </w:r>
      <w:r>
        <w:rPr>
          <w:rFonts w:hint="eastAsia" w:hAnsi="宋体"/>
          <w:bCs/>
          <w:color w:val="auto"/>
          <w:sz w:val="24"/>
          <w:highlight w:val="none"/>
          <w:lang w:val="en-US" w:eastAsia="zh-CN"/>
        </w:rPr>
        <w:t>8</w:t>
      </w:r>
      <w:r>
        <w:rPr>
          <w:rFonts w:hint="eastAsia" w:hAnsi="宋体"/>
          <w:bCs/>
          <w:color w:val="auto"/>
          <w:sz w:val="24"/>
          <w:highlight w:val="none"/>
        </w:rPr>
        <w:t>时</w:t>
      </w:r>
      <w:r>
        <w:rPr>
          <w:rFonts w:hint="eastAsia" w:hAnsi="宋体"/>
          <w:bCs/>
          <w:color w:val="auto"/>
          <w:sz w:val="24"/>
          <w:highlight w:val="none"/>
          <w:lang w:val="en-US" w:eastAsia="zh-CN"/>
        </w:rPr>
        <w:t>30</w:t>
      </w:r>
      <w:r>
        <w:rPr>
          <w:rFonts w:hint="eastAsia" w:hAnsi="宋体"/>
          <w:bCs/>
          <w:color w:val="auto"/>
          <w:sz w:val="24"/>
          <w:highlight w:val="none"/>
        </w:rPr>
        <w:t>分。</w:t>
      </w:r>
    </w:p>
    <w:p>
      <w:pPr>
        <w:widowControl/>
        <w:spacing w:line="360" w:lineRule="auto"/>
        <w:ind w:firstLine="480" w:firstLineChars="200"/>
        <w:rPr>
          <w:rFonts w:hAnsi="宋体"/>
          <w:bCs/>
          <w:color w:val="auto"/>
          <w:sz w:val="24"/>
          <w:highlight w:val="none"/>
        </w:rPr>
      </w:pPr>
      <w:r>
        <w:rPr>
          <w:rFonts w:hint="eastAsia" w:hAnsi="宋体"/>
          <w:bCs/>
          <w:color w:val="auto"/>
          <w:sz w:val="24"/>
          <w:highlight w:val="none"/>
        </w:rPr>
        <w:t>6.3招标人（代理机构）线上开标地点：许昌市公共资源交易中心（龙兴路与竹林路交汇处创业服务中心C 座）三楼开标</w:t>
      </w:r>
      <w:r>
        <w:rPr>
          <w:rFonts w:hint="eastAsia" w:hAnsi="宋体"/>
          <w:bCs/>
          <w:color w:val="auto"/>
          <w:sz w:val="24"/>
          <w:highlight w:val="none"/>
          <w:lang w:eastAsia="zh-CN"/>
        </w:rPr>
        <w:t>一</w:t>
      </w:r>
      <w:r>
        <w:rPr>
          <w:rFonts w:hint="eastAsia" w:hAnsi="宋体"/>
          <w:bCs/>
          <w:color w:val="auto"/>
          <w:sz w:val="24"/>
          <w:highlight w:val="none"/>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highlight w:val="none"/>
        </w:rPr>
      </w:pPr>
      <w:r>
        <w:rPr>
          <w:rFonts w:hint="eastAsia" w:hAnsi="宋体"/>
          <w:bCs/>
          <w:color w:val="auto"/>
          <w:sz w:val="24"/>
          <w:highlight w:val="none"/>
        </w:rPr>
        <w:t>6.</w:t>
      </w:r>
      <w:r>
        <w:rPr>
          <w:rFonts w:hint="eastAsia" w:hAnsi="宋体"/>
          <w:bCs/>
          <w:color w:val="auto"/>
          <w:sz w:val="24"/>
          <w:highlight w:val="none"/>
          <w:lang w:val="en-US" w:eastAsia="zh-CN"/>
        </w:rPr>
        <w:t>4</w:t>
      </w:r>
      <w:r>
        <w:rPr>
          <w:rFonts w:hint="eastAsia" w:hAnsi="宋体"/>
          <w:bCs/>
          <w:color w:val="auto"/>
          <w:sz w:val="24"/>
          <w:highlight w:val="none"/>
        </w:rPr>
        <w:t>逾期送达（未成功上传）的或者未按规定解密的</w:t>
      </w:r>
      <w:r>
        <w:rPr>
          <w:rFonts w:hint="eastAsia" w:hAnsi="宋体" w:cs="宋体"/>
          <w:color w:val="auto"/>
          <w:sz w:val="24"/>
          <w:highlight w:val="none"/>
        </w:rPr>
        <w:t>电子投标文件</w:t>
      </w:r>
      <w:r>
        <w:rPr>
          <w:rFonts w:hint="eastAsia" w:hAnsi="宋体"/>
          <w:bCs/>
          <w:color w:val="auto"/>
          <w:sz w:val="24"/>
          <w:highlight w:val="none"/>
        </w:rPr>
        <w:t>，招标人不予受理。</w:t>
      </w:r>
    </w:p>
    <w:p>
      <w:pPr>
        <w:widowControl/>
        <w:spacing w:line="312" w:lineRule="auto"/>
        <w:rPr>
          <w:rFonts w:hAnsi="宋体"/>
          <w:b/>
          <w:color w:val="auto"/>
          <w:sz w:val="24"/>
          <w:highlight w:val="none"/>
        </w:rPr>
      </w:pPr>
      <w:r>
        <w:rPr>
          <w:rFonts w:hint="eastAsia" w:hAnsi="宋体"/>
          <w:b/>
          <w:color w:val="auto"/>
          <w:sz w:val="24"/>
          <w:highlight w:val="none"/>
        </w:rPr>
        <w:t>7.发布公告的媒介</w:t>
      </w:r>
    </w:p>
    <w:p>
      <w:pPr>
        <w:widowControl/>
        <w:spacing w:line="312" w:lineRule="auto"/>
        <w:ind w:firstLine="480" w:firstLineChars="200"/>
        <w:rPr>
          <w:rFonts w:hAnsi="宋体"/>
          <w:color w:val="auto"/>
          <w:sz w:val="24"/>
          <w:highlight w:val="none"/>
        </w:rPr>
      </w:pPr>
      <w:r>
        <w:rPr>
          <w:rFonts w:hint="eastAsia" w:hAnsi="宋体"/>
          <w:color w:val="auto"/>
          <w:sz w:val="24"/>
          <w:highlight w:val="none"/>
        </w:rPr>
        <w:t>本公告同时在《全国公共资源交易平台(河南省▪许昌市</w:t>
      </w:r>
      <w:r>
        <w:rPr>
          <w:rFonts w:hAnsi="宋体"/>
          <w:color w:val="auto"/>
          <w:sz w:val="24"/>
          <w:highlight w:val="none"/>
        </w:rPr>
        <w:t>)</w:t>
      </w:r>
      <w:r>
        <w:rPr>
          <w:rFonts w:hint="eastAsia" w:hAnsi="宋体"/>
          <w:color w:val="auto"/>
          <w:sz w:val="24"/>
          <w:highlight w:val="none"/>
        </w:rPr>
        <w:t>》、《河南省电子招标投标公共服务平台》上发布。</w:t>
      </w:r>
    </w:p>
    <w:p>
      <w:pPr>
        <w:widowControl/>
        <w:spacing w:line="312" w:lineRule="auto"/>
        <w:rPr>
          <w:rFonts w:hAnsi="宋体"/>
          <w:b/>
          <w:color w:val="auto"/>
          <w:sz w:val="24"/>
          <w:highlight w:val="none"/>
        </w:rPr>
      </w:pPr>
      <w:r>
        <w:rPr>
          <w:rFonts w:hint="eastAsia" w:hAnsi="宋体"/>
          <w:b/>
          <w:color w:val="auto"/>
          <w:sz w:val="24"/>
          <w:highlight w:val="none"/>
        </w:rPr>
        <w:t>8.联系事项</w:t>
      </w:r>
    </w:p>
    <w:p>
      <w:pPr>
        <w:tabs>
          <w:tab w:val="left" w:pos="4140"/>
          <w:tab w:val="left" w:pos="4260"/>
        </w:tabs>
        <w:spacing w:line="360" w:lineRule="auto"/>
        <w:ind w:right="-578" w:rightChars="-170" w:firstLine="240" w:firstLineChars="100"/>
        <w:rPr>
          <w:rFonts w:hAnsi="宋体" w:cs="宋体"/>
          <w:color w:val="auto"/>
          <w:sz w:val="24"/>
          <w:szCs w:val="24"/>
          <w:highlight w:val="none"/>
        </w:rPr>
      </w:pPr>
      <w:r>
        <w:rPr>
          <w:rFonts w:hint="eastAsia" w:hAnsi="宋体" w:cs="宋体"/>
          <w:color w:val="auto"/>
          <w:sz w:val="24"/>
          <w:szCs w:val="24"/>
          <w:highlight w:val="none"/>
        </w:rPr>
        <w:t>招标人：许昌市建设投资有限责任公司</w:t>
      </w:r>
    </w:p>
    <w:p>
      <w:pPr>
        <w:tabs>
          <w:tab w:val="left" w:pos="4140"/>
          <w:tab w:val="left" w:pos="4260"/>
        </w:tabs>
        <w:spacing w:line="360" w:lineRule="auto"/>
        <w:ind w:right="-578" w:rightChars="-170" w:firstLine="240" w:firstLineChars="100"/>
        <w:rPr>
          <w:rFonts w:hAnsi="宋体" w:cs="宋体"/>
          <w:color w:val="auto"/>
          <w:sz w:val="24"/>
          <w:szCs w:val="24"/>
          <w:highlight w:val="none"/>
        </w:rPr>
      </w:pPr>
      <w:r>
        <w:rPr>
          <w:rFonts w:hint="eastAsia" w:hAnsi="宋体" w:cs="宋体"/>
          <w:color w:val="auto"/>
          <w:sz w:val="24"/>
          <w:szCs w:val="24"/>
          <w:highlight w:val="none"/>
        </w:rPr>
        <w:t>地址：许昌市建安大道东段市财政综合楼8楼</w:t>
      </w:r>
    </w:p>
    <w:p>
      <w:pPr>
        <w:tabs>
          <w:tab w:val="left" w:pos="4140"/>
          <w:tab w:val="left" w:pos="4260"/>
        </w:tabs>
        <w:spacing w:line="360" w:lineRule="auto"/>
        <w:ind w:right="-578" w:rightChars="-170" w:firstLine="240" w:firstLineChars="100"/>
        <w:rPr>
          <w:rFonts w:hAnsi="宋体" w:cs="宋体"/>
          <w:color w:val="auto"/>
          <w:sz w:val="24"/>
          <w:szCs w:val="24"/>
          <w:highlight w:val="none"/>
        </w:rPr>
      </w:pPr>
      <w:r>
        <w:rPr>
          <w:rFonts w:hint="eastAsia" w:hAnsi="宋体" w:cs="宋体"/>
          <w:color w:val="auto"/>
          <w:sz w:val="24"/>
          <w:szCs w:val="24"/>
          <w:highlight w:val="none"/>
        </w:rPr>
        <w:t>联系人：海先生</w:t>
      </w:r>
    </w:p>
    <w:p>
      <w:pPr>
        <w:tabs>
          <w:tab w:val="left" w:pos="4140"/>
          <w:tab w:val="left" w:pos="4260"/>
        </w:tabs>
        <w:spacing w:line="360" w:lineRule="auto"/>
        <w:ind w:right="-578" w:rightChars="-170" w:firstLine="240" w:firstLineChars="100"/>
        <w:rPr>
          <w:rFonts w:hAnsi="宋体" w:cs="宋体"/>
          <w:color w:val="auto"/>
          <w:sz w:val="24"/>
          <w:szCs w:val="24"/>
          <w:highlight w:val="none"/>
        </w:rPr>
      </w:pPr>
      <w:r>
        <w:rPr>
          <w:rFonts w:hAnsi="宋体" w:cs="宋体"/>
          <w:color w:val="auto"/>
          <w:sz w:val="24"/>
          <w:szCs w:val="24"/>
          <w:highlight w:val="none"/>
        </w:rPr>
        <w:t>联系电话</w:t>
      </w:r>
      <w:r>
        <w:rPr>
          <w:rFonts w:hint="eastAsia" w:hAnsi="宋体" w:cs="宋体"/>
          <w:color w:val="auto"/>
          <w:sz w:val="24"/>
          <w:szCs w:val="24"/>
          <w:highlight w:val="none"/>
        </w:rPr>
        <w:t>：0374-2699176</w:t>
      </w:r>
    </w:p>
    <w:p>
      <w:pPr>
        <w:tabs>
          <w:tab w:val="left" w:pos="4140"/>
          <w:tab w:val="left" w:pos="4260"/>
        </w:tabs>
        <w:spacing w:line="360" w:lineRule="auto"/>
        <w:ind w:right="-578" w:rightChars="-170" w:firstLine="240" w:firstLineChars="100"/>
        <w:rPr>
          <w:rFonts w:hAnsi="宋体" w:eastAsia="宋体" w:cs="宋体"/>
          <w:color w:val="auto"/>
          <w:sz w:val="24"/>
          <w:szCs w:val="24"/>
          <w:highlight w:val="none"/>
        </w:rPr>
      </w:pPr>
      <w:r>
        <w:rPr>
          <w:rFonts w:hint="eastAsia" w:hAnsi="宋体" w:cs="宋体"/>
          <w:color w:val="auto"/>
          <w:sz w:val="24"/>
          <w:szCs w:val="24"/>
          <w:highlight w:val="none"/>
        </w:rPr>
        <w:t>招标代理机构：河南建标工程管理有限公司</w:t>
      </w:r>
    </w:p>
    <w:p>
      <w:pPr>
        <w:tabs>
          <w:tab w:val="left" w:pos="4140"/>
          <w:tab w:val="left" w:pos="4260"/>
        </w:tabs>
        <w:spacing w:line="360" w:lineRule="auto"/>
        <w:ind w:right="-578" w:rightChars="-170" w:firstLine="240" w:firstLineChars="100"/>
        <w:rPr>
          <w:rFonts w:hAnsi="宋体" w:cs="宋体"/>
          <w:color w:val="auto"/>
          <w:sz w:val="24"/>
          <w:szCs w:val="24"/>
          <w:highlight w:val="none"/>
        </w:rPr>
      </w:pPr>
      <w:r>
        <w:rPr>
          <w:rFonts w:hint="eastAsia" w:hAnsi="宋体" w:cs="宋体"/>
          <w:color w:val="auto"/>
          <w:sz w:val="24"/>
          <w:szCs w:val="24"/>
          <w:highlight w:val="none"/>
        </w:rPr>
        <w:t xml:space="preserve">地址：许昌市劳动路1567号（八一路与劳动路交叉口四通地产五楼）    </w:t>
      </w:r>
    </w:p>
    <w:p>
      <w:pPr>
        <w:tabs>
          <w:tab w:val="left" w:pos="4140"/>
          <w:tab w:val="left" w:pos="4260"/>
        </w:tabs>
        <w:spacing w:line="360" w:lineRule="auto"/>
        <w:ind w:right="-578" w:rightChars="-170" w:firstLine="240" w:firstLineChars="100"/>
        <w:rPr>
          <w:rFonts w:hAnsi="宋体" w:eastAsia="宋体" w:cs="宋体"/>
          <w:color w:val="auto"/>
          <w:sz w:val="24"/>
          <w:szCs w:val="24"/>
          <w:highlight w:val="none"/>
        </w:rPr>
      </w:pPr>
      <w:r>
        <w:rPr>
          <w:rFonts w:hint="eastAsia" w:hAnsi="宋体" w:cs="宋体"/>
          <w:color w:val="auto"/>
          <w:sz w:val="24"/>
          <w:szCs w:val="24"/>
          <w:highlight w:val="none"/>
        </w:rPr>
        <w:t>联 系 人：姚女士</w:t>
      </w:r>
    </w:p>
    <w:p>
      <w:pPr>
        <w:tabs>
          <w:tab w:val="left" w:pos="4140"/>
          <w:tab w:val="left" w:pos="4260"/>
        </w:tabs>
        <w:spacing w:line="360" w:lineRule="auto"/>
        <w:ind w:right="-578" w:rightChars="-170" w:firstLine="240" w:firstLineChars="100"/>
        <w:rPr>
          <w:rFonts w:hint="default" w:hAnsi="宋体" w:cs="宋体" w:eastAsiaTheme="minorEastAsia"/>
          <w:color w:val="auto"/>
          <w:sz w:val="24"/>
          <w:szCs w:val="24"/>
          <w:highlight w:val="none"/>
          <w:lang w:val="en-US" w:eastAsia="zh-CN"/>
        </w:rPr>
      </w:pPr>
      <w:r>
        <w:rPr>
          <w:rFonts w:hint="eastAsia" w:hAnsi="宋体" w:cs="宋体"/>
          <w:color w:val="auto"/>
          <w:sz w:val="24"/>
          <w:szCs w:val="24"/>
          <w:highlight w:val="none"/>
        </w:rPr>
        <w:t>联系电话：0374-2771160</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17637961010</w:t>
      </w:r>
    </w:p>
    <w:p>
      <w:pPr>
        <w:spacing w:line="360" w:lineRule="auto"/>
        <w:ind w:firstLine="480" w:firstLineChars="200"/>
        <w:rPr>
          <w:rFonts w:hAnsi="宋体"/>
          <w:color w:val="auto"/>
          <w:sz w:val="24"/>
          <w:highlight w:val="none"/>
        </w:rPr>
      </w:pPr>
    </w:p>
    <w:p>
      <w:pPr>
        <w:autoSpaceDE w:val="0"/>
        <w:autoSpaceDN w:val="0"/>
        <w:adjustRightInd w:val="0"/>
        <w:spacing w:line="360" w:lineRule="auto"/>
        <w:ind w:firstLine="480" w:firstLineChars="200"/>
        <w:jc w:val="left"/>
        <w:rPr>
          <w:rFonts w:hAnsi="宋体"/>
          <w:color w:val="auto"/>
          <w:sz w:val="24"/>
          <w:szCs w:val="24"/>
          <w:highlight w:val="none"/>
        </w:rPr>
      </w:pPr>
    </w:p>
    <w:p>
      <w:pPr>
        <w:pStyle w:val="5"/>
        <w:ind w:firstLine="240"/>
        <w:jc w:val="right"/>
        <w:rPr>
          <w:rFonts w:hAnsi="宋体" w:cs="宋体"/>
          <w:color w:val="auto"/>
          <w:sz w:val="24"/>
          <w:szCs w:val="24"/>
          <w:highlight w:val="none"/>
        </w:rPr>
      </w:pPr>
      <w:r>
        <w:rPr>
          <w:rFonts w:hint="eastAsia" w:hAnsi="宋体" w:cs="宋体"/>
          <w:color w:val="auto"/>
          <w:sz w:val="24"/>
          <w:szCs w:val="24"/>
          <w:highlight w:val="none"/>
        </w:rPr>
        <w:t>许昌市建设投资有限责任公司</w:t>
      </w:r>
    </w:p>
    <w:p>
      <w:pPr>
        <w:pStyle w:val="5"/>
        <w:ind w:firstLine="240"/>
        <w:jc w:val="right"/>
        <w:rPr>
          <w:color w:val="auto"/>
          <w:highlight w:val="none"/>
        </w:rPr>
      </w:pPr>
      <w:r>
        <w:rPr>
          <w:rFonts w:hint="eastAsia" w:hAnsi="宋体"/>
          <w:color w:val="auto"/>
          <w:sz w:val="24"/>
          <w:highlight w:val="none"/>
        </w:rPr>
        <w:t>2020年</w:t>
      </w:r>
      <w:r>
        <w:rPr>
          <w:rFonts w:hint="eastAsia" w:hAnsi="宋体"/>
          <w:color w:val="auto"/>
          <w:sz w:val="24"/>
          <w:highlight w:val="none"/>
          <w:lang w:val="en-US" w:eastAsia="zh-CN"/>
        </w:rPr>
        <w:t>4</w:t>
      </w:r>
      <w:r>
        <w:rPr>
          <w:rFonts w:hint="eastAsia" w:hAnsi="宋体"/>
          <w:color w:val="auto"/>
          <w:sz w:val="24"/>
          <w:highlight w:val="none"/>
        </w:rPr>
        <w:t>月</w:t>
      </w:r>
      <w:r>
        <w:rPr>
          <w:rFonts w:hint="eastAsia" w:hAnsi="宋体"/>
          <w:color w:val="auto"/>
          <w:sz w:val="24"/>
          <w:highlight w:val="none"/>
          <w:lang w:val="en-US" w:eastAsia="zh-CN"/>
        </w:rPr>
        <w:t>15</w:t>
      </w:r>
      <w:r>
        <w:rPr>
          <w:rFonts w:hint="eastAsia" w:hAnsi="宋体"/>
          <w:color w:val="auto"/>
          <w:sz w:val="24"/>
          <w:highlight w:val="none"/>
        </w:rPr>
        <w:t>日</w:t>
      </w:r>
    </w:p>
    <w:p>
      <w:pPr>
        <w:keepNext w:val="0"/>
        <w:keepLines w:val="0"/>
        <w:pageBreakBefore w:val="0"/>
        <w:widowControl w:val="0"/>
        <w:kinsoku/>
        <w:wordWrap/>
        <w:overflowPunct/>
        <w:topLinePunct w:val="0"/>
        <w:bidi w:val="0"/>
        <w:snapToGrid/>
        <w:spacing w:line="312" w:lineRule="auto"/>
        <w:ind w:left="0" w:leftChars="0" w:right="0" w:rightChars="0"/>
        <w:jc w:val="both"/>
        <w:textAlignment w:val="auto"/>
        <w:outlineLvl w:val="9"/>
        <w:rPr>
          <w:rFonts w:hAnsi="宋体"/>
          <w:b/>
          <w:color w:val="auto"/>
          <w:sz w:val="28"/>
          <w:szCs w:val="28"/>
          <w:highlight w:val="none"/>
        </w:rPr>
      </w:pPr>
      <w:r>
        <w:rPr>
          <w:rFonts w:hint="eastAsia" w:hAnsi="宋体"/>
          <w:b/>
          <w:color w:val="auto"/>
          <w:sz w:val="28"/>
          <w:szCs w:val="28"/>
          <w:highlight w:val="none"/>
        </w:rPr>
        <w:br w:type="page"/>
      </w:r>
      <w:r>
        <w:rPr>
          <w:rFonts w:hint="eastAsia" w:hAnsi="宋体"/>
          <w:b/>
          <w:color w:val="auto"/>
          <w:sz w:val="28"/>
          <w:szCs w:val="28"/>
          <w:highlight w:val="none"/>
        </w:rPr>
        <w:t>温馨提示：</w:t>
      </w:r>
    </w:p>
    <w:p>
      <w:pPr>
        <w:keepNext w:val="0"/>
        <w:keepLines w:val="0"/>
        <w:pageBreakBefore w:val="0"/>
        <w:widowControl w:val="0"/>
        <w:kinsoku/>
        <w:wordWrap/>
        <w:overflowPunct/>
        <w:topLinePunct w:val="0"/>
        <w:bidi w:val="0"/>
        <w:snapToGrid/>
        <w:spacing w:line="312" w:lineRule="auto"/>
        <w:ind w:left="0" w:leftChars="0" w:right="0" w:rightChars="0" w:firstLine="562" w:firstLineChars="200"/>
        <w:jc w:val="both"/>
        <w:textAlignment w:val="auto"/>
        <w:outlineLvl w:val="9"/>
        <w:rPr>
          <w:rFonts w:ascii="仿宋_GB2312" w:eastAsia="仿宋_GB2312"/>
          <w:b/>
          <w:color w:val="auto"/>
          <w:sz w:val="32"/>
          <w:szCs w:val="32"/>
          <w:highlight w:val="none"/>
        </w:rPr>
      </w:pPr>
      <w:r>
        <w:rPr>
          <w:rFonts w:hint="eastAsia" w:hAnsi="宋体"/>
          <w:b/>
          <w:color w:val="auto"/>
          <w:sz w:val="28"/>
          <w:szCs w:val="28"/>
          <w:highlight w:val="none"/>
        </w:rPr>
        <w:t>本项目为全流程电子化交易项目，请认真阅读招标文件，并注意以下事项。</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1.投标人应按招标文件规定编制、提交、解密电子投标文件。</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2.电子文件下载、制作、提交期间和远程不见面开标（电子投标文件的解密）环节，投标人须使用同一个CA数字证书（证书须在有效期内并可正常使用）。</w:t>
      </w:r>
    </w:p>
    <w:p>
      <w:pPr>
        <w:keepNext w:val="0"/>
        <w:keepLines w:val="0"/>
        <w:pageBreakBefore w:val="0"/>
        <w:widowControl w:val="0"/>
        <w:kinsoku/>
        <w:wordWrap/>
        <w:overflowPunct/>
        <w:topLinePunct w:val="0"/>
        <w:bidi w:val="0"/>
        <w:snapToGrid/>
        <w:spacing w:line="312" w:lineRule="auto"/>
        <w:ind w:left="0" w:leftChars="0" w:right="0" w:rightChars="0" w:firstLine="482" w:firstLineChars="200"/>
        <w:jc w:val="both"/>
        <w:textAlignment w:val="auto"/>
        <w:outlineLvl w:val="9"/>
        <w:rPr>
          <w:rFonts w:hAnsi="宋体"/>
          <w:b/>
          <w:bCs/>
          <w:color w:val="auto"/>
          <w:sz w:val="24"/>
          <w:highlight w:val="none"/>
        </w:rPr>
      </w:pPr>
      <w:r>
        <w:rPr>
          <w:rFonts w:hint="eastAsia" w:hAnsi="宋体"/>
          <w:b/>
          <w:bCs/>
          <w:color w:val="auto"/>
          <w:sz w:val="24"/>
          <w:highlight w:val="none"/>
        </w:rPr>
        <w:t>3.电子投标文件的制作</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3.1 投标人登录《全国公共资源交易平台(河南省▪许昌市)》公共资源交易系统（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olor w:val="auto"/>
          <w:sz w:val="24"/>
          <w:highlight w:val="none"/>
        </w:rPr>
        <w:t>http://221.14.6.70:8088/ggzy/</w:t>
      </w:r>
      <w:r>
        <w:rPr>
          <w:rFonts w:hint="eastAsia" w:hAnsi="宋体"/>
          <w:color w:val="auto"/>
          <w:sz w:val="24"/>
          <w:highlight w:val="none"/>
        </w:rPr>
        <w:fldChar w:fldCharType="end"/>
      </w:r>
      <w:r>
        <w:rPr>
          <w:rFonts w:hint="eastAsia" w:hAnsi="宋体"/>
          <w:color w:val="auto"/>
          <w:sz w:val="24"/>
          <w:highlight w:val="none"/>
        </w:rPr>
        <w:t>）下载“许昌投标文件制作系统SEARUN 最新版本”，按招标文件要求制作电子投标文件。</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3.2 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一个标段对应生成一个文件夹（xxxx项目xx标段）,其中后缀名为“.file”的文件用于电子投标使用。</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482" w:firstLineChars="200"/>
        <w:jc w:val="both"/>
        <w:textAlignment w:val="auto"/>
        <w:outlineLvl w:val="9"/>
        <w:rPr>
          <w:rFonts w:hAnsi="宋体"/>
          <w:b/>
          <w:bCs/>
          <w:color w:val="auto"/>
          <w:sz w:val="24"/>
          <w:highlight w:val="none"/>
        </w:rPr>
      </w:pPr>
      <w:r>
        <w:rPr>
          <w:rFonts w:hint="eastAsia" w:hAnsi="宋体" w:cs="宋体"/>
          <w:b/>
          <w:bCs/>
          <w:color w:val="auto"/>
          <w:sz w:val="24"/>
          <w:highlight w:val="none"/>
        </w:rPr>
        <w:t>4.投标保证金的提交</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480" w:firstLineChars="200"/>
        <w:jc w:val="both"/>
        <w:textAlignment w:val="auto"/>
        <w:outlineLvl w:val="9"/>
        <w:rPr>
          <w:rFonts w:hAnsi="宋体" w:cs="宋体"/>
          <w:color w:val="auto"/>
          <w:sz w:val="24"/>
          <w:highlight w:val="none"/>
          <w:lang w:val="zh-CN"/>
        </w:rPr>
      </w:pPr>
      <w:r>
        <w:rPr>
          <w:rFonts w:hint="eastAsia" w:hAnsi="宋体" w:cs="宋体"/>
          <w:color w:val="auto"/>
          <w:sz w:val="24"/>
          <w:highlight w:val="none"/>
        </w:rPr>
        <w:t>4.1</w:t>
      </w:r>
      <w:r>
        <w:rPr>
          <w:rFonts w:hint="eastAsia" w:hAnsi="宋体" w:cs="宋体"/>
          <w:color w:val="auto"/>
          <w:sz w:val="24"/>
          <w:highlight w:val="none"/>
          <w:lang w:val="zh-CN"/>
        </w:rPr>
        <w:t>使用银行转帐方式</w:t>
      </w:r>
      <w:r>
        <w:rPr>
          <w:rFonts w:hint="eastAsia" w:hAnsi="宋体" w:cs="宋体"/>
          <w:color w:val="auto"/>
          <w:sz w:val="24"/>
          <w:highlight w:val="none"/>
        </w:rPr>
        <w:t>提交</w:t>
      </w:r>
      <w:r>
        <w:rPr>
          <w:rFonts w:hint="eastAsia" w:hAnsi="宋体" w:cs="宋体"/>
          <w:color w:val="auto"/>
          <w:sz w:val="24"/>
          <w:highlight w:val="none"/>
          <w:lang w:val="zh-CN"/>
        </w:rPr>
        <w:t>的，投标人通过基本账户将款项一次足额递交、成功绑定，以收款人到账时间为准。</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480" w:firstLineChars="200"/>
        <w:jc w:val="both"/>
        <w:textAlignment w:val="auto"/>
        <w:outlineLvl w:val="9"/>
        <w:rPr>
          <w:rFonts w:hAnsi="宋体" w:cs="宋体"/>
          <w:color w:val="auto"/>
          <w:sz w:val="24"/>
          <w:highlight w:val="none"/>
        </w:rPr>
      </w:pPr>
      <w:r>
        <w:rPr>
          <w:rFonts w:hint="eastAsia" w:hAnsi="宋体" w:cs="宋体"/>
          <w:color w:val="auto"/>
          <w:sz w:val="24"/>
          <w:highlight w:val="none"/>
        </w:rPr>
        <w:t>4.1.1</w:t>
      </w:r>
      <w:r>
        <w:rPr>
          <w:rFonts w:hint="eastAsia" w:hAnsi="宋体" w:cs="宋体"/>
          <w:color w:val="auto"/>
          <w:sz w:val="24"/>
          <w:highlight w:val="none"/>
          <w:lang w:val="zh-CN"/>
        </w:rPr>
        <w:t>投标人网上</w:t>
      </w:r>
      <w:r>
        <w:rPr>
          <w:rFonts w:hint="eastAsia" w:hAnsi="宋体" w:cs="宋体"/>
          <w:color w:val="auto"/>
          <w:sz w:val="24"/>
          <w:highlight w:val="none"/>
        </w:rPr>
        <w:t>下载招标文件并</w:t>
      </w:r>
      <w:r>
        <w:rPr>
          <w:rFonts w:hint="eastAsia" w:hAnsi="宋体" w:cs="宋体"/>
          <w:color w:val="auto"/>
          <w:sz w:val="24"/>
          <w:highlight w:val="none"/>
          <w:lang w:val="zh-CN"/>
        </w:rPr>
        <w:t>根据每个标段的缴纳说明单在</w:t>
      </w:r>
      <w:r>
        <w:rPr>
          <w:rFonts w:hint="eastAsia" w:hAnsi="宋体" w:cs="宋体"/>
          <w:color w:val="auto"/>
          <w:sz w:val="24"/>
          <w:highlight w:val="none"/>
        </w:rPr>
        <w:t>开标</w:t>
      </w:r>
      <w:r>
        <w:rPr>
          <w:rFonts w:hint="eastAsia" w:hAnsi="宋体" w:cs="宋体"/>
          <w:color w:val="auto"/>
          <w:sz w:val="24"/>
          <w:highlight w:val="none"/>
          <w:lang w:val="zh-CN"/>
        </w:rPr>
        <w:t>截止时间前</w:t>
      </w:r>
      <w:r>
        <w:rPr>
          <w:rFonts w:hint="eastAsia" w:hAnsi="宋体" w:cs="宋体"/>
          <w:color w:val="auto"/>
          <w:sz w:val="24"/>
          <w:highlight w:val="none"/>
        </w:rPr>
        <w:t>提交。</w:t>
      </w:r>
      <w:r>
        <w:rPr>
          <w:rFonts w:hint="eastAsia" w:hAnsi="宋体" w:cs="宋体"/>
          <w:color w:val="auto"/>
          <w:sz w:val="24"/>
          <w:highlight w:val="none"/>
          <w:lang w:val="zh-CN"/>
        </w:rPr>
        <w:t>每个投标人每个项目每个标段只有唯一缴纳账号，</w:t>
      </w:r>
      <w:r>
        <w:rPr>
          <w:rFonts w:hint="eastAsia" w:hAnsi="宋体" w:cs="宋体"/>
          <w:color w:val="auto"/>
          <w:sz w:val="24"/>
          <w:highlight w:val="none"/>
        </w:rPr>
        <w:t>切勿重复缴纳或错误缴纳。</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480" w:firstLineChars="200"/>
        <w:jc w:val="both"/>
        <w:textAlignment w:val="auto"/>
        <w:outlineLvl w:val="9"/>
        <w:rPr>
          <w:rFonts w:hAnsi="宋体" w:cs="宋体"/>
          <w:color w:val="auto"/>
          <w:sz w:val="24"/>
          <w:highlight w:val="none"/>
        </w:rPr>
      </w:pPr>
      <w:r>
        <w:rPr>
          <w:rFonts w:hint="eastAsia" w:hAnsi="宋体" w:cs="宋体"/>
          <w:color w:val="auto"/>
          <w:sz w:val="24"/>
          <w:highlight w:val="none"/>
        </w:rPr>
        <w:t>4.1.2提交</w:t>
      </w:r>
      <w:r>
        <w:rPr>
          <w:rFonts w:hint="eastAsia" w:hAnsi="宋体" w:cs="宋体"/>
          <w:color w:val="auto"/>
          <w:sz w:val="24"/>
          <w:highlight w:val="none"/>
          <w:lang w:val="zh-CN"/>
        </w:rPr>
        <w:t>后</w:t>
      </w:r>
      <w:r>
        <w:rPr>
          <w:rFonts w:hint="eastAsia" w:hAnsi="宋体" w:cs="宋体"/>
          <w:color w:val="auto"/>
          <w:sz w:val="24"/>
          <w:highlight w:val="none"/>
        </w:rPr>
        <w:t>再次</w:t>
      </w:r>
      <w:r>
        <w:rPr>
          <w:rFonts w:hint="eastAsia" w:hAnsi="宋体" w:cs="宋体"/>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s="宋体"/>
          <w:color w:val="auto"/>
          <w:sz w:val="24"/>
          <w:highlight w:val="none"/>
        </w:rPr>
        <w:t>http://221.14.6.70:8088/ggzy</w:t>
      </w:r>
      <w:r>
        <w:rPr>
          <w:rFonts w:hint="eastAsia" w:hAnsi="宋体" w:cs="宋体"/>
          <w:color w:val="auto"/>
          <w:sz w:val="24"/>
          <w:highlight w:val="none"/>
        </w:rPr>
        <w:fldChar w:fldCharType="end"/>
      </w:r>
      <w:r>
        <w:rPr>
          <w:rFonts w:hint="eastAsia" w:hAnsi="宋体" w:cs="宋体"/>
          <w:color w:val="auto"/>
          <w:sz w:val="24"/>
          <w:highlight w:val="none"/>
          <w:lang w:val="zh-CN"/>
        </w:rPr>
        <w:t>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保证金绑定</w:t>
      </w:r>
      <w:r>
        <w:rPr>
          <w:rFonts w:hint="eastAsia" w:hAnsi="宋体" w:cs="宋体"/>
          <w:color w:val="auto"/>
          <w:sz w:val="24"/>
          <w:highlight w:val="none"/>
        </w:rPr>
        <w:t>”→“</w:t>
      </w:r>
      <w:r>
        <w:rPr>
          <w:rFonts w:hint="eastAsia" w:hAnsi="宋体" w:cs="宋体"/>
          <w:color w:val="auto"/>
          <w:sz w:val="24"/>
          <w:highlight w:val="none"/>
          <w:lang w:val="zh-CN"/>
        </w:rPr>
        <w:t>绑定</w:t>
      </w:r>
      <w:r>
        <w:rPr>
          <w:rFonts w:hint="eastAsia" w:hAnsi="宋体" w:cs="宋体"/>
          <w:color w:val="auto"/>
          <w:sz w:val="24"/>
          <w:highlight w:val="none"/>
        </w:rPr>
        <w:t>”</w:t>
      </w:r>
      <w:r>
        <w:rPr>
          <w:rFonts w:hint="eastAsia" w:hAnsi="宋体" w:cs="宋体"/>
          <w:color w:val="auto"/>
          <w:sz w:val="24"/>
          <w:highlight w:val="none"/>
          <w:lang w:val="zh-CN"/>
        </w:rPr>
        <w:t>进行投标保证金绑定</w:t>
      </w:r>
      <w:r>
        <w:rPr>
          <w:rFonts w:hint="eastAsia" w:hAnsi="宋体" w:cs="宋体"/>
          <w:color w:val="auto"/>
          <w:sz w:val="24"/>
          <w:highlight w:val="none"/>
        </w:rPr>
        <w:t>，前述系统显示“</w:t>
      </w:r>
      <w:r>
        <w:rPr>
          <w:rFonts w:hint="eastAsia" w:hAnsi="宋体" w:cs="宋体"/>
          <w:color w:val="auto"/>
          <w:sz w:val="24"/>
          <w:highlight w:val="none"/>
          <w:lang w:val="zh-CN"/>
        </w:rPr>
        <w:t>许昌公共资源交易中心保证金缴纳回执</w:t>
      </w:r>
      <w:r>
        <w:rPr>
          <w:rFonts w:hint="eastAsia" w:hAnsi="宋体" w:cs="宋体"/>
          <w:color w:val="auto"/>
          <w:sz w:val="24"/>
          <w:highlight w:val="none"/>
        </w:rPr>
        <w:t>”表示投标保证金提交完成。</w:t>
      </w:r>
      <w:r>
        <w:rPr>
          <w:rFonts w:hint="eastAsia" w:hAnsi="宋体" w:cs="宋体"/>
          <w:color w:val="auto"/>
          <w:sz w:val="24"/>
          <w:highlight w:val="none"/>
          <w:lang w:val="zh-CN"/>
        </w:rPr>
        <w:t>未绑定标段的投标保证金，视为未按</w:t>
      </w:r>
      <w:r>
        <w:rPr>
          <w:rFonts w:hint="eastAsia" w:hAnsi="宋体" w:cs="宋体"/>
          <w:color w:val="auto"/>
          <w:sz w:val="24"/>
          <w:highlight w:val="none"/>
        </w:rPr>
        <w:t>规定提交。</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480" w:firstLineChars="200"/>
        <w:jc w:val="both"/>
        <w:textAlignment w:val="auto"/>
        <w:outlineLvl w:val="9"/>
        <w:rPr>
          <w:rFonts w:hAnsi="宋体" w:cs="宋体"/>
          <w:color w:val="auto"/>
          <w:sz w:val="24"/>
          <w:highlight w:val="none"/>
          <w:lang w:val="zh-CN"/>
        </w:rPr>
      </w:pPr>
      <w:r>
        <w:rPr>
          <w:rFonts w:hint="eastAsia" w:hAnsi="宋体" w:cs="宋体"/>
          <w:color w:val="auto"/>
          <w:sz w:val="24"/>
          <w:highlight w:val="none"/>
        </w:rPr>
        <w:t>4.1.3投标人按照所投项目及标段</w:t>
      </w:r>
      <w:r>
        <w:rPr>
          <w:rFonts w:hint="eastAsia" w:hAnsi="宋体" w:cs="宋体"/>
          <w:color w:val="auto"/>
          <w:sz w:val="24"/>
          <w:highlight w:val="none"/>
          <w:lang w:val="zh-CN"/>
        </w:rPr>
        <w:t>将缴纳凭证“许昌公共资源交易中心保证金缴纳回执”附于投标文件中。</w:t>
      </w:r>
    </w:p>
    <w:p>
      <w:pPr>
        <w:keepNext w:val="0"/>
        <w:keepLines w:val="0"/>
        <w:pageBreakBefore w:val="0"/>
        <w:widowControl w:val="0"/>
        <w:kinsoku/>
        <w:wordWrap/>
        <w:overflowPunct/>
        <w:topLinePunct w:val="0"/>
        <w:autoSpaceDE w:val="0"/>
        <w:autoSpaceDN w:val="0"/>
        <w:bidi w:val="0"/>
        <w:adjustRightInd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s="宋体"/>
          <w:color w:val="auto"/>
          <w:sz w:val="24"/>
          <w:highlight w:val="none"/>
        </w:rPr>
        <w:t>4.2</w:t>
      </w:r>
      <w:r>
        <w:rPr>
          <w:rFonts w:hint="eastAsia" w:hAnsi="宋体" w:cs="宋体"/>
          <w:color w:val="auto"/>
          <w:sz w:val="24"/>
          <w:highlight w:val="none"/>
          <w:lang w:val="zh-CN"/>
        </w:rPr>
        <w:t>使用银行</w:t>
      </w:r>
      <w:r>
        <w:rPr>
          <w:rFonts w:hint="eastAsia" w:hAnsi="宋体" w:cs="宋体"/>
          <w:color w:val="auto"/>
          <w:sz w:val="24"/>
          <w:highlight w:val="none"/>
        </w:rPr>
        <w:t>保函</w:t>
      </w:r>
      <w:r>
        <w:rPr>
          <w:rFonts w:hint="eastAsia" w:hAnsi="宋体" w:cs="宋体"/>
          <w:color w:val="auto"/>
          <w:sz w:val="24"/>
          <w:highlight w:val="none"/>
          <w:lang w:val="zh-CN"/>
        </w:rPr>
        <w:t>方式</w:t>
      </w:r>
      <w:r>
        <w:rPr>
          <w:rFonts w:hint="eastAsia" w:hAnsi="宋体" w:cs="宋体"/>
          <w:color w:val="auto"/>
          <w:sz w:val="24"/>
          <w:highlight w:val="none"/>
        </w:rPr>
        <w:t>提交</w:t>
      </w:r>
      <w:r>
        <w:rPr>
          <w:rFonts w:hint="eastAsia" w:hAnsi="宋体" w:cs="宋体"/>
          <w:color w:val="auto"/>
          <w:sz w:val="24"/>
          <w:highlight w:val="none"/>
          <w:lang w:val="zh-CN"/>
        </w:rPr>
        <w:t>的，投标人</w:t>
      </w:r>
      <w:r>
        <w:rPr>
          <w:rFonts w:hint="eastAsia" w:hAnsi="宋体" w:cs="宋体"/>
          <w:color w:val="auto"/>
          <w:sz w:val="24"/>
          <w:highlight w:val="none"/>
        </w:rPr>
        <w:t>办理投标</w:t>
      </w:r>
      <w:r>
        <w:rPr>
          <w:rFonts w:hint="eastAsia" w:hAnsi="宋体" w:cs="宋体"/>
          <w:color w:val="auto"/>
          <w:sz w:val="24"/>
          <w:highlight w:val="none"/>
          <w:lang w:val="zh-CN"/>
        </w:rPr>
        <w:t>银行保函，银行保函</w:t>
      </w:r>
      <w:r>
        <w:rPr>
          <w:rFonts w:hint="eastAsia" w:hAnsi="宋体" w:cs="宋体"/>
          <w:color w:val="auto"/>
          <w:sz w:val="24"/>
          <w:highlight w:val="none"/>
        </w:rPr>
        <w:t>应</w:t>
      </w:r>
      <w:r>
        <w:rPr>
          <w:rFonts w:hint="eastAsia" w:hAnsi="宋体" w:cs="宋体"/>
          <w:color w:val="auto"/>
          <w:sz w:val="24"/>
          <w:highlight w:val="none"/>
          <w:lang w:val="zh-CN"/>
        </w:rPr>
        <w:t>明确</w:t>
      </w:r>
      <w:r>
        <w:rPr>
          <w:rFonts w:hint="eastAsia" w:hAnsi="宋体" w:cs="宋体"/>
          <w:color w:val="auto"/>
          <w:sz w:val="24"/>
          <w:highlight w:val="none"/>
        </w:rPr>
        <w:t>所投</w:t>
      </w:r>
      <w:r>
        <w:rPr>
          <w:rFonts w:hint="eastAsia" w:hAnsi="宋体" w:cs="宋体"/>
          <w:color w:val="auto"/>
          <w:sz w:val="24"/>
          <w:highlight w:val="none"/>
          <w:lang w:val="zh-CN"/>
        </w:rPr>
        <w:t>项目名称、项目编号及标段、受益人（招标人）、有效期（不低于本项目投标有效期）、担保金额（不低于本项目本标段投标保证金数额）。投标人应将</w:t>
      </w:r>
      <w:r>
        <w:rPr>
          <w:rFonts w:hint="eastAsia" w:hAnsi="宋体" w:cs="宋体"/>
          <w:color w:val="auto"/>
          <w:sz w:val="24"/>
          <w:highlight w:val="none"/>
        </w:rPr>
        <w:t>投标</w:t>
      </w:r>
      <w:r>
        <w:rPr>
          <w:rFonts w:hint="eastAsia" w:hAnsi="宋体" w:cs="宋体"/>
          <w:color w:val="auto"/>
          <w:sz w:val="24"/>
          <w:highlight w:val="none"/>
          <w:lang w:val="zh-CN"/>
        </w:rPr>
        <w:t>银行保函原件扫描件附于投标文件中，否则视为未按</w:t>
      </w:r>
      <w:r>
        <w:rPr>
          <w:rFonts w:hint="eastAsia" w:hAnsi="宋体" w:cs="宋体"/>
          <w:color w:val="auto"/>
          <w:sz w:val="24"/>
          <w:highlight w:val="none"/>
        </w:rPr>
        <w:t>规定提交投标保证金</w:t>
      </w:r>
      <w:r>
        <w:rPr>
          <w:rFonts w:hint="eastAsia" w:hAnsi="宋体" w:cs="宋体"/>
          <w:color w:val="auto"/>
          <w:sz w:val="24"/>
          <w:highlight w:val="none"/>
          <w:lang w:val="zh-CN"/>
        </w:rPr>
        <w:t>。</w:t>
      </w:r>
    </w:p>
    <w:p>
      <w:pPr>
        <w:keepNext w:val="0"/>
        <w:keepLines w:val="0"/>
        <w:pageBreakBefore w:val="0"/>
        <w:widowControl w:val="0"/>
        <w:kinsoku/>
        <w:wordWrap/>
        <w:overflowPunct/>
        <w:topLinePunct w:val="0"/>
        <w:bidi w:val="0"/>
        <w:snapToGrid/>
        <w:spacing w:line="312" w:lineRule="auto"/>
        <w:ind w:left="0" w:leftChars="0" w:right="0" w:rightChars="0" w:firstLine="482" w:firstLineChars="200"/>
        <w:jc w:val="both"/>
        <w:textAlignment w:val="auto"/>
        <w:outlineLvl w:val="9"/>
        <w:rPr>
          <w:rFonts w:hAnsi="宋体"/>
          <w:b/>
          <w:bCs/>
          <w:color w:val="auto"/>
          <w:sz w:val="24"/>
          <w:highlight w:val="none"/>
        </w:rPr>
      </w:pPr>
      <w:r>
        <w:rPr>
          <w:rFonts w:hint="eastAsia" w:hAnsi="宋体"/>
          <w:b/>
          <w:bCs/>
          <w:color w:val="auto"/>
          <w:sz w:val="24"/>
          <w:highlight w:val="none"/>
        </w:rPr>
        <w:t>5.加密电子投标文件的提交</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5.1加密电子投标文件应按规定在投标截止时间（开标时间）之前成功提交至《全国公共资源交易平台(河南省▪许昌市)》公共资源交易系统（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olor w:val="auto"/>
          <w:sz w:val="24"/>
          <w:highlight w:val="none"/>
        </w:rPr>
        <w:t>http://221.14.6.70:8088/ggzy/</w:t>
      </w:r>
      <w:r>
        <w:rPr>
          <w:rFonts w:hint="eastAsia" w:hAnsi="宋体"/>
          <w:color w:val="auto"/>
          <w:sz w:val="24"/>
          <w:highlight w:val="none"/>
        </w:rPr>
        <w:fldChar w:fldCharType="end"/>
      </w:r>
      <w:r>
        <w:rPr>
          <w:rFonts w:hint="eastAsia" w:hAnsi="宋体"/>
          <w:color w:val="auto"/>
          <w:sz w:val="24"/>
          <w:highlight w:val="none"/>
        </w:rPr>
        <w:t>）。</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投标人应充分考虑并预留技术处理和上传数据所需时间。</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5.2 投标人对同一项目多个标段进行投标的，加密电子投标文件应按标段分别提交。</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5.3 加密电子投标文件成功提交后，《全国公共资源交易平台(河南省▪许昌市)》公共资源交易系统（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olor w:val="auto"/>
          <w:sz w:val="24"/>
          <w:highlight w:val="none"/>
        </w:rPr>
        <w:t>http://221.14.6.70:8088/ggzy/</w:t>
      </w:r>
      <w:r>
        <w:rPr>
          <w:rFonts w:hint="eastAsia" w:hAnsi="宋体"/>
          <w:color w:val="auto"/>
          <w:sz w:val="24"/>
          <w:highlight w:val="none"/>
        </w:rPr>
        <w:fldChar w:fldCharType="end"/>
      </w:r>
      <w:r>
        <w:rPr>
          <w:rFonts w:hint="eastAsia" w:hAnsi="宋体"/>
          <w:color w:val="auto"/>
          <w:sz w:val="24"/>
          <w:highlight w:val="none"/>
        </w:rPr>
        <w:t>）生成“投标文件提交回执单”。</w:t>
      </w:r>
    </w:p>
    <w:p>
      <w:pPr>
        <w:keepNext w:val="0"/>
        <w:keepLines w:val="0"/>
        <w:pageBreakBefore w:val="0"/>
        <w:widowControl w:val="0"/>
        <w:kinsoku/>
        <w:wordWrap/>
        <w:overflowPunct/>
        <w:topLinePunct w:val="0"/>
        <w:bidi w:val="0"/>
        <w:snapToGrid/>
        <w:spacing w:line="312" w:lineRule="auto"/>
        <w:ind w:left="0" w:leftChars="0" w:right="0" w:rightChars="0" w:firstLine="482" w:firstLineChars="200"/>
        <w:jc w:val="both"/>
        <w:textAlignment w:val="auto"/>
        <w:outlineLvl w:val="9"/>
        <w:rPr>
          <w:rFonts w:hAnsi="宋体"/>
          <w:b/>
          <w:bCs/>
          <w:color w:val="auto"/>
          <w:sz w:val="24"/>
          <w:highlight w:val="none"/>
        </w:rPr>
      </w:pPr>
      <w:r>
        <w:rPr>
          <w:rFonts w:hint="eastAsia" w:hAnsi="宋体"/>
          <w:b/>
          <w:bCs/>
          <w:color w:val="auto"/>
          <w:sz w:val="24"/>
          <w:highlight w:val="none"/>
        </w:rPr>
        <w:t>6.远程不见面开标（电子投标文件的解密）</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6.1 投标人应熟悉《许昌市不见面开标操作手册》，并提前设置不见面开标浏览器（设置流程详见《许昌市不见面开标操作手册》）。</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6.2 《许昌市不见面开标操作手册》下载路径：全国公共资源交易平台（河南省·许昌市）—“资料下载”栏目。</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6.3开标时间前投标人应登录本项目不见面开标大厅，按照招标文件确定的开标时间准时参加网上开标。</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6.4投标人对开标过程和开标记录如有疑义，可在本项目不见面开标大厅“文字互动”对话框或“新增质疑”处在线提出询问。</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6.5根据采购代理机构在“文字互动”对话框的通知，投标人选择功能栏“解密环节”按钮进行电子投标文件解密（投标人解密应自采购代理机构点击“开标按钮”按钮后60分钟内完成）。投标人未解密或因投标人原因解密失败的，其投标将被拒绝。</w:t>
      </w:r>
    </w:p>
    <w:p>
      <w:pPr>
        <w:keepNext w:val="0"/>
        <w:keepLines w:val="0"/>
        <w:pageBreakBefore w:val="0"/>
        <w:widowControl w:val="0"/>
        <w:kinsoku/>
        <w:wordWrap/>
        <w:overflowPunct/>
        <w:topLinePunct w:val="0"/>
        <w:bidi w:val="0"/>
        <w:snapToGrid/>
        <w:spacing w:line="312" w:lineRule="auto"/>
        <w:ind w:left="0" w:leftChars="0" w:right="0" w:rightChars="0" w:firstLine="480" w:firstLineChars="200"/>
        <w:jc w:val="both"/>
        <w:textAlignment w:val="auto"/>
        <w:outlineLvl w:val="9"/>
        <w:rPr>
          <w:rFonts w:hAnsi="宋体"/>
          <w:color w:val="auto"/>
          <w:sz w:val="24"/>
          <w:highlight w:val="none"/>
        </w:rPr>
      </w:pPr>
      <w:r>
        <w:rPr>
          <w:rFonts w:hint="eastAsia" w:hAnsi="宋体"/>
          <w:color w:val="auto"/>
          <w:sz w:val="24"/>
          <w:highlight w:val="none"/>
        </w:rPr>
        <w:t>6.6项目远程不见面开标活动结束时，投标人应在《开标记录表》上进行电子签章。投标人未签章的，视同认可开标结果。</w:t>
      </w:r>
    </w:p>
    <w:p>
      <w:pPr>
        <w:keepNext w:val="0"/>
        <w:keepLines w:val="0"/>
        <w:pageBreakBefore w:val="0"/>
        <w:widowControl w:val="0"/>
        <w:numPr>
          <w:ilvl w:val="0"/>
          <w:numId w:val="4"/>
        </w:numPr>
        <w:kinsoku/>
        <w:wordWrap/>
        <w:overflowPunct/>
        <w:topLinePunct w:val="0"/>
        <w:bidi w:val="0"/>
        <w:snapToGrid/>
        <w:spacing w:line="312" w:lineRule="auto"/>
        <w:ind w:left="0" w:leftChars="0" w:right="0" w:rightChars="0" w:firstLine="480" w:firstLineChars="200"/>
        <w:jc w:val="both"/>
        <w:textAlignment w:val="auto"/>
        <w:outlineLvl w:val="9"/>
        <w:rPr>
          <w:rFonts w:hint="eastAsia" w:hAnsi="宋体"/>
          <w:color w:val="auto"/>
          <w:sz w:val="24"/>
          <w:highlight w:val="none"/>
        </w:rPr>
      </w:pPr>
      <w:bookmarkStart w:id="2" w:name="_Toc215282124"/>
      <w:r>
        <w:rPr>
          <w:rFonts w:hint="eastAsia" w:hAnsi="宋体"/>
          <w:color w:val="auto"/>
          <w:sz w:val="24"/>
          <w:highlight w:val="none"/>
        </w:rPr>
        <w:t>全流程电子化交易（远程不见面开标）项目，评标委员会以成功上传、解密的电子投标文件为评标依据。</w:t>
      </w:r>
    </w:p>
    <w:p>
      <w:pPr>
        <w:keepNext w:val="0"/>
        <w:keepLines w:val="0"/>
        <w:pageBreakBefore w:val="0"/>
        <w:widowControl w:val="0"/>
        <w:numPr>
          <w:ilvl w:val="0"/>
          <w:numId w:val="0"/>
        </w:numPr>
        <w:kinsoku/>
        <w:wordWrap/>
        <w:overflowPunct/>
        <w:topLinePunct w:val="0"/>
        <w:bidi w:val="0"/>
        <w:snapToGrid/>
        <w:spacing w:line="312" w:lineRule="auto"/>
        <w:ind w:left="0" w:leftChars="0" w:right="0" w:rightChars="0" w:firstLine="480" w:firstLineChars="200"/>
        <w:jc w:val="both"/>
        <w:textAlignment w:val="auto"/>
        <w:outlineLvl w:val="9"/>
        <w:rPr>
          <w:rFonts w:hint="eastAsia" w:hAnsi="宋体"/>
          <w:color w:val="auto"/>
          <w:sz w:val="24"/>
          <w:highlight w:val="none"/>
        </w:rPr>
      </w:pPr>
      <w:r>
        <w:rPr>
          <w:rFonts w:hint="eastAsia" w:hAnsi="宋体"/>
          <w:color w:val="auto"/>
          <w:sz w:val="24"/>
          <w:highlight w:val="none"/>
        </w:rPr>
        <w:t>7.2 评审期间，保持投标文件提供的联系方式畅通，评标委员会随时可能对投标文件内容质询，投标人应及时进行答复（包括但不限于电子文档、电子邮件等）。</w:t>
      </w:r>
    </w:p>
    <w:p>
      <w:pPr>
        <w:keepNext w:val="0"/>
        <w:keepLines w:val="0"/>
        <w:pageBreakBefore w:val="0"/>
        <w:widowControl w:val="0"/>
        <w:numPr>
          <w:ilvl w:val="0"/>
          <w:numId w:val="0"/>
        </w:numPr>
        <w:kinsoku/>
        <w:wordWrap/>
        <w:overflowPunct/>
        <w:topLinePunct w:val="0"/>
        <w:bidi w:val="0"/>
        <w:snapToGrid/>
        <w:spacing w:line="312" w:lineRule="auto"/>
        <w:ind w:left="0" w:leftChars="0" w:right="0" w:rightChars="0" w:firstLine="480" w:firstLineChars="200"/>
        <w:jc w:val="both"/>
        <w:textAlignment w:val="auto"/>
        <w:outlineLvl w:val="9"/>
        <w:rPr>
          <w:rFonts w:hint="eastAsia" w:hAnsi="宋体"/>
          <w:color w:val="auto"/>
          <w:sz w:val="24"/>
          <w:highlight w:val="none"/>
        </w:rPr>
      </w:pPr>
      <w:r>
        <w:rPr>
          <w:rFonts w:hint="eastAsia" w:hAnsi="宋体"/>
          <w:color w:val="auto"/>
          <w:sz w:val="24"/>
          <w:highlight w:val="none"/>
        </w:rPr>
        <w:t>7.3 有多轮报价的，各投标人应提前准备好分项报价，为多轮报价做好准备，在谈判小组发起报价通知后，在规定时间内提交有效报价。</w:t>
      </w:r>
    </w:p>
    <w:p>
      <w:pPr>
        <w:rPr>
          <w:rFonts w:hAnsi="宋体" w:cs="宋体"/>
          <w:b/>
          <w:color w:val="auto"/>
          <w:sz w:val="36"/>
          <w:szCs w:val="36"/>
          <w:highlight w:val="none"/>
        </w:rPr>
      </w:pPr>
      <w:r>
        <w:rPr>
          <w:rFonts w:hint="eastAsia" w:hAnsi="宋体" w:cs="宋体"/>
          <w:b/>
          <w:color w:val="auto"/>
          <w:sz w:val="36"/>
          <w:szCs w:val="36"/>
          <w:highlight w:val="none"/>
        </w:rPr>
        <w:br w:type="page"/>
      </w:r>
    </w:p>
    <w:p>
      <w:pPr>
        <w:tabs>
          <w:tab w:val="left" w:pos="4140"/>
          <w:tab w:val="left" w:pos="4260"/>
        </w:tabs>
        <w:spacing w:line="360" w:lineRule="auto"/>
        <w:ind w:right="-578" w:rightChars="-170"/>
        <w:jc w:val="center"/>
        <w:rPr>
          <w:rFonts w:hAnsi="宋体" w:cs="宋体"/>
          <w:b/>
          <w:color w:val="auto"/>
          <w:sz w:val="36"/>
          <w:szCs w:val="36"/>
          <w:highlight w:val="none"/>
        </w:rPr>
      </w:pPr>
      <w:r>
        <w:rPr>
          <w:rFonts w:hint="eastAsia" w:hAnsi="宋体" w:cs="宋体"/>
          <w:b/>
          <w:color w:val="auto"/>
          <w:sz w:val="36"/>
          <w:szCs w:val="36"/>
          <w:highlight w:val="none"/>
        </w:rPr>
        <w:t xml:space="preserve">第二章  </w:t>
      </w:r>
      <w:bookmarkEnd w:id="2"/>
      <w:r>
        <w:rPr>
          <w:rFonts w:hint="eastAsia" w:hAnsi="宋体" w:cs="宋体"/>
          <w:b/>
          <w:color w:val="auto"/>
          <w:sz w:val="36"/>
          <w:szCs w:val="36"/>
          <w:highlight w:val="none"/>
        </w:rPr>
        <w:t>投标人须知</w:t>
      </w:r>
    </w:p>
    <w:p>
      <w:pPr>
        <w:autoSpaceDE w:val="0"/>
        <w:autoSpaceDN w:val="0"/>
        <w:adjustRightInd w:val="0"/>
        <w:outlineLvl w:val="0"/>
        <w:rPr>
          <w:rFonts w:hAnsi="宋体" w:cs="宋体"/>
          <w:b/>
          <w:color w:val="auto"/>
          <w:sz w:val="28"/>
          <w:szCs w:val="28"/>
          <w:highlight w:val="none"/>
        </w:rPr>
      </w:pPr>
      <w:bookmarkStart w:id="3" w:name="_Toc283559940"/>
      <w:r>
        <w:rPr>
          <w:rFonts w:hint="eastAsia" w:hAnsi="宋体" w:cs="宋体"/>
          <w:b/>
          <w:color w:val="auto"/>
          <w:sz w:val="28"/>
          <w:szCs w:val="28"/>
          <w:highlight w:val="none"/>
        </w:rPr>
        <w:t>投标人须知前附表</w:t>
      </w:r>
      <w:bookmarkEnd w:id="3"/>
    </w:p>
    <w:tbl>
      <w:tblPr>
        <w:tblStyle w:val="2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highlight w:val="none"/>
              </w:rPr>
            </w:pPr>
            <w:r>
              <w:rPr>
                <w:rFonts w:hint="eastAsia" w:hAnsi="宋体" w:eastAsia="宋体" w:cs="宋体"/>
                <w:b/>
                <w:color w:val="auto"/>
                <w:sz w:val="24"/>
                <w:highlight w:val="none"/>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highlight w:val="none"/>
              </w:rPr>
            </w:pPr>
            <w:r>
              <w:rPr>
                <w:rFonts w:hint="eastAsia" w:hAnsi="宋体" w:eastAsia="宋体" w:cs="宋体"/>
                <w:b/>
                <w:color w:val="auto"/>
                <w:sz w:val="24"/>
                <w:highlight w:val="none"/>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highlight w:val="none"/>
              </w:rPr>
            </w:pPr>
            <w:r>
              <w:rPr>
                <w:rFonts w:hint="eastAsia" w:hAnsi="宋体" w:eastAsia="宋体" w:cs="宋体"/>
                <w:b/>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招标人</w:t>
            </w:r>
          </w:p>
        </w:tc>
        <w:tc>
          <w:tcPr>
            <w:tcW w:w="6274" w:type="dxa"/>
            <w:gridSpan w:val="2"/>
            <w:vAlign w:val="center"/>
          </w:tcPr>
          <w:p>
            <w:pPr>
              <w:tabs>
                <w:tab w:val="left" w:pos="4140"/>
                <w:tab w:val="left" w:pos="4260"/>
              </w:tabs>
              <w:spacing w:line="360" w:lineRule="auto"/>
              <w:ind w:right="-578" w:rightChars="-170"/>
              <w:rPr>
                <w:rFonts w:hAnsi="宋体" w:cs="宋体"/>
                <w:color w:val="auto"/>
                <w:sz w:val="24"/>
                <w:szCs w:val="24"/>
                <w:highlight w:val="none"/>
              </w:rPr>
            </w:pPr>
            <w:r>
              <w:rPr>
                <w:rFonts w:hint="eastAsia" w:hAnsi="宋体" w:cs="宋体"/>
                <w:color w:val="auto"/>
                <w:sz w:val="24"/>
                <w:szCs w:val="24"/>
                <w:highlight w:val="none"/>
              </w:rPr>
              <w:t>招标人：许昌市建设投资有限责任公司</w:t>
            </w:r>
          </w:p>
          <w:p>
            <w:pPr>
              <w:tabs>
                <w:tab w:val="left" w:pos="4140"/>
                <w:tab w:val="left" w:pos="4260"/>
              </w:tabs>
              <w:spacing w:line="360" w:lineRule="auto"/>
              <w:ind w:right="-578" w:rightChars="-170"/>
              <w:rPr>
                <w:rFonts w:hAnsi="宋体" w:cs="宋体"/>
                <w:color w:val="auto"/>
                <w:sz w:val="24"/>
                <w:szCs w:val="24"/>
                <w:highlight w:val="none"/>
              </w:rPr>
            </w:pPr>
            <w:r>
              <w:rPr>
                <w:rFonts w:hint="eastAsia" w:hAnsi="宋体" w:cs="宋体"/>
                <w:color w:val="auto"/>
                <w:sz w:val="24"/>
                <w:szCs w:val="24"/>
                <w:highlight w:val="none"/>
              </w:rPr>
              <w:t>地址：许昌市建安大道东段市财政综合楼8楼</w:t>
            </w:r>
          </w:p>
          <w:p>
            <w:pPr>
              <w:tabs>
                <w:tab w:val="left" w:pos="4140"/>
                <w:tab w:val="left" w:pos="4260"/>
              </w:tabs>
              <w:spacing w:line="360" w:lineRule="auto"/>
              <w:ind w:right="-578" w:rightChars="-170"/>
              <w:rPr>
                <w:rFonts w:hAnsi="宋体" w:cs="宋体"/>
                <w:color w:val="auto"/>
                <w:sz w:val="24"/>
                <w:szCs w:val="24"/>
                <w:highlight w:val="none"/>
              </w:rPr>
            </w:pPr>
            <w:r>
              <w:rPr>
                <w:rFonts w:hint="eastAsia" w:hAnsi="宋体" w:cs="宋体"/>
                <w:color w:val="auto"/>
                <w:sz w:val="24"/>
                <w:szCs w:val="24"/>
                <w:highlight w:val="none"/>
              </w:rPr>
              <w:t>联系人：海先生</w:t>
            </w:r>
          </w:p>
          <w:p>
            <w:pPr>
              <w:tabs>
                <w:tab w:val="left" w:pos="4140"/>
                <w:tab w:val="left" w:pos="4260"/>
              </w:tabs>
              <w:spacing w:line="360" w:lineRule="auto"/>
              <w:ind w:right="-578" w:rightChars="-170"/>
              <w:rPr>
                <w:rFonts w:hAnsi="宋体" w:cs="宋体"/>
                <w:color w:val="auto"/>
                <w:sz w:val="24"/>
                <w:szCs w:val="24"/>
                <w:highlight w:val="none"/>
              </w:rPr>
            </w:pPr>
            <w:r>
              <w:rPr>
                <w:rFonts w:hAnsi="宋体" w:cs="宋体"/>
                <w:color w:val="auto"/>
                <w:sz w:val="24"/>
                <w:szCs w:val="24"/>
                <w:highlight w:val="none"/>
              </w:rPr>
              <w:t>联系电话</w:t>
            </w:r>
            <w:r>
              <w:rPr>
                <w:rFonts w:hint="eastAsia" w:hAnsi="宋体" w:cs="宋体"/>
                <w:color w:val="auto"/>
                <w:sz w:val="24"/>
                <w:szCs w:val="24"/>
                <w:highlight w:val="none"/>
              </w:rPr>
              <w:t>：0374-2699176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招标代理机构</w:t>
            </w:r>
          </w:p>
        </w:tc>
        <w:tc>
          <w:tcPr>
            <w:tcW w:w="6274" w:type="dxa"/>
            <w:gridSpan w:val="2"/>
            <w:vAlign w:val="center"/>
          </w:tcPr>
          <w:p>
            <w:pPr>
              <w:tabs>
                <w:tab w:val="left" w:pos="4140"/>
                <w:tab w:val="left" w:pos="4260"/>
              </w:tabs>
              <w:spacing w:line="360" w:lineRule="auto"/>
              <w:ind w:right="-578" w:rightChars="-170"/>
              <w:rPr>
                <w:rFonts w:hAnsi="宋体" w:eastAsia="宋体" w:cs="宋体"/>
                <w:color w:val="auto"/>
                <w:sz w:val="24"/>
                <w:szCs w:val="24"/>
                <w:highlight w:val="none"/>
              </w:rPr>
            </w:pPr>
            <w:r>
              <w:rPr>
                <w:rFonts w:hint="eastAsia" w:hAnsi="宋体" w:cs="宋体"/>
                <w:color w:val="auto"/>
                <w:sz w:val="24"/>
                <w:szCs w:val="24"/>
                <w:highlight w:val="none"/>
              </w:rPr>
              <w:t>招标代理机构：河南建标工程管理有限公司</w:t>
            </w:r>
          </w:p>
          <w:p>
            <w:pPr>
              <w:tabs>
                <w:tab w:val="left" w:pos="4140"/>
                <w:tab w:val="left" w:pos="4260"/>
              </w:tabs>
              <w:spacing w:line="360" w:lineRule="auto"/>
              <w:ind w:right="-578" w:rightChars="-170"/>
              <w:rPr>
                <w:rFonts w:hAnsi="宋体" w:cs="宋体"/>
                <w:color w:val="auto"/>
                <w:sz w:val="24"/>
                <w:szCs w:val="24"/>
                <w:highlight w:val="none"/>
              </w:rPr>
            </w:pPr>
            <w:r>
              <w:rPr>
                <w:rFonts w:hint="eastAsia" w:hAnsi="宋体" w:cs="宋体"/>
                <w:color w:val="auto"/>
                <w:sz w:val="24"/>
                <w:szCs w:val="24"/>
                <w:highlight w:val="none"/>
              </w:rPr>
              <w:t xml:space="preserve">地址：许昌市劳动路1567号（八一路与劳动路交叉口四通地产五楼）    </w:t>
            </w:r>
          </w:p>
          <w:p>
            <w:pPr>
              <w:tabs>
                <w:tab w:val="left" w:pos="4140"/>
                <w:tab w:val="left" w:pos="4260"/>
              </w:tabs>
              <w:spacing w:line="360" w:lineRule="auto"/>
              <w:ind w:right="-578" w:rightChars="-170"/>
              <w:rPr>
                <w:rFonts w:hAnsi="宋体" w:eastAsia="宋体" w:cs="宋体"/>
                <w:color w:val="auto"/>
                <w:sz w:val="24"/>
                <w:szCs w:val="24"/>
                <w:highlight w:val="none"/>
              </w:rPr>
            </w:pPr>
            <w:r>
              <w:rPr>
                <w:rFonts w:hint="eastAsia" w:hAnsi="宋体" w:cs="宋体"/>
                <w:color w:val="auto"/>
                <w:sz w:val="24"/>
                <w:szCs w:val="24"/>
                <w:highlight w:val="none"/>
              </w:rPr>
              <w:t>联 系 人：姚女士</w:t>
            </w:r>
          </w:p>
          <w:p>
            <w:pPr>
              <w:tabs>
                <w:tab w:val="left" w:pos="4140"/>
                <w:tab w:val="left" w:pos="4260"/>
              </w:tabs>
              <w:spacing w:line="360" w:lineRule="auto"/>
              <w:ind w:right="-578" w:rightChars="-170"/>
              <w:rPr>
                <w:rFonts w:hAnsi="宋体" w:eastAsia="宋体" w:cs="宋体"/>
                <w:color w:val="auto"/>
                <w:sz w:val="24"/>
                <w:highlight w:val="none"/>
              </w:rPr>
            </w:pPr>
            <w:r>
              <w:rPr>
                <w:rFonts w:hint="eastAsia" w:hAnsi="宋体" w:cs="宋体"/>
                <w:color w:val="auto"/>
                <w:sz w:val="24"/>
                <w:szCs w:val="24"/>
                <w:highlight w:val="none"/>
              </w:rPr>
              <w:t>联系电话：0374-2771160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highlight w:val="none"/>
              </w:rPr>
            </w:pPr>
            <w:r>
              <w:rPr>
                <w:rFonts w:hint="eastAsia" w:hAnsi="宋体" w:eastAsia="宋体" w:cs="宋体"/>
                <w:color w:val="auto"/>
                <w:sz w:val="24"/>
                <w:highlight w:val="none"/>
              </w:rPr>
              <w:t>项目名称</w:t>
            </w:r>
          </w:p>
        </w:tc>
        <w:tc>
          <w:tcPr>
            <w:tcW w:w="6274" w:type="dxa"/>
            <w:gridSpan w:val="2"/>
            <w:vAlign w:val="center"/>
          </w:tcPr>
          <w:p>
            <w:pPr>
              <w:autoSpaceDE w:val="0"/>
              <w:autoSpaceDN w:val="0"/>
              <w:adjustRightInd w:val="0"/>
              <w:spacing w:line="420" w:lineRule="exact"/>
              <w:jc w:val="left"/>
              <w:rPr>
                <w:rFonts w:hint="eastAsia" w:hAnsi="宋体" w:cs="宋体" w:eastAsiaTheme="minorEastAsia"/>
                <w:b/>
                <w:color w:val="auto"/>
                <w:sz w:val="30"/>
                <w:szCs w:val="30"/>
                <w:highlight w:val="none"/>
                <w:lang w:eastAsia="zh-CN"/>
              </w:rPr>
            </w:pPr>
            <w:r>
              <w:rPr>
                <w:rFonts w:hint="eastAsia" w:hAnsi="宋体" w:cs="宋体"/>
                <w:color w:val="auto"/>
                <w:sz w:val="24"/>
                <w:highlight w:val="none"/>
                <w:lang w:eastAsia="zh-CN"/>
              </w:rPr>
              <w:t>郑州机场至许昌市域铁路工程许昌段第三方质量检测项目第二阶段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建设地点</w:t>
            </w:r>
          </w:p>
        </w:tc>
        <w:tc>
          <w:tcPr>
            <w:tcW w:w="6274" w:type="dxa"/>
            <w:gridSpan w:val="2"/>
            <w:vAlign w:val="center"/>
          </w:tcPr>
          <w:p>
            <w:pPr>
              <w:autoSpaceDE w:val="0"/>
              <w:autoSpaceDN w:val="0"/>
              <w:adjustRightInd w:val="0"/>
              <w:spacing w:line="420" w:lineRule="exact"/>
              <w:jc w:val="left"/>
              <w:rPr>
                <w:rFonts w:hAnsi="宋体" w:eastAsia="宋体" w:cs="宋体"/>
                <w:color w:val="auto"/>
                <w:sz w:val="24"/>
                <w:highlight w:val="none"/>
              </w:rPr>
            </w:pPr>
            <w:r>
              <w:rPr>
                <w:rFonts w:hAnsi="宋体" w:cs="宋体"/>
                <w:color w:val="auto"/>
                <w:sz w:val="24"/>
                <w:szCs w:val="24"/>
                <w:highlight w:val="none"/>
              </w:rPr>
              <w:t>郑州机场至许昌市域铁路工程许昌段北起郑州、许昌市界</w:t>
            </w:r>
            <w:r>
              <w:rPr>
                <w:rFonts w:hint="eastAsia" w:hAnsi="宋体" w:cs="宋体"/>
                <w:color w:val="auto"/>
                <w:sz w:val="24"/>
                <w:szCs w:val="24"/>
                <w:highlight w:val="none"/>
              </w:rPr>
              <w:t>，</w:t>
            </w:r>
            <w:r>
              <w:rPr>
                <w:rFonts w:hAnsi="宋体" w:cs="宋体"/>
                <w:color w:val="auto"/>
                <w:sz w:val="24"/>
                <w:szCs w:val="24"/>
                <w:highlight w:val="none"/>
              </w:rPr>
              <w:t>经华夏幸福城站，向南至许昌东站</w:t>
            </w:r>
            <w:r>
              <w:rPr>
                <w:rFonts w:hint="eastAsia"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资金来源</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cs="宋体"/>
                <w:color w:val="auto"/>
                <w:sz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出资比例</w:t>
            </w:r>
          </w:p>
        </w:tc>
        <w:tc>
          <w:tcPr>
            <w:tcW w:w="6274" w:type="dxa"/>
            <w:gridSpan w:val="2"/>
          </w:tcPr>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招标范围</w:t>
            </w:r>
          </w:p>
        </w:tc>
        <w:tc>
          <w:tcPr>
            <w:tcW w:w="6274" w:type="dxa"/>
            <w:gridSpan w:val="2"/>
            <w:tcBorders>
              <w:bottom w:val="single" w:color="auto" w:sz="4" w:space="0"/>
            </w:tcBorders>
          </w:tcPr>
          <w:p>
            <w:pPr>
              <w:widowControl/>
              <w:spacing w:line="312" w:lineRule="auto"/>
              <w:rPr>
                <w:rFonts w:hAnsi="宋体" w:eastAsia="宋体" w:cs="宋体"/>
                <w:color w:val="auto"/>
                <w:sz w:val="24"/>
                <w:highlight w:val="none"/>
              </w:rPr>
            </w:pPr>
            <w:r>
              <w:rPr>
                <w:rFonts w:hint="eastAsia" w:hAnsi="宋体" w:eastAsia="宋体" w:cs="宋体"/>
                <w:color w:val="auto"/>
                <w:sz w:val="24"/>
                <w:szCs w:val="24"/>
                <w:highlight w:val="none"/>
              </w:rPr>
              <w:t>包括但不限于工程竣工前的车站、梅庄停车场、桥梁、路基、隧道、道砟、装修装饰、“四电”设备及安装等检测工作及招标人要求的其他检测工作。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highlight w:val="none"/>
              </w:rPr>
            </w:pPr>
            <w:r>
              <w:rPr>
                <w:rFonts w:hAnsi="宋体" w:cs="宋体"/>
                <w:color w:val="auto"/>
                <w:sz w:val="24"/>
                <w:szCs w:val="24"/>
                <w:highlight w:val="none"/>
              </w:rPr>
              <w:t>质量检测工作完成及提交报告时间满足发包人对本工程进度的要求，至通车试运营开始之日止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highlight w:val="none"/>
              </w:rPr>
            </w:pPr>
            <w:r>
              <w:rPr>
                <w:rFonts w:hint="eastAsia" w:hAnsi="宋体" w:cs="宋体"/>
                <w:color w:val="auto"/>
                <w:sz w:val="24"/>
                <w:highlight w:val="none"/>
              </w:rPr>
              <w:t>合格（</w:t>
            </w:r>
            <w:r>
              <w:rPr>
                <w:rFonts w:hAnsi="宋体" w:cs="宋体"/>
                <w:color w:val="auto"/>
                <w:sz w:val="24"/>
                <w:highlight w:val="none"/>
              </w:rPr>
              <w:t>符合国家规定要求</w:t>
            </w:r>
            <w:r>
              <w:rPr>
                <w:rFonts w:hint="eastAsia"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投标人资质条件</w:t>
            </w:r>
          </w:p>
        </w:tc>
        <w:tc>
          <w:tcPr>
            <w:tcW w:w="6274" w:type="dxa"/>
            <w:gridSpan w:val="2"/>
          </w:tcPr>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highlight w:val="none"/>
              </w:rPr>
            </w:pPr>
            <w:r>
              <w:rPr>
                <w:rFonts w:hint="eastAsia" w:hAnsi="宋体" w:eastAsia="宋体" w:cs="宋体"/>
                <w:color w:val="auto"/>
                <w:sz w:val="24"/>
                <w:highlight w:val="none"/>
              </w:rPr>
              <w:t>投标人提出问题的</w:t>
            </w:r>
          </w:p>
          <w:p>
            <w:pPr>
              <w:autoSpaceDE w:val="0"/>
              <w:autoSpaceDN w:val="0"/>
              <w:adjustRightInd w:val="0"/>
              <w:spacing w:line="360" w:lineRule="exact"/>
              <w:jc w:val="center"/>
              <w:rPr>
                <w:rFonts w:hAnsi="宋体" w:eastAsia="宋体" w:cs="宋体"/>
                <w:color w:val="auto"/>
                <w:sz w:val="24"/>
                <w:highlight w:val="none"/>
              </w:rPr>
            </w:pPr>
            <w:r>
              <w:rPr>
                <w:rFonts w:hint="eastAsia" w:hAnsi="宋体" w:eastAsia="宋体" w:cs="宋体"/>
                <w:color w:val="auto"/>
                <w:sz w:val="24"/>
                <w:highlight w:val="none"/>
              </w:rPr>
              <w:t>截止时间</w:t>
            </w:r>
          </w:p>
        </w:tc>
        <w:tc>
          <w:tcPr>
            <w:tcW w:w="6274" w:type="dxa"/>
            <w:gridSpan w:val="2"/>
            <w:vAlign w:val="center"/>
          </w:tcPr>
          <w:p>
            <w:pPr>
              <w:rPr>
                <w:rFonts w:hAnsi="宋体" w:eastAsia="宋体" w:cs="宋体"/>
                <w:color w:val="auto"/>
                <w:sz w:val="24"/>
                <w:highlight w:val="none"/>
              </w:rPr>
            </w:pPr>
            <w:r>
              <w:rPr>
                <w:rFonts w:hint="eastAsia" w:hAnsi="宋体" w:eastAsia="宋体" w:cs="宋体"/>
                <w:color w:val="auto"/>
                <w:sz w:val="24"/>
                <w:highlight w:val="none"/>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highlight w:val="none"/>
              </w:rPr>
            </w:pPr>
            <w:r>
              <w:rPr>
                <w:rFonts w:hint="eastAsia" w:hAnsi="宋体" w:eastAsia="宋体" w:cs="宋体"/>
                <w:color w:val="auto"/>
                <w:sz w:val="24"/>
                <w:highlight w:val="none"/>
              </w:rPr>
              <w:t>1.10.3</w:t>
            </w:r>
          </w:p>
        </w:tc>
        <w:tc>
          <w:tcPr>
            <w:tcW w:w="2590" w:type="dxa"/>
            <w:gridSpan w:val="4"/>
            <w:vAlign w:val="center"/>
          </w:tcPr>
          <w:p>
            <w:pPr>
              <w:jc w:val="center"/>
              <w:rPr>
                <w:rFonts w:hAnsi="宋体" w:eastAsia="宋体" w:cs="宋体"/>
                <w:color w:val="auto"/>
                <w:sz w:val="24"/>
                <w:highlight w:val="none"/>
              </w:rPr>
            </w:pPr>
            <w:r>
              <w:rPr>
                <w:rFonts w:hint="eastAsia" w:hAnsi="宋体" w:eastAsia="宋体" w:cs="宋体"/>
                <w:color w:val="auto"/>
                <w:sz w:val="24"/>
                <w:highlight w:val="none"/>
              </w:rPr>
              <w:t>招标人澄清的时间</w:t>
            </w:r>
          </w:p>
        </w:tc>
        <w:tc>
          <w:tcPr>
            <w:tcW w:w="6274" w:type="dxa"/>
            <w:gridSpan w:val="2"/>
            <w:vAlign w:val="center"/>
          </w:tcPr>
          <w:p>
            <w:pPr>
              <w:rPr>
                <w:rFonts w:hAnsi="宋体" w:eastAsia="宋体" w:cs="宋体"/>
                <w:color w:val="auto"/>
                <w:sz w:val="24"/>
                <w:highlight w:val="none"/>
              </w:rPr>
            </w:pPr>
            <w:r>
              <w:rPr>
                <w:rFonts w:hint="eastAsia" w:hAnsi="宋体" w:eastAsia="宋体" w:cs="宋体"/>
                <w:color w:val="auto"/>
                <w:sz w:val="24"/>
                <w:highlight w:val="none"/>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分包</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偏离</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highlight w:val="none"/>
              </w:rPr>
            </w:pPr>
            <w:r>
              <w:rPr>
                <w:rFonts w:hint="eastAsia" w:hAnsi="宋体" w:eastAsia="宋体" w:cs="宋体"/>
                <w:color w:val="auto"/>
                <w:sz w:val="24"/>
                <w:highlight w:val="none"/>
              </w:rPr>
              <w:t>招标文件的</w:t>
            </w:r>
          </w:p>
          <w:p>
            <w:pPr>
              <w:autoSpaceDE w:val="0"/>
              <w:autoSpaceDN w:val="0"/>
              <w:adjustRightInd w:val="0"/>
              <w:spacing w:line="340" w:lineRule="exact"/>
              <w:jc w:val="center"/>
              <w:rPr>
                <w:rFonts w:hAnsi="宋体" w:eastAsia="宋体" w:cs="宋体"/>
                <w:color w:val="auto"/>
                <w:sz w:val="24"/>
                <w:highlight w:val="none"/>
              </w:rPr>
            </w:pPr>
            <w:r>
              <w:rPr>
                <w:rFonts w:hint="eastAsia" w:hAnsi="宋体" w:eastAsia="宋体" w:cs="宋体"/>
                <w:color w:val="auto"/>
                <w:sz w:val="24"/>
                <w:highlight w:val="none"/>
              </w:rPr>
              <w:t>获取</w:t>
            </w:r>
          </w:p>
        </w:tc>
        <w:tc>
          <w:tcPr>
            <w:tcW w:w="6274" w:type="dxa"/>
            <w:gridSpan w:val="2"/>
          </w:tcPr>
          <w:p>
            <w:pPr>
              <w:autoSpaceDE w:val="0"/>
              <w:autoSpaceDN w:val="0"/>
              <w:adjustRightInd w:val="0"/>
              <w:spacing w:line="340" w:lineRule="exact"/>
              <w:rPr>
                <w:rFonts w:hAnsi="宋体" w:eastAsia="宋体" w:cs="宋体"/>
                <w:color w:val="auto"/>
                <w:sz w:val="24"/>
                <w:highlight w:val="none"/>
              </w:rPr>
            </w:pPr>
            <w:r>
              <w:rPr>
                <w:rFonts w:hint="eastAsia" w:hAnsi="宋体" w:eastAsia="宋体" w:cs="宋体"/>
                <w:color w:val="auto"/>
                <w:sz w:val="24"/>
                <w:highlight w:val="none"/>
              </w:rPr>
              <w:t>招标文件的获取：投标人于投标文件递交截止时间前均可登录【全国公共资源交易平台(河南省</w:t>
            </w:r>
            <w:r>
              <w:rPr>
                <w:rFonts w:hint="eastAsia" w:ascii="MS Mincho" w:hAnsi="MS Mincho" w:eastAsia="MS Mincho" w:cs="MS Mincho"/>
                <w:color w:val="auto"/>
                <w:sz w:val="24"/>
                <w:highlight w:val="none"/>
              </w:rPr>
              <w:t>▪</w:t>
            </w:r>
            <w:r>
              <w:rPr>
                <w:rFonts w:hint="eastAsia" w:hAnsi="宋体" w:eastAsia="宋体" w:cs="宋体"/>
                <w:color w:val="auto"/>
                <w:sz w:val="24"/>
                <w:highlight w:val="none"/>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2.1.1</w:t>
            </w:r>
          </w:p>
        </w:tc>
        <w:tc>
          <w:tcPr>
            <w:tcW w:w="2590" w:type="dxa"/>
            <w:gridSpan w:val="4"/>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构成招标文件的其他材料</w:t>
            </w:r>
          </w:p>
        </w:tc>
        <w:tc>
          <w:tcPr>
            <w:tcW w:w="6274" w:type="dxa"/>
            <w:gridSpan w:val="2"/>
            <w:vAlign w:val="center"/>
          </w:tcPr>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2.2.1</w:t>
            </w:r>
          </w:p>
        </w:tc>
        <w:tc>
          <w:tcPr>
            <w:tcW w:w="2590" w:type="dxa"/>
            <w:gridSpan w:val="4"/>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cs="宋体"/>
                <w:color w:val="auto"/>
                <w:sz w:val="24"/>
                <w:szCs w:val="24"/>
                <w:highlight w:val="none"/>
              </w:rPr>
              <w:t>2020 年</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12</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分</w:t>
            </w:r>
            <w:r>
              <w:rPr>
                <w:rFonts w:hint="eastAsia" w:hAnsi="宋体" w:eastAsia="宋体" w:cs="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2.2.3</w:t>
            </w:r>
          </w:p>
        </w:tc>
        <w:tc>
          <w:tcPr>
            <w:tcW w:w="2590" w:type="dxa"/>
            <w:gridSpan w:val="4"/>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2.3.1</w:t>
            </w:r>
          </w:p>
        </w:tc>
        <w:tc>
          <w:tcPr>
            <w:tcW w:w="2590" w:type="dxa"/>
            <w:gridSpan w:val="4"/>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highlight w:val="none"/>
              </w:rPr>
            </w:pPr>
            <w:r>
              <w:rPr>
                <w:rFonts w:hint="eastAsia" w:hAnsi="宋体" w:eastAsia="宋体" w:cs="宋体"/>
                <w:color w:val="auto"/>
                <w:sz w:val="24"/>
                <w:highlight w:val="none"/>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120日历天（自投标截止之日算起）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投标保证金须知</w:t>
            </w:r>
          </w:p>
        </w:tc>
        <w:tc>
          <w:tcPr>
            <w:tcW w:w="6274" w:type="dxa"/>
            <w:gridSpan w:val="2"/>
            <w:vAlign w:val="center"/>
          </w:tcPr>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 xml:space="preserve">2、基本户备案流程： </w:t>
            </w:r>
          </w:p>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3、特殊情况处理：</w:t>
            </w:r>
          </w:p>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highlight w:val="none"/>
              </w:rPr>
            </w:pPr>
            <w:r>
              <w:rPr>
                <w:rFonts w:hint="eastAsia" w:hAnsi="宋体" w:eastAsia="宋体" w:cs="宋体"/>
                <w:color w:val="auto"/>
                <w:sz w:val="24"/>
                <w:highlight w:val="none"/>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bookmarkStart w:id="4" w:name="OLE_LINK4" w:colFirst="0" w:colLast="2"/>
            <w:bookmarkStart w:id="5" w:name="_Hlk424659721"/>
            <w:bookmarkStart w:id="6" w:name="OLE_LINK3" w:colFirst="0" w:colLast="2"/>
            <w:r>
              <w:rPr>
                <w:rFonts w:hint="eastAsia" w:hAnsi="宋体" w:eastAsia="宋体" w:cs="宋体"/>
                <w:color w:val="auto"/>
                <w:sz w:val="24"/>
                <w:highlight w:val="none"/>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auto"/>
                <w:sz w:val="24"/>
                <w:highlight w:val="none"/>
              </w:rPr>
            </w:pPr>
            <w:r>
              <w:rPr>
                <w:rFonts w:hint="eastAsia" w:hAnsi="宋体" w:eastAsia="宋体" w:cs="宋体"/>
                <w:color w:val="auto"/>
                <w:sz w:val="24"/>
                <w:highlight w:val="none"/>
              </w:rPr>
              <w:t>投标保证金递交截止时间：</w:t>
            </w:r>
            <w:r>
              <w:rPr>
                <w:rFonts w:hint="eastAsia" w:hAnsi="宋体" w:eastAsia="宋体" w:cs="宋体"/>
                <w:b/>
                <w:color w:val="auto"/>
                <w:sz w:val="24"/>
                <w:highlight w:val="none"/>
              </w:rPr>
              <w:t>同投标截止时间</w:t>
            </w:r>
            <w:r>
              <w:rPr>
                <w:rFonts w:hint="eastAsia" w:hAnsi="宋体" w:eastAsia="宋体" w:cs="宋体"/>
                <w:color w:val="auto"/>
                <w:sz w:val="24"/>
                <w:highlight w:val="none"/>
              </w:rPr>
              <w:t>。</w:t>
            </w:r>
          </w:p>
          <w:p>
            <w:pPr>
              <w:autoSpaceDE w:val="0"/>
              <w:autoSpaceDN w:val="0"/>
              <w:adjustRightInd w:val="0"/>
              <w:spacing w:line="276" w:lineRule="auto"/>
              <w:ind w:firstLine="482" w:firstLineChars="200"/>
              <w:jc w:val="left"/>
              <w:rPr>
                <w:rFonts w:hAnsi="宋体" w:eastAsia="宋体" w:cs="宋体"/>
                <w:b/>
                <w:bCs/>
                <w:color w:val="auto"/>
                <w:sz w:val="24"/>
                <w:highlight w:val="none"/>
              </w:rPr>
            </w:pPr>
            <w:r>
              <w:rPr>
                <w:rFonts w:hint="eastAsia" w:hAnsi="宋体" w:eastAsia="宋体" w:cs="宋体"/>
                <w:b/>
                <w:bCs/>
                <w:color w:val="auto"/>
                <w:sz w:val="24"/>
                <w:highlight w:val="none"/>
              </w:rPr>
              <w:t>金额：壹拾</w:t>
            </w:r>
            <w:r>
              <w:rPr>
                <w:rFonts w:hint="eastAsia" w:hAnsi="宋体" w:eastAsia="宋体" w:cs="宋体"/>
                <w:b/>
                <w:bCs/>
                <w:color w:val="auto"/>
                <w:sz w:val="24"/>
                <w:highlight w:val="none"/>
                <w:lang w:eastAsia="zh-CN"/>
              </w:rPr>
              <w:t>肆</w:t>
            </w:r>
            <w:r>
              <w:rPr>
                <w:rFonts w:hint="eastAsia" w:hAnsi="宋体" w:eastAsia="宋体" w:cs="宋体"/>
                <w:b/>
                <w:bCs/>
                <w:color w:val="auto"/>
                <w:sz w:val="24"/>
                <w:highlight w:val="none"/>
              </w:rPr>
              <w:t>万</w:t>
            </w:r>
            <w:r>
              <w:rPr>
                <w:rFonts w:hint="eastAsia" w:hAnsi="宋体" w:eastAsia="宋体" w:cs="宋体"/>
                <w:b/>
                <w:bCs/>
                <w:color w:val="auto"/>
                <w:sz w:val="24"/>
                <w:highlight w:val="none"/>
                <w:lang w:eastAsia="zh-CN"/>
              </w:rPr>
              <w:t>玖</w:t>
            </w:r>
            <w:r>
              <w:rPr>
                <w:rFonts w:hint="eastAsia" w:hAnsi="宋体" w:eastAsia="宋体" w:cs="宋体"/>
                <w:b/>
                <w:bCs/>
                <w:color w:val="auto"/>
                <w:sz w:val="24"/>
                <w:highlight w:val="none"/>
              </w:rPr>
              <w:t>仟元整（¥</w:t>
            </w:r>
            <w:r>
              <w:rPr>
                <w:rFonts w:hint="eastAsia" w:hAnsi="宋体" w:eastAsia="宋体" w:cs="宋体"/>
                <w:b/>
                <w:bCs/>
                <w:color w:val="auto"/>
                <w:sz w:val="24"/>
                <w:highlight w:val="none"/>
                <w:lang w:val="en-US" w:eastAsia="zh-CN"/>
              </w:rPr>
              <w:t>149</w:t>
            </w:r>
            <w:r>
              <w:rPr>
                <w:rFonts w:hint="eastAsia" w:hAnsi="宋体" w:eastAsia="宋体" w:cs="宋体"/>
                <w:b/>
                <w:bCs/>
                <w:color w:val="auto"/>
                <w:sz w:val="24"/>
                <w:highlight w:val="none"/>
              </w:rPr>
              <w:t>000.00元）</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使用银行转帐、银行电汇</w:t>
            </w:r>
            <w:r>
              <w:rPr>
                <w:rFonts w:hint="eastAsia" w:hAnsi="宋体" w:eastAsia="Times New Roman" w:cs="宋体"/>
                <w:color w:val="auto"/>
                <w:sz w:val="24"/>
                <w:highlight w:val="none"/>
                <w:lang w:val="zh-CN"/>
              </w:rPr>
              <w:t>方式</w:t>
            </w:r>
            <w:r>
              <w:rPr>
                <w:rFonts w:hint="eastAsia" w:hAnsi="宋体" w:cs="宋体"/>
                <w:color w:val="auto"/>
                <w:sz w:val="24"/>
                <w:highlight w:val="none"/>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highlight w:val="none"/>
              </w:rPr>
              <w:t>真实</w:t>
            </w:r>
            <w:r>
              <w:rPr>
                <w:rFonts w:hint="eastAsia" w:hAnsi="宋体" w:cs="宋体"/>
                <w:color w:val="auto"/>
                <w:sz w:val="24"/>
                <w:highlight w:val="none"/>
                <w:lang w:val="zh-CN"/>
              </w:rPr>
              <w:t>合法的银行保函原件扫描件附于投标文件中，否则视为未按</w:t>
            </w:r>
            <w:r>
              <w:rPr>
                <w:rFonts w:hint="eastAsia" w:hAnsi="宋体" w:cs="宋体"/>
                <w:color w:val="auto"/>
                <w:sz w:val="24"/>
                <w:highlight w:val="none"/>
              </w:rPr>
              <w:t>规定提交</w:t>
            </w:r>
            <w:r>
              <w:rPr>
                <w:rFonts w:hint="eastAsia" w:hAnsi="宋体" w:cs="宋体"/>
                <w:color w:val="auto"/>
                <w:sz w:val="24"/>
                <w:highlight w:val="none"/>
                <w:lang w:val="zh-CN"/>
              </w:rPr>
              <w:t>。</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2、投标保证金缴纳方式：</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lang w:val="zh-CN"/>
              </w:rPr>
              <w:t>2.</w:t>
            </w:r>
            <w:r>
              <w:rPr>
                <w:rFonts w:hint="eastAsia" w:hAnsi="宋体" w:cs="宋体"/>
                <w:color w:val="auto"/>
                <w:sz w:val="24"/>
                <w:highlight w:val="none"/>
              </w:rPr>
              <w:t>1</w:t>
            </w:r>
            <w:r>
              <w:rPr>
                <w:rFonts w:hint="eastAsia" w:hAnsi="宋体" w:cs="宋体"/>
                <w:color w:val="auto"/>
                <w:sz w:val="24"/>
                <w:highlight w:val="none"/>
                <w:lang w:val="zh-CN"/>
              </w:rPr>
              <w:t>投标人网上下载招标文件后</w:t>
            </w:r>
            <w:r>
              <w:rPr>
                <w:rFonts w:hint="eastAsia" w:hAnsi="宋体" w:cs="宋体"/>
                <w:color w:val="auto"/>
                <w:sz w:val="24"/>
                <w:highlight w:val="none"/>
              </w:rPr>
              <w:t>，</w:t>
            </w:r>
            <w:r>
              <w:rPr>
                <w:rFonts w:hint="eastAsia" w:hAnsi="宋体" w:cs="宋体"/>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s="宋体"/>
                <w:color w:val="auto"/>
                <w:sz w:val="24"/>
                <w:highlight w:val="none"/>
              </w:rPr>
              <w:t>http://221.14.6.70:8088/ggzy</w:t>
            </w:r>
            <w:r>
              <w:rPr>
                <w:rFonts w:hint="eastAsia" w:hAnsi="宋体" w:cs="宋体"/>
                <w:color w:val="auto"/>
                <w:sz w:val="24"/>
                <w:highlight w:val="none"/>
              </w:rPr>
              <w:fldChar w:fldCharType="end"/>
            </w:r>
            <w:r>
              <w:rPr>
                <w:rFonts w:hint="eastAsia" w:hAnsi="宋体" w:cs="宋体"/>
                <w:color w:val="auto"/>
                <w:sz w:val="24"/>
                <w:highlight w:val="none"/>
                <w:lang w:val="zh-CN"/>
              </w:rPr>
              <w:t>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费用缴纳说明</w:t>
            </w:r>
            <w:r>
              <w:rPr>
                <w:rFonts w:hint="eastAsia" w:hAnsi="宋体" w:cs="宋体"/>
                <w:color w:val="auto"/>
                <w:sz w:val="24"/>
                <w:highlight w:val="none"/>
              </w:rPr>
              <w:t>”→“</w:t>
            </w:r>
            <w:r>
              <w:rPr>
                <w:rFonts w:hint="eastAsia" w:hAnsi="宋体" w:cs="宋体"/>
                <w:color w:val="auto"/>
                <w:sz w:val="24"/>
                <w:highlight w:val="none"/>
                <w:lang w:val="zh-CN"/>
              </w:rPr>
              <w:t>保证金缴纳说明单</w:t>
            </w:r>
            <w:r>
              <w:rPr>
                <w:rFonts w:hint="eastAsia" w:hAnsi="宋体" w:cs="宋体"/>
                <w:color w:val="auto"/>
                <w:sz w:val="24"/>
                <w:highlight w:val="none"/>
              </w:rPr>
              <w:t>”，</w:t>
            </w:r>
            <w:r>
              <w:rPr>
                <w:rFonts w:hint="eastAsia" w:hAnsi="宋体" w:cs="宋体"/>
                <w:color w:val="auto"/>
                <w:sz w:val="24"/>
                <w:highlight w:val="none"/>
                <w:lang w:val="zh-CN"/>
              </w:rPr>
              <w:t>获取缴费说明单</w:t>
            </w:r>
            <w:r>
              <w:rPr>
                <w:rFonts w:hint="eastAsia" w:hAnsi="宋体" w:cs="宋体"/>
                <w:color w:val="auto"/>
                <w:sz w:val="24"/>
                <w:highlight w:val="none"/>
              </w:rPr>
              <w:t>，</w:t>
            </w:r>
            <w:r>
              <w:rPr>
                <w:rFonts w:hint="eastAsia" w:hAnsi="宋体" w:cs="宋体"/>
                <w:color w:val="auto"/>
                <w:sz w:val="24"/>
                <w:highlight w:val="none"/>
                <w:lang w:val="zh-CN"/>
              </w:rPr>
              <w:t>根据每个标段的缴纳说明单在缴纳截止时间前缴纳</w:t>
            </w:r>
            <w:r>
              <w:rPr>
                <w:rFonts w:hint="eastAsia" w:hAnsi="宋体" w:cs="宋体"/>
                <w:color w:val="auto"/>
                <w:sz w:val="24"/>
                <w:highlight w:val="none"/>
              </w:rPr>
              <w:t>；</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rPr>
              <w:t>2.2</w:t>
            </w:r>
            <w:r>
              <w:rPr>
                <w:rFonts w:hint="eastAsia" w:hAnsi="宋体" w:cs="宋体"/>
                <w:color w:val="auto"/>
                <w:sz w:val="24"/>
                <w:highlight w:val="none"/>
                <w:lang w:val="zh-CN"/>
              </w:rPr>
              <w:t>成功缴纳后</w:t>
            </w:r>
            <w:r>
              <w:rPr>
                <w:rFonts w:hint="eastAsia" w:hAnsi="宋体" w:cs="宋体"/>
                <w:color w:val="auto"/>
                <w:sz w:val="24"/>
                <w:highlight w:val="none"/>
              </w:rPr>
              <w:t>再次</w:t>
            </w:r>
            <w:r>
              <w:rPr>
                <w:rFonts w:hint="eastAsia" w:hAnsi="宋体" w:cs="宋体"/>
                <w:color w:val="auto"/>
                <w:sz w:val="24"/>
                <w:highlight w:val="none"/>
                <w:lang w:val="zh-CN"/>
              </w:rPr>
              <w:t>登录前述系统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保证金绑定</w:t>
            </w:r>
            <w:r>
              <w:rPr>
                <w:rFonts w:hint="eastAsia" w:hAnsi="宋体" w:cs="宋体"/>
                <w:color w:val="auto"/>
                <w:sz w:val="24"/>
                <w:highlight w:val="none"/>
              </w:rPr>
              <w:t>”→“</w:t>
            </w:r>
            <w:r>
              <w:rPr>
                <w:rFonts w:hint="eastAsia" w:hAnsi="宋体" w:cs="宋体"/>
                <w:color w:val="auto"/>
                <w:sz w:val="24"/>
                <w:highlight w:val="none"/>
                <w:lang w:val="zh-CN"/>
              </w:rPr>
              <w:t>绑定</w:t>
            </w:r>
            <w:r>
              <w:rPr>
                <w:rFonts w:hint="eastAsia" w:hAnsi="宋体" w:cs="宋体"/>
                <w:color w:val="auto"/>
                <w:sz w:val="24"/>
                <w:highlight w:val="none"/>
              </w:rPr>
              <w:t>”</w:t>
            </w:r>
            <w:r>
              <w:rPr>
                <w:rFonts w:hint="eastAsia" w:hAnsi="宋体" w:cs="宋体"/>
                <w:color w:val="auto"/>
                <w:sz w:val="24"/>
                <w:highlight w:val="none"/>
                <w:lang w:val="zh-CN"/>
              </w:rPr>
              <w:t>进行投标保证金绑定。未绑定标段的投标保证金，视为未按</w:t>
            </w:r>
            <w:r>
              <w:rPr>
                <w:rFonts w:hint="eastAsia" w:hAnsi="宋体" w:cs="宋体"/>
                <w:color w:val="auto"/>
                <w:sz w:val="24"/>
                <w:highlight w:val="none"/>
              </w:rPr>
              <w:t>规定提交</w:t>
            </w:r>
            <w:r>
              <w:rPr>
                <w:rFonts w:hint="eastAsia" w:hAnsi="宋体" w:cs="宋体"/>
                <w:color w:val="auto"/>
                <w:sz w:val="24"/>
                <w:highlight w:val="none"/>
                <w:lang w:val="zh-CN"/>
              </w:rPr>
              <w:t>。</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2.3投标人成功绑定投标保证金，将缴纳凭证</w:t>
            </w:r>
            <w:r>
              <w:rPr>
                <w:rFonts w:hint="eastAsia" w:hAnsi="宋体" w:cs="宋体"/>
                <w:color w:val="auto"/>
                <w:sz w:val="24"/>
                <w:highlight w:val="none"/>
              </w:rPr>
              <w:t>即本项目投保保证金</w:t>
            </w:r>
            <w:r>
              <w:rPr>
                <w:rFonts w:hint="eastAsia" w:hAnsi="宋体" w:cs="宋体"/>
                <w:color w:val="auto"/>
                <w:sz w:val="24"/>
                <w:highlight w:val="none"/>
                <w:lang w:val="zh-CN"/>
              </w:rPr>
              <w:t>“许昌公共资源交易中心保证金缴纳回执”附于投标文件中，</w:t>
            </w:r>
            <w:r>
              <w:rPr>
                <w:rFonts w:hint="eastAsia" w:hAnsi="宋体" w:cs="宋体"/>
                <w:color w:val="auto"/>
                <w:sz w:val="24"/>
                <w:highlight w:val="none"/>
              </w:rPr>
              <w:t>否则视为未按规定提交。</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2.4每个投标人每个项目每个标段只有唯一缴纳账号，</w:t>
            </w:r>
            <w:r>
              <w:rPr>
                <w:rFonts w:hint="eastAsia" w:hAnsi="宋体" w:cs="宋体"/>
                <w:color w:val="auto"/>
                <w:sz w:val="24"/>
                <w:highlight w:val="none"/>
              </w:rPr>
              <w:t>切勿重复缴纳或错误缴纳。</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3、未按上述规定操作引起的无效投标，由投标人自行负责。</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4、汇款凭证无须备注项目编号和项目名称。</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5、出现以下情形造成的投标保证金无效，由投标人自行负责。</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(1)投标保证金未从投标人的基本账户转出；</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(2)投标保证金未按照招标文件划分的标段转账。</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6、《保证金缴纳绑定操作指南》获取方法：</w:t>
            </w:r>
          </w:p>
          <w:p>
            <w:pPr>
              <w:autoSpaceDE w:val="0"/>
              <w:autoSpaceDN w:val="0"/>
              <w:adjustRightInd w:val="0"/>
              <w:spacing w:line="420" w:lineRule="exact"/>
              <w:jc w:val="left"/>
              <w:rPr>
                <w:rFonts w:hAnsi="宋体" w:cs="宋体"/>
                <w:color w:val="auto"/>
                <w:sz w:val="24"/>
                <w:highlight w:val="none"/>
                <w:lang w:val="zh-CN"/>
              </w:rPr>
            </w:pPr>
            <w:r>
              <w:rPr>
                <w:rFonts w:hint="eastAsia" w:hAnsi="宋体" w:cs="宋体"/>
                <w:color w:val="auto"/>
                <w:sz w:val="24"/>
                <w:highlight w:val="none"/>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highlight w:val="none"/>
                <w:lang w:val="zh-CN"/>
              </w:rPr>
              <w:t>。</w:t>
            </w:r>
            <w:r>
              <w:rPr>
                <w:rFonts w:hint="eastAsia" w:hAnsi="宋体" w:cs="宋体"/>
                <w:color w:val="auto"/>
                <w:sz w:val="24"/>
                <w:highlight w:val="none"/>
                <w:lang w:val="zh-CN"/>
              </w:rPr>
              <w:t>不予退还的保证金上缴国库。</w:t>
            </w:r>
          </w:p>
        </w:tc>
      </w:tr>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3.5.2</w:t>
            </w:r>
          </w:p>
        </w:tc>
        <w:tc>
          <w:tcPr>
            <w:tcW w:w="2590" w:type="dxa"/>
            <w:gridSpan w:val="4"/>
            <w:vAlign w:val="center"/>
          </w:tcPr>
          <w:p>
            <w:pPr>
              <w:jc w:val="center"/>
              <w:rPr>
                <w:rFonts w:hAnsi="宋体" w:eastAsia="宋体" w:cs="宋体"/>
                <w:color w:val="auto"/>
                <w:sz w:val="24"/>
                <w:highlight w:val="none"/>
              </w:rPr>
            </w:pPr>
            <w:r>
              <w:rPr>
                <w:rFonts w:hint="eastAsia" w:hAnsi="宋体" w:eastAsia="宋体" w:cs="宋体"/>
                <w:color w:val="auto"/>
                <w:sz w:val="24"/>
                <w:highlight w:val="none"/>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highlight w:val="none"/>
              </w:rPr>
            </w:pPr>
            <w:r>
              <w:rPr>
                <w:rFonts w:hint="eastAsia" w:hAnsi="宋体" w:cs="宋体"/>
                <w:color w:val="auto"/>
                <w:sz w:val="24"/>
                <w:highlight w:val="none"/>
              </w:rPr>
              <w:t>近三年，指</w:t>
            </w:r>
            <w:r>
              <w:rPr>
                <w:rFonts w:hint="eastAsia" w:hAnsi="宋体" w:cs="宋体"/>
                <w:color w:val="auto"/>
                <w:sz w:val="24"/>
                <w:szCs w:val="24"/>
                <w:highlight w:val="none"/>
              </w:rPr>
              <w:t>2016、2017、2018</w:t>
            </w:r>
            <w:r>
              <w:rPr>
                <w:rFonts w:hint="eastAsia" w:hAnsi="宋体" w:cs="宋体"/>
                <w:color w:val="auto"/>
                <w:sz w:val="24"/>
                <w:highlight w:val="none"/>
              </w:rPr>
              <w:t>年（新成立不足三年的企业提供自成立之日以来现有年限的财务会计报表）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3.5.3</w:t>
            </w:r>
          </w:p>
        </w:tc>
        <w:tc>
          <w:tcPr>
            <w:tcW w:w="2590" w:type="dxa"/>
            <w:gridSpan w:val="4"/>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highlight w:val="none"/>
              </w:rPr>
            </w:pPr>
            <w:r>
              <w:rPr>
                <w:rFonts w:hint="eastAsia" w:hAnsi="宋体" w:cs="宋体"/>
                <w:color w:val="auto"/>
                <w:sz w:val="24"/>
                <w:highlight w:val="none"/>
              </w:rPr>
              <w:t>近五年，指完工日期在2015年01月01日至投标截止时间内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3.5.5</w:t>
            </w:r>
          </w:p>
        </w:tc>
        <w:tc>
          <w:tcPr>
            <w:tcW w:w="2590" w:type="dxa"/>
            <w:gridSpan w:val="4"/>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近年发生的诉讼</w:t>
            </w:r>
          </w:p>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及仲裁</w:t>
            </w:r>
          </w:p>
        </w:tc>
        <w:tc>
          <w:tcPr>
            <w:tcW w:w="6274" w:type="dxa"/>
            <w:gridSpan w:val="2"/>
            <w:vAlign w:val="center"/>
          </w:tcPr>
          <w:p>
            <w:pPr>
              <w:autoSpaceDE w:val="0"/>
              <w:autoSpaceDN w:val="0"/>
              <w:adjustRightInd w:val="0"/>
              <w:spacing w:line="276" w:lineRule="auto"/>
              <w:rPr>
                <w:rFonts w:hAnsi="宋体" w:cs="宋体"/>
                <w:color w:val="auto"/>
                <w:sz w:val="24"/>
                <w:highlight w:val="none"/>
              </w:rPr>
            </w:pPr>
            <w:r>
              <w:rPr>
                <w:rFonts w:hint="eastAsia" w:hAnsi="宋体" w:cs="宋体"/>
                <w:color w:val="auto"/>
                <w:sz w:val="24"/>
                <w:highlight w:val="none"/>
              </w:rPr>
              <w:t>1、有效时间以提交投标文件截止时间前</w:t>
            </w:r>
            <w:r>
              <w:rPr>
                <w:rFonts w:hint="eastAsia" w:hAnsi="宋体" w:cs="宋体"/>
                <w:color w:val="auto"/>
                <w:sz w:val="24"/>
                <w:highlight w:val="none"/>
                <w:u w:val="single"/>
              </w:rPr>
              <w:t>36</w:t>
            </w:r>
            <w:r>
              <w:rPr>
                <w:rFonts w:hint="eastAsia" w:hAnsi="宋体" w:cs="宋体"/>
                <w:color w:val="auto"/>
                <w:sz w:val="24"/>
                <w:highlight w:val="none"/>
              </w:rPr>
              <w:t>个月为准。</w:t>
            </w:r>
          </w:p>
          <w:p>
            <w:pPr>
              <w:autoSpaceDE w:val="0"/>
              <w:autoSpaceDN w:val="0"/>
              <w:adjustRightInd w:val="0"/>
              <w:spacing w:line="276" w:lineRule="auto"/>
              <w:rPr>
                <w:rFonts w:hAnsi="宋体" w:eastAsia="宋体" w:cs="宋体"/>
                <w:color w:val="auto"/>
                <w:sz w:val="24"/>
                <w:highlight w:val="none"/>
              </w:rPr>
            </w:pPr>
            <w:r>
              <w:rPr>
                <w:rFonts w:hint="eastAsia" w:hAnsi="宋体" w:cs="宋体"/>
                <w:color w:val="auto"/>
                <w:sz w:val="24"/>
                <w:highlight w:val="none"/>
              </w:rPr>
              <w:t>2、近年发生的诉讼和仲裁情况仅限于认定投标人有违法行为的，且与履行施工承包合同有关的案件，不包括调解结案以及未裁决的仲裁或未终审判决的诉讼。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3.6</w:t>
            </w:r>
          </w:p>
        </w:tc>
        <w:tc>
          <w:tcPr>
            <w:tcW w:w="2590" w:type="dxa"/>
            <w:gridSpan w:val="4"/>
            <w:vAlign w:val="center"/>
          </w:tcPr>
          <w:p>
            <w:pPr>
              <w:autoSpaceDE w:val="0"/>
              <w:autoSpaceDN w:val="0"/>
              <w:adjustRightInd w:val="0"/>
              <w:jc w:val="center"/>
              <w:rPr>
                <w:rFonts w:hAnsi="宋体" w:eastAsia="宋体" w:cs="宋体"/>
                <w:color w:val="auto"/>
                <w:sz w:val="24"/>
                <w:highlight w:val="none"/>
              </w:rPr>
            </w:pPr>
            <w:r>
              <w:rPr>
                <w:rFonts w:hint="eastAsia" w:hAnsi="宋体" w:eastAsia="宋体" w:cs="宋体"/>
                <w:color w:val="auto"/>
                <w:sz w:val="24"/>
                <w:highlight w:val="none"/>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highlight w:val="none"/>
              </w:rPr>
            </w:pPr>
            <w:r>
              <w:rPr>
                <w:rFonts w:hint="eastAsia"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签字或盖章要求</w:t>
            </w:r>
          </w:p>
        </w:tc>
        <w:tc>
          <w:tcPr>
            <w:tcW w:w="6274" w:type="dxa"/>
            <w:gridSpan w:val="2"/>
            <w:vAlign w:val="center"/>
          </w:tcPr>
          <w:p>
            <w:pPr>
              <w:spacing w:line="360" w:lineRule="auto"/>
              <w:rPr>
                <w:rFonts w:hAnsi="宋体" w:eastAsia="宋体" w:cs="宋体"/>
                <w:color w:val="auto"/>
                <w:sz w:val="24"/>
                <w:highlight w:val="none"/>
              </w:rPr>
            </w:pPr>
            <w:r>
              <w:rPr>
                <w:rFonts w:hint="eastAsia" w:ascii="新宋体" w:hAnsi="新宋体" w:eastAsia="新宋体"/>
                <w:color w:val="auto"/>
                <w:sz w:val="24"/>
                <w:highlight w:val="none"/>
              </w:rPr>
              <w:t>电子投标文件：按招标文件要求加盖</w:t>
            </w:r>
            <w:r>
              <w:rPr>
                <w:rFonts w:hint="eastAsia" w:hAnsi="宋体" w:cs="宋体"/>
                <w:color w:val="auto"/>
                <w:sz w:val="24"/>
                <w:highlight w:val="none"/>
                <w:lang w:val="zh-CN"/>
              </w:rPr>
              <w:t>电子印章和法人电子印章</w:t>
            </w:r>
            <w:r>
              <w:rPr>
                <w:rFonts w:hint="eastAsia"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highlight w:val="none"/>
              </w:rPr>
            </w:pPr>
            <w:r>
              <w:rPr>
                <w:rFonts w:hint="eastAsia" w:hAnsi="宋体" w:eastAsia="宋体" w:cs="宋体"/>
                <w:color w:val="auto"/>
                <w:sz w:val="24"/>
                <w:highlight w:val="none"/>
              </w:rPr>
              <w:t>电子投标文件</w:t>
            </w:r>
          </w:p>
          <w:p>
            <w:pPr>
              <w:autoSpaceDE w:val="0"/>
              <w:autoSpaceDN w:val="0"/>
              <w:adjustRightInd w:val="0"/>
              <w:spacing w:line="360" w:lineRule="auto"/>
              <w:rPr>
                <w:rFonts w:hAnsi="宋体" w:eastAsia="宋体" w:cs="宋体"/>
                <w:color w:val="auto"/>
                <w:sz w:val="24"/>
                <w:highlight w:val="none"/>
              </w:rPr>
            </w:pPr>
            <w:r>
              <w:rPr>
                <w:rFonts w:hint="eastAsia" w:hAnsi="宋体" w:eastAsia="宋体" w:cs="宋体"/>
                <w:color w:val="auto"/>
                <w:sz w:val="24"/>
                <w:highlight w:val="none"/>
              </w:rPr>
              <w:t>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spacing w:line="360" w:lineRule="auto"/>
              <w:rPr>
                <w:rFonts w:hAnsi="宋体" w:eastAsia="宋体" w:cs="宋体"/>
                <w:color w:val="auto"/>
                <w:sz w:val="24"/>
                <w:highlight w:val="none"/>
              </w:rPr>
            </w:pPr>
            <w:r>
              <w:rPr>
                <w:rFonts w:hint="eastAsia" w:hAnsi="宋体" w:eastAsia="宋体" w:cs="宋体"/>
                <w:b/>
                <w:color w:val="auto"/>
                <w:sz w:val="24"/>
                <w:highlight w:val="none"/>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highlight w:val="none"/>
              </w:rPr>
            </w:pPr>
            <w:r>
              <w:rPr>
                <w:rFonts w:hint="eastAsia" w:hAnsi="宋体" w:eastAsia="宋体" w:cs="宋体"/>
                <w:color w:val="auto"/>
                <w:sz w:val="24"/>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highlight w:val="none"/>
              </w:rPr>
            </w:pPr>
            <w:r>
              <w:rPr>
                <w:rFonts w:hint="eastAsia" w:hAnsi="宋体" w:eastAsia="宋体" w:cs="宋体"/>
                <w:color w:val="auto"/>
                <w:sz w:val="24"/>
                <w:highlight w:val="none"/>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highlight w:val="none"/>
              </w:rPr>
            </w:pPr>
            <w:r>
              <w:rPr>
                <w:rFonts w:hint="eastAsia" w:hAnsi="宋体" w:eastAsia="宋体" w:cs="宋体"/>
                <w:color w:val="auto"/>
                <w:sz w:val="24"/>
                <w:highlight w:val="none"/>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电子投标文件递交地点：电子投标文件应按规定在投标截止时间（开标时间）之前成功提交至【全国公共资源交易平台</w:t>
            </w:r>
            <w:r>
              <w:rPr>
                <w:rFonts w:hAnsi="宋体" w:eastAsia="宋体" w:cs="宋体"/>
                <w:color w:val="auto"/>
                <w:sz w:val="24"/>
                <w:highlight w:val="none"/>
              </w:rPr>
              <w:t>(</w:t>
            </w:r>
            <w:r>
              <w:rPr>
                <w:rFonts w:hint="eastAsia" w:hAnsi="宋体" w:eastAsia="宋体" w:cs="宋体"/>
                <w:color w:val="auto"/>
                <w:sz w:val="24"/>
                <w:highlight w:val="none"/>
              </w:rPr>
              <w:t>河南省</w:t>
            </w:r>
            <w:r>
              <w:rPr>
                <w:rFonts w:hint="eastAsia" w:ascii="MS Mincho" w:hAnsi="MS Mincho" w:eastAsia="MS Mincho" w:cs="MS Mincho"/>
                <w:color w:val="auto"/>
                <w:sz w:val="24"/>
                <w:highlight w:val="none"/>
              </w:rPr>
              <w:t>▪</w:t>
            </w:r>
            <w:r>
              <w:rPr>
                <w:rFonts w:hint="eastAsia" w:hAnsi="宋体" w:eastAsia="宋体" w:cs="宋体"/>
                <w:color w:val="auto"/>
                <w:sz w:val="24"/>
                <w:highlight w:val="none"/>
              </w:rPr>
              <w:t>许昌市</w:t>
            </w:r>
            <w:r>
              <w:rPr>
                <w:rFonts w:hAnsi="宋体" w:eastAsia="宋体" w:cs="宋体"/>
                <w:color w:val="auto"/>
                <w:sz w:val="24"/>
                <w:highlight w:val="none"/>
              </w:rPr>
              <w:t>)</w:t>
            </w:r>
            <w:r>
              <w:rPr>
                <w:rFonts w:hint="eastAsia" w:hAnsi="宋体" w:eastAsia="宋体" w:cs="宋体"/>
                <w:color w:val="auto"/>
                <w:sz w:val="24"/>
                <w:highlight w:val="none"/>
              </w:rPr>
              <w:t>】公共资源交易系统（</w:t>
            </w:r>
            <w:r>
              <w:rPr>
                <w:rFonts w:hAnsi="宋体" w:eastAsia="宋体" w:cs="宋体"/>
                <w:color w:val="auto"/>
                <w:sz w:val="24"/>
                <w:highlight w:val="none"/>
              </w:rPr>
              <w:t>http://221.14.6.70:8088/ggzy/</w:t>
            </w:r>
            <w:r>
              <w:rPr>
                <w:rFonts w:hint="eastAsia"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开标时间：</w:t>
            </w:r>
            <w:r>
              <w:rPr>
                <w:rFonts w:hint="eastAsia" w:hAnsi="宋体" w:eastAsia="宋体" w:cs="宋体"/>
                <w:b/>
                <w:color w:val="auto"/>
                <w:sz w:val="24"/>
                <w:highlight w:val="none"/>
                <w:u w:val="single"/>
              </w:rPr>
              <w:t>同投标截止时间</w:t>
            </w:r>
          </w:p>
          <w:p>
            <w:pPr>
              <w:spacing w:line="440" w:lineRule="exact"/>
              <w:rPr>
                <w:rFonts w:hAnsi="宋体" w:cs="宋体"/>
                <w:color w:val="auto"/>
                <w:sz w:val="24"/>
                <w:szCs w:val="24"/>
                <w:highlight w:val="none"/>
              </w:rPr>
            </w:pPr>
            <w:r>
              <w:rPr>
                <w:rFonts w:hint="eastAsia" w:hAnsi="宋体" w:eastAsia="宋体" w:cs="宋体"/>
                <w:color w:val="auto"/>
                <w:sz w:val="24"/>
                <w:highlight w:val="none"/>
              </w:rPr>
              <w:t>开标地点：</w:t>
            </w:r>
            <w:r>
              <w:rPr>
                <w:rFonts w:hint="eastAsia" w:hAnsi="宋体" w:cs="宋体"/>
                <w:color w:val="auto"/>
                <w:sz w:val="24"/>
                <w:szCs w:val="24"/>
                <w:highlight w:val="none"/>
              </w:rPr>
              <w:t>许昌市公共资源交易中心（龙兴路与竹林路交汇处创业服务中心C 座）三楼开标</w:t>
            </w:r>
            <w:r>
              <w:rPr>
                <w:rFonts w:hint="eastAsia" w:hAnsi="宋体" w:cs="宋体"/>
                <w:color w:val="auto"/>
                <w:sz w:val="24"/>
                <w:szCs w:val="24"/>
                <w:highlight w:val="none"/>
                <w:lang w:eastAsia="zh-CN"/>
              </w:rPr>
              <w:t>一</w:t>
            </w:r>
            <w:r>
              <w:rPr>
                <w:rFonts w:hint="eastAsia" w:hAnsi="宋体" w:cs="宋体"/>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开标程序</w:t>
            </w:r>
          </w:p>
        </w:tc>
        <w:tc>
          <w:tcPr>
            <w:tcW w:w="6274" w:type="dxa"/>
            <w:gridSpan w:val="2"/>
          </w:tcPr>
          <w:p>
            <w:pPr>
              <w:rPr>
                <w:rFonts w:hAnsi="宋体" w:eastAsia="宋体" w:cs="宋体"/>
                <w:color w:val="auto"/>
                <w:sz w:val="24"/>
                <w:highlight w:val="none"/>
              </w:rPr>
            </w:pPr>
            <w:r>
              <w:rPr>
                <w:rFonts w:hint="eastAsia" w:hAnsi="宋体" w:eastAsia="宋体" w:cs="宋体"/>
                <w:color w:val="auto"/>
                <w:sz w:val="24"/>
                <w:highlight w:val="none"/>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jc w:val="left"/>
              <w:rPr>
                <w:rFonts w:hAnsi="宋体" w:eastAsia="宋体" w:cs="宋体"/>
                <w:color w:val="auto"/>
                <w:sz w:val="24"/>
                <w:highlight w:val="none"/>
              </w:rPr>
            </w:pPr>
            <w:r>
              <w:rPr>
                <w:rFonts w:hint="eastAsia" w:hAnsi="宋体" w:eastAsia="宋体" w:cs="宋体"/>
                <w:color w:val="auto"/>
                <w:sz w:val="24"/>
                <w:highlight w:val="none"/>
              </w:rPr>
              <w:t>(2)投标截止时间到达时，招标代理机构点击“开标按钮”按钮，开始不见面开标；点击“解密环节”按钮开始解密60分钟倒计时，各投标人可以远程进行解密投标文件。投标人未进行解密或未按规定进行解密的，视为放弃投标。</w:t>
            </w:r>
          </w:p>
          <w:p>
            <w:pPr>
              <w:jc w:val="left"/>
              <w:rPr>
                <w:rFonts w:hAnsi="宋体" w:eastAsia="宋体" w:cs="宋体"/>
                <w:color w:val="auto"/>
                <w:sz w:val="24"/>
                <w:highlight w:val="none"/>
              </w:rPr>
            </w:pPr>
            <w:r>
              <w:rPr>
                <w:rFonts w:hint="eastAsia" w:hAnsi="宋体" w:eastAsia="宋体" w:cs="宋体"/>
                <w:color w:val="auto"/>
                <w:sz w:val="24"/>
                <w:highlight w:val="none"/>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pPr>
              <w:autoSpaceDE w:val="0"/>
              <w:autoSpaceDN w:val="0"/>
              <w:adjustRightInd w:val="0"/>
              <w:jc w:val="left"/>
              <w:rPr>
                <w:rFonts w:hAnsi="宋体" w:eastAsia="宋体" w:cs="宋体"/>
                <w:color w:val="auto"/>
                <w:sz w:val="24"/>
                <w:highlight w:val="none"/>
              </w:rPr>
            </w:pPr>
            <w:r>
              <w:rPr>
                <w:rFonts w:hint="eastAsia" w:hAnsi="宋体" w:eastAsia="宋体" w:cs="宋体"/>
                <w:color w:val="auto"/>
                <w:sz w:val="24"/>
                <w:highlight w:val="none"/>
              </w:rPr>
              <w:t>(4)再无投标人提出异议，招标代理机构通过“文字互动”对话框通知各投标人进行电子签章。投标人应在《开标记录表》上进行电子签章，未进行电子签章的视为对开标结果无异议。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jc w:val="left"/>
              <w:rPr>
                <w:color w:val="auto"/>
                <w:highlight w:val="none"/>
              </w:rPr>
            </w:pPr>
            <w:r>
              <w:rPr>
                <w:rFonts w:hint="eastAsia" w:hAnsi="宋体" w:eastAsia="宋体" w:cs="宋体"/>
                <w:color w:val="auto"/>
                <w:sz w:val="24"/>
                <w:highlight w:val="none"/>
              </w:rPr>
              <w:t>（5）招标代理机构保存最终《开标记录表》，不见面开标活动结束。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评标委员会的组建</w:t>
            </w:r>
          </w:p>
        </w:tc>
        <w:tc>
          <w:tcPr>
            <w:tcW w:w="6274" w:type="dxa"/>
            <w:gridSpan w:val="2"/>
            <w:vAlign w:val="center"/>
          </w:tcPr>
          <w:p>
            <w:pPr>
              <w:rPr>
                <w:rFonts w:ascii="新宋体" w:hAnsi="新宋体" w:eastAsia="新宋体"/>
                <w:color w:val="auto"/>
                <w:sz w:val="24"/>
                <w:highlight w:val="none"/>
              </w:rPr>
            </w:pPr>
            <w:r>
              <w:rPr>
                <w:rFonts w:hint="eastAsia" w:ascii="新宋体" w:hAnsi="新宋体" w:eastAsia="新宋体"/>
                <w:color w:val="auto"/>
                <w:sz w:val="24"/>
                <w:highlight w:val="none"/>
              </w:rPr>
              <w:t>评标委员会构成：7人，从河南省综合评标专家库中随机抽取5人和招标人代表2人（其中工程造价专家不应少于五分之二）。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color w:val="auto"/>
                <w:sz w:val="24"/>
                <w:highlight w:val="none"/>
              </w:rPr>
            </w:pPr>
            <w:r>
              <w:rPr>
                <w:rFonts w:hint="eastAsia" w:hAnsi="宋体" w:cs="宋体"/>
                <w:color w:val="auto"/>
                <w:sz w:val="24"/>
                <w:highlight w:val="none"/>
              </w:rPr>
              <w:t>7.3.1</w:t>
            </w:r>
          </w:p>
        </w:tc>
        <w:tc>
          <w:tcPr>
            <w:tcW w:w="2590" w:type="dxa"/>
            <w:gridSpan w:val="4"/>
            <w:vAlign w:val="center"/>
          </w:tcPr>
          <w:p>
            <w:pPr>
              <w:autoSpaceDE w:val="0"/>
              <w:autoSpaceDN w:val="0"/>
              <w:adjustRightInd w:val="0"/>
              <w:spacing w:line="420" w:lineRule="exact"/>
              <w:jc w:val="center"/>
              <w:rPr>
                <w:rFonts w:hAnsi="宋体" w:cs="宋体"/>
                <w:color w:val="auto"/>
                <w:sz w:val="24"/>
                <w:highlight w:val="none"/>
              </w:rPr>
            </w:pPr>
            <w:r>
              <w:rPr>
                <w:rFonts w:hint="eastAsia" w:hAnsi="宋体" w:cs="宋体"/>
                <w:color w:val="auto"/>
                <w:sz w:val="24"/>
                <w:highlight w:val="none"/>
              </w:rPr>
              <w:t>履约担保</w:t>
            </w:r>
          </w:p>
        </w:tc>
        <w:tc>
          <w:tcPr>
            <w:tcW w:w="6274" w:type="dxa"/>
            <w:gridSpan w:val="2"/>
            <w:vAlign w:val="center"/>
          </w:tcPr>
          <w:p>
            <w:pPr>
              <w:autoSpaceDE w:val="0"/>
              <w:autoSpaceDN w:val="0"/>
              <w:adjustRightInd w:val="0"/>
              <w:spacing w:line="420" w:lineRule="exact"/>
              <w:rPr>
                <w:rFonts w:hAnsi="宋体" w:cs="宋体"/>
                <w:color w:val="auto"/>
                <w:sz w:val="24"/>
                <w:highlight w:val="none"/>
              </w:rPr>
            </w:pPr>
            <w:r>
              <w:rPr>
                <w:rFonts w:hint="eastAsia" w:hAnsi="宋体" w:cs="宋体"/>
                <w:color w:val="auto"/>
                <w:sz w:val="24"/>
                <w:highlight w:val="none"/>
              </w:rPr>
              <w:t>（1）形式：如为保函形式，应由银行开具，格式满足招标人要求；如为非保函形式，可采用电汇或网银的形式，须由投标人基本账户汇出。</w:t>
            </w:r>
          </w:p>
          <w:p>
            <w:pPr>
              <w:autoSpaceDE w:val="0"/>
              <w:autoSpaceDN w:val="0"/>
              <w:adjustRightInd w:val="0"/>
              <w:spacing w:line="420" w:lineRule="exact"/>
              <w:rPr>
                <w:rFonts w:hAnsi="宋体" w:cs="宋体"/>
                <w:color w:val="auto"/>
                <w:sz w:val="24"/>
                <w:highlight w:val="none"/>
              </w:rPr>
            </w:pPr>
            <w:r>
              <w:rPr>
                <w:rFonts w:hint="eastAsia" w:hAnsi="宋体" w:cs="宋体"/>
                <w:color w:val="auto"/>
                <w:sz w:val="24"/>
                <w:highlight w:val="none"/>
              </w:rPr>
              <w:t>（2）额度：为签约合同价的10%。</w:t>
            </w:r>
          </w:p>
          <w:p>
            <w:pPr>
              <w:autoSpaceDE w:val="0"/>
              <w:autoSpaceDN w:val="0"/>
              <w:adjustRightInd w:val="0"/>
              <w:spacing w:line="420" w:lineRule="exact"/>
              <w:rPr>
                <w:rFonts w:hAnsi="宋体" w:cs="宋体"/>
                <w:color w:val="auto"/>
                <w:sz w:val="24"/>
                <w:highlight w:val="none"/>
              </w:rPr>
            </w:pPr>
            <w:r>
              <w:rPr>
                <w:rFonts w:hint="eastAsia" w:hAnsi="宋体" w:cs="宋体"/>
                <w:color w:val="auto"/>
                <w:sz w:val="24"/>
                <w:highlight w:val="none"/>
              </w:rPr>
              <w:t>（3）提交履约担保的时间：应在合同签订前。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highlight w:val="none"/>
              </w:rPr>
            </w:pPr>
            <w:r>
              <w:rPr>
                <w:rFonts w:hint="eastAsia" w:hAnsi="宋体" w:eastAsia="宋体" w:cs="宋体"/>
                <w:b/>
                <w:color w:val="auto"/>
                <w:sz w:val="24"/>
                <w:highlight w:val="none"/>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highlight w:val="none"/>
              </w:rPr>
            </w:pPr>
            <w:r>
              <w:rPr>
                <w:rFonts w:hint="eastAsia" w:hAnsi="宋体" w:eastAsia="宋体" w:cs="宋体"/>
                <w:b/>
                <w:color w:val="auto"/>
                <w:sz w:val="24"/>
                <w:highlight w:val="none"/>
              </w:rPr>
              <w:t>类似项目</w:t>
            </w:r>
          </w:p>
        </w:tc>
        <w:tc>
          <w:tcPr>
            <w:tcW w:w="7219" w:type="dxa"/>
            <w:gridSpan w:val="3"/>
            <w:shd w:val="clear" w:color="auto" w:fill="FFFFFF" w:themeFill="background1"/>
            <w:vAlign w:val="center"/>
          </w:tcPr>
          <w:p>
            <w:pPr>
              <w:pStyle w:val="5"/>
              <w:ind w:firstLine="0" w:firstLineChars="0"/>
              <w:rPr>
                <w:color w:val="auto"/>
                <w:sz w:val="21"/>
                <w:szCs w:val="21"/>
                <w:highlight w:val="none"/>
              </w:rPr>
            </w:pPr>
            <w:r>
              <w:rPr>
                <w:rFonts w:hint="eastAsia" w:hAnsi="宋体" w:cs="宋体"/>
                <w:color w:val="auto"/>
                <w:sz w:val="24"/>
                <w:highlight w:val="none"/>
              </w:rPr>
              <w:t>类似业绩是指合同额200万以上的城市轨道交通项目检测业绩。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highlight w:val="none"/>
              </w:rPr>
            </w:pPr>
            <w:r>
              <w:rPr>
                <w:rFonts w:hint="eastAsia" w:hAnsi="宋体" w:eastAsia="宋体" w:cs="宋体"/>
                <w:color w:val="auto"/>
                <w:sz w:val="24"/>
                <w:highlight w:val="none"/>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b/>
                <w:color w:val="auto"/>
                <w:sz w:val="24"/>
                <w:highlight w:val="none"/>
              </w:rPr>
              <w:t>招标控制价</w:t>
            </w:r>
          </w:p>
        </w:tc>
        <w:tc>
          <w:tcPr>
            <w:tcW w:w="7219" w:type="dxa"/>
            <w:gridSpan w:val="3"/>
            <w:vAlign w:val="center"/>
          </w:tcPr>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本工程招标控制价：</w:t>
            </w:r>
          </w:p>
          <w:p>
            <w:pPr>
              <w:keepNext/>
              <w:spacing w:line="360" w:lineRule="auto"/>
              <w:rPr>
                <w:rFonts w:hAnsi="宋体" w:cs="宋体"/>
                <w:b/>
                <w:bCs/>
                <w:color w:val="auto"/>
                <w:sz w:val="24"/>
                <w:szCs w:val="24"/>
                <w:highlight w:val="none"/>
              </w:rPr>
            </w:pPr>
            <w:r>
              <w:rPr>
                <w:rFonts w:hint="eastAsia" w:hAnsi="宋体" w:cs="宋体"/>
                <w:b/>
                <w:bCs/>
                <w:color w:val="auto"/>
                <w:sz w:val="24"/>
                <w:highlight w:val="none"/>
              </w:rPr>
              <w:t>大写：</w:t>
            </w:r>
            <w:r>
              <w:rPr>
                <w:rFonts w:hint="eastAsia" w:hAnsi="宋体" w:cs="宋体"/>
                <w:b/>
                <w:bCs/>
                <w:color w:val="auto"/>
                <w:sz w:val="24"/>
                <w:highlight w:val="none"/>
                <w:lang w:eastAsia="zh-CN"/>
              </w:rPr>
              <w:t>柒</w:t>
            </w:r>
            <w:r>
              <w:rPr>
                <w:rFonts w:hint="eastAsia" w:hAnsi="宋体" w:cs="宋体"/>
                <w:b/>
                <w:bCs/>
                <w:color w:val="auto"/>
                <w:sz w:val="24"/>
                <w:szCs w:val="24"/>
                <w:highlight w:val="none"/>
              </w:rPr>
              <w:t>佰</w:t>
            </w:r>
            <w:r>
              <w:rPr>
                <w:rFonts w:hint="eastAsia" w:hAnsi="宋体" w:cs="宋体"/>
                <w:b/>
                <w:bCs/>
                <w:color w:val="auto"/>
                <w:sz w:val="24"/>
                <w:szCs w:val="24"/>
                <w:highlight w:val="none"/>
                <w:lang w:eastAsia="zh-CN"/>
              </w:rPr>
              <w:t>肆</w:t>
            </w:r>
            <w:r>
              <w:rPr>
                <w:rFonts w:hint="eastAsia" w:hAnsi="宋体" w:cs="宋体"/>
                <w:b/>
                <w:bCs/>
                <w:color w:val="auto"/>
                <w:sz w:val="24"/>
                <w:szCs w:val="24"/>
                <w:highlight w:val="none"/>
              </w:rPr>
              <w:t>拾陆万</w:t>
            </w:r>
            <w:r>
              <w:rPr>
                <w:rFonts w:hint="eastAsia" w:hAnsi="宋体" w:cs="宋体"/>
                <w:b/>
                <w:bCs/>
                <w:color w:val="auto"/>
                <w:sz w:val="24"/>
                <w:szCs w:val="24"/>
                <w:highlight w:val="none"/>
                <w:lang w:eastAsia="zh-CN"/>
              </w:rPr>
              <w:t>捌仟贰佰陆拾伍</w:t>
            </w:r>
            <w:r>
              <w:rPr>
                <w:rFonts w:hint="eastAsia" w:hAnsi="宋体" w:cs="宋体"/>
                <w:b/>
                <w:bCs/>
                <w:color w:val="auto"/>
                <w:sz w:val="24"/>
                <w:szCs w:val="24"/>
                <w:highlight w:val="none"/>
              </w:rPr>
              <w:t>元整</w:t>
            </w:r>
          </w:p>
          <w:p>
            <w:pPr>
              <w:keepNext/>
              <w:spacing w:line="360" w:lineRule="auto"/>
              <w:rPr>
                <w:rFonts w:hint="eastAsia" w:hAnsi="宋体" w:cs="宋体" w:eastAsiaTheme="minorEastAsia"/>
                <w:b/>
                <w:bCs/>
                <w:color w:val="auto"/>
                <w:sz w:val="24"/>
                <w:highlight w:val="none"/>
                <w:lang w:eastAsia="zh-CN"/>
              </w:rPr>
            </w:pPr>
            <w:r>
              <w:rPr>
                <w:rFonts w:hint="eastAsia" w:hAnsi="宋体" w:cs="宋体"/>
                <w:b/>
                <w:bCs/>
                <w:color w:val="auto"/>
                <w:sz w:val="24"/>
                <w:highlight w:val="none"/>
              </w:rPr>
              <w:t>小写：</w:t>
            </w:r>
            <w:r>
              <w:rPr>
                <w:rFonts w:hint="eastAsia" w:hAnsi="宋体" w:cs="宋体"/>
                <w:b/>
                <w:bCs/>
                <w:color w:val="auto"/>
                <w:sz w:val="24"/>
                <w:szCs w:val="24"/>
                <w:highlight w:val="none"/>
                <w:lang w:eastAsia="zh-CN"/>
              </w:rPr>
              <w:t>7468265.00元</w:t>
            </w:r>
          </w:p>
          <w:p>
            <w:pPr>
              <w:autoSpaceDE w:val="0"/>
              <w:autoSpaceDN w:val="0"/>
              <w:adjustRightInd w:val="0"/>
              <w:spacing w:line="420" w:lineRule="exact"/>
              <w:ind w:firstLine="235" w:firstLineChars="98"/>
              <w:rPr>
                <w:rFonts w:hAnsi="宋体" w:eastAsia="宋体" w:cs="宋体"/>
                <w:color w:val="auto"/>
                <w:sz w:val="24"/>
                <w:highlight w:val="none"/>
              </w:rPr>
            </w:pPr>
            <w:r>
              <w:rPr>
                <w:rFonts w:hint="eastAsia" w:hAnsi="宋体" w:eastAsia="宋体" w:cs="宋体"/>
                <w:color w:val="auto"/>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highlight w:val="none"/>
              </w:rPr>
            </w:pPr>
            <w:r>
              <w:rPr>
                <w:rFonts w:hint="eastAsia" w:hAnsi="宋体" w:eastAsia="宋体" w:cs="宋体"/>
                <w:color w:val="auto"/>
                <w:sz w:val="24"/>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highlight w:val="none"/>
              </w:rPr>
            </w:pPr>
          </w:p>
        </w:tc>
        <w:tc>
          <w:tcPr>
            <w:tcW w:w="3037" w:type="dxa"/>
            <w:gridSpan w:val="4"/>
            <w:vAlign w:val="center"/>
          </w:tcPr>
          <w:p>
            <w:pPr>
              <w:spacing w:line="260" w:lineRule="exact"/>
              <w:jc w:val="center"/>
              <w:rPr>
                <w:rFonts w:hAnsi="宋体" w:eastAsia="宋体" w:cs="宋体"/>
                <w:color w:val="auto"/>
                <w:sz w:val="24"/>
                <w:highlight w:val="none"/>
              </w:rPr>
            </w:pPr>
            <w:r>
              <w:rPr>
                <w:rFonts w:hint="eastAsia" w:hAnsi="宋体" w:eastAsia="宋体" w:cs="宋体"/>
                <w:color w:val="auto"/>
                <w:sz w:val="24"/>
                <w:highlight w:val="none"/>
              </w:rPr>
              <w:t>技术标是否采用“暗标”</w:t>
            </w:r>
          </w:p>
          <w:p>
            <w:pPr>
              <w:spacing w:line="260" w:lineRule="exact"/>
              <w:jc w:val="center"/>
              <w:rPr>
                <w:rFonts w:hAnsi="宋体" w:eastAsia="宋体" w:cs="宋体"/>
                <w:color w:val="auto"/>
                <w:sz w:val="24"/>
                <w:highlight w:val="none"/>
              </w:rPr>
            </w:pPr>
            <w:r>
              <w:rPr>
                <w:rFonts w:hint="eastAsia" w:hAnsi="宋体" w:eastAsia="宋体" w:cs="宋体"/>
                <w:color w:val="auto"/>
                <w:sz w:val="24"/>
                <w:highlight w:val="none"/>
              </w:rPr>
              <w:t>评审方式</w:t>
            </w:r>
          </w:p>
        </w:tc>
        <w:tc>
          <w:tcPr>
            <w:tcW w:w="5753" w:type="dxa"/>
            <w:vAlign w:val="center"/>
          </w:tcPr>
          <w:p>
            <w:pPr>
              <w:spacing w:line="312" w:lineRule="auto"/>
              <w:rPr>
                <w:rFonts w:hAnsi="宋体" w:eastAsia="宋体" w:cs="宋体"/>
                <w:color w:val="auto"/>
                <w:sz w:val="24"/>
                <w:highlight w:val="none"/>
              </w:rPr>
            </w:pPr>
            <w:r>
              <w:rPr>
                <w:rFonts w:hint="eastAsia" w:hAnsi="宋体" w:eastAsia="宋体" w:cs="宋体"/>
                <w:color w:val="auto"/>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highlight w:val="none"/>
              </w:rPr>
            </w:pPr>
            <w:r>
              <w:rPr>
                <w:rFonts w:hint="eastAsia" w:hAnsi="宋体" w:eastAsia="宋体" w:cs="宋体"/>
                <w:color w:val="auto"/>
                <w:sz w:val="24"/>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highlight w:val="none"/>
              </w:rPr>
            </w:pPr>
          </w:p>
        </w:tc>
        <w:tc>
          <w:tcPr>
            <w:tcW w:w="8790" w:type="dxa"/>
            <w:gridSpan w:val="5"/>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cs="宋体"/>
                <w:color w:val="auto"/>
                <w:sz w:val="24"/>
                <w:highlight w:val="none"/>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eastAsia="宋体" w:cs="宋体"/>
                <w:color w:val="auto"/>
                <w:sz w:val="24"/>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highlight w:val="none"/>
              </w:rPr>
            </w:pPr>
          </w:p>
        </w:tc>
        <w:tc>
          <w:tcPr>
            <w:tcW w:w="8790" w:type="dxa"/>
            <w:gridSpan w:val="5"/>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eastAsia="宋体" w:cs="宋体"/>
                <w:color w:val="auto"/>
                <w:sz w:val="24"/>
                <w:highlight w:val="none"/>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eastAsia="宋体" w:cs="宋体"/>
                <w:color w:val="auto"/>
                <w:sz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highlight w:val="none"/>
              </w:rPr>
            </w:pPr>
          </w:p>
        </w:tc>
        <w:tc>
          <w:tcPr>
            <w:tcW w:w="8790" w:type="dxa"/>
            <w:gridSpan w:val="5"/>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eastAsia="宋体" w:cs="宋体"/>
                <w:color w:val="auto"/>
                <w:sz w:val="24"/>
                <w:highlight w:val="none"/>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eastAsia="宋体" w:cs="宋体"/>
                <w:color w:val="auto"/>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highlight w:val="none"/>
              </w:rPr>
            </w:pPr>
          </w:p>
        </w:tc>
        <w:tc>
          <w:tcPr>
            <w:tcW w:w="8790" w:type="dxa"/>
            <w:gridSpan w:val="5"/>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eastAsia="宋体" w:cs="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eastAsia="宋体" w:cs="宋体"/>
                <w:color w:val="auto"/>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highlight w:val="none"/>
              </w:rPr>
            </w:pPr>
          </w:p>
        </w:tc>
        <w:tc>
          <w:tcPr>
            <w:tcW w:w="8790" w:type="dxa"/>
            <w:gridSpan w:val="5"/>
            <w:vAlign w:val="center"/>
          </w:tcPr>
          <w:p>
            <w:pPr>
              <w:autoSpaceDE w:val="0"/>
              <w:autoSpaceDN w:val="0"/>
              <w:spacing w:line="360" w:lineRule="auto"/>
              <w:jc w:val="left"/>
              <w:outlineLvl w:val="0"/>
              <w:rPr>
                <w:rFonts w:hAnsi="宋体" w:eastAsia="宋体" w:cs="宋体"/>
                <w:color w:val="auto"/>
                <w:sz w:val="24"/>
                <w:highlight w:val="none"/>
              </w:rPr>
            </w:pPr>
            <w:r>
              <w:rPr>
                <w:rFonts w:hint="eastAsia" w:hAnsi="宋体" w:eastAsia="宋体" w:cs="宋体"/>
                <w:color w:val="auto"/>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highlight w:val="none"/>
              </w:rPr>
            </w:pPr>
            <w:r>
              <w:rPr>
                <w:rFonts w:hint="eastAsia" w:hAnsi="宋体" w:eastAsia="宋体" w:cs="宋体"/>
                <w:color w:val="auto"/>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highlight w:val="none"/>
              </w:rPr>
            </w:pPr>
          </w:p>
        </w:tc>
        <w:tc>
          <w:tcPr>
            <w:tcW w:w="8790" w:type="dxa"/>
            <w:gridSpan w:val="5"/>
            <w:vAlign w:val="center"/>
          </w:tcPr>
          <w:p>
            <w:pPr>
              <w:spacing w:line="360" w:lineRule="auto"/>
              <w:rPr>
                <w:rFonts w:hAnsi="宋体" w:eastAsia="宋体" w:cs="宋体"/>
                <w:color w:val="auto"/>
                <w:sz w:val="24"/>
                <w:highlight w:val="none"/>
              </w:rPr>
            </w:pPr>
            <w:r>
              <w:rPr>
                <w:rFonts w:hint="eastAsia" w:hAnsi="宋体" w:eastAsia="宋体" w:cs="宋体"/>
                <w:color w:val="auto"/>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highlight w:val="none"/>
              </w:rPr>
            </w:pPr>
            <w:r>
              <w:rPr>
                <w:rFonts w:hint="eastAsia" w:hAnsi="宋体" w:eastAsia="宋体" w:cs="宋体"/>
                <w:color w:val="auto"/>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highlight w:val="none"/>
              </w:rPr>
            </w:pPr>
          </w:p>
        </w:tc>
        <w:tc>
          <w:tcPr>
            <w:tcW w:w="8790" w:type="dxa"/>
            <w:gridSpan w:val="5"/>
            <w:vAlign w:val="center"/>
          </w:tcPr>
          <w:p>
            <w:pPr>
              <w:spacing w:line="360" w:lineRule="auto"/>
              <w:rPr>
                <w:rFonts w:hAnsi="宋体" w:eastAsia="宋体" w:cs="宋体"/>
                <w:color w:val="auto"/>
                <w:sz w:val="24"/>
                <w:highlight w:val="none"/>
              </w:rPr>
            </w:pPr>
            <w:r>
              <w:rPr>
                <w:rFonts w:hint="eastAsia" w:hAnsi="宋体" w:eastAsia="宋体" w:cs="宋体"/>
                <w:color w:val="auto"/>
                <w:sz w:val="24"/>
                <w:highlight w:val="none"/>
              </w:rPr>
              <w:t>构成本招标文件的各个组成文件应互为解释，互为说明；</w:t>
            </w:r>
          </w:p>
          <w:p>
            <w:pPr>
              <w:spacing w:line="360" w:lineRule="auto"/>
              <w:rPr>
                <w:rFonts w:hAnsi="宋体" w:eastAsia="宋体" w:cs="宋体"/>
                <w:color w:val="auto"/>
                <w:sz w:val="24"/>
                <w:highlight w:val="none"/>
              </w:rPr>
            </w:pPr>
            <w:r>
              <w:rPr>
                <w:rFonts w:hint="eastAsia" w:hAnsi="宋体" w:eastAsia="宋体" w:cs="宋体"/>
                <w:color w:val="auto"/>
                <w:sz w:val="24"/>
                <w:highlight w:val="none"/>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highlight w:val="none"/>
              </w:rPr>
            </w:pPr>
            <w:r>
              <w:rPr>
                <w:rFonts w:hint="eastAsia" w:hAnsi="宋体" w:eastAsia="宋体" w:cs="宋体"/>
                <w:color w:val="auto"/>
                <w:sz w:val="24"/>
                <w:highlight w:val="none"/>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highlight w:val="none"/>
              </w:rPr>
            </w:pPr>
            <w:r>
              <w:rPr>
                <w:rFonts w:hint="eastAsia" w:hAnsi="宋体" w:eastAsia="宋体" w:cs="宋体"/>
                <w:color w:val="auto"/>
                <w:sz w:val="24"/>
                <w:highlight w:val="none"/>
              </w:rPr>
              <w:t>3、同一组成文件中就同一事项的规定或约定不一致的，以编排顺序在后者为准；</w:t>
            </w:r>
          </w:p>
          <w:p>
            <w:pPr>
              <w:spacing w:line="360" w:lineRule="auto"/>
              <w:rPr>
                <w:rFonts w:hAnsi="宋体" w:eastAsia="宋体" w:cs="宋体"/>
                <w:color w:val="auto"/>
                <w:sz w:val="24"/>
                <w:highlight w:val="none"/>
              </w:rPr>
            </w:pPr>
            <w:r>
              <w:rPr>
                <w:rFonts w:hint="eastAsia" w:hAnsi="宋体" w:eastAsia="宋体" w:cs="宋体"/>
                <w:color w:val="auto"/>
                <w:sz w:val="24"/>
                <w:highlight w:val="none"/>
              </w:rPr>
              <w:t>4、同一组成文件不同版本之间有不一致的，以形成时间在后者为准。</w:t>
            </w:r>
          </w:p>
          <w:p>
            <w:pPr>
              <w:spacing w:line="360" w:lineRule="auto"/>
              <w:rPr>
                <w:rFonts w:hAnsi="宋体" w:eastAsia="宋体" w:cs="宋体"/>
                <w:color w:val="auto"/>
                <w:sz w:val="24"/>
                <w:highlight w:val="none"/>
              </w:rPr>
            </w:pPr>
            <w:r>
              <w:rPr>
                <w:rFonts w:hint="eastAsia" w:hAnsi="宋体" w:eastAsia="宋体" w:cs="宋体"/>
                <w:color w:val="auto"/>
                <w:sz w:val="24"/>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highlight w:val="none"/>
              </w:rPr>
            </w:pPr>
            <w:r>
              <w:rPr>
                <w:rFonts w:hint="eastAsia" w:hAnsi="宋体" w:eastAsia="宋体" w:cs="宋体"/>
                <w:color w:val="auto"/>
                <w:sz w:val="24"/>
                <w:highlight w:val="none"/>
              </w:rPr>
              <w:t>10.11</w:t>
            </w:r>
          </w:p>
        </w:tc>
        <w:tc>
          <w:tcPr>
            <w:tcW w:w="8790" w:type="dxa"/>
            <w:gridSpan w:val="5"/>
            <w:vAlign w:val="center"/>
          </w:tcPr>
          <w:p>
            <w:pPr>
              <w:spacing w:line="360" w:lineRule="auto"/>
              <w:rPr>
                <w:rFonts w:hAnsi="宋体" w:eastAsia="宋体" w:cs="宋体"/>
                <w:color w:val="auto"/>
                <w:sz w:val="24"/>
                <w:highlight w:val="none"/>
              </w:rPr>
            </w:pPr>
            <w:r>
              <w:rPr>
                <w:rFonts w:hint="eastAsia" w:hAnsi="宋体" w:eastAsia="宋体" w:cs="宋体"/>
                <w:color w:val="auto"/>
                <w:sz w:val="24"/>
                <w:highlight w:val="none"/>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highlight w:val="none"/>
              </w:rPr>
            </w:pPr>
            <w:r>
              <w:rPr>
                <w:rFonts w:hint="eastAsia" w:hAnsi="宋体" w:eastAsia="宋体" w:cs="宋体"/>
                <w:color w:val="auto"/>
                <w:sz w:val="24"/>
                <w:highlight w:val="none"/>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highlight w:val="none"/>
              </w:rPr>
            </w:pPr>
          </w:p>
        </w:tc>
        <w:tc>
          <w:tcPr>
            <w:tcW w:w="8759" w:type="dxa"/>
            <w:gridSpan w:val="4"/>
            <w:vAlign w:val="center"/>
          </w:tcPr>
          <w:p>
            <w:pPr>
              <w:spacing w:line="360" w:lineRule="auto"/>
              <w:rPr>
                <w:rFonts w:hAnsi="宋体" w:eastAsia="宋体" w:cs="宋体"/>
                <w:color w:val="auto"/>
                <w:sz w:val="24"/>
                <w:highlight w:val="none"/>
              </w:rPr>
            </w:pPr>
            <w:r>
              <w:rPr>
                <w:rFonts w:hint="eastAsia" w:hAnsi="宋体" w:eastAsia="宋体" w:cs="宋体"/>
                <w:color w:val="auto"/>
                <w:sz w:val="24"/>
                <w:highlight w:val="none"/>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highlight w:val="none"/>
              </w:rPr>
            </w:pPr>
          </w:p>
        </w:tc>
        <w:tc>
          <w:tcPr>
            <w:tcW w:w="8759" w:type="dxa"/>
            <w:gridSpan w:val="4"/>
            <w:vAlign w:val="center"/>
          </w:tcPr>
          <w:p>
            <w:pPr>
              <w:spacing w:line="360" w:lineRule="auto"/>
              <w:rPr>
                <w:rFonts w:hAnsi="宋体" w:eastAsia="宋体" w:cs="宋体"/>
                <w:color w:val="auto"/>
                <w:sz w:val="24"/>
                <w:highlight w:val="none"/>
              </w:rPr>
            </w:pPr>
            <w:r>
              <w:rPr>
                <w:rFonts w:hint="eastAsia" w:hAnsi="宋体" w:eastAsia="宋体" w:cs="宋体"/>
                <w:color w:val="auto"/>
                <w:sz w:val="24"/>
                <w:highlight w:val="none"/>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highlight w:val="none"/>
              </w:rPr>
            </w:pPr>
            <w:r>
              <w:rPr>
                <w:rFonts w:hint="eastAsia" w:hAnsi="宋体" w:eastAsia="宋体" w:cs="宋体"/>
                <w:b/>
                <w:color w:val="auto"/>
                <w:sz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highlight w:val="none"/>
              </w:rPr>
            </w:pPr>
            <w:r>
              <w:rPr>
                <w:rFonts w:hint="eastAsia" w:hAnsi="宋体" w:eastAsia="宋体" w:cs="宋体"/>
                <w:color w:val="auto"/>
                <w:sz w:val="24"/>
                <w:highlight w:val="none"/>
              </w:rPr>
              <w:t>10.12.1</w:t>
            </w: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1、潜在投标人如对招标文件有异议，请在规定时间内在</w:t>
            </w:r>
            <w:r>
              <w:rPr>
                <w:rFonts w:hint="eastAsia" w:hAnsi="宋体" w:cs="宋体"/>
                <w:color w:val="auto"/>
                <w:sz w:val="24"/>
                <w:highlight w:val="none"/>
              </w:rPr>
              <w:t>《全国公共资源交易平台（河南省·许昌市）》</w:t>
            </w:r>
            <w:r>
              <w:rPr>
                <w:rFonts w:hint="eastAsia" w:hAnsi="宋体" w:eastAsia="宋体" w:cs="宋体"/>
                <w:color w:val="auto"/>
                <w:sz w:val="24"/>
                <w:highlight w:val="none"/>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2、投标人在投标截止时间前应随时关注</w:t>
            </w:r>
            <w:r>
              <w:rPr>
                <w:rFonts w:hint="eastAsia" w:hAnsi="宋体" w:cs="宋体"/>
                <w:color w:val="auto"/>
                <w:sz w:val="24"/>
                <w:highlight w:val="none"/>
              </w:rPr>
              <w:t>《全国公共资源交易平台（河南省·许昌市）》</w:t>
            </w:r>
            <w:r>
              <w:rPr>
                <w:rFonts w:hint="eastAsia" w:hAnsi="宋体" w:eastAsia="宋体" w:cs="宋体"/>
                <w:color w:val="auto"/>
                <w:sz w:val="24"/>
                <w:highlight w:val="none"/>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3、投标文件依据最终的招标文件进行编制。如果招标文件发生变更，投标人应以招标人最终发出的电子招标文件为准，编制投标文件，务请投标人随时关注项目变更信息。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highlight w:val="none"/>
              </w:rPr>
            </w:pPr>
            <w:r>
              <w:rPr>
                <w:rFonts w:hint="eastAsia" w:hAnsi="宋体" w:eastAsia="宋体" w:cs="宋体"/>
                <w:color w:val="auto"/>
                <w:sz w:val="24"/>
                <w:highlight w:val="none"/>
              </w:rPr>
              <w:t>4、招标人及其代理机构需留存项目电子档案时，可在质疑期满后使用</w:t>
            </w:r>
            <w:r>
              <w:rPr>
                <w:rFonts w:hAnsi="宋体" w:eastAsia="宋体" w:cs="宋体"/>
                <w:color w:val="auto"/>
                <w:sz w:val="24"/>
                <w:highlight w:val="none"/>
              </w:rPr>
              <w:t>CA锁从交易平台自行下载。</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5、商务标投标文件制作注意事项：</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5.1 投标人登录</w:t>
            </w:r>
            <w:r>
              <w:rPr>
                <w:rFonts w:hint="eastAsia" w:hAnsi="宋体" w:cs="宋体"/>
                <w:color w:val="auto"/>
                <w:sz w:val="24"/>
                <w:highlight w:val="none"/>
              </w:rPr>
              <w:t>《全国公共资源交易平台（河南省·许昌市）》</w:t>
            </w:r>
            <w:r>
              <w:rPr>
                <w:rFonts w:hint="eastAsia" w:hAnsi="宋体" w:eastAsia="宋体" w:cs="宋体"/>
                <w:color w:val="auto"/>
                <w:sz w:val="24"/>
                <w:highlight w:val="none"/>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5.2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5.3投标人应在投标文件递交的截止时间之前通过【全国公共资源交易平台（河南省·许昌市）】公共资源交易系统（http://www.xcggzy.gov.cn/）递交电子投标文件；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5.4请投标人在上传电子投标文件时认真检查上传投标文件是否完整、正确。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5.5加密电子投标文件逾期上传的，招标人不予受理。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5.6投标人采用银行转账方式提交投标保证金的，应在投标文件递交的截止时间之前按程序完成投标保证金绑定。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6、投标人需提前熟悉招标文件相关事项及《</w:t>
            </w:r>
            <w:r>
              <w:rPr>
                <w:rFonts w:hint="eastAsia" w:hAnsi="宋体"/>
                <w:color w:val="auto"/>
                <w:sz w:val="24"/>
                <w:highlight w:val="none"/>
              </w:rPr>
              <w:t>许昌市不见面开标操作手册</w:t>
            </w:r>
            <w:r>
              <w:rPr>
                <w:rFonts w:hint="eastAsia" w:hAnsi="宋体" w:eastAsia="宋体" w:cs="宋体"/>
                <w:color w:val="auto"/>
                <w:sz w:val="24"/>
                <w:highlight w:val="none"/>
              </w:rPr>
              <w:t>》，并设置不见面开标浏览器（设置流程详见《</w:t>
            </w:r>
            <w:r>
              <w:rPr>
                <w:rFonts w:hint="eastAsia" w:hAnsi="宋体"/>
                <w:color w:val="auto"/>
                <w:sz w:val="24"/>
                <w:highlight w:val="none"/>
              </w:rPr>
              <w:t>许昌市不见面开标操作手册</w:t>
            </w:r>
            <w:r>
              <w:rPr>
                <w:rFonts w:hint="eastAsia" w:hAnsi="宋体" w:eastAsia="宋体" w:cs="宋体"/>
                <w:color w:val="auto"/>
                <w:sz w:val="24"/>
                <w:highlight w:val="none"/>
              </w:rPr>
              <w:t>》）。</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7、投标人上传、解密投标文件需使用同一个CA数字证书，需确保用于解密的CA数字证书在有效期内、可正常使用，并在规定时间内完成电子投标文件解密。评标时仅以成功上传、解密的投标文件为准。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highlight w:val="none"/>
              </w:rPr>
            </w:pPr>
            <w:r>
              <w:rPr>
                <w:rFonts w:hint="eastAsia" w:hAnsi="宋体" w:eastAsia="宋体" w:cs="宋体"/>
                <w:color w:val="auto"/>
                <w:sz w:val="24"/>
                <w:highlight w:val="none"/>
              </w:rPr>
              <w:t>8、对开标过程有关内容有异议（质疑）的，投标人可在本项目的不见面开标大厅通过“文字互动”功能或“新增质疑”处提出异议（质疑），招标人（代理机构）及时进行线上答复。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highlight w:val="none"/>
              </w:rPr>
            </w:pPr>
            <w:r>
              <w:rPr>
                <w:rFonts w:hint="eastAsia" w:hAnsi="宋体" w:eastAsia="宋体" w:cs="宋体"/>
                <w:color w:val="auto"/>
                <w:sz w:val="24"/>
                <w:highlight w:val="none"/>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9、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241" w:firstLineChars="100"/>
              <w:jc w:val="left"/>
              <w:outlineLvl w:val="0"/>
              <w:rPr>
                <w:color w:val="auto"/>
                <w:highlight w:val="none"/>
              </w:rPr>
            </w:pPr>
            <w:r>
              <w:rPr>
                <w:rFonts w:hint="eastAsia" w:hAnsi="宋体" w:eastAsia="宋体" w:cs="宋体"/>
                <w:b/>
                <w:color w:val="auto"/>
                <w:sz w:val="24"/>
                <w:highlight w:val="none"/>
              </w:rPr>
              <w:t>10、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10.12.2</w:t>
            </w:r>
          </w:p>
        </w:tc>
        <w:tc>
          <w:tcPr>
            <w:tcW w:w="8790" w:type="dxa"/>
            <w:gridSpan w:val="5"/>
            <w:vAlign w:val="center"/>
          </w:tcPr>
          <w:p>
            <w:pPr>
              <w:autoSpaceDE w:val="0"/>
              <w:autoSpaceDN w:val="0"/>
              <w:spacing w:line="440" w:lineRule="exact"/>
              <w:jc w:val="left"/>
              <w:outlineLvl w:val="0"/>
              <w:rPr>
                <w:rFonts w:hAnsi="宋体" w:cs="宋体"/>
                <w:color w:val="auto"/>
                <w:sz w:val="24"/>
                <w:highlight w:val="none"/>
              </w:rPr>
            </w:pPr>
            <w:r>
              <w:rPr>
                <w:rFonts w:hint="eastAsia" w:hAnsi="宋体" w:cs="宋体"/>
                <w:b/>
                <w:color w:val="auto"/>
                <w:sz w:val="24"/>
                <w:highlight w:val="none"/>
              </w:rPr>
              <w:t>根据《河南省支持建筑业发展厅际联席会议办公室关于印发2018年全省建筑业转型发展推进方案的通知》（豫建联办〔</w:t>
            </w:r>
            <w:r>
              <w:rPr>
                <w:rFonts w:hAnsi="宋体" w:cs="宋体"/>
                <w:b/>
                <w:color w:val="auto"/>
                <w:sz w:val="24"/>
                <w:highlight w:val="none"/>
              </w:rPr>
              <w:t>2018</w:t>
            </w:r>
            <w:r>
              <w:rPr>
                <w:rFonts w:hint="eastAsia" w:hAnsi="宋体" w:cs="宋体"/>
                <w:b/>
                <w:color w:val="auto"/>
                <w:sz w:val="24"/>
                <w:highlight w:val="none"/>
              </w:rPr>
              <w:t>〕</w:t>
            </w:r>
            <w:r>
              <w:rPr>
                <w:rFonts w:hAnsi="宋体" w:cs="宋体"/>
                <w:b/>
                <w:color w:val="auto"/>
                <w:sz w:val="24"/>
                <w:highlight w:val="none"/>
              </w:rPr>
              <w:t>1</w:t>
            </w:r>
            <w:r>
              <w:rPr>
                <w:rFonts w:hint="eastAsia" w:hAnsi="宋体" w:cs="宋体"/>
                <w:b/>
                <w:color w:val="auto"/>
                <w:sz w:val="24"/>
                <w:highlight w:val="none"/>
              </w:rPr>
              <w:t>号）</w:t>
            </w:r>
            <w:r>
              <w:rPr>
                <w:rFonts w:hAnsi="宋体" w:cs="宋体"/>
                <w:b/>
                <w:color w:val="auto"/>
                <w:sz w:val="24"/>
                <w:highlight w:val="none"/>
              </w:rPr>
              <w:t xml:space="preserve"> 文件</w:t>
            </w:r>
            <w:r>
              <w:rPr>
                <w:rFonts w:hint="eastAsia" w:hAnsi="宋体" w:cs="宋体"/>
                <w:b/>
                <w:color w:val="auto"/>
                <w:sz w:val="24"/>
                <w:highlight w:val="none"/>
              </w:rPr>
              <w:t>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cs="宋体"/>
                <w:color w:val="auto"/>
                <w:sz w:val="24"/>
                <w:highlight w:val="none"/>
              </w:rPr>
            </w:pPr>
            <w:bookmarkStart w:id="7" w:name="_Toc283559947"/>
            <w:r>
              <w:rPr>
                <w:rFonts w:hint="eastAsia" w:hAnsi="宋体" w:cs="宋体"/>
                <w:color w:val="auto"/>
                <w:sz w:val="24"/>
                <w:highlight w:val="none"/>
              </w:rPr>
              <w:t>10.12.3</w:t>
            </w:r>
          </w:p>
        </w:tc>
        <w:tc>
          <w:tcPr>
            <w:tcW w:w="8790" w:type="dxa"/>
            <w:gridSpan w:val="5"/>
            <w:vAlign w:val="center"/>
          </w:tcPr>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10.12.4</w:t>
            </w:r>
          </w:p>
        </w:tc>
        <w:tc>
          <w:tcPr>
            <w:tcW w:w="8790" w:type="dxa"/>
            <w:gridSpan w:val="5"/>
            <w:vAlign w:val="center"/>
          </w:tcPr>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为便于后期检测工作的开展,中标人应与第一阶段质量检测单位做好业务交叉部分技术资料交接等工作。</w:t>
            </w:r>
          </w:p>
        </w:tc>
      </w:tr>
    </w:tbl>
    <w:p>
      <w:pPr>
        <w:rPr>
          <w:rFonts w:hAnsi="宋体" w:cs="宋体"/>
          <w:color w:val="auto"/>
          <w:sz w:val="24"/>
          <w:highlight w:val="none"/>
        </w:rPr>
      </w:pPr>
      <w:r>
        <w:rPr>
          <w:rFonts w:hint="eastAsia" w:hAnsi="宋体" w:cs="宋体"/>
          <w:color w:val="auto"/>
          <w:sz w:val="24"/>
          <w:highlight w:val="none"/>
        </w:rPr>
        <w:br w:type="page"/>
      </w:r>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1. 总则</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1.1 项目概况</w:t>
      </w:r>
      <w:r>
        <w:rPr>
          <w:rFonts w:hint="eastAsia" w:hAnsi="宋体" w:cs="宋体"/>
          <w:b/>
          <w:color w:val="auto"/>
          <w:sz w:val="24"/>
          <w:highlight w:val="none"/>
        </w:rPr>
        <w:tab/>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1.1.5 本标段建设地点：见投标人须知前附表。</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1.2 资金来源和落实情况</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1.3 招标范围、工期和质量要求</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1.3.3 本招标项目的质量要求：见投标人须知前附表。</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1.4 投标人及项目负责人资格要求</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1.4.3投标人不得存在下列情形之一：</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（3）为本标段的监理人；</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（4）为本标段的代建人； </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（9）被责令停业的； </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（11）财产被接管或冻结的；</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（12）在最近三年内有骗取中标或严重违约或重大工程质量问题的。</w:t>
      </w:r>
    </w:p>
    <w:p>
      <w:pPr>
        <w:autoSpaceDE w:val="0"/>
        <w:autoSpaceDN w:val="0"/>
        <w:spacing w:line="440" w:lineRule="exact"/>
        <w:jc w:val="left"/>
        <w:outlineLvl w:val="0"/>
        <w:rPr>
          <w:rFonts w:hAnsi="宋体" w:cs="宋体"/>
          <w:b/>
          <w:color w:val="auto"/>
          <w:sz w:val="24"/>
          <w:highlight w:val="none"/>
        </w:rPr>
      </w:pPr>
      <w:bookmarkStart w:id="8" w:name="_Toc179632552"/>
      <w:bookmarkStart w:id="9" w:name="_Toc152045535"/>
      <w:bookmarkStart w:id="10" w:name="_Toc152042311"/>
      <w:bookmarkStart w:id="11" w:name="_Toc144974503"/>
      <w:r>
        <w:rPr>
          <w:rFonts w:hint="eastAsia" w:hAnsi="宋体" w:cs="宋体"/>
          <w:b/>
          <w:color w:val="auto"/>
          <w:sz w:val="24"/>
          <w:highlight w:val="none"/>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投标人准备和参加投标活动发生的费用自理。</w:t>
      </w:r>
    </w:p>
    <w:p>
      <w:pPr>
        <w:autoSpaceDE w:val="0"/>
        <w:autoSpaceDN w:val="0"/>
        <w:spacing w:line="440" w:lineRule="exact"/>
        <w:jc w:val="left"/>
        <w:outlineLvl w:val="0"/>
        <w:rPr>
          <w:rFonts w:hAnsi="宋体" w:cs="宋体"/>
          <w:b/>
          <w:color w:val="auto"/>
          <w:sz w:val="24"/>
          <w:highlight w:val="none"/>
        </w:rPr>
      </w:pPr>
      <w:bookmarkStart w:id="12" w:name="_Toc152045536"/>
      <w:bookmarkStart w:id="13" w:name="_Toc179632553"/>
      <w:bookmarkStart w:id="14" w:name="_Toc144974504"/>
      <w:bookmarkStart w:id="15" w:name="_Toc152042312"/>
      <w:r>
        <w:rPr>
          <w:rFonts w:hint="eastAsia" w:hAnsi="宋体" w:cs="宋体"/>
          <w:b/>
          <w:color w:val="auto"/>
          <w:sz w:val="24"/>
          <w:highlight w:val="none"/>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highlight w:val="none"/>
        </w:rPr>
      </w:pPr>
      <w:bookmarkStart w:id="16" w:name="_Toc144974505"/>
      <w:bookmarkStart w:id="17" w:name="_Toc179632554"/>
      <w:bookmarkStart w:id="18" w:name="_Toc152042313"/>
      <w:bookmarkStart w:id="19" w:name="_Toc152045537"/>
      <w:r>
        <w:rPr>
          <w:rFonts w:hint="eastAsia" w:hAnsi="宋体" w:cs="宋体"/>
          <w:b/>
          <w:color w:val="auto"/>
          <w:sz w:val="24"/>
          <w:highlight w:val="none"/>
        </w:rPr>
        <w:t>1.7 语言</w:t>
      </w:r>
      <w:bookmarkEnd w:id="16"/>
      <w:r>
        <w:rPr>
          <w:rFonts w:hint="eastAsia" w:hAnsi="宋体" w:cs="宋体"/>
          <w:b/>
          <w:color w:val="auto"/>
          <w:sz w:val="24"/>
          <w:highlight w:val="none"/>
        </w:rPr>
        <w:t>文字</w:t>
      </w:r>
      <w:bookmarkEnd w:id="17"/>
      <w:bookmarkEnd w:id="18"/>
      <w:bookmarkEnd w:id="19"/>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highlight w:val="none"/>
        </w:rPr>
      </w:pPr>
      <w:bookmarkStart w:id="20" w:name="_Toc144974506"/>
      <w:bookmarkStart w:id="21" w:name="_Toc152042314"/>
      <w:bookmarkStart w:id="22" w:name="_Toc152045538"/>
      <w:bookmarkStart w:id="23" w:name="_Toc179632555"/>
      <w:r>
        <w:rPr>
          <w:rFonts w:hint="eastAsia" w:hAnsi="宋体" w:cs="宋体"/>
          <w:b/>
          <w:color w:val="auto"/>
          <w:sz w:val="24"/>
          <w:highlight w:val="none"/>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所有计量均采用中华人民共和国法定计量单位。</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1.9 踏勘现场</w:t>
      </w:r>
      <w:bookmarkEnd w:id="7"/>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 xml:space="preserve">    1.9.1 不组织。          </w:t>
      </w:r>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 xml:space="preserve">    1.9.2 投标人踏勘现场发生的费用自理。</w:t>
      </w:r>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highlight w:val="none"/>
        </w:rPr>
      </w:pPr>
      <w:bookmarkStart w:id="24" w:name="_Toc283559948"/>
      <w:r>
        <w:rPr>
          <w:rFonts w:hint="eastAsia" w:hAnsi="宋体" w:cs="宋体"/>
          <w:b/>
          <w:color w:val="auto"/>
          <w:sz w:val="24"/>
          <w:highlight w:val="none"/>
        </w:rPr>
        <w:t>1.10 投标预备会</w:t>
      </w:r>
      <w:bookmarkEnd w:id="24"/>
    </w:p>
    <w:p>
      <w:pPr>
        <w:autoSpaceDE w:val="0"/>
        <w:autoSpaceDN w:val="0"/>
        <w:spacing w:line="450" w:lineRule="exact"/>
        <w:ind w:firstLine="470" w:firstLineChars="196"/>
        <w:jc w:val="left"/>
        <w:outlineLvl w:val="0"/>
        <w:rPr>
          <w:rFonts w:hAnsi="宋体" w:cs="宋体"/>
          <w:b/>
          <w:color w:val="auto"/>
          <w:sz w:val="24"/>
          <w:highlight w:val="none"/>
        </w:rPr>
      </w:pPr>
      <w:r>
        <w:rPr>
          <w:rFonts w:hint="eastAsia" w:hAnsi="宋体" w:cs="宋体"/>
          <w:color w:val="auto"/>
          <w:sz w:val="24"/>
          <w:highlight w:val="none"/>
        </w:rPr>
        <w:t>1.10.1 招标人不召开投标预备会。</w:t>
      </w:r>
    </w:p>
    <w:p>
      <w:pPr>
        <w:autoSpaceDE w:val="0"/>
        <w:autoSpaceDN w:val="0"/>
        <w:spacing w:line="45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highlight w:val="none"/>
        </w:rPr>
      </w:pPr>
      <w:bookmarkStart w:id="25" w:name="_Toc283559949"/>
      <w:r>
        <w:rPr>
          <w:rFonts w:hint="eastAsia" w:hAnsi="宋体" w:cs="宋体"/>
          <w:b/>
          <w:color w:val="auto"/>
          <w:sz w:val="24"/>
          <w:highlight w:val="none"/>
        </w:rPr>
        <w:t>1.11 分包</w:t>
      </w:r>
      <w:bookmarkEnd w:id="25"/>
    </w:p>
    <w:p>
      <w:pPr>
        <w:autoSpaceDE w:val="0"/>
        <w:autoSpaceDN w:val="0"/>
        <w:spacing w:line="450" w:lineRule="exact"/>
        <w:ind w:firstLine="480" w:firstLineChars="200"/>
        <w:jc w:val="left"/>
        <w:outlineLvl w:val="0"/>
        <w:rPr>
          <w:rFonts w:hAnsi="宋体" w:cs="宋体"/>
          <w:b/>
          <w:color w:val="auto"/>
          <w:sz w:val="24"/>
          <w:highlight w:val="none"/>
        </w:rPr>
      </w:pPr>
      <w:r>
        <w:rPr>
          <w:rFonts w:hint="eastAsia" w:hAnsi="宋体" w:cs="宋体"/>
          <w:color w:val="auto"/>
          <w:sz w:val="24"/>
          <w:highlight w:val="none"/>
        </w:rPr>
        <w:t>不允许。</w:t>
      </w:r>
    </w:p>
    <w:p>
      <w:pPr>
        <w:autoSpaceDE w:val="0"/>
        <w:autoSpaceDN w:val="0"/>
        <w:adjustRightInd w:val="0"/>
        <w:spacing w:line="450" w:lineRule="exact"/>
        <w:jc w:val="left"/>
        <w:outlineLvl w:val="0"/>
        <w:rPr>
          <w:rFonts w:hAnsi="宋体" w:cs="宋体"/>
          <w:b/>
          <w:color w:val="auto"/>
          <w:sz w:val="24"/>
          <w:highlight w:val="none"/>
        </w:rPr>
      </w:pPr>
      <w:bookmarkStart w:id="26" w:name="_Toc283559950"/>
      <w:r>
        <w:rPr>
          <w:rFonts w:hint="eastAsia" w:hAnsi="宋体" w:cs="宋体"/>
          <w:b/>
          <w:color w:val="auto"/>
          <w:sz w:val="24"/>
          <w:highlight w:val="none"/>
        </w:rPr>
        <w:t>1.12 偏离</w:t>
      </w:r>
      <w:bookmarkEnd w:id="26"/>
    </w:p>
    <w:p>
      <w:pPr>
        <w:autoSpaceDE w:val="0"/>
        <w:autoSpaceDN w:val="0"/>
        <w:adjustRightInd w:val="0"/>
        <w:spacing w:line="450" w:lineRule="exact"/>
        <w:ind w:firstLine="480" w:firstLineChars="200"/>
        <w:jc w:val="left"/>
        <w:outlineLvl w:val="0"/>
        <w:rPr>
          <w:rFonts w:hAnsi="宋体" w:cs="宋体"/>
          <w:b/>
          <w:color w:val="auto"/>
          <w:sz w:val="24"/>
          <w:highlight w:val="none"/>
        </w:rPr>
      </w:pPr>
      <w:r>
        <w:rPr>
          <w:rFonts w:hint="eastAsia" w:hAnsi="宋体" w:cs="宋体"/>
          <w:color w:val="auto"/>
          <w:sz w:val="24"/>
          <w:highlight w:val="none"/>
        </w:rPr>
        <w:t>投标人须知前附表允许投标文件偏离招标文件某些要求的，偏离应当符合招标文件规定的偏离范围和幅度。</w:t>
      </w:r>
    </w:p>
    <w:p>
      <w:pPr>
        <w:pStyle w:val="25"/>
        <w:spacing w:line="450" w:lineRule="exact"/>
        <w:jc w:val="both"/>
        <w:outlineLvl w:val="0"/>
        <w:rPr>
          <w:rFonts w:hAnsi="宋体"/>
          <w:b/>
          <w:color w:val="auto"/>
          <w:highlight w:val="none"/>
        </w:rPr>
      </w:pPr>
      <w:bookmarkStart w:id="27" w:name="_Toc283559951"/>
      <w:r>
        <w:rPr>
          <w:rFonts w:hint="eastAsia" w:hAnsi="宋体"/>
          <w:b/>
          <w:color w:val="auto"/>
          <w:highlight w:val="none"/>
        </w:rPr>
        <w:t>2. 招标文件</w:t>
      </w:r>
      <w:bookmarkEnd w:id="27"/>
    </w:p>
    <w:p>
      <w:pPr>
        <w:autoSpaceDE w:val="0"/>
        <w:autoSpaceDN w:val="0"/>
        <w:spacing w:line="450" w:lineRule="exact"/>
        <w:jc w:val="left"/>
        <w:outlineLvl w:val="0"/>
        <w:rPr>
          <w:rFonts w:hAnsi="宋体" w:cs="宋体"/>
          <w:b/>
          <w:color w:val="auto"/>
          <w:sz w:val="24"/>
          <w:highlight w:val="none"/>
        </w:rPr>
      </w:pPr>
      <w:bookmarkStart w:id="28" w:name="_Toc283559952"/>
      <w:r>
        <w:rPr>
          <w:rFonts w:hint="eastAsia" w:hAnsi="宋体" w:cs="宋体"/>
          <w:b/>
          <w:color w:val="auto"/>
          <w:sz w:val="24"/>
          <w:highlight w:val="none"/>
        </w:rPr>
        <w:t>2.1 招标文件的组成</w:t>
      </w:r>
      <w:bookmarkEnd w:id="28"/>
    </w:p>
    <w:p>
      <w:pPr>
        <w:autoSpaceDE w:val="0"/>
        <w:autoSpaceDN w:val="0"/>
        <w:spacing w:line="45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本招标文件包括：</w:t>
      </w:r>
    </w:p>
    <w:p>
      <w:pPr>
        <w:spacing w:line="450" w:lineRule="exact"/>
        <w:ind w:firstLine="410" w:firstLineChars="171"/>
        <w:rPr>
          <w:rFonts w:hAnsi="宋体" w:cs="宋体"/>
          <w:color w:val="auto"/>
          <w:sz w:val="24"/>
          <w:highlight w:val="none"/>
        </w:rPr>
      </w:pPr>
      <w:r>
        <w:rPr>
          <w:rFonts w:hint="eastAsia" w:hAnsi="宋体" w:cs="宋体"/>
          <w:color w:val="auto"/>
          <w:sz w:val="24"/>
          <w:highlight w:val="none"/>
        </w:rPr>
        <w:t>（1）招标公告；</w:t>
      </w:r>
    </w:p>
    <w:p>
      <w:pPr>
        <w:spacing w:line="450" w:lineRule="exact"/>
        <w:ind w:firstLine="410" w:firstLineChars="171"/>
        <w:rPr>
          <w:rFonts w:hAnsi="宋体" w:cs="宋体"/>
          <w:color w:val="auto"/>
          <w:sz w:val="24"/>
          <w:highlight w:val="none"/>
        </w:rPr>
      </w:pPr>
      <w:r>
        <w:rPr>
          <w:rFonts w:hint="eastAsia" w:hAnsi="宋体" w:cs="宋体"/>
          <w:color w:val="auto"/>
          <w:sz w:val="24"/>
          <w:highlight w:val="none"/>
        </w:rPr>
        <w:t>（2）投标人须知；</w:t>
      </w:r>
    </w:p>
    <w:p>
      <w:pPr>
        <w:spacing w:line="450" w:lineRule="exact"/>
        <w:ind w:firstLine="410" w:firstLineChars="171"/>
        <w:rPr>
          <w:rFonts w:hAnsi="宋体" w:cs="宋体"/>
          <w:color w:val="auto"/>
          <w:sz w:val="24"/>
          <w:highlight w:val="none"/>
        </w:rPr>
      </w:pPr>
      <w:r>
        <w:rPr>
          <w:rFonts w:hint="eastAsia" w:hAnsi="宋体" w:cs="宋体"/>
          <w:color w:val="auto"/>
          <w:sz w:val="24"/>
          <w:highlight w:val="none"/>
        </w:rPr>
        <w:t>（3）评标办法；</w:t>
      </w:r>
    </w:p>
    <w:p>
      <w:pPr>
        <w:spacing w:line="450" w:lineRule="exact"/>
        <w:ind w:firstLine="410" w:firstLineChars="171"/>
        <w:rPr>
          <w:rFonts w:hAnsi="宋体" w:cs="宋体"/>
          <w:color w:val="auto"/>
          <w:sz w:val="24"/>
          <w:highlight w:val="none"/>
        </w:rPr>
      </w:pPr>
      <w:r>
        <w:rPr>
          <w:rFonts w:hint="eastAsia" w:hAnsi="宋体" w:cs="宋体"/>
          <w:color w:val="auto"/>
          <w:sz w:val="24"/>
          <w:highlight w:val="none"/>
        </w:rPr>
        <w:t>（4）合同条款；</w:t>
      </w:r>
    </w:p>
    <w:p>
      <w:pPr>
        <w:spacing w:line="450" w:lineRule="exact"/>
        <w:ind w:firstLine="410" w:firstLineChars="171"/>
        <w:rPr>
          <w:rFonts w:hAnsi="宋体" w:cs="宋体"/>
          <w:color w:val="auto"/>
          <w:sz w:val="24"/>
          <w:highlight w:val="none"/>
        </w:rPr>
      </w:pPr>
      <w:r>
        <w:rPr>
          <w:rFonts w:hint="eastAsia" w:hAnsi="宋体" w:cs="宋体"/>
          <w:color w:val="auto"/>
          <w:sz w:val="24"/>
          <w:highlight w:val="none"/>
        </w:rPr>
        <w:t xml:space="preserve">（5）工程量清单； </w:t>
      </w:r>
    </w:p>
    <w:p>
      <w:pPr>
        <w:spacing w:line="450" w:lineRule="exact"/>
        <w:ind w:firstLine="410" w:firstLineChars="171"/>
        <w:rPr>
          <w:rFonts w:hAnsi="宋体" w:cs="宋体"/>
          <w:color w:val="auto"/>
          <w:sz w:val="24"/>
          <w:highlight w:val="none"/>
        </w:rPr>
      </w:pPr>
      <w:r>
        <w:rPr>
          <w:rFonts w:hint="eastAsia" w:hAnsi="宋体" w:cs="宋体"/>
          <w:color w:val="auto"/>
          <w:sz w:val="24"/>
          <w:highlight w:val="none"/>
        </w:rPr>
        <w:t xml:space="preserve">（6）图纸； </w:t>
      </w:r>
    </w:p>
    <w:p>
      <w:pPr>
        <w:spacing w:line="450" w:lineRule="exact"/>
        <w:ind w:firstLine="410" w:firstLineChars="171"/>
        <w:rPr>
          <w:rFonts w:hAnsi="宋体" w:cs="宋体"/>
          <w:color w:val="auto"/>
          <w:sz w:val="24"/>
          <w:highlight w:val="none"/>
        </w:rPr>
      </w:pPr>
      <w:r>
        <w:rPr>
          <w:rFonts w:hint="eastAsia" w:hAnsi="宋体" w:cs="宋体"/>
          <w:color w:val="auto"/>
          <w:sz w:val="24"/>
          <w:highlight w:val="none"/>
        </w:rPr>
        <w:t>（7）技术标准和要求；</w:t>
      </w:r>
    </w:p>
    <w:p>
      <w:pPr>
        <w:spacing w:line="450" w:lineRule="exact"/>
        <w:ind w:firstLine="410" w:firstLineChars="171"/>
        <w:rPr>
          <w:rFonts w:hAnsi="宋体" w:cs="宋体"/>
          <w:color w:val="auto"/>
          <w:sz w:val="24"/>
          <w:highlight w:val="none"/>
        </w:rPr>
      </w:pPr>
      <w:r>
        <w:rPr>
          <w:rFonts w:hint="eastAsia" w:hAnsi="宋体" w:cs="宋体"/>
          <w:color w:val="auto"/>
          <w:sz w:val="24"/>
          <w:highlight w:val="none"/>
        </w:rPr>
        <w:t>（8）投标文件格式；</w:t>
      </w:r>
    </w:p>
    <w:p>
      <w:pPr>
        <w:autoSpaceDE w:val="0"/>
        <w:autoSpaceDN w:val="0"/>
        <w:spacing w:line="45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highlight w:val="none"/>
        </w:rPr>
      </w:pPr>
      <w:bookmarkStart w:id="29" w:name="_Toc283559953"/>
      <w:r>
        <w:rPr>
          <w:rFonts w:hint="eastAsia" w:hAnsi="宋体" w:cs="宋体"/>
          <w:b/>
          <w:color w:val="auto"/>
          <w:sz w:val="24"/>
          <w:highlight w:val="none"/>
        </w:rPr>
        <w:t>2.2 招标文件的澄清</w:t>
      </w:r>
      <w:bookmarkEnd w:id="29"/>
    </w:p>
    <w:p>
      <w:pPr>
        <w:autoSpaceDE w:val="0"/>
        <w:autoSpaceDN w:val="0"/>
        <w:adjustRightInd w:val="0"/>
        <w:spacing w:line="450" w:lineRule="exact"/>
        <w:ind w:firstLine="616" w:firstLineChars="257"/>
        <w:jc w:val="left"/>
        <w:rPr>
          <w:rFonts w:hAnsi="宋体" w:cs="宋体"/>
          <w:color w:val="auto"/>
          <w:sz w:val="24"/>
          <w:highlight w:val="none"/>
        </w:rPr>
      </w:pPr>
      <w:bookmarkStart w:id="30" w:name="_Toc283559954"/>
      <w:r>
        <w:rPr>
          <w:rFonts w:hint="eastAsia" w:hAnsi="宋体" w:cs="宋体"/>
          <w:color w:val="auto"/>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highlight w:val="none"/>
        </w:rPr>
        <w:t>如未提出异议，视为全面接受。</w:t>
      </w:r>
    </w:p>
    <w:p>
      <w:pPr>
        <w:autoSpaceDE w:val="0"/>
        <w:autoSpaceDN w:val="0"/>
        <w:adjustRightInd w:val="0"/>
        <w:spacing w:line="450" w:lineRule="exact"/>
        <w:ind w:firstLine="616" w:firstLineChars="257"/>
        <w:jc w:val="left"/>
        <w:rPr>
          <w:rFonts w:hAnsi="宋体" w:cs="宋体"/>
          <w:color w:val="auto"/>
          <w:sz w:val="24"/>
          <w:highlight w:val="none"/>
        </w:rPr>
      </w:pPr>
      <w:r>
        <w:rPr>
          <w:rFonts w:hint="eastAsia" w:hAnsi="宋体" w:cs="宋体"/>
          <w:color w:val="auto"/>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highlight w:val="none"/>
        </w:rPr>
      </w:pPr>
      <w:r>
        <w:rPr>
          <w:rFonts w:hint="eastAsia" w:hAnsi="宋体" w:cs="宋体"/>
          <w:color w:val="auto"/>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highlight w:val="none"/>
        </w:rPr>
      </w:pPr>
      <w:r>
        <w:rPr>
          <w:rFonts w:hint="eastAsia" w:hAnsi="宋体" w:cs="宋体"/>
          <w:b/>
          <w:color w:val="auto"/>
          <w:sz w:val="24"/>
          <w:highlight w:val="none"/>
        </w:rPr>
        <w:t>2.3 招标文件的修改</w:t>
      </w:r>
      <w:bookmarkEnd w:id="30"/>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highlight w:val="none"/>
        </w:rPr>
      </w:pPr>
      <w:bookmarkStart w:id="31" w:name="_Toc179632564"/>
      <w:bookmarkStart w:id="32" w:name="_Toc152042322"/>
      <w:bookmarkStart w:id="33" w:name="_Toc152045546"/>
      <w:bookmarkStart w:id="34" w:name="_Toc144974514"/>
      <w:r>
        <w:rPr>
          <w:rFonts w:hint="eastAsia" w:hAnsi="宋体" w:cs="宋体"/>
          <w:b/>
          <w:color w:val="auto"/>
          <w:sz w:val="24"/>
          <w:highlight w:val="none"/>
        </w:rPr>
        <w:t>3. 投标文件</w:t>
      </w:r>
      <w:bookmarkEnd w:id="31"/>
      <w:bookmarkEnd w:id="32"/>
      <w:bookmarkEnd w:id="33"/>
      <w:bookmarkEnd w:id="34"/>
    </w:p>
    <w:p>
      <w:pPr>
        <w:autoSpaceDE w:val="0"/>
        <w:autoSpaceDN w:val="0"/>
        <w:spacing w:line="420" w:lineRule="exact"/>
        <w:jc w:val="left"/>
        <w:outlineLvl w:val="0"/>
        <w:rPr>
          <w:rFonts w:hAnsi="宋体" w:cs="宋体"/>
          <w:b/>
          <w:color w:val="auto"/>
          <w:sz w:val="24"/>
          <w:highlight w:val="none"/>
        </w:rPr>
      </w:pPr>
      <w:bookmarkStart w:id="35" w:name="_Toc278443453"/>
      <w:r>
        <w:rPr>
          <w:rFonts w:hint="eastAsia" w:hAnsi="宋体" w:cs="宋体"/>
          <w:b/>
          <w:color w:val="auto"/>
          <w:sz w:val="24"/>
          <w:highlight w:val="none"/>
        </w:rPr>
        <w:t>3.1</w:t>
      </w:r>
      <w:bookmarkStart w:id="36" w:name="OLE_LINK21"/>
      <w:r>
        <w:rPr>
          <w:rFonts w:hint="eastAsia" w:hAnsi="宋体" w:cs="宋体"/>
          <w:b/>
          <w:color w:val="auto"/>
          <w:sz w:val="24"/>
          <w:highlight w:val="none"/>
        </w:rPr>
        <w:t>投标文件由商务文件和技术文件两部分组成。</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3.1.1  商务文件组成：</w:t>
      </w:r>
    </w:p>
    <w:p>
      <w:pPr>
        <w:numPr>
          <w:ilvl w:val="0"/>
          <w:numId w:val="0"/>
        </w:num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lang w:val="en-US" w:eastAsia="zh-CN"/>
        </w:rPr>
        <w:t>(1)</w:t>
      </w:r>
      <w:r>
        <w:rPr>
          <w:rFonts w:hAnsi="宋体" w:cs="宋体"/>
          <w:color w:val="auto"/>
          <w:sz w:val="24"/>
          <w:highlight w:val="none"/>
        </w:rPr>
        <w:t>投标函及投标函附录</w:t>
      </w:r>
      <w:r>
        <w:rPr>
          <w:rFonts w:hint="eastAsia" w:hAnsi="宋体" w:cs="宋体"/>
          <w:color w:val="auto"/>
          <w:sz w:val="24"/>
          <w:highlight w:val="none"/>
        </w:rPr>
        <w:t>、</w:t>
      </w:r>
      <w:r>
        <w:rPr>
          <w:rFonts w:hAnsi="宋体" w:cs="宋体"/>
          <w:color w:val="auto"/>
          <w:sz w:val="24"/>
          <w:highlight w:val="none"/>
        </w:rPr>
        <w:t>投标人承诺书；</w:t>
      </w:r>
    </w:p>
    <w:p>
      <w:pPr>
        <w:numPr>
          <w:ilvl w:val="0"/>
          <w:numId w:val="0"/>
        </w:num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法定代表人身份证明及授权委托书及联合体协议书（如有）</w:t>
      </w:r>
      <w:r>
        <w:rPr>
          <w:rFonts w:hAnsi="宋体" w:cs="宋体"/>
          <w:color w:val="auto"/>
          <w:sz w:val="24"/>
          <w:highlight w:val="none"/>
        </w:rPr>
        <w:t>；</w:t>
      </w:r>
    </w:p>
    <w:p>
      <w:pPr>
        <w:numPr>
          <w:ilvl w:val="0"/>
          <w:numId w:val="0"/>
        </w:num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lang w:val="en-US" w:eastAsia="zh-CN"/>
        </w:rPr>
        <w:t>(3)</w:t>
      </w:r>
      <w:r>
        <w:rPr>
          <w:rFonts w:hAnsi="宋体" w:cs="宋体"/>
          <w:color w:val="auto"/>
          <w:sz w:val="24"/>
          <w:highlight w:val="none"/>
        </w:rPr>
        <w:t>投标保证金；</w:t>
      </w:r>
    </w:p>
    <w:p>
      <w:pPr>
        <w:numPr>
          <w:ilvl w:val="0"/>
          <w:numId w:val="0"/>
        </w:num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lang w:val="en-US" w:eastAsia="zh-CN"/>
        </w:rPr>
        <w:t>(4)</w:t>
      </w:r>
      <w:r>
        <w:rPr>
          <w:rFonts w:hAnsi="宋体" w:cs="宋体"/>
          <w:color w:val="auto"/>
          <w:sz w:val="24"/>
          <w:highlight w:val="none"/>
        </w:rPr>
        <w:t>投标报价表；</w:t>
      </w:r>
    </w:p>
    <w:p>
      <w:pPr>
        <w:numPr>
          <w:ilvl w:val="0"/>
          <w:numId w:val="0"/>
        </w:num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lang w:val="en-US" w:eastAsia="zh-CN"/>
        </w:rPr>
        <w:t>(5)</w:t>
      </w:r>
      <w:r>
        <w:rPr>
          <w:rFonts w:hAnsi="宋体" w:cs="宋体"/>
          <w:color w:val="auto"/>
          <w:sz w:val="24"/>
          <w:highlight w:val="none"/>
        </w:rPr>
        <w:t>项目管理机构；</w:t>
      </w:r>
    </w:p>
    <w:p>
      <w:pPr>
        <w:numPr>
          <w:ilvl w:val="0"/>
          <w:numId w:val="0"/>
        </w:num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lang w:val="en-US" w:eastAsia="zh-CN"/>
        </w:rPr>
        <w:t>(6)</w:t>
      </w:r>
      <w:r>
        <w:rPr>
          <w:rFonts w:hAnsi="宋体" w:cs="宋体"/>
          <w:color w:val="auto"/>
          <w:sz w:val="24"/>
          <w:highlight w:val="none"/>
        </w:rPr>
        <w:t>资格审查资料；</w:t>
      </w:r>
    </w:p>
    <w:p>
      <w:pPr>
        <w:numPr>
          <w:ilvl w:val="0"/>
          <w:numId w:val="0"/>
        </w:num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lang w:val="en-US" w:eastAsia="zh-CN"/>
        </w:rPr>
        <w:t>(7)</w:t>
      </w:r>
      <w:r>
        <w:rPr>
          <w:rFonts w:hAnsi="宋体" w:cs="宋体"/>
          <w:color w:val="auto"/>
          <w:sz w:val="24"/>
          <w:highlight w:val="none"/>
        </w:rPr>
        <w:t>投标人须知前附表规定的其他材料；</w:t>
      </w:r>
    </w:p>
    <w:p>
      <w:pPr>
        <w:autoSpaceDE w:val="0"/>
        <w:autoSpaceDN w:val="0"/>
        <w:spacing w:line="440" w:lineRule="exact"/>
        <w:ind w:firstLine="480" w:firstLineChars="200"/>
        <w:jc w:val="left"/>
        <w:outlineLvl w:val="0"/>
        <w:rPr>
          <w:rFonts w:hint="eastAsia" w:hAnsi="宋体" w:cs="宋体"/>
          <w:color w:val="auto"/>
          <w:sz w:val="24"/>
          <w:highlight w:val="none"/>
        </w:rPr>
      </w:pPr>
      <w:r>
        <w:rPr>
          <w:rFonts w:hint="eastAsia" w:hAnsi="宋体" w:cs="宋体"/>
          <w:color w:val="auto"/>
          <w:sz w:val="24"/>
          <w:highlight w:val="none"/>
        </w:rPr>
        <w:t>3.1.2 技术文件组成：</w:t>
      </w:r>
    </w:p>
    <w:p>
      <w:pPr>
        <w:autoSpaceDE w:val="0"/>
        <w:autoSpaceDN w:val="0"/>
        <w:spacing w:line="440" w:lineRule="exact"/>
        <w:ind w:firstLine="480" w:firstLineChars="200"/>
        <w:jc w:val="left"/>
        <w:outlineLvl w:val="0"/>
        <w:rPr>
          <w:color w:val="auto"/>
          <w:sz w:val="24"/>
          <w:szCs w:val="24"/>
          <w:highlight w:val="none"/>
        </w:rPr>
      </w:pPr>
      <w:r>
        <w:rPr>
          <w:rFonts w:hint="eastAsia"/>
          <w:color w:val="auto"/>
          <w:sz w:val="24"/>
          <w:szCs w:val="24"/>
          <w:highlight w:val="none"/>
        </w:rPr>
        <w:t>(1)质量检测服务大纲。包括并不限于如下内容：</w:t>
      </w:r>
    </w:p>
    <w:p>
      <w:pPr>
        <w:spacing w:line="410" w:lineRule="exact"/>
        <w:ind w:firstLine="566" w:firstLineChars="236"/>
        <w:rPr>
          <w:color w:val="auto"/>
          <w:sz w:val="24"/>
          <w:szCs w:val="24"/>
          <w:highlight w:val="none"/>
        </w:rPr>
      </w:pPr>
      <w:r>
        <w:rPr>
          <w:rFonts w:hint="eastAsia"/>
          <w:color w:val="auto"/>
          <w:sz w:val="24"/>
          <w:szCs w:val="24"/>
          <w:highlight w:val="none"/>
        </w:rPr>
        <w:t>1）检测工作实施方案；</w:t>
      </w:r>
    </w:p>
    <w:p>
      <w:pPr>
        <w:spacing w:line="410" w:lineRule="exact"/>
        <w:ind w:firstLine="566" w:firstLineChars="236"/>
        <w:rPr>
          <w:color w:val="auto"/>
          <w:sz w:val="24"/>
          <w:szCs w:val="24"/>
          <w:highlight w:val="none"/>
        </w:rPr>
      </w:pPr>
      <w:r>
        <w:rPr>
          <w:rFonts w:hint="eastAsia"/>
          <w:color w:val="auto"/>
          <w:sz w:val="24"/>
          <w:szCs w:val="24"/>
          <w:highlight w:val="none"/>
        </w:rPr>
        <w:t>2）检测工作控制程序；</w:t>
      </w:r>
    </w:p>
    <w:p>
      <w:pPr>
        <w:spacing w:line="410" w:lineRule="exact"/>
        <w:ind w:firstLine="566" w:firstLineChars="236"/>
        <w:rPr>
          <w:color w:val="auto"/>
          <w:sz w:val="24"/>
          <w:szCs w:val="24"/>
          <w:highlight w:val="none"/>
        </w:rPr>
      </w:pPr>
      <w:r>
        <w:rPr>
          <w:color w:val="auto"/>
          <w:sz w:val="24"/>
          <w:szCs w:val="24"/>
          <w:highlight w:val="none"/>
        </w:rPr>
        <w:t xml:space="preserve">3) </w:t>
      </w:r>
      <w:r>
        <w:rPr>
          <w:rFonts w:hint="eastAsia"/>
          <w:color w:val="auto"/>
          <w:sz w:val="24"/>
          <w:szCs w:val="24"/>
          <w:highlight w:val="none"/>
        </w:rPr>
        <w:t>组织机构及岗位职责；</w:t>
      </w:r>
    </w:p>
    <w:p>
      <w:pPr>
        <w:spacing w:line="410" w:lineRule="exact"/>
        <w:ind w:firstLine="566" w:firstLineChars="236"/>
        <w:rPr>
          <w:color w:val="auto"/>
          <w:sz w:val="24"/>
          <w:szCs w:val="24"/>
          <w:highlight w:val="none"/>
        </w:rPr>
      </w:pPr>
      <w:r>
        <w:rPr>
          <w:color w:val="auto"/>
          <w:sz w:val="24"/>
          <w:szCs w:val="24"/>
          <w:highlight w:val="none"/>
        </w:rPr>
        <w:t xml:space="preserve">4) </w:t>
      </w:r>
      <w:r>
        <w:rPr>
          <w:rFonts w:hint="eastAsia"/>
          <w:color w:val="auto"/>
          <w:sz w:val="24"/>
          <w:szCs w:val="24"/>
          <w:highlight w:val="none"/>
        </w:rPr>
        <w:t>对本招标项目的理解；</w:t>
      </w:r>
    </w:p>
    <w:p>
      <w:pPr>
        <w:spacing w:line="410" w:lineRule="exact"/>
        <w:ind w:firstLine="566" w:firstLineChars="236"/>
        <w:rPr>
          <w:color w:val="auto"/>
          <w:sz w:val="24"/>
          <w:szCs w:val="24"/>
          <w:highlight w:val="none"/>
        </w:rPr>
      </w:pPr>
      <w:r>
        <w:rPr>
          <w:rFonts w:hint="eastAsia"/>
          <w:color w:val="auto"/>
          <w:sz w:val="24"/>
          <w:szCs w:val="24"/>
          <w:highlight w:val="none"/>
        </w:rPr>
        <w:t>5)试验检测工作申诉处理程序；</w:t>
      </w:r>
    </w:p>
    <w:p>
      <w:pPr>
        <w:spacing w:line="410" w:lineRule="exact"/>
        <w:ind w:firstLine="566" w:firstLineChars="236"/>
        <w:rPr>
          <w:color w:val="auto"/>
          <w:sz w:val="24"/>
          <w:szCs w:val="24"/>
          <w:highlight w:val="none"/>
        </w:rPr>
      </w:pPr>
      <w:r>
        <w:rPr>
          <w:rFonts w:hint="eastAsia"/>
          <w:color w:val="auto"/>
          <w:sz w:val="24"/>
          <w:szCs w:val="24"/>
          <w:highlight w:val="none"/>
        </w:rPr>
        <w:t>6)为提高本项目质量和技术水平提出的技术建议；</w:t>
      </w:r>
    </w:p>
    <w:p>
      <w:pPr>
        <w:spacing w:line="410" w:lineRule="exact"/>
        <w:ind w:firstLine="566" w:firstLineChars="236"/>
        <w:rPr>
          <w:rFonts w:hint="eastAsia"/>
          <w:color w:val="auto"/>
          <w:sz w:val="24"/>
          <w:szCs w:val="24"/>
          <w:highlight w:val="none"/>
        </w:rPr>
      </w:pPr>
      <w:r>
        <w:rPr>
          <w:rFonts w:hint="eastAsia"/>
          <w:color w:val="auto"/>
          <w:sz w:val="24"/>
          <w:szCs w:val="24"/>
          <w:highlight w:val="none"/>
        </w:rPr>
        <w:t>7)投标人可提出自己认为本工程试验检测的重点、难点及合理化建议。</w:t>
      </w:r>
    </w:p>
    <w:p>
      <w:pPr>
        <w:spacing w:line="410" w:lineRule="exact"/>
        <w:ind w:firstLine="480" w:firstLineChars="200"/>
        <w:rPr>
          <w:color w:val="auto"/>
          <w:sz w:val="24"/>
          <w:szCs w:val="24"/>
          <w:highlight w:val="none"/>
        </w:rPr>
      </w:pPr>
      <w:r>
        <w:rPr>
          <w:rFonts w:hint="eastAsia"/>
          <w:color w:val="auto"/>
          <w:sz w:val="24"/>
          <w:szCs w:val="24"/>
          <w:highlight w:val="none"/>
        </w:rPr>
        <w:t>(2)保证措施。</w:t>
      </w:r>
    </w:p>
    <w:p>
      <w:pPr>
        <w:spacing w:line="410" w:lineRule="exact"/>
        <w:ind w:firstLine="566" w:firstLineChars="236"/>
        <w:rPr>
          <w:color w:val="auto"/>
          <w:sz w:val="24"/>
          <w:szCs w:val="24"/>
          <w:highlight w:val="none"/>
        </w:rPr>
      </w:pPr>
      <w:r>
        <w:rPr>
          <w:rFonts w:hint="eastAsia"/>
          <w:color w:val="auto"/>
          <w:sz w:val="24"/>
          <w:szCs w:val="24"/>
          <w:highlight w:val="none"/>
        </w:rPr>
        <w:t>包括工作质量保证措施；工作计划安排、实施及进度保证措施；安全保证措施。</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color w:val="auto"/>
          <w:sz w:val="24"/>
          <w:szCs w:val="24"/>
          <w:highlight w:val="none"/>
        </w:rPr>
        <w:t>(3)技术支持与服务承诺（含专家咨询、业务培训等）</w:t>
      </w:r>
    </w:p>
    <w:p>
      <w:pPr>
        <w:autoSpaceDE w:val="0"/>
        <w:autoSpaceDN w:val="0"/>
        <w:spacing w:line="420" w:lineRule="exact"/>
        <w:jc w:val="left"/>
        <w:outlineLvl w:val="0"/>
        <w:rPr>
          <w:rFonts w:hAnsi="宋体" w:cs="宋体"/>
          <w:b/>
          <w:bCs/>
          <w:color w:val="auto"/>
          <w:sz w:val="24"/>
          <w:highlight w:val="none"/>
        </w:rPr>
      </w:pPr>
      <w:r>
        <w:rPr>
          <w:rFonts w:hint="eastAsia" w:hAnsi="宋体" w:cs="宋体"/>
          <w:b/>
          <w:bCs/>
          <w:color w:val="auto"/>
          <w:sz w:val="24"/>
          <w:highlight w:val="none"/>
        </w:rPr>
        <w:t>3.2 投标报价</w:t>
      </w:r>
    </w:p>
    <w:p>
      <w:pPr>
        <w:spacing w:line="410" w:lineRule="exact"/>
        <w:ind w:firstLine="420"/>
        <w:jc w:val="left"/>
        <w:rPr>
          <w:color w:val="auto"/>
          <w:sz w:val="24"/>
          <w:szCs w:val="24"/>
          <w:highlight w:val="none"/>
        </w:rPr>
      </w:pPr>
      <w:r>
        <w:rPr>
          <w:rFonts w:hint="eastAsia"/>
          <w:color w:val="auto"/>
          <w:sz w:val="24"/>
          <w:szCs w:val="24"/>
          <w:highlight w:val="none"/>
        </w:rPr>
        <w:t>3.2.1投标人按招标文件给定的资料及现行规范的相应规定，在充分考虑质量检测的实际工作量、技术含量、难易程度、复杂性等因素的基础上，根据各自对本工程的综合预测、自身实力及市场风险因素，依据招标文件提供的报价格式进行竞争性报价。</w:t>
      </w:r>
    </w:p>
    <w:p>
      <w:pPr>
        <w:spacing w:line="410" w:lineRule="exact"/>
        <w:ind w:firstLine="420"/>
        <w:rPr>
          <w:color w:val="auto"/>
          <w:sz w:val="24"/>
          <w:szCs w:val="24"/>
          <w:highlight w:val="none"/>
        </w:rPr>
      </w:pPr>
      <w:r>
        <w:rPr>
          <w:rFonts w:hint="eastAsia"/>
          <w:color w:val="auto"/>
          <w:sz w:val="24"/>
          <w:szCs w:val="24"/>
          <w:highlight w:val="none"/>
        </w:rPr>
        <w:t>3.2.2投标报价中的单价和合价应已包括了所有检测仪器设备费、设施费、劳务费、检验/检测费、材料费、安装费、措施项目费、保险费、社保费、住房公积金、税金，还包括临时工程费、缺陷修复费、管理费、利润、行政事业性收费、办理工程检测相关许可、以及购买有关资料费、检测材料以及加工费、检测作业仪器设备和机具的搬运费、装拆费、加荷体的吊装费和进退场费、过路过桥费等，以及合同明示和暗示的所有风险、责任和业务等费用。单价包干是指：履约期间，该项目单价包干使用，该单价不因任何因素的变化而调整。</w:t>
      </w:r>
    </w:p>
    <w:p>
      <w:pPr>
        <w:spacing w:line="400" w:lineRule="exact"/>
        <w:ind w:firstLine="422"/>
        <w:jc w:val="left"/>
        <w:rPr>
          <w:color w:val="auto"/>
          <w:sz w:val="24"/>
          <w:szCs w:val="24"/>
          <w:highlight w:val="none"/>
        </w:rPr>
      </w:pPr>
      <w:r>
        <w:rPr>
          <w:rFonts w:hint="eastAsia"/>
          <w:b/>
          <w:color w:val="auto"/>
          <w:sz w:val="24"/>
          <w:szCs w:val="24"/>
          <w:highlight w:val="none"/>
        </w:rPr>
        <w:t>投标报价为含税价格。合同中的不含税价格在中标后根据相关法律法规测算确定，合同履行中如税率调整，不含税价格重新测算，含税价格不予调整。</w:t>
      </w:r>
    </w:p>
    <w:p>
      <w:pPr>
        <w:spacing w:line="410" w:lineRule="exact"/>
        <w:ind w:firstLine="420"/>
        <w:jc w:val="left"/>
        <w:rPr>
          <w:color w:val="auto"/>
          <w:sz w:val="24"/>
          <w:szCs w:val="24"/>
          <w:highlight w:val="none"/>
        </w:rPr>
      </w:pPr>
      <w:r>
        <w:rPr>
          <w:color w:val="auto"/>
          <w:sz w:val="24"/>
          <w:szCs w:val="24"/>
          <w:highlight w:val="none"/>
        </w:rPr>
        <w:t>3.2.3</w:t>
      </w:r>
      <w:r>
        <w:rPr>
          <w:rFonts w:hint="eastAsia"/>
          <w:color w:val="auto"/>
          <w:sz w:val="24"/>
          <w:szCs w:val="24"/>
          <w:highlight w:val="none"/>
        </w:rPr>
        <w:t>除非招标文件另有规定，投标人只允许有一个报价，任何有选择的报价或替代方案将导致投标无效。</w:t>
      </w:r>
    </w:p>
    <w:p>
      <w:pPr>
        <w:spacing w:line="410" w:lineRule="exact"/>
        <w:ind w:firstLine="420"/>
        <w:jc w:val="left"/>
        <w:rPr>
          <w:color w:val="auto"/>
          <w:sz w:val="24"/>
          <w:szCs w:val="24"/>
          <w:highlight w:val="none"/>
        </w:rPr>
      </w:pPr>
      <w:r>
        <w:rPr>
          <w:color w:val="auto"/>
          <w:sz w:val="24"/>
          <w:szCs w:val="24"/>
          <w:highlight w:val="none"/>
        </w:rPr>
        <w:t>3.2.4</w:t>
      </w:r>
      <w:r>
        <w:rPr>
          <w:rFonts w:hint="eastAsia"/>
          <w:color w:val="auto"/>
          <w:sz w:val="24"/>
          <w:szCs w:val="24"/>
          <w:highlight w:val="none"/>
        </w:rPr>
        <w:t>投标人在投标截止时间前修改投标函中的投标报价，应同时修改相应的报价。此修改须符合本章第4.3款的有关要求。</w:t>
      </w:r>
    </w:p>
    <w:p>
      <w:pPr>
        <w:spacing w:line="410" w:lineRule="exact"/>
        <w:ind w:firstLine="420"/>
        <w:jc w:val="left"/>
        <w:rPr>
          <w:rFonts w:hint="eastAsia"/>
          <w:color w:val="auto"/>
          <w:sz w:val="24"/>
          <w:szCs w:val="24"/>
          <w:highlight w:val="none"/>
        </w:rPr>
      </w:pPr>
      <w:r>
        <w:rPr>
          <w:color w:val="auto"/>
          <w:sz w:val="24"/>
          <w:szCs w:val="24"/>
          <w:highlight w:val="none"/>
        </w:rPr>
        <w:t>3.2.5</w:t>
      </w:r>
      <w:r>
        <w:rPr>
          <w:rFonts w:hint="eastAsia"/>
          <w:color w:val="auto"/>
          <w:sz w:val="24"/>
          <w:szCs w:val="24"/>
          <w:highlight w:val="none"/>
        </w:rPr>
        <w:t>本项目投标报价采用的币种为人民币，合同实施时亦以人民币支付。</w:t>
      </w:r>
    </w:p>
    <w:p>
      <w:pPr>
        <w:spacing w:line="410" w:lineRule="exact"/>
        <w:ind w:firstLine="420"/>
        <w:jc w:val="left"/>
        <w:rPr>
          <w:rFonts w:hint="eastAsia"/>
          <w:color w:val="auto"/>
          <w:sz w:val="24"/>
          <w:szCs w:val="24"/>
          <w:highlight w:val="none"/>
        </w:rPr>
      </w:pPr>
      <w:r>
        <w:rPr>
          <w:color w:val="auto"/>
          <w:sz w:val="24"/>
          <w:szCs w:val="24"/>
          <w:highlight w:val="none"/>
        </w:rPr>
        <w:t>3.2.6</w:t>
      </w:r>
      <w:r>
        <w:rPr>
          <w:rFonts w:hint="eastAsia"/>
          <w:color w:val="auto"/>
          <w:sz w:val="24"/>
          <w:szCs w:val="24"/>
          <w:highlight w:val="none"/>
        </w:rPr>
        <w:t>本合同为单价包干合同，在合同履行期间，各检测项目试验检测费单价不因工作数量增加、减少或变更而调整。</w:t>
      </w:r>
    </w:p>
    <w:p>
      <w:pPr>
        <w:spacing w:line="410" w:lineRule="exact"/>
        <w:ind w:firstLine="420"/>
        <w:jc w:val="left"/>
        <w:rPr>
          <w:rFonts w:hint="eastAsia" w:hAnsi="宋体" w:eastAsia="宋体" w:cs="宋体"/>
          <w:color w:val="auto"/>
          <w:sz w:val="24"/>
          <w:szCs w:val="24"/>
          <w:highlight w:val="none"/>
          <w:lang w:val="en-US" w:eastAsia="zh-CN"/>
        </w:rPr>
      </w:pPr>
      <w:r>
        <w:rPr>
          <w:rFonts w:hint="eastAsia"/>
          <w:color w:val="auto"/>
          <w:sz w:val="24"/>
          <w:szCs w:val="24"/>
          <w:highlight w:val="none"/>
          <w:lang w:val="en-US" w:eastAsia="zh-CN"/>
        </w:rPr>
        <w:t>3.2.7当实际完成工程量</w:t>
      </w:r>
      <w:r>
        <w:rPr>
          <w:rFonts w:hint="eastAsia" w:hAnsi="宋体" w:eastAsia="宋体" w:cs="宋体"/>
          <w:color w:val="auto"/>
          <w:sz w:val="24"/>
          <w:szCs w:val="24"/>
          <w:highlight w:val="none"/>
          <w:lang w:val="en-US" w:eastAsia="zh-CN"/>
        </w:rPr>
        <w:t>小于或等于本项目清单工程量时，以实际完成工程量为准进行结算；当</w:t>
      </w:r>
      <w:r>
        <w:rPr>
          <w:rFonts w:hint="eastAsia"/>
          <w:color w:val="auto"/>
          <w:sz w:val="24"/>
          <w:szCs w:val="24"/>
          <w:highlight w:val="none"/>
          <w:lang w:val="en-US" w:eastAsia="zh-CN"/>
        </w:rPr>
        <w:t>实际完成工程量大于</w:t>
      </w:r>
      <w:r>
        <w:rPr>
          <w:rFonts w:hint="eastAsia" w:hAnsi="宋体" w:eastAsia="宋体" w:cs="宋体"/>
          <w:color w:val="auto"/>
          <w:sz w:val="24"/>
          <w:szCs w:val="24"/>
          <w:highlight w:val="none"/>
          <w:lang w:val="en-US" w:eastAsia="zh-CN"/>
        </w:rPr>
        <w:t>本项目清单工程量时，以本项目清单工程量为准进行结算。</w:t>
      </w:r>
    </w:p>
    <w:p>
      <w:pPr>
        <w:spacing w:line="410" w:lineRule="exact"/>
        <w:ind w:firstLine="420"/>
        <w:jc w:val="left"/>
        <w:rPr>
          <w:rFonts w:hint="default" w:eastAsiaTheme="minorEastAsia"/>
          <w:color w:val="auto"/>
          <w:highlight w:val="none"/>
          <w:lang w:val="en-US" w:eastAsia="zh-CN"/>
        </w:rPr>
      </w:pPr>
      <w:r>
        <w:rPr>
          <w:rFonts w:hint="eastAsia" w:hAnsi="宋体" w:eastAsia="宋体" w:cs="宋体"/>
          <w:color w:val="auto"/>
          <w:sz w:val="24"/>
          <w:szCs w:val="24"/>
          <w:highlight w:val="none"/>
          <w:lang w:val="en-US" w:eastAsia="zh-CN"/>
        </w:rPr>
        <w:t>3.2.8结算额不得高于合同总价。</w:t>
      </w:r>
    </w:p>
    <w:bookmarkEnd w:id="36"/>
    <w:p>
      <w:pPr>
        <w:tabs>
          <w:tab w:val="left" w:pos="3060"/>
        </w:tabs>
        <w:autoSpaceDE w:val="0"/>
        <w:autoSpaceDN w:val="0"/>
        <w:spacing w:line="440" w:lineRule="exact"/>
        <w:jc w:val="left"/>
        <w:outlineLvl w:val="0"/>
        <w:rPr>
          <w:rFonts w:hAnsi="宋体" w:cs="宋体"/>
          <w:b/>
          <w:bCs/>
          <w:color w:val="auto"/>
          <w:sz w:val="24"/>
          <w:highlight w:val="none"/>
        </w:rPr>
      </w:pPr>
      <w:r>
        <w:rPr>
          <w:rFonts w:hint="eastAsia" w:hAnsi="宋体" w:cs="宋体"/>
          <w:b/>
          <w:bCs/>
          <w:color w:val="auto"/>
          <w:sz w:val="24"/>
          <w:highlight w:val="none"/>
        </w:rPr>
        <w:t>3.3 投标有效期</w:t>
      </w:r>
      <w:bookmarkEnd w:id="35"/>
      <w:r>
        <w:rPr>
          <w:rFonts w:hint="eastAsia" w:hAnsi="宋体" w:cs="宋体"/>
          <w:b/>
          <w:bCs/>
          <w:color w:val="auto"/>
          <w:sz w:val="24"/>
          <w:highlight w:val="none"/>
        </w:rPr>
        <w:tab/>
      </w:r>
    </w:p>
    <w:p>
      <w:pPr>
        <w:tabs>
          <w:tab w:val="left" w:pos="1260"/>
        </w:tabs>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highlight w:val="none"/>
        </w:rPr>
      </w:pPr>
      <w:bookmarkStart w:id="37" w:name="_Toc282436964"/>
      <w:bookmarkStart w:id="38" w:name="_Toc283559960"/>
      <w:r>
        <w:rPr>
          <w:rFonts w:hint="eastAsia" w:hAnsi="宋体" w:cs="宋体"/>
          <w:b/>
          <w:bCs/>
          <w:color w:val="auto"/>
          <w:sz w:val="24"/>
          <w:highlight w:val="none"/>
        </w:rPr>
        <w:t xml:space="preserve">3.4 </w:t>
      </w:r>
      <w:bookmarkEnd w:id="37"/>
      <w:r>
        <w:rPr>
          <w:rFonts w:hint="eastAsia" w:hAnsi="宋体" w:cs="宋体"/>
          <w:b/>
          <w:bCs/>
          <w:color w:val="auto"/>
          <w:sz w:val="24"/>
          <w:highlight w:val="none"/>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highlight w:val="none"/>
        </w:rPr>
      </w:pPr>
      <w:r>
        <w:rPr>
          <w:rFonts w:hint="eastAsia" w:ascii="新宋体" w:hAnsi="新宋体" w:eastAsia="新宋体" w:cs="仿宋_GB2312"/>
          <w:color w:val="auto"/>
          <w:sz w:val="24"/>
          <w:highlight w:val="none"/>
          <w:lang w:val="zh-CN"/>
        </w:rPr>
        <w:t>3.4.2.1 投标保证金的</w:t>
      </w:r>
      <w:r>
        <w:rPr>
          <w:rFonts w:hint="eastAsia" w:ascii="新宋体" w:hAnsi="新宋体" w:eastAsia="新宋体" w:cs="仿宋_GB2312"/>
          <w:color w:val="auto"/>
          <w:sz w:val="24"/>
          <w:highlight w:val="none"/>
        </w:rPr>
        <w:t>提交</w:t>
      </w:r>
      <w:r>
        <w:rPr>
          <w:rFonts w:hint="eastAsia" w:ascii="新宋体" w:hAnsi="新宋体" w:eastAsia="新宋体" w:cs="仿宋_GB2312"/>
          <w:color w:val="auto"/>
          <w:sz w:val="24"/>
          <w:highlight w:val="none"/>
          <w:lang w:val="zh-CN"/>
        </w:rPr>
        <w:t>方式：</w:t>
      </w:r>
    </w:p>
    <w:p>
      <w:pPr>
        <w:autoSpaceDE w:val="0"/>
        <w:autoSpaceDN w:val="0"/>
        <w:adjustRightInd w:val="0"/>
        <w:spacing w:line="340" w:lineRule="exact"/>
        <w:ind w:firstLine="480" w:firstLineChars="200"/>
        <w:rPr>
          <w:rFonts w:hAnsi="宋体" w:cs="宋体"/>
          <w:color w:val="auto"/>
          <w:sz w:val="24"/>
          <w:highlight w:val="none"/>
          <w:lang w:val="zh-CN"/>
        </w:rPr>
      </w:pPr>
      <w:r>
        <w:rPr>
          <w:rFonts w:hint="eastAsia" w:hAnsi="宋体" w:cs="宋体"/>
          <w:color w:val="auto"/>
          <w:sz w:val="24"/>
          <w:highlight w:val="none"/>
          <w:lang w:val="zh-CN"/>
        </w:rPr>
        <w:t>投标保证金的</w:t>
      </w:r>
      <w:r>
        <w:rPr>
          <w:rFonts w:hint="eastAsia" w:hAnsi="宋体" w:cs="宋体"/>
          <w:color w:val="auto"/>
          <w:sz w:val="24"/>
          <w:highlight w:val="none"/>
        </w:rPr>
        <w:t>提交</w:t>
      </w:r>
      <w:r>
        <w:rPr>
          <w:rFonts w:hint="eastAsia" w:hAnsi="宋体" w:cs="宋体"/>
          <w:color w:val="auto"/>
          <w:sz w:val="24"/>
          <w:highlight w:val="none"/>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使用银行转帐、银行电汇</w:t>
      </w:r>
      <w:r>
        <w:rPr>
          <w:rFonts w:hint="eastAsia" w:hAnsi="宋体" w:eastAsia="Times New Roman" w:cs="宋体"/>
          <w:color w:val="auto"/>
          <w:sz w:val="24"/>
          <w:highlight w:val="none"/>
          <w:lang w:val="zh-CN"/>
        </w:rPr>
        <w:t>方式</w:t>
      </w:r>
      <w:r>
        <w:rPr>
          <w:rFonts w:hint="eastAsia" w:hAnsi="宋体" w:cs="宋体"/>
          <w:color w:val="auto"/>
          <w:sz w:val="24"/>
          <w:highlight w:val="none"/>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auto"/>
          <w:sz w:val="24"/>
          <w:highlight w:val="none"/>
        </w:rPr>
      </w:pPr>
      <w:r>
        <w:rPr>
          <w:rFonts w:hint="eastAsia" w:hAnsi="宋体" w:cs="宋体"/>
          <w:color w:val="auto"/>
          <w:sz w:val="24"/>
          <w:highlight w:val="none"/>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highlight w:val="none"/>
        </w:rPr>
        <w:t>真实</w:t>
      </w:r>
      <w:r>
        <w:rPr>
          <w:rFonts w:hint="eastAsia" w:hAnsi="宋体" w:cs="宋体"/>
          <w:color w:val="auto"/>
          <w:sz w:val="24"/>
          <w:highlight w:val="none"/>
          <w:lang w:val="zh-CN"/>
        </w:rPr>
        <w:t>合法的</w:t>
      </w:r>
      <w:r>
        <w:rPr>
          <w:rFonts w:hint="eastAsia" w:hAnsi="宋体" w:cs="宋体"/>
          <w:color w:val="auto"/>
          <w:sz w:val="24"/>
          <w:highlight w:val="none"/>
        </w:rPr>
        <w:t>投标</w:t>
      </w:r>
      <w:r>
        <w:rPr>
          <w:rFonts w:hint="eastAsia" w:hAnsi="宋体" w:cs="宋体"/>
          <w:color w:val="auto"/>
          <w:sz w:val="24"/>
          <w:highlight w:val="none"/>
          <w:lang w:val="zh-CN"/>
        </w:rPr>
        <w:t>银行保函原件扫描件附于投标文件中，否则视为未按</w:t>
      </w:r>
      <w:r>
        <w:rPr>
          <w:rFonts w:hint="eastAsia" w:hAnsi="宋体" w:cs="宋体"/>
          <w:color w:val="auto"/>
          <w:sz w:val="24"/>
          <w:highlight w:val="none"/>
        </w:rPr>
        <w:t>规定提交</w:t>
      </w:r>
      <w:r>
        <w:rPr>
          <w:rFonts w:hint="eastAsia" w:hAnsi="宋体" w:cs="宋体"/>
          <w:color w:val="auto"/>
          <w:sz w:val="24"/>
          <w:highlight w:val="none"/>
          <w:lang w:val="zh-CN"/>
        </w:rPr>
        <w:t>。</w:t>
      </w:r>
      <w:r>
        <w:rPr>
          <w:rFonts w:hint="eastAsia" w:hAnsi="宋体" w:cs="宋体"/>
          <w:color w:val="auto"/>
          <w:sz w:val="24"/>
          <w:highlight w:val="none"/>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hAnsi="宋体" w:cs="宋体"/>
          <w:color w:val="auto"/>
          <w:sz w:val="24"/>
          <w:highlight w:val="none"/>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3.4.2.2 </w:t>
      </w:r>
      <w:r>
        <w:rPr>
          <w:rFonts w:hint="eastAsia" w:ascii="新宋体" w:hAnsi="新宋体" w:eastAsia="新宋体" w:cs="仿宋_GB2312"/>
          <w:color w:val="auto"/>
          <w:sz w:val="24"/>
          <w:highlight w:val="none"/>
          <w:lang w:val="zh-CN"/>
        </w:rPr>
        <w:t>投标保证金</w:t>
      </w:r>
      <w:r>
        <w:rPr>
          <w:rFonts w:hint="eastAsia" w:ascii="新宋体" w:hAnsi="新宋体" w:eastAsia="新宋体" w:cs="仿宋_GB2312"/>
          <w:color w:val="auto"/>
          <w:sz w:val="24"/>
          <w:highlight w:val="none"/>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投标人网上下载招标文件后</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ascii="新宋体" w:hAnsi="新宋体" w:eastAsia="新宋体" w:cs="仿宋_GB2312"/>
          <w:color w:val="auto"/>
          <w:sz w:val="24"/>
          <w:highlight w:val="none"/>
        </w:rPr>
        <w:t>http://221.14.6.70:8088/ggzy</w:t>
      </w:r>
      <w:r>
        <w:rPr>
          <w:rFonts w:hint="eastAsia" w:ascii="新宋体" w:hAnsi="新宋体" w:eastAsia="新宋体" w:cs="仿宋_GB2312"/>
          <w:color w:val="auto"/>
          <w:sz w:val="24"/>
          <w:highlight w:val="none"/>
        </w:rPr>
        <w:fldChar w:fldCharType="end"/>
      </w:r>
      <w:r>
        <w:rPr>
          <w:rFonts w:hint="eastAsia" w:ascii="新宋体" w:hAnsi="新宋体" w:eastAsia="新宋体" w:cs="仿宋_GB2312"/>
          <w:color w:val="auto"/>
          <w:sz w:val="24"/>
          <w:highlight w:val="none"/>
          <w:lang w:val="zh-CN"/>
        </w:rPr>
        <w:t>系统</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依次点击</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会员向导</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参与投标</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费用缴纳说明</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保证金缴纳说明单</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获取缴费说明单</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根据每个标段的缴纳说明单在缴纳截止时间前缴纳</w:t>
      </w:r>
      <w:r>
        <w:rPr>
          <w:rFonts w:hint="eastAsia" w:ascii="新宋体" w:hAnsi="新宋体" w:eastAsia="新宋体" w:cs="仿宋_GB2312"/>
          <w:color w:val="auto"/>
          <w:sz w:val="24"/>
          <w:highlight w:val="none"/>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成功缴纳后</w:t>
      </w:r>
      <w:r>
        <w:rPr>
          <w:rFonts w:hint="eastAsia" w:ascii="新宋体" w:hAnsi="新宋体" w:eastAsia="新宋体" w:cs="仿宋_GB2312"/>
          <w:color w:val="auto"/>
          <w:sz w:val="24"/>
          <w:highlight w:val="none"/>
        </w:rPr>
        <w:t>再次</w:t>
      </w:r>
      <w:r>
        <w:rPr>
          <w:rFonts w:hint="eastAsia" w:ascii="新宋体" w:hAnsi="新宋体" w:eastAsia="新宋体" w:cs="仿宋_GB2312"/>
          <w:color w:val="auto"/>
          <w:sz w:val="24"/>
          <w:highlight w:val="none"/>
          <w:lang w:val="zh-CN"/>
        </w:rPr>
        <w:t>登录前述系统</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依次点击</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会员向导</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参与投标</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保证金绑定</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绑定</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进行投标保证金绑定。</w:t>
      </w:r>
    </w:p>
    <w:p>
      <w:pPr>
        <w:autoSpaceDE w:val="0"/>
        <w:autoSpaceDN w:val="0"/>
        <w:adjustRightInd w:val="0"/>
        <w:spacing w:line="340" w:lineRule="exact"/>
        <w:ind w:firstLine="480" w:firstLineChars="200"/>
        <w:rPr>
          <w:rFonts w:hAnsi="宋体" w:cs="宋体"/>
          <w:color w:val="auto"/>
          <w:sz w:val="24"/>
          <w:highlight w:val="none"/>
          <w:lang w:val="zh-CN"/>
        </w:rPr>
      </w:pPr>
      <w:r>
        <w:rPr>
          <w:rFonts w:hint="eastAsia" w:hAnsi="宋体" w:cs="宋体"/>
          <w:color w:val="auto"/>
          <w:sz w:val="24"/>
          <w:highlight w:val="none"/>
          <w:lang w:val="zh-CN"/>
        </w:rPr>
        <w:t>投标人成功绑定投标保证金，将缴纳凭证“许昌公共资源交易中心保证金缴纳回执”附于投标文件中；未绑定标段的投标保证金，视为未按</w:t>
      </w:r>
      <w:r>
        <w:rPr>
          <w:rFonts w:hint="eastAsia" w:hAnsi="宋体" w:cs="宋体"/>
          <w:color w:val="auto"/>
          <w:sz w:val="24"/>
          <w:highlight w:val="none"/>
        </w:rPr>
        <w:t>规定</w:t>
      </w:r>
      <w:r>
        <w:rPr>
          <w:rFonts w:hint="eastAsia" w:hAnsi="宋体" w:cs="宋体"/>
          <w:color w:val="auto"/>
          <w:sz w:val="24"/>
          <w:highlight w:val="none"/>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3.4.2.3 每个投标人每个项目每个标段只有唯一缴纳账号，</w:t>
      </w:r>
      <w:r>
        <w:rPr>
          <w:rFonts w:hint="eastAsia" w:ascii="新宋体" w:hAnsi="新宋体" w:eastAsia="新宋体" w:cs="仿宋_GB2312"/>
          <w:color w:val="auto"/>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3.4.2.4</w:t>
      </w:r>
      <w:r>
        <w:rPr>
          <w:rFonts w:hint="eastAsia" w:ascii="新宋体" w:hAnsi="新宋体" w:eastAsia="新宋体" w:cs="仿宋_GB2312"/>
          <w:color w:val="auto"/>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 xml:space="preserve">3.4.2.6 </w:t>
      </w:r>
      <w:r>
        <w:rPr>
          <w:rFonts w:hint="eastAsia" w:ascii="新宋体" w:hAnsi="新宋体" w:eastAsia="新宋体" w:cs="仿宋_GB2312"/>
          <w:color w:val="auto"/>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（3）项目废标或招标人终止招标的，在此后5个工作日内退还投标保证金及银行同期活期存利息。</w:t>
      </w:r>
      <w:r>
        <w:rPr>
          <w:rFonts w:hint="eastAsia" w:ascii="新宋体" w:hAnsi="新宋体" w:eastAsia="新宋体" w:cs="仿宋_GB2312"/>
          <w:color w:val="auto"/>
          <w:sz w:val="24"/>
          <w:highlight w:val="none"/>
        </w:rPr>
        <w:br w:type="textWrapping"/>
      </w:r>
      <w:r>
        <w:rPr>
          <w:rFonts w:hint="eastAsia" w:ascii="新宋体" w:hAnsi="新宋体" w:eastAsia="新宋体" w:cs="仿宋_GB2312"/>
          <w:color w:val="auto"/>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hAnsi="宋体"/>
          <w:color w:val="auto"/>
          <w:sz w:val="24"/>
          <w:highlight w:val="none"/>
        </w:rPr>
      </w:pPr>
      <w:r>
        <w:rPr>
          <w:rFonts w:hint="eastAsia" w:ascii="新宋体" w:hAnsi="新宋体" w:eastAsia="新宋体" w:cs="仿宋_GB2312"/>
          <w:color w:val="auto"/>
          <w:sz w:val="24"/>
          <w:highlight w:val="none"/>
        </w:rPr>
        <w:t>（5）相关投标人有违法违规行为的项目，其投标保证金暂不退还，待行政监督部</w:t>
      </w:r>
      <w:r>
        <w:rPr>
          <w:rFonts w:hint="eastAsia" w:hAnsi="宋体"/>
          <w:color w:val="auto"/>
          <w:sz w:val="24"/>
          <w:highlight w:val="none"/>
        </w:rPr>
        <w:t>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olor w:val="auto"/>
          <w:sz w:val="24"/>
          <w:highlight w:val="none"/>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highlight w:val="none"/>
        </w:rPr>
      </w:pPr>
      <w:r>
        <w:rPr>
          <w:rFonts w:hint="eastAsia" w:hAnsi="宋体" w:cs="宋体"/>
          <w:color w:val="auto"/>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highlight w:val="none"/>
        </w:rPr>
      </w:pPr>
      <w:r>
        <w:rPr>
          <w:rFonts w:hint="eastAsia" w:hAnsi="宋体" w:cs="宋体"/>
          <w:color w:val="auto"/>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highlight w:val="none"/>
        </w:rPr>
      </w:pPr>
      <w:r>
        <w:rPr>
          <w:rFonts w:hint="eastAsia" w:hAnsi="宋体" w:cs="宋体"/>
          <w:color w:val="auto"/>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highlight w:val="none"/>
        </w:rPr>
      </w:pPr>
      <w:r>
        <w:rPr>
          <w:rFonts w:hint="eastAsia" w:hAnsi="宋体" w:cs="宋体"/>
          <w:color w:val="auto"/>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ascii="新宋体" w:hAnsi="新宋体" w:eastAsia="新宋体" w:cs="仿宋_GB2312"/>
          <w:color w:val="auto"/>
          <w:sz w:val="24"/>
          <w:highlight w:val="none"/>
        </w:rPr>
        <w:t>（6）</w:t>
      </w:r>
      <w:r>
        <w:rPr>
          <w:rFonts w:hint="eastAsia" w:hAnsi="宋体" w:cs="宋体"/>
          <w:color w:val="auto"/>
          <w:sz w:val="24"/>
          <w:highlight w:val="none"/>
          <w:lang w:val="zh-CN"/>
        </w:rPr>
        <w:t>凡投标人投标保证金交纳至同一标段相同子账号的，保证金暂不予退还，</w:t>
      </w:r>
      <w:r>
        <w:rPr>
          <w:rFonts w:hint="eastAsia" w:hAnsi="宋体" w:eastAsia="Times New Roman" w:cs="宋体"/>
          <w:color w:val="auto"/>
          <w:sz w:val="24"/>
          <w:highlight w:val="none"/>
          <w:lang w:val="zh-CN"/>
        </w:rPr>
        <w:t>并</w:t>
      </w:r>
      <w:r>
        <w:rPr>
          <w:rFonts w:hint="eastAsia" w:hAnsi="宋体" w:cs="宋体"/>
          <w:color w:val="auto"/>
          <w:sz w:val="24"/>
          <w:highlight w:val="none"/>
          <w:lang w:val="zh-CN"/>
        </w:rPr>
        <w:t>依照《许昌市公共资源交易当事人不良行为管理暂行办法》（许公管委〔2017〕1号）规定，进行调查、认定、记录、公示</w:t>
      </w:r>
      <w:r>
        <w:rPr>
          <w:rFonts w:hint="eastAsia" w:hAnsi="宋体" w:eastAsia="Times New Roman" w:cs="宋体"/>
          <w:color w:val="auto"/>
          <w:sz w:val="24"/>
          <w:highlight w:val="none"/>
          <w:lang w:val="zh-CN"/>
        </w:rPr>
        <w:t>、</w:t>
      </w:r>
      <w:r>
        <w:rPr>
          <w:rFonts w:hint="eastAsia" w:hAnsi="宋体" w:cs="宋体"/>
          <w:color w:val="auto"/>
          <w:sz w:val="24"/>
          <w:highlight w:val="none"/>
          <w:lang w:val="zh-CN"/>
        </w:rPr>
        <w:t>公告。对涉嫌串通投标</w:t>
      </w:r>
      <w:r>
        <w:rPr>
          <w:rFonts w:hint="eastAsia" w:hAnsi="宋体" w:eastAsia="Times New Roman" w:cs="宋体"/>
          <w:color w:val="auto"/>
          <w:sz w:val="24"/>
          <w:highlight w:val="none"/>
          <w:lang w:val="zh-CN"/>
        </w:rPr>
        <w:t>等违规行为的</w:t>
      </w:r>
      <w:r>
        <w:rPr>
          <w:rFonts w:hint="eastAsia" w:hAnsi="宋体" w:cs="宋体"/>
          <w:color w:val="auto"/>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（7）相关法律、法规规定不予退还的其它情形。 </w:t>
      </w:r>
    </w:p>
    <w:p>
      <w:pPr>
        <w:autoSpaceDE w:val="0"/>
        <w:autoSpaceDN w:val="0"/>
        <w:spacing w:line="420" w:lineRule="exact"/>
        <w:jc w:val="left"/>
        <w:outlineLvl w:val="0"/>
        <w:rPr>
          <w:rFonts w:hAnsi="宋体" w:cs="宋体"/>
          <w:b/>
          <w:color w:val="auto"/>
          <w:sz w:val="24"/>
          <w:highlight w:val="none"/>
        </w:rPr>
      </w:pPr>
      <w:r>
        <w:rPr>
          <w:rFonts w:hint="eastAsia" w:hAnsi="宋体" w:cs="宋体"/>
          <w:b/>
          <w:color w:val="auto"/>
          <w:sz w:val="24"/>
          <w:highlight w:val="none"/>
        </w:rPr>
        <w:t>3.5 资格审查资料</w:t>
      </w:r>
    </w:p>
    <w:p>
      <w:pPr>
        <w:tabs>
          <w:tab w:val="left" w:pos="1260"/>
        </w:tabs>
        <w:autoSpaceDE w:val="0"/>
        <w:autoSpaceDN w:val="0"/>
        <w:adjustRightInd w:val="0"/>
        <w:spacing w:line="460" w:lineRule="exact"/>
        <w:ind w:firstLine="480" w:firstLineChars="200"/>
        <w:jc w:val="left"/>
        <w:rPr>
          <w:rFonts w:hAnsi="宋体" w:cs="宋体"/>
          <w:b/>
          <w:bCs/>
          <w:color w:val="auto"/>
          <w:sz w:val="24"/>
          <w:highlight w:val="none"/>
        </w:rPr>
      </w:pPr>
      <w:r>
        <w:rPr>
          <w:rFonts w:hint="eastAsia" w:hAnsi="宋体" w:cs="宋体"/>
          <w:color w:val="auto"/>
          <w:sz w:val="24"/>
          <w:highlight w:val="none"/>
        </w:rPr>
        <w:t>3.5.1 “投标人基本情况表”应附投标人营业执照副本、资质证书副本</w:t>
      </w:r>
      <w:r>
        <w:rPr>
          <w:rFonts w:hAnsi="宋体" w:cs="宋体"/>
          <w:color w:val="auto"/>
          <w:sz w:val="24"/>
          <w:highlight w:val="none"/>
        </w:rPr>
        <w:t>等材料</w:t>
      </w:r>
      <w:r>
        <w:rPr>
          <w:rFonts w:hint="eastAsia" w:hAnsi="宋体" w:cs="宋体"/>
          <w:color w:val="auto"/>
          <w:sz w:val="24"/>
          <w:highlight w:val="none"/>
        </w:rPr>
        <w:t>的原件扫描件（或图片）。</w:t>
      </w:r>
      <w:r>
        <w:rPr>
          <w:rFonts w:hAnsi="宋体" w:cs="宋体"/>
          <w:b/>
          <w:bCs/>
          <w:color w:val="auto"/>
          <w:sz w:val="24"/>
          <w:highlight w:val="none"/>
        </w:rPr>
        <w:t>投标人须具有或承诺设立满足本工程检测需要的实验室。</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3.5.2 “近年财务状况表”应附经会计师事务所或审计机构审计的财务会计报表，包括资产负债表、现金流量表、利润表和财务情况说明书（或会计报表附注）的原件扫描件，具体年份要求见投标人须知前附表。</w:t>
      </w:r>
      <w:r>
        <w:rPr>
          <w:rFonts w:hint="eastAsia" w:hAnsi="宋体" w:cs="宋体"/>
          <w:b/>
          <w:color w:val="auto"/>
          <w:sz w:val="24"/>
          <w:highlight w:val="none"/>
        </w:rPr>
        <w:t xml:space="preserve">（新成立不足三年的企业提供自成立之日以来现有年限的财务会计报表） </w:t>
      </w:r>
    </w:p>
    <w:p>
      <w:pPr>
        <w:autoSpaceDE w:val="0"/>
        <w:autoSpaceDN w:val="0"/>
        <w:spacing w:line="440" w:lineRule="exact"/>
        <w:jc w:val="left"/>
        <w:rPr>
          <w:rFonts w:hAnsi="宋体" w:cs="宋体"/>
          <w:color w:val="auto"/>
          <w:sz w:val="24"/>
          <w:highlight w:val="none"/>
        </w:rPr>
      </w:pPr>
      <w:r>
        <w:rPr>
          <w:rFonts w:hint="eastAsia" w:hAnsi="宋体" w:cs="宋体"/>
          <w:color w:val="auto"/>
          <w:sz w:val="24"/>
          <w:highlight w:val="none"/>
        </w:rPr>
        <w:t xml:space="preserve">    3.5.3 “近年完成的项目情况表”应附</w:t>
      </w:r>
      <w:r>
        <w:rPr>
          <w:rFonts w:hAnsi="宋体" w:cs="宋体"/>
          <w:b/>
          <w:bCs/>
          <w:color w:val="auto"/>
          <w:sz w:val="24"/>
          <w:highlight w:val="none"/>
        </w:rPr>
        <w:t>合同协议书及完工证明（工程接收证书或竣工验收备案表或竣工验收记录或竣工验收报告或业主证明文件</w:t>
      </w:r>
      <w:r>
        <w:rPr>
          <w:b/>
          <w:color w:val="auto"/>
          <w:sz w:val="21"/>
          <w:szCs w:val="21"/>
          <w:highlight w:val="none"/>
        </w:rPr>
        <w:t>）</w:t>
      </w:r>
      <w:r>
        <w:rPr>
          <w:rFonts w:hint="eastAsia" w:hAnsi="宋体" w:cs="宋体"/>
          <w:color w:val="auto"/>
          <w:sz w:val="24"/>
          <w:highlight w:val="none"/>
        </w:rPr>
        <w:t>等的原件扫描件，具体年份要求见投标人须知前附表。每张表格只填写一个项目，并标明序号。</w:t>
      </w:r>
    </w:p>
    <w:p>
      <w:pPr>
        <w:autoSpaceDE w:val="0"/>
        <w:autoSpaceDN w:val="0"/>
        <w:spacing w:line="440" w:lineRule="exact"/>
        <w:jc w:val="left"/>
        <w:rPr>
          <w:rFonts w:hAnsi="宋体" w:cs="宋体"/>
          <w:color w:val="auto"/>
          <w:sz w:val="24"/>
          <w:highlight w:val="none"/>
        </w:rPr>
      </w:pPr>
      <w:r>
        <w:rPr>
          <w:rFonts w:hint="eastAsia" w:hAnsi="宋体" w:cs="宋体"/>
          <w:color w:val="auto"/>
          <w:sz w:val="24"/>
          <w:highlight w:val="none"/>
        </w:rPr>
        <w:t xml:space="preserve">    3.5.4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auto"/>
          <w:sz w:val="24"/>
          <w:highlight w:val="none"/>
        </w:rPr>
      </w:pPr>
      <w:r>
        <w:rPr>
          <w:rFonts w:hint="eastAsia" w:hAnsi="宋体" w:cs="宋体"/>
          <w:color w:val="auto"/>
          <w:sz w:val="24"/>
          <w:highlight w:val="none"/>
        </w:rPr>
        <w:t xml:space="preserve">3.5.5  </w:t>
      </w:r>
      <w:r>
        <w:rPr>
          <w:rFonts w:hint="eastAsia" w:ascii="新宋体" w:hAnsi="新宋体" w:eastAsia="新宋体" w:cs="仿宋_GB2312"/>
          <w:color w:val="auto"/>
          <w:sz w:val="24"/>
          <w:highlight w:val="none"/>
        </w:rPr>
        <w:t>未按规定提交投标保证金的</w:t>
      </w:r>
      <w:r>
        <w:rPr>
          <w:rFonts w:hint="eastAsia" w:ascii="新宋体" w:hAnsi="新宋体" w:eastAsia="新宋体" w:cs="仿宋_GB2312"/>
          <w:color w:val="auto"/>
          <w:sz w:val="24"/>
          <w:highlight w:val="none"/>
          <w:lang w:eastAsia="zh-CN"/>
        </w:rPr>
        <w:t>（联合体投标的由牵头人提交投标保证金）</w:t>
      </w:r>
      <w:r>
        <w:rPr>
          <w:rFonts w:hint="eastAsia" w:ascii="新宋体" w:hAnsi="新宋体" w:eastAsia="新宋体" w:cs="仿宋_GB2312"/>
          <w:color w:val="auto"/>
          <w:sz w:val="24"/>
          <w:highlight w:val="none"/>
        </w:rPr>
        <w:t>，由评标委员会否决其投标。</w:t>
      </w:r>
    </w:p>
    <w:p>
      <w:pPr>
        <w:autoSpaceDE w:val="0"/>
        <w:autoSpaceDN w:val="0"/>
        <w:spacing w:line="440" w:lineRule="exact"/>
        <w:jc w:val="left"/>
        <w:rPr>
          <w:rFonts w:hAnsi="宋体" w:cs="宋体"/>
          <w:b/>
          <w:color w:val="auto"/>
          <w:sz w:val="24"/>
          <w:highlight w:val="none"/>
        </w:rPr>
      </w:pPr>
      <w:r>
        <w:rPr>
          <w:rFonts w:hint="eastAsia" w:hAnsi="宋体" w:cs="宋体"/>
          <w:b/>
          <w:color w:val="auto"/>
          <w:sz w:val="24"/>
          <w:highlight w:val="none"/>
        </w:rPr>
        <w:t xml:space="preserve">3.6 </w:t>
      </w:r>
      <w:bookmarkStart w:id="39" w:name="_Toc144974521"/>
      <w:bookmarkStart w:id="40" w:name="_Toc152042329"/>
      <w:bookmarkStart w:id="41" w:name="_Toc179632571"/>
      <w:bookmarkStart w:id="42" w:name="_Toc152045553"/>
      <w:r>
        <w:rPr>
          <w:rFonts w:hint="eastAsia" w:hAnsi="宋体" w:cs="宋体"/>
          <w:b/>
          <w:color w:val="auto"/>
          <w:sz w:val="24"/>
          <w:highlight w:val="none"/>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3.7 投标文件的编制</w:t>
      </w:r>
      <w:bookmarkEnd w:id="38"/>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highlight w:val="none"/>
        </w:rPr>
      </w:pPr>
      <w:r>
        <w:rPr>
          <w:rFonts w:hint="eastAsia" w:hAnsi="宋体" w:cs="宋体"/>
          <w:color w:val="auto"/>
          <w:sz w:val="24"/>
          <w:highlight w:val="none"/>
        </w:rPr>
        <w:t>3.7.3 投标人编制的投标文件应分为商务文件和技术文件。</w:t>
      </w:r>
    </w:p>
    <w:p>
      <w:pPr>
        <w:tabs>
          <w:tab w:val="left" w:pos="7095"/>
        </w:tabs>
        <w:spacing w:line="360" w:lineRule="auto"/>
        <w:ind w:firstLine="480" w:firstLineChars="200"/>
        <w:rPr>
          <w:rFonts w:hAnsi="宋体"/>
          <w:color w:val="auto"/>
          <w:sz w:val="24"/>
          <w:szCs w:val="24"/>
          <w:highlight w:val="none"/>
        </w:rPr>
      </w:pPr>
      <w:r>
        <w:rPr>
          <w:rFonts w:hint="eastAsia" w:hAnsi="宋体" w:cs="宋体"/>
          <w:color w:val="auto"/>
          <w:sz w:val="24"/>
          <w:highlight w:val="none"/>
        </w:rPr>
        <w:t xml:space="preserve">3.7.4 </w:t>
      </w:r>
      <w:r>
        <w:rPr>
          <w:rFonts w:hint="eastAsia" w:hAnsi="宋体"/>
          <w:color w:val="auto"/>
          <w:sz w:val="24"/>
          <w:szCs w:val="24"/>
          <w:highlight w:val="none"/>
        </w:rPr>
        <w:t>投标人登录许昌公共资源交易系统下载“许昌投标文件制作系统SEARUN V1.1”，按招标文件要求制作电子投标文件。</w:t>
      </w:r>
    </w:p>
    <w:p>
      <w:pPr>
        <w:autoSpaceDE w:val="0"/>
        <w:autoSpaceDN w:val="0"/>
        <w:spacing w:line="440" w:lineRule="exact"/>
        <w:ind w:firstLine="480" w:firstLineChars="200"/>
        <w:jc w:val="left"/>
        <w:outlineLvl w:val="0"/>
        <w:rPr>
          <w:rFonts w:hAnsi="宋体"/>
          <w:color w:val="auto"/>
          <w:sz w:val="24"/>
          <w:szCs w:val="24"/>
          <w:highlight w:val="none"/>
        </w:rPr>
      </w:pPr>
      <w:r>
        <w:rPr>
          <w:rFonts w:hint="eastAsia" w:hAnsi="宋体"/>
          <w:color w:val="auto"/>
          <w:sz w:val="24"/>
          <w:szCs w:val="24"/>
          <w:highlight w:val="none"/>
        </w:rPr>
        <w:t>3.7.5</w:t>
      </w:r>
      <w:bookmarkStart w:id="43" w:name="_Toc283559961"/>
      <w:r>
        <w:rPr>
          <w:rFonts w:hint="eastAsia" w:hAnsi="宋体"/>
          <w:color w:val="auto"/>
          <w:sz w:val="24"/>
          <w:szCs w:val="24"/>
          <w:highlight w:val="none"/>
        </w:rPr>
        <w:t>当生成的电子投标文件投标报价大小写不一致时，以大写为准。</w:t>
      </w:r>
    </w:p>
    <w:p>
      <w:pPr>
        <w:autoSpaceDE w:val="0"/>
        <w:autoSpaceDN w:val="0"/>
        <w:adjustRightInd w:val="0"/>
        <w:spacing w:line="460" w:lineRule="exact"/>
        <w:jc w:val="left"/>
        <w:rPr>
          <w:rFonts w:hAnsi="宋体" w:cs="宋体"/>
          <w:color w:val="auto"/>
          <w:sz w:val="24"/>
          <w:highlight w:val="none"/>
        </w:rPr>
      </w:pPr>
      <w:r>
        <w:rPr>
          <w:rFonts w:hint="eastAsia" w:hAnsi="宋体" w:cs="宋体"/>
          <w:b/>
          <w:bCs/>
          <w:color w:val="auto"/>
          <w:sz w:val="24"/>
          <w:highlight w:val="none"/>
        </w:rPr>
        <w:t>3.7.8 商务标投标文件制作注意事项：</w:t>
      </w:r>
    </w:p>
    <w:p>
      <w:pPr>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3.7.8.2 商务标投标文件制作技术咨询：0374-2961598。</w:t>
      </w:r>
    </w:p>
    <w:p>
      <w:pPr>
        <w:pStyle w:val="25"/>
        <w:spacing w:line="440" w:lineRule="exact"/>
        <w:jc w:val="both"/>
        <w:outlineLvl w:val="0"/>
        <w:rPr>
          <w:rFonts w:hAnsi="宋体"/>
          <w:b/>
          <w:color w:val="auto"/>
          <w:highlight w:val="none"/>
        </w:rPr>
      </w:pPr>
      <w:r>
        <w:rPr>
          <w:rFonts w:hint="eastAsia" w:hAnsi="宋体"/>
          <w:b/>
          <w:color w:val="auto"/>
          <w:highlight w:val="none"/>
        </w:rPr>
        <w:t>4. 投标</w:t>
      </w:r>
      <w:bookmarkEnd w:id="43"/>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4.1投标文件的提交</w:t>
      </w:r>
    </w:p>
    <w:p>
      <w:pPr>
        <w:autoSpaceDE w:val="0"/>
        <w:autoSpaceDN w:val="0"/>
        <w:spacing w:line="440" w:lineRule="exact"/>
        <w:ind w:firstLine="480" w:firstLineChars="200"/>
        <w:jc w:val="left"/>
        <w:outlineLvl w:val="0"/>
        <w:rPr>
          <w:rFonts w:hAnsi="宋体" w:cs="宋体"/>
          <w:strike/>
          <w:color w:val="auto"/>
          <w:sz w:val="24"/>
          <w:highlight w:val="none"/>
        </w:rPr>
      </w:pPr>
      <w:r>
        <w:rPr>
          <w:rFonts w:hint="eastAsia" w:hAnsi="宋体" w:cs="宋体"/>
          <w:color w:val="auto"/>
          <w:sz w:val="24"/>
          <w:highlight w:val="none"/>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4.1.3 逾期未成功上传的电子投标文件，招标人不予受理。</w:t>
      </w:r>
    </w:p>
    <w:p>
      <w:pPr>
        <w:autoSpaceDE w:val="0"/>
        <w:autoSpaceDN w:val="0"/>
        <w:spacing w:line="440" w:lineRule="exact"/>
        <w:jc w:val="left"/>
        <w:outlineLvl w:val="0"/>
        <w:rPr>
          <w:rFonts w:hAnsi="宋体" w:cs="宋体"/>
          <w:b/>
          <w:color w:val="auto"/>
          <w:sz w:val="24"/>
          <w:highlight w:val="none"/>
        </w:rPr>
      </w:pPr>
      <w:bookmarkStart w:id="44" w:name="_Toc283559964"/>
      <w:r>
        <w:rPr>
          <w:rFonts w:hint="eastAsia" w:hAnsi="宋体" w:cs="宋体"/>
          <w:b/>
          <w:color w:val="auto"/>
          <w:sz w:val="24"/>
          <w:highlight w:val="none"/>
        </w:rPr>
        <w:t>4.2 投标文件的修改与撤回</w:t>
      </w:r>
      <w:bookmarkEnd w:id="44"/>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4.2.4 投标人应当在投标截止时间前完成电子投标文件的提交，可以补充、修改或撤回。投标截止时间前未完成电子投标文件提交、取得“投标文件提交回执单”的，视为撤回投标文件。</w:t>
      </w:r>
    </w:p>
    <w:p>
      <w:pPr>
        <w:pStyle w:val="25"/>
        <w:spacing w:line="440" w:lineRule="exact"/>
        <w:jc w:val="both"/>
        <w:outlineLvl w:val="0"/>
        <w:rPr>
          <w:rFonts w:hAnsi="宋体"/>
          <w:b/>
          <w:color w:val="auto"/>
          <w:highlight w:val="none"/>
        </w:rPr>
      </w:pPr>
      <w:bookmarkStart w:id="45" w:name="_Toc283559967"/>
      <w:r>
        <w:rPr>
          <w:rFonts w:hint="eastAsia" w:hAnsi="宋体"/>
          <w:b/>
          <w:color w:val="auto"/>
          <w:highlight w:val="none"/>
        </w:rPr>
        <w:t>5. 开标</w:t>
      </w:r>
      <w:bookmarkEnd w:id="45"/>
    </w:p>
    <w:p>
      <w:pPr>
        <w:autoSpaceDE w:val="0"/>
        <w:autoSpaceDN w:val="0"/>
        <w:adjustRightInd w:val="0"/>
        <w:spacing w:line="440" w:lineRule="exact"/>
        <w:jc w:val="left"/>
        <w:outlineLvl w:val="0"/>
        <w:rPr>
          <w:rFonts w:hAnsi="宋体" w:cs="宋体"/>
          <w:b/>
          <w:color w:val="auto"/>
          <w:sz w:val="24"/>
          <w:highlight w:val="none"/>
        </w:rPr>
      </w:pPr>
      <w:bookmarkStart w:id="46" w:name="_Toc283559968"/>
      <w:r>
        <w:rPr>
          <w:rFonts w:hint="eastAsia" w:hAnsi="宋体" w:cs="宋体"/>
          <w:b/>
          <w:color w:val="auto"/>
          <w:sz w:val="24"/>
          <w:highlight w:val="none"/>
        </w:rPr>
        <w:t>5.1 开标时间和地点</w:t>
      </w:r>
      <w:bookmarkEnd w:id="46"/>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highlight w:val="none"/>
        </w:rPr>
      </w:pPr>
      <w:r>
        <w:rPr>
          <w:rFonts w:hint="eastAsia" w:hAnsi="宋体" w:cs="宋体"/>
          <w:b/>
          <w:color w:val="auto"/>
          <w:sz w:val="24"/>
          <w:highlight w:val="none"/>
        </w:rPr>
        <w:t>5.2 开标程序</w:t>
      </w:r>
    </w:p>
    <w:p>
      <w:pPr>
        <w:spacing w:line="360" w:lineRule="auto"/>
        <w:ind w:firstLine="480" w:firstLineChars="200"/>
        <w:jc w:val="left"/>
        <w:rPr>
          <w:rFonts w:hAnsi="宋体" w:eastAsia="宋体" w:cs="宋体"/>
          <w:color w:val="auto"/>
          <w:sz w:val="24"/>
          <w:highlight w:val="none"/>
        </w:rPr>
      </w:pPr>
      <w:bookmarkStart w:id="47" w:name="_Toc283559970"/>
      <w:r>
        <w:rPr>
          <w:rFonts w:hint="eastAsia" w:hAnsi="宋体" w:eastAsia="宋体" w:cs="宋体"/>
          <w:color w:val="auto"/>
          <w:sz w:val="24"/>
          <w:highlight w:val="none"/>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jc w:val="left"/>
        <w:rPr>
          <w:rFonts w:hAnsi="宋体" w:eastAsia="宋体" w:cs="宋体"/>
          <w:color w:val="auto"/>
          <w:sz w:val="24"/>
          <w:highlight w:val="none"/>
        </w:rPr>
      </w:pPr>
      <w:r>
        <w:rPr>
          <w:rFonts w:hint="eastAsia" w:hAnsi="宋体" w:eastAsia="宋体" w:cs="宋体"/>
          <w:color w:val="auto"/>
          <w:sz w:val="24"/>
          <w:highlight w:val="none"/>
        </w:rPr>
        <w:t>(2)投标截止时间到达时，招标代理机构点击“开标按钮”按钮，开始不见面开标；点击“解密环节”按钮开始解密60分钟倒计时，各投标人可以远程进行解密投标文件。投标人未进行解密或未按规定进行解密的，视为放弃投标。</w:t>
      </w:r>
    </w:p>
    <w:p>
      <w:pPr>
        <w:spacing w:line="360" w:lineRule="auto"/>
        <w:ind w:firstLine="480" w:firstLineChars="200"/>
        <w:jc w:val="left"/>
        <w:rPr>
          <w:rFonts w:hAnsi="宋体" w:eastAsia="宋体" w:cs="宋体"/>
          <w:color w:val="auto"/>
          <w:sz w:val="24"/>
          <w:highlight w:val="none"/>
        </w:rPr>
      </w:pPr>
      <w:r>
        <w:rPr>
          <w:rFonts w:hint="eastAsia" w:hAnsi="宋体" w:eastAsia="宋体" w:cs="宋体"/>
          <w:color w:val="auto"/>
          <w:sz w:val="24"/>
          <w:highlight w:val="none"/>
        </w:rPr>
        <w:t>(3)解密完成后，投标人可点击“开标记录”查看各投标人投标报价等信息，对开标过程或有关内容有异议（质疑）的，按照《</w:t>
      </w:r>
      <w:r>
        <w:rPr>
          <w:rFonts w:hint="eastAsia" w:hAnsi="宋体"/>
          <w:color w:val="auto"/>
          <w:sz w:val="24"/>
          <w:highlight w:val="none"/>
        </w:rPr>
        <w:t>许昌市不见面开标操作手册</w:t>
      </w:r>
      <w:r>
        <w:rPr>
          <w:rFonts w:hint="eastAsia" w:hAnsi="宋体" w:eastAsia="宋体" w:cs="宋体"/>
          <w:color w:val="auto"/>
          <w:sz w:val="24"/>
          <w:highlight w:val="none"/>
        </w:rPr>
        <w:t xml:space="preserve">》在本项目不见面开标大厅“文字互动”对话框或“新增质疑”处在线询问和发起异议（质疑），招标代理机构在线进行回复。 </w:t>
      </w:r>
    </w:p>
    <w:p>
      <w:pPr>
        <w:autoSpaceDE w:val="0"/>
        <w:autoSpaceDN w:val="0"/>
        <w:adjustRightInd w:val="0"/>
        <w:spacing w:line="420" w:lineRule="exact"/>
        <w:ind w:firstLine="480" w:firstLineChars="200"/>
        <w:jc w:val="left"/>
        <w:rPr>
          <w:rFonts w:hAnsi="宋体" w:eastAsia="宋体" w:cs="宋体"/>
          <w:color w:val="auto"/>
          <w:sz w:val="24"/>
          <w:highlight w:val="none"/>
        </w:rPr>
      </w:pPr>
      <w:r>
        <w:rPr>
          <w:rFonts w:hint="eastAsia" w:hAnsi="宋体" w:eastAsia="宋体" w:cs="宋体"/>
          <w:color w:val="auto"/>
          <w:sz w:val="24"/>
          <w:highlight w:val="none"/>
        </w:rPr>
        <w:t>(4)再无投标人提出异议，招标代理机构通过“文字互动”对话框通知各投标人进行电子签章。投标人应在《开标记录表》上进行电子签章，未进行电子签章的视为对开标结果无异议。</w:t>
      </w:r>
    </w:p>
    <w:p>
      <w:pPr>
        <w:pStyle w:val="25"/>
        <w:spacing w:line="440" w:lineRule="exact"/>
        <w:ind w:firstLine="480" w:firstLineChars="200"/>
        <w:jc w:val="both"/>
        <w:outlineLvl w:val="0"/>
        <w:rPr>
          <w:rFonts w:hint="eastAsia" w:hAnsi="宋体" w:eastAsia="宋体"/>
          <w:bCs/>
          <w:color w:val="auto"/>
          <w:szCs w:val="22"/>
          <w:highlight w:val="none"/>
        </w:rPr>
      </w:pPr>
      <w:r>
        <w:rPr>
          <w:rFonts w:hint="eastAsia" w:hAnsi="宋体" w:eastAsia="宋体"/>
          <w:color w:val="auto"/>
          <w:highlight w:val="none"/>
        </w:rPr>
        <w:t>（5）招标代理机构保存最终《开标记录表》，不见面开标活动结束。</w:t>
      </w:r>
    </w:p>
    <w:p>
      <w:pPr>
        <w:pStyle w:val="25"/>
        <w:spacing w:line="440" w:lineRule="exact"/>
        <w:jc w:val="both"/>
        <w:outlineLvl w:val="0"/>
        <w:rPr>
          <w:rFonts w:hAnsi="宋体" w:eastAsia="宋体"/>
          <w:bCs/>
          <w:color w:val="auto"/>
          <w:szCs w:val="22"/>
          <w:highlight w:val="none"/>
        </w:rPr>
      </w:pPr>
      <w:r>
        <w:rPr>
          <w:rFonts w:hint="eastAsia" w:hAnsi="宋体"/>
          <w:b/>
          <w:color w:val="auto"/>
          <w:highlight w:val="none"/>
        </w:rPr>
        <w:t>6. 评标</w:t>
      </w:r>
      <w:bookmarkEnd w:id="47"/>
    </w:p>
    <w:p>
      <w:pPr>
        <w:autoSpaceDE w:val="0"/>
        <w:autoSpaceDN w:val="0"/>
        <w:adjustRightInd w:val="0"/>
        <w:spacing w:line="440" w:lineRule="exact"/>
        <w:jc w:val="left"/>
        <w:outlineLvl w:val="0"/>
        <w:rPr>
          <w:rFonts w:hAnsi="宋体" w:cs="宋体"/>
          <w:b/>
          <w:color w:val="auto"/>
          <w:sz w:val="24"/>
          <w:highlight w:val="none"/>
        </w:rPr>
      </w:pPr>
      <w:bookmarkStart w:id="48" w:name="_Toc283559971"/>
      <w:r>
        <w:rPr>
          <w:rFonts w:hint="eastAsia" w:hAnsi="宋体" w:cs="宋体"/>
          <w:b/>
          <w:color w:val="auto"/>
          <w:sz w:val="24"/>
          <w:highlight w:val="none"/>
        </w:rPr>
        <w:t>6.1 评标委员会</w:t>
      </w:r>
      <w:bookmarkEnd w:id="48"/>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highlight w:val="none"/>
        </w:rPr>
      </w:pPr>
      <w:bookmarkStart w:id="49" w:name="_Toc283559972"/>
      <w:r>
        <w:rPr>
          <w:rFonts w:hint="eastAsia" w:hAnsi="宋体" w:cs="宋体"/>
          <w:b/>
          <w:color w:val="auto"/>
          <w:sz w:val="24"/>
          <w:highlight w:val="none"/>
        </w:rPr>
        <w:t>6.2 评标原则</w:t>
      </w:r>
      <w:bookmarkEnd w:id="49"/>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评标活动遵循公平、公正、科学和择优的原则。</w:t>
      </w:r>
    </w:p>
    <w:p>
      <w:pPr>
        <w:autoSpaceDE w:val="0"/>
        <w:autoSpaceDN w:val="0"/>
        <w:spacing w:line="440" w:lineRule="exact"/>
        <w:jc w:val="left"/>
        <w:outlineLvl w:val="0"/>
        <w:rPr>
          <w:rFonts w:hAnsi="宋体" w:cs="宋体"/>
          <w:b/>
          <w:color w:val="auto"/>
          <w:sz w:val="24"/>
          <w:highlight w:val="none"/>
        </w:rPr>
      </w:pPr>
      <w:bookmarkStart w:id="50" w:name="_Toc283559973"/>
      <w:r>
        <w:rPr>
          <w:rFonts w:hint="eastAsia" w:hAnsi="宋体" w:cs="宋体"/>
          <w:b/>
          <w:color w:val="auto"/>
          <w:sz w:val="24"/>
          <w:highlight w:val="none"/>
        </w:rPr>
        <w:t>6.3 评标</w:t>
      </w:r>
      <w:bookmarkEnd w:id="50"/>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25"/>
        <w:spacing w:line="440" w:lineRule="exact"/>
        <w:jc w:val="both"/>
        <w:outlineLvl w:val="0"/>
        <w:rPr>
          <w:rFonts w:hAnsi="宋体"/>
          <w:b/>
          <w:color w:val="auto"/>
          <w:highlight w:val="none"/>
        </w:rPr>
      </w:pPr>
      <w:bookmarkStart w:id="51" w:name="_Toc283559974"/>
      <w:r>
        <w:rPr>
          <w:rFonts w:hint="eastAsia" w:hAnsi="宋体"/>
          <w:b/>
          <w:color w:val="auto"/>
          <w:highlight w:val="none"/>
        </w:rPr>
        <w:t>7. 合同授予</w:t>
      </w:r>
      <w:bookmarkEnd w:id="51"/>
    </w:p>
    <w:p>
      <w:pPr>
        <w:autoSpaceDE w:val="0"/>
        <w:autoSpaceDN w:val="0"/>
        <w:spacing w:line="440" w:lineRule="exact"/>
        <w:jc w:val="left"/>
        <w:outlineLvl w:val="0"/>
        <w:rPr>
          <w:rFonts w:hAnsi="宋体" w:cs="宋体"/>
          <w:b/>
          <w:color w:val="auto"/>
          <w:sz w:val="24"/>
          <w:highlight w:val="none"/>
        </w:rPr>
      </w:pPr>
      <w:bookmarkStart w:id="52" w:name="_Toc283559975"/>
      <w:r>
        <w:rPr>
          <w:rFonts w:hint="eastAsia" w:hAnsi="宋体" w:cs="宋体"/>
          <w:b/>
          <w:color w:val="auto"/>
          <w:sz w:val="24"/>
          <w:highlight w:val="none"/>
        </w:rPr>
        <w:t>7.1 定标方式</w:t>
      </w:r>
      <w:bookmarkEnd w:id="52"/>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highlight w:val="none"/>
        </w:rPr>
      </w:pPr>
      <w:bookmarkStart w:id="53" w:name="_Toc283559976"/>
      <w:r>
        <w:rPr>
          <w:rFonts w:hint="eastAsia" w:hAnsi="宋体" w:cs="宋体"/>
          <w:b/>
          <w:color w:val="auto"/>
          <w:sz w:val="24"/>
          <w:highlight w:val="none"/>
        </w:rPr>
        <w:t>7.2 中标通知</w:t>
      </w:r>
      <w:bookmarkEnd w:id="53"/>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在本章第3.3 款规定的投标有效期内，招标人以书面形式向中标人发出中标通知书，同时将中标结果通知未中标的投标人。</w:t>
      </w:r>
      <w:bookmarkStart w:id="54" w:name="_Toc179632587"/>
      <w:bookmarkStart w:id="55" w:name="_Toc144974537"/>
      <w:bookmarkStart w:id="56" w:name="_Toc152045569"/>
      <w:bookmarkStart w:id="57" w:name="_Toc152042345"/>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7.</w:t>
      </w:r>
      <w:bookmarkEnd w:id="54"/>
      <w:bookmarkEnd w:id="55"/>
      <w:bookmarkEnd w:id="56"/>
      <w:bookmarkEnd w:id="57"/>
      <w:bookmarkStart w:id="58" w:name="_Toc283559977"/>
      <w:r>
        <w:rPr>
          <w:rFonts w:hint="eastAsia" w:hAnsi="宋体" w:cs="宋体"/>
          <w:b/>
          <w:color w:val="auto"/>
          <w:sz w:val="24"/>
          <w:highlight w:val="none"/>
        </w:rPr>
        <w:t>3签订合同</w:t>
      </w:r>
      <w:bookmarkEnd w:id="58"/>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highlight w:val="none"/>
        </w:rPr>
      </w:pPr>
      <w:bookmarkStart w:id="59" w:name="_Toc283559978"/>
      <w:r>
        <w:rPr>
          <w:rFonts w:hint="eastAsia" w:hAnsi="宋体" w:cs="宋体"/>
          <w:b/>
          <w:color w:val="auto"/>
          <w:sz w:val="24"/>
          <w:highlight w:val="none"/>
        </w:rPr>
        <w:t>8. 重新招标和不再招标</w:t>
      </w:r>
      <w:bookmarkEnd w:id="59"/>
    </w:p>
    <w:p>
      <w:pPr>
        <w:autoSpaceDE w:val="0"/>
        <w:autoSpaceDN w:val="0"/>
        <w:adjustRightInd w:val="0"/>
        <w:spacing w:line="440" w:lineRule="exact"/>
        <w:jc w:val="left"/>
        <w:outlineLvl w:val="0"/>
        <w:rPr>
          <w:rFonts w:hAnsi="宋体" w:cs="宋体"/>
          <w:b/>
          <w:color w:val="auto"/>
          <w:sz w:val="24"/>
          <w:highlight w:val="none"/>
        </w:rPr>
      </w:pPr>
      <w:bookmarkStart w:id="60" w:name="_Toc283559979"/>
      <w:r>
        <w:rPr>
          <w:rFonts w:hint="eastAsia" w:hAnsi="宋体" w:cs="宋体"/>
          <w:b/>
          <w:color w:val="auto"/>
          <w:sz w:val="24"/>
          <w:highlight w:val="none"/>
        </w:rPr>
        <w:t>8.1 重新招标</w:t>
      </w:r>
      <w:bookmarkEnd w:id="60"/>
    </w:p>
    <w:p>
      <w:pPr>
        <w:autoSpaceDE w:val="0"/>
        <w:autoSpaceDN w:val="0"/>
        <w:adjustRightInd w:val="0"/>
        <w:spacing w:line="440" w:lineRule="exact"/>
        <w:ind w:firstLine="420" w:firstLineChars="175"/>
        <w:jc w:val="left"/>
        <w:rPr>
          <w:rFonts w:hAnsi="宋体" w:cs="宋体"/>
          <w:color w:val="auto"/>
          <w:sz w:val="24"/>
          <w:highlight w:val="none"/>
        </w:rPr>
      </w:pPr>
      <w:r>
        <w:rPr>
          <w:rFonts w:hint="eastAsia" w:hAnsi="宋体" w:cs="宋体"/>
          <w:color w:val="auto"/>
          <w:sz w:val="24"/>
          <w:highlight w:val="none"/>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highlight w:val="none"/>
        </w:rPr>
      </w:pPr>
      <w:r>
        <w:rPr>
          <w:rFonts w:hint="eastAsia" w:hAnsi="宋体" w:cs="宋体"/>
          <w:color w:val="auto"/>
          <w:sz w:val="24"/>
          <w:highlight w:val="none"/>
        </w:rPr>
        <w:t>（1）投标截止时间止，投标人少于3 个的；</w:t>
      </w:r>
    </w:p>
    <w:p>
      <w:pPr>
        <w:autoSpaceDE w:val="0"/>
        <w:autoSpaceDN w:val="0"/>
        <w:adjustRightInd w:val="0"/>
        <w:spacing w:line="440" w:lineRule="exact"/>
        <w:ind w:firstLine="420" w:firstLineChars="175"/>
        <w:jc w:val="left"/>
        <w:rPr>
          <w:rFonts w:hAnsi="宋体" w:cs="宋体"/>
          <w:color w:val="auto"/>
          <w:sz w:val="24"/>
          <w:highlight w:val="none"/>
        </w:rPr>
      </w:pPr>
      <w:r>
        <w:rPr>
          <w:rFonts w:hint="eastAsia" w:hAnsi="宋体" w:cs="宋体"/>
          <w:color w:val="auto"/>
          <w:sz w:val="24"/>
          <w:highlight w:val="none"/>
        </w:rPr>
        <w:t>（2）经评标委员会评审后否决所有投标的。</w:t>
      </w:r>
    </w:p>
    <w:p>
      <w:pPr>
        <w:autoSpaceDE w:val="0"/>
        <w:autoSpaceDN w:val="0"/>
        <w:adjustRightInd w:val="0"/>
        <w:spacing w:line="440" w:lineRule="exact"/>
        <w:jc w:val="left"/>
        <w:outlineLvl w:val="0"/>
        <w:rPr>
          <w:rFonts w:hAnsi="宋体" w:cs="宋体"/>
          <w:b/>
          <w:color w:val="auto"/>
          <w:sz w:val="24"/>
          <w:highlight w:val="none"/>
        </w:rPr>
      </w:pPr>
      <w:bookmarkStart w:id="61" w:name="_Toc283559980"/>
      <w:r>
        <w:rPr>
          <w:rFonts w:hint="eastAsia" w:hAnsi="宋体" w:cs="宋体"/>
          <w:b/>
          <w:color w:val="auto"/>
          <w:sz w:val="24"/>
          <w:highlight w:val="none"/>
        </w:rPr>
        <w:t>8.2 不再招标</w:t>
      </w:r>
      <w:bookmarkEnd w:id="61"/>
    </w:p>
    <w:p>
      <w:pPr>
        <w:autoSpaceDE w:val="0"/>
        <w:autoSpaceDN w:val="0"/>
        <w:adjustRightInd w:val="0"/>
        <w:spacing w:line="440" w:lineRule="exact"/>
        <w:ind w:firstLine="540" w:firstLineChars="225"/>
        <w:jc w:val="left"/>
        <w:rPr>
          <w:rFonts w:hAnsi="宋体" w:cs="宋体"/>
          <w:color w:val="auto"/>
          <w:sz w:val="24"/>
          <w:highlight w:val="none"/>
        </w:rPr>
      </w:pPr>
      <w:r>
        <w:rPr>
          <w:rFonts w:hint="eastAsia" w:hAnsi="宋体" w:cs="宋体"/>
          <w:color w:val="auto"/>
          <w:sz w:val="24"/>
          <w:highlight w:val="none"/>
        </w:rPr>
        <w:t>重新招标后投标人仍少于3个，属于必须审批或核准的工程建设项目，经原审批或核准部门批准后不再进行招标。</w:t>
      </w:r>
    </w:p>
    <w:p>
      <w:pPr>
        <w:pStyle w:val="25"/>
        <w:spacing w:line="440" w:lineRule="exact"/>
        <w:jc w:val="both"/>
        <w:outlineLvl w:val="0"/>
        <w:rPr>
          <w:rFonts w:hAnsi="宋体"/>
          <w:b/>
          <w:color w:val="auto"/>
          <w:highlight w:val="none"/>
        </w:rPr>
      </w:pPr>
      <w:bookmarkStart w:id="62" w:name="_Toc283559981"/>
      <w:r>
        <w:rPr>
          <w:rFonts w:hint="eastAsia" w:hAnsi="宋体"/>
          <w:b/>
          <w:color w:val="auto"/>
          <w:highlight w:val="none"/>
        </w:rPr>
        <w:t>9. 纪律和监督</w:t>
      </w:r>
      <w:bookmarkEnd w:id="62"/>
    </w:p>
    <w:p>
      <w:pPr>
        <w:autoSpaceDE w:val="0"/>
        <w:autoSpaceDN w:val="0"/>
        <w:adjustRightInd w:val="0"/>
        <w:spacing w:line="440" w:lineRule="exact"/>
        <w:jc w:val="left"/>
        <w:outlineLvl w:val="0"/>
        <w:rPr>
          <w:rFonts w:hAnsi="宋体" w:cs="宋体"/>
          <w:b/>
          <w:color w:val="auto"/>
          <w:sz w:val="24"/>
          <w:highlight w:val="none"/>
        </w:rPr>
      </w:pPr>
      <w:bookmarkStart w:id="63" w:name="_Toc283559982"/>
      <w:r>
        <w:rPr>
          <w:rFonts w:hint="eastAsia" w:hAnsi="宋体" w:cs="宋体"/>
          <w:b/>
          <w:color w:val="auto"/>
          <w:sz w:val="24"/>
          <w:highlight w:val="none"/>
        </w:rPr>
        <w:t>9.1 对招标人的纪律要求</w:t>
      </w:r>
      <w:bookmarkEnd w:id="63"/>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highlight w:val="none"/>
        </w:rPr>
      </w:pPr>
      <w:bookmarkStart w:id="64" w:name="_Toc283559983"/>
      <w:r>
        <w:rPr>
          <w:rFonts w:hint="eastAsia" w:hAnsi="宋体" w:cs="宋体"/>
          <w:b/>
          <w:color w:val="auto"/>
          <w:sz w:val="24"/>
          <w:highlight w:val="none"/>
        </w:rPr>
        <w:t>9.2 对投标人的纪律要求</w:t>
      </w:r>
      <w:bookmarkEnd w:id="64"/>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highlight w:val="none"/>
        </w:rPr>
      </w:pPr>
      <w:bookmarkStart w:id="65" w:name="_Toc283559984"/>
      <w:r>
        <w:rPr>
          <w:rFonts w:hint="eastAsia" w:hAnsi="宋体" w:cs="宋体"/>
          <w:b/>
          <w:color w:val="auto"/>
          <w:sz w:val="24"/>
          <w:highlight w:val="none"/>
        </w:rPr>
        <w:t>9.3 对评标委员会成员的纪律要求</w:t>
      </w:r>
      <w:bookmarkEnd w:id="65"/>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highlight w:val="none"/>
        </w:rPr>
      </w:pPr>
      <w:bookmarkStart w:id="66" w:name="_Toc283559985"/>
      <w:r>
        <w:rPr>
          <w:rFonts w:hint="eastAsia" w:hAnsi="宋体" w:cs="宋体"/>
          <w:b/>
          <w:color w:val="auto"/>
          <w:sz w:val="24"/>
          <w:highlight w:val="none"/>
        </w:rPr>
        <w:t>9.4 对与评标活动有关的工作人员的纪律要求</w:t>
      </w:r>
      <w:bookmarkEnd w:id="66"/>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highlight w:val="none"/>
        </w:rPr>
      </w:pPr>
      <w:bookmarkStart w:id="67" w:name="_Toc283559986"/>
      <w:r>
        <w:rPr>
          <w:rFonts w:hint="eastAsia" w:hAnsi="宋体" w:cs="宋体"/>
          <w:b/>
          <w:color w:val="auto"/>
          <w:sz w:val="24"/>
          <w:highlight w:val="none"/>
        </w:rPr>
        <w:t>9.5 投诉</w:t>
      </w:r>
      <w:bookmarkEnd w:id="67"/>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投标人和其他利害关系人认为本次招标活动违反法律、法规和规章规定的，有权向有关行政监督部门投诉。</w:t>
      </w:r>
    </w:p>
    <w:p>
      <w:pPr>
        <w:pStyle w:val="25"/>
        <w:spacing w:line="440" w:lineRule="exact"/>
        <w:jc w:val="both"/>
        <w:outlineLvl w:val="0"/>
        <w:rPr>
          <w:rFonts w:hAnsi="宋体"/>
          <w:b/>
          <w:color w:val="auto"/>
          <w:highlight w:val="none"/>
        </w:rPr>
      </w:pPr>
      <w:bookmarkStart w:id="68" w:name="_Toc283559987"/>
      <w:r>
        <w:rPr>
          <w:rFonts w:hint="eastAsia" w:hAnsi="宋体"/>
          <w:b/>
          <w:color w:val="auto"/>
          <w:highlight w:val="none"/>
        </w:rPr>
        <w:t>10. 需要补充的其他内容</w:t>
      </w:r>
      <w:bookmarkEnd w:id="68"/>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需要补充的其他内容：见投标人须知前附表。</w:t>
      </w:r>
    </w:p>
    <w:p>
      <w:pPr>
        <w:spacing w:beforeLines="100" w:afterLines="100" w:line="400" w:lineRule="exact"/>
        <w:rPr>
          <w:rFonts w:hAnsi="宋体" w:cs="宋体"/>
          <w:color w:val="auto"/>
          <w:sz w:val="24"/>
          <w:highlight w:val="none"/>
        </w:rPr>
      </w:pPr>
      <w:r>
        <w:rPr>
          <w:rFonts w:hint="eastAsia" w:hAnsi="宋体" w:cs="宋体"/>
          <w:color w:val="auto"/>
          <w:sz w:val="24"/>
          <w:highlight w:val="none"/>
        </w:rPr>
        <w:br w:type="page"/>
      </w:r>
      <w:r>
        <w:rPr>
          <w:rFonts w:hint="eastAsia" w:hAnsi="宋体" w:cs="宋体"/>
          <w:color w:val="auto"/>
          <w:sz w:val="24"/>
          <w:highlight w:val="none"/>
        </w:rPr>
        <w:t>附表一：</w:t>
      </w:r>
    </w:p>
    <w:p>
      <w:pPr>
        <w:spacing w:beforeLines="100" w:afterLines="100" w:line="400" w:lineRule="exact"/>
        <w:jc w:val="center"/>
        <w:rPr>
          <w:rFonts w:hAnsi="宋体" w:cs="宋体"/>
          <w:color w:val="auto"/>
          <w:sz w:val="28"/>
          <w:szCs w:val="28"/>
          <w:highlight w:val="none"/>
        </w:rPr>
      </w:pPr>
      <w:r>
        <w:rPr>
          <w:rFonts w:hint="eastAsia" w:hAnsi="宋体" w:cs="宋体"/>
          <w:color w:val="auto"/>
          <w:sz w:val="28"/>
          <w:szCs w:val="28"/>
          <w:highlight w:val="none"/>
        </w:rPr>
        <w:t>问题澄清通知</w:t>
      </w:r>
    </w:p>
    <w:p>
      <w:pPr>
        <w:spacing w:line="400" w:lineRule="exact"/>
        <w:ind w:firstLine="6120" w:firstLineChars="2550"/>
        <w:rPr>
          <w:rFonts w:hAnsi="宋体" w:cs="宋体"/>
          <w:color w:val="auto"/>
          <w:sz w:val="24"/>
          <w:highlight w:val="none"/>
          <w:u w:val="single"/>
        </w:rPr>
      </w:pPr>
      <w:r>
        <w:rPr>
          <w:rFonts w:hint="eastAsia" w:hAnsi="宋体" w:cs="宋体"/>
          <w:color w:val="auto"/>
          <w:sz w:val="24"/>
          <w:highlight w:val="none"/>
        </w:rPr>
        <w:t>编号：</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（投标人名称）：</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1.</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2.</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请将上述问题的澄清、说明或者补正于年月日时前密封递交至 （详细地址）。</w:t>
      </w:r>
    </w:p>
    <w:p>
      <w:pPr>
        <w:spacing w:line="480" w:lineRule="exact"/>
        <w:rPr>
          <w:rFonts w:hAnsi="宋体" w:cs="宋体"/>
          <w:color w:val="auto"/>
          <w:sz w:val="24"/>
          <w:highlight w:val="none"/>
        </w:rPr>
      </w:pPr>
    </w:p>
    <w:p>
      <w:pPr>
        <w:spacing w:line="480" w:lineRule="exact"/>
        <w:rPr>
          <w:rFonts w:hAnsi="宋体" w:cs="宋体"/>
          <w:color w:val="auto"/>
          <w:sz w:val="24"/>
          <w:highlight w:val="none"/>
        </w:rPr>
      </w:pPr>
      <w:r>
        <w:rPr>
          <w:rFonts w:hint="eastAsia" w:hAnsi="宋体" w:cs="宋体"/>
          <w:color w:val="auto"/>
          <w:sz w:val="24"/>
          <w:highlight w:val="none"/>
        </w:rPr>
        <w:t>附件：质疑问卷</w:t>
      </w:r>
    </w:p>
    <w:p>
      <w:pPr>
        <w:spacing w:line="480" w:lineRule="exact"/>
        <w:ind w:firstLine="4080" w:firstLineChars="1700"/>
        <w:rPr>
          <w:rFonts w:hAnsi="宋体" w:cs="宋体"/>
          <w:color w:val="auto"/>
          <w:sz w:val="24"/>
          <w:highlight w:val="none"/>
          <w:u w:val="single"/>
        </w:rPr>
      </w:pPr>
    </w:p>
    <w:p>
      <w:pPr>
        <w:spacing w:line="480" w:lineRule="exact"/>
        <w:ind w:firstLine="4080" w:firstLineChars="1700"/>
        <w:rPr>
          <w:rFonts w:hAnsi="宋体" w:cs="宋体"/>
          <w:color w:val="auto"/>
          <w:sz w:val="24"/>
          <w:highlight w:val="none"/>
          <w:u w:val="single"/>
        </w:rPr>
      </w:pPr>
    </w:p>
    <w:p>
      <w:pPr>
        <w:spacing w:line="480" w:lineRule="exact"/>
        <w:ind w:firstLine="4080" w:firstLineChars="1700"/>
        <w:rPr>
          <w:rFonts w:hAnsi="宋体" w:cs="宋体"/>
          <w:color w:val="auto"/>
          <w:sz w:val="24"/>
          <w:highlight w:val="none"/>
          <w:u w:val="single"/>
        </w:rPr>
      </w:pPr>
    </w:p>
    <w:p>
      <w:pPr>
        <w:spacing w:line="480" w:lineRule="exact"/>
        <w:rPr>
          <w:rFonts w:hAnsi="宋体" w:cs="宋体"/>
          <w:color w:val="auto"/>
          <w:sz w:val="24"/>
          <w:highlight w:val="none"/>
          <w:u w:val="single"/>
        </w:rPr>
      </w:pPr>
    </w:p>
    <w:p>
      <w:pPr>
        <w:spacing w:line="480" w:lineRule="exact"/>
        <w:ind w:firstLine="4080" w:firstLineChars="1700"/>
        <w:rPr>
          <w:rFonts w:hAnsi="宋体" w:cs="宋体"/>
          <w:color w:val="auto"/>
          <w:sz w:val="24"/>
          <w:highlight w:val="none"/>
          <w:u w:val="single"/>
        </w:rPr>
      </w:pPr>
    </w:p>
    <w:p>
      <w:pPr>
        <w:spacing w:line="480" w:lineRule="exact"/>
        <w:ind w:firstLine="4080" w:firstLineChars="1700"/>
        <w:rPr>
          <w:color w:val="auto"/>
          <w:sz w:val="24"/>
          <w:highlight w:val="none"/>
        </w:rPr>
      </w:pPr>
      <w:r>
        <w:rPr>
          <w:rFonts w:hint="eastAsia"/>
          <w:color w:val="auto"/>
          <w:sz w:val="24"/>
          <w:highlight w:val="none"/>
        </w:rPr>
        <w:t xml:space="preserve"> （项目名称）</w:t>
      </w:r>
      <w:r>
        <w:rPr>
          <w:rFonts w:hint="eastAsia" w:hAnsi="宋体" w:cs="宋体"/>
          <w:color w:val="auto"/>
          <w:sz w:val="24"/>
          <w:highlight w:val="none"/>
        </w:rPr>
        <w:t>招标评标委员会</w:t>
      </w:r>
    </w:p>
    <w:p>
      <w:pPr>
        <w:spacing w:line="480" w:lineRule="exact"/>
        <w:ind w:firstLine="2880" w:firstLineChars="1200"/>
        <w:rPr>
          <w:color w:val="auto"/>
          <w:sz w:val="24"/>
          <w:highlight w:val="none"/>
        </w:rPr>
      </w:pPr>
      <w:r>
        <w:rPr>
          <w:rFonts w:hint="eastAsia"/>
          <w:color w:val="auto"/>
          <w:sz w:val="24"/>
          <w:highlight w:val="none"/>
        </w:rPr>
        <w:t>（经评标委员会授权的招标人代表签字或招标人加盖单位章）</w:t>
      </w:r>
    </w:p>
    <w:p>
      <w:pPr>
        <w:spacing w:line="480" w:lineRule="exact"/>
        <w:ind w:firstLine="5280" w:firstLineChars="2200"/>
        <w:rPr>
          <w:rFonts w:hAnsi="宋体" w:cs="宋体"/>
          <w:color w:val="auto"/>
          <w:sz w:val="24"/>
          <w:highlight w:val="none"/>
        </w:rPr>
      </w:pPr>
      <w:r>
        <w:rPr>
          <w:rFonts w:hint="eastAsia"/>
          <w:color w:val="auto"/>
          <w:sz w:val="24"/>
          <w:highlight w:val="none"/>
        </w:rPr>
        <w:t>年月日</w:t>
      </w:r>
    </w:p>
    <w:p>
      <w:pPr>
        <w:spacing w:line="480" w:lineRule="exact"/>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附表二：问题的澄清</w:t>
      </w:r>
    </w:p>
    <w:p>
      <w:pPr>
        <w:spacing w:beforeLines="100" w:afterLines="100" w:line="480" w:lineRule="exact"/>
        <w:jc w:val="center"/>
        <w:rPr>
          <w:rFonts w:hAnsi="宋体" w:cs="宋体"/>
          <w:color w:val="auto"/>
          <w:sz w:val="28"/>
          <w:szCs w:val="28"/>
          <w:highlight w:val="none"/>
        </w:rPr>
      </w:pPr>
      <w:r>
        <w:rPr>
          <w:rFonts w:hint="eastAsia" w:hAnsi="宋体" w:cs="宋体"/>
          <w:color w:val="auto"/>
          <w:sz w:val="28"/>
          <w:szCs w:val="28"/>
          <w:highlight w:val="none"/>
        </w:rPr>
        <w:t>问题的澄清、说明或补正</w:t>
      </w:r>
    </w:p>
    <w:p>
      <w:pPr>
        <w:spacing w:line="400" w:lineRule="exact"/>
        <w:ind w:firstLine="6120" w:firstLineChars="2550"/>
        <w:rPr>
          <w:rFonts w:hAnsi="宋体" w:cs="宋体"/>
          <w:color w:val="auto"/>
          <w:sz w:val="24"/>
          <w:highlight w:val="none"/>
          <w:u w:val="single"/>
        </w:rPr>
      </w:pPr>
      <w:r>
        <w:rPr>
          <w:rFonts w:hint="eastAsia" w:hAnsi="宋体" w:cs="宋体"/>
          <w:color w:val="auto"/>
          <w:sz w:val="24"/>
          <w:highlight w:val="none"/>
        </w:rPr>
        <w:t>编号：</w:t>
      </w:r>
    </w:p>
    <w:p>
      <w:pPr>
        <w:spacing w:line="480" w:lineRule="exact"/>
        <w:rPr>
          <w:rFonts w:hAnsi="宋体" w:cs="宋体"/>
          <w:color w:val="auto"/>
          <w:sz w:val="24"/>
          <w:highlight w:val="none"/>
        </w:rPr>
      </w:pPr>
      <w:r>
        <w:rPr>
          <w:rFonts w:hint="eastAsia" w:hAnsi="宋体" w:cs="宋体"/>
          <w:color w:val="auto"/>
          <w:sz w:val="24"/>
          <w:highlight w:val="none"/>
        </w:rPr>
        <w:t>（项目名称）招标评标委员会：</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问题澄清通知（编号：）已收悉，现澄清、说明或者补正如下：</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1.</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2.</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wordWrap w:val="0"/>
        <w:spacing w:line="480" w:lineRule="exact"/>
        <w:ind w:firstLine="480" w:firstLineChars="200"/>
        <w:jc w:val="right"/>
        <w:rPr>
          <w:rFonts w:hAnsi="宋体" w:cs="宋体"/>
          <w:color w:val="auto"/>
          <w:sz w:val="24"/>
          <w:highlight w:val="none"/>
        </w:rPr>
      </w:pPr>
      <w:r>
        <w:rPr>
          <w:rFonts w:hint="eastAsia" w:hAnsi="宋体" w:cs="宋体"/>
          <w:color w:val="auto"/>
          <w:sz w:val="24"/>
          <w:highlight w:val="none"/>
        </w:rPr>
        <w:t xml:space="preserve">投标人：（盖单位章） </w:t>
      </w:r>
    </w:p>
    <w:p>
      <w:pPr>
        <w:wordWrap w:val="0"/>
        <w:spacing w:beforeLines="50" w:afterLines="50" w:line="480" w:lineRule="exact"/>
        <w:ind w:right="210"/>
        <w:jc w:val="right"/>
        <w:rPr>
          <w:rFonts w:hAnsi="宋体" w:cs="宋体"/>
          <w:color w:val="auto"/>
          <w:sz w:val="24"/>
          <w:highlight w:val="none"/>
        </w:rPr>
      </w:pPr>
      <w:r>
        <w:rPr>
          <w:rFonts w:hint="eastAsia" w:hAnsi="宋体" w:cs="宋体"/>
          <w:color w:val="auto"/>
          <w:sz w:val="24"/>
          <w:highlight w:val="none"/>
        </w:rPr>
        <w:t xml:space="preserve">法定代表人或其委托代理人：（签字） </w:t>
      </w:r>
    </w:p>
    <w:p>
      <w:pPr>
        <w:spacing w:line="480" w:lineRule="exact"/>
        <w:jc w:val="right"/>
        <w:rPr>
          <w:rFonts w:hAnsi="宋体" w:cs="宋体"/>
          <w:color w:val="auto"/>
          <w:sz w:val="24"/>
          <w:highlight w:val="none"/>
        </w:rPr>
      </w:pPr>
      <w:r>
        <w:rPr>
          <w:rFonts w:hint="eastAsia" w:hAnsi="宋体" w:cs="宋体"/>
          <w:color w:val="auto"/>
          <w:sz w:val="24"/>
          <w:highlight w:val="none"/>
        </w:rPr>
        <w:t>年    月     日</w:t>
      </w:r>
    </w:p>
    <w:p>
      <w:pPr>
        <w:spacing w:line="480" w:lineRule="exact"/>
        <w:rPr>
          <w:rFonts w:hAnsi="宋体" w:cs="宋体"/>
          <w:color w:val="auto"/>
          <w:sz w:val="24"/>
          <w:highlight w:val="none"/>
        </w:rPr>
      </w:pPr>
    </w:p>
    <w:p>
      <w:pPr>
        <w:spacing w:line="480" w:lineRule="exact"/>
        <w:rPr>
          <w:rFonts w:hAnsi="宋体" w:cs="宋体"/>
          <w:color w:val="auto"/>
          <w:highlight w:val="none"/>
        </w:rPr>
      </w:pPr>
    </w:p>
    <w:p>
      <w:pPr>
        <w:spacing w:line="400" w:lineRule="exact"/>
        <w:ind w:firstLine="120" w:firstLineChars="50"/>
        <w:rPr>
          <w:rFonts w:hAnsi="宋体" w:cs="宋体"/>
          <w:color w:val="auto"/>
          <w:sz w:val="24"/>
          <w:highlight w:val="none"/>
        </w:rPr>
      </w:pPr>
    </w:p>
    <w:p>
      <w:pPr>
        <w:spacing w:line="400" w:lineRule="exact"/>
        <w:rPr>
          <w:rFonts w:hAnsi="宋体" w:cs="宋体"/>
          <w:color w:val="auto"/>
          <w:sz w:val="24"/>
          <w:highlight w:val="none"/>
          <w:u w:val="single"/>
        </w:rPr>
      </w:pPr>
    </w:p>
    <w:p>
      <w:pPr>
        <w:spacing w:line="400" w:lineRule="exact"/>
        <w:rPr>
          <w:rFonts w:hAnsi="宋体" w:cs="宋体"/>
          <w:color w:val="auto"/>
          <w:sz w:val="24"/>
          <w:highlight w:val="none"/>
          <w:u w:val="single"/>
        </w:rPr>
      </w:pPr>
    </w:p>
    <w:p>
      <w:pPr>
        <w:spacing w:line="400" w:lineRule="exact"/>
        <w:rPr>
          <w:rFonts w:hAnsi="宋体" w:cs="宋体"/>
          <w:color w:val="auto"/>
          <w:sz w:val="24"/>
          <w:highlight w:val="none"/>
          <w:u w:val="single"/>
        </w:rPr>
      </w:pPr>
    </w:p>
    <w:p>
      <w:pPr>
        <w:spacing w:line="400" w:lineRule="exact"/>
        <w:rPr>
          <w:rFonts w:hAnsi="宋体" w:cs="宋体"/>
          <w:color w:val="auto"/>
          <w:sz w:val="24"/>
          <w:highlight w:val="none"/>
          <w:u w:val="single"/>
        </w:rPr>
      </w:pPr>
    </w:p>
    <w:p>
      <w:pPr>
        <w:spacing w:line="400" w:lineRule="exact"/>
        <w:rPr>
          <w:rFonts w:hAnsi="宋体" w:cs="宋体"/>
          <w:color w:val="auto"/>
          <w:sz w:val="24"/>
          <w:highlight w:val="none"/>
          <w:u w:val="single"/>
        </w:rPr>
      </w:pPr>
    </w:p>
    <w:p>
      <w:pPr>
        <w:spacing w:line="400" w:lineRule="exact"/>
        <w:rPr>
          <w:rFonts w:hAnsi="宋体" w:cs="宋体"/>
          <w:color w:val="auto"/>
          <w:sz w:val="24"/>
          <w:highlight w:val="none"/>
          <w:u w:val="single"/>
        </w:rPr>
      </w:pPr>
    </w:p>
    <w:p>
      <w:pPr>
        <w:snapToGrid w:val="0"/>
        <w:spacing w:line="360" w:lineRule="auto"/>
        <w:jc w:val="center"/>
        <w:rPr>
          <w:rFonts w:hAnsi="宋体" w:cs="宋体"/>
          <w:b/>
          <w:bCs/>
          <w:color w:val="auto"/>
          <w:sz w:val="36"/>
          <w:szCs w:val="36"/>
          <w:highlight w:val="none"/>
        </w:rPr>
      </w:pPr>
    </w:p>
    <w:p>
      <w:pPr>
        <w:spacing w:line="400" w:lineRule="exact"/>
        <w:jc w:val="center"/>
        <w:rPr>
          <w:rFonts w:hAnsi="宋体" w:cs="宋体"/>
          <w:color w:val="auto"/>
          <w:sz w:val="24"/>
          <w:highlight w:val="none"/>
        </w:rPr>
      </w:pPr>
      <w:bookmarkStart w:id="69" w:name="_Toc283559990"/>
      <w:r>
        <w:rPr>
          <w:rFonts w:hint="eastAsia" w:hAnsi="宋体" w:cs="宋体"/>
          <w:b/>
          <w:bCs/>
          <w:color w:val="auto"/>
          <w:sz w:val="36"/>
          <w:szCs w:val="36"/>
          <w:highlight w:val="none"/>
        </w:rPr>
        <w:t>第三章 评标办法（综合评估法）</w:t>
      </w:r>
    </w:p>
    <w:p>
      <w:pPr>
        <w:pStyle w:val="3"/>
        <w:keepNext/>
        <w:keepLines/>
        <w:pageBreakBefore w:val="0"/>
        <w:widowControl w:val="0"/>
        <w:kinsoku/>
        <w:wordWrap/>
        <w:overflowPunct/>
        <w:topLinePunct w:val="0"/>
        <w:autoSpaceDE/>
        <w:autoSpaceDN/>
        <w:bidi w:val="0"/>
        <w:adjustRightInd/>
        <w:snapToGrid w:val="0"/>
        <w:spacing w:before="0" w:after="0" w:line="360" w:lineRule="auto"/>
        <w:ind w:left="0" w:leftChars="0" w:right="0" w:rightChars="0" w:firstLine="561" w:firstLineChars="0"/>
        <w:jc w:val="center"/>
        <w:textAlignment w:val="auto"/>
        <w:outlineLvl w:val="1"/>
        <w:rPr>
          <w:rFonts w:ascii="Times New Roman" w:hAnsi="Times New Roman"/>
          <w:color w:val="auto"/>
          <w:highlight w:val="none"/>
        </w:rPr>
      </w:pPr>
      <w:bookmarkStart w:id="70" w:name="_Toc32245"/>
      <w:bookmarkStart w:id="71" w:name="_Toc28312"/>
    </w:p>
    <w:p>
      <w:pPr>
        <w:pStyle w:val="3"/>
        <w:keepNext/>
        <w:keepLines/>
        <w:pageBreakBefore w:val="0"/>
        <w:widowControl w:val="0"/>
        <w:kinsoku/>
        <w:wordWrap/>
        <w:overflowPunct/>
        <w:topLinePunct w:val="0"/>
        <w:autoSpaceDE/>
        <w:autoSpaceDN/>
        <w:bidi w:val="0"/>
        <w:adjustRightInd/>
        <w:snapToGrid w:val="0"/>
        <w:spacing w:before="0" w:after="0" w:line="360" w:lineRule="auto"/>
        <w:ind w:left="0" w:leftChars="0" w:right="0" w:rightChars="0" w:firstLine="561" w:firstLineChars="0"/>
        <w:jc w:val="center"/>
        <w:textAlignment w:val="auto"/>
        <w:outlineLvl w:val="1"/>
        <w:rPr>
          <w:rFonts w:ascii="Times New Roman" w:hAnsi="Times New Roman"/>
          <w:color w:val="auto"/>
          <w:highlight w:val="none"/>
        </w:rPr>
      </w:pPr>
      <w:r>
        <w:rPr>
          <w:rFonts w:ascii="Times New Roman" w:hAnsi="Times New Roman"/>
          <w:color w:val="auto"/>
          <w:highlight w:val="none"/>
        </w:rPr>
        <w:t>评标办法</w:t>
      </w:r>
      <w:r>
        <w:rPr>
          <w:rFonts w:hint="eastAsia" w:ascii="Times New Roman" w:hAnsi="Times New Roman"/>
          <w:color w:val="auto"/>
          <w:highlight w:val="none"/>
          <w:lang w:eastAsia="zh-CN"/>
        </w:rPr>
        <w:t>前</w:t>
      </w:r>
      <w:r>
        <w:rPr>
          <w:rFonts w:ascii="Times New Roman" w:hAnsi="Times New Roman"/>
          <w:color w:val="auto"/>
          <w:highlight w:val="none"/>
        </w:rPr>
        <w:t>附表</w:t>
      </w:r>
      <w:bookmarkEnd w:id="70"/>
      <w:bookmarkEnd w:id="71"/>
    </w:p>
    <w:tbl>
      <w:tblPr>
        <w:tblStyle w:val="20"/>
        <w:tblpPr w:leftFromText="180" w:rightFromText="180" w:vertAnchor="text" w:horzAnchor="page" w:tblpX="1609" w:tblpY="601"/>
        <w:tblOverlap w:val="never"/>
        <w:tblW w:w="868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516"/>
        <w:gridCol w:w="1974"/>
        <w:gridCol w:w="53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trPr>
        <w:tc>
          <w:tcPr>
            <w:tcW w:w="1358" w:type="dxa"/>
            <w:gridSpan w:val="2"/>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bookmarkStart w:id="72" w:name="_Toc391119482"/>
            <w:bookmarkStart w:id="73" w:name="_Toc3227"/>
            <w:r>
              <w:rPr>
                <w:rFonts w:ascii="Times New Roman"/>
                <w:color w:val="auto"/>
                <w:sz w:val="21"/>
                <w:szCs w:val="21"/>
                <w:highlight w:val="none"/>
              </w:rPr>
              <w:t>条款号</w:t>
            </w: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评审因素</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评审标准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76" w:hRule="atLeast"/>
        </w:trPr>
        <w:tc>
          <w:tcPr>
            <w:tcW w:w="842" w:type="dxa"/>
            <w:vMerge w:val="restart"/>
            <w:tcBorders>
              <w:top w:val="single" w:color="auto" w:sz="2" w:space="0"/>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hint="eastAsia" w:ascii="Times New Roman"/>
                <w:color w:val="auto"/>
                <w:sz w:val="21"/>
                <w:szCs w:val="21"/>
                <w:highlight w:val="none"/>
              </w:rPr>
              <w:t>2.1.1</w:t>
            </w:r>
          </w:p>
        </w:tc>
        <w:tc>
          <w:tcPr>
            <w:tcW w:w="516" w:type="dxa"/>
            <w:vMerge w:val="restart"/>
            <w:tcBorders>
              <w:top w:val="single" w:color="auto" w:sz="2" w:space="0"/>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形式评审标准</w:t>
            </w: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投标人名称</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与营业执照、资质证书一致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12"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投标文件签字盖章</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hint="eastAsia" w:ascii="Times New Roman"/>
                <w:color w:val="auto"/>
                <w:sz w:val="21"/>
                <w:szCs w:val="21"/>
                <w:highlight w:val="none"/>
              </w:rPr>
              <w:t>按照</w:t>
            </w:r>
            <w:r>
              <w:rPr>
                <w:rFonts w:ascii="Times New Roman"/>
                <w:color w:val="auto"/>
                <w:sz w:val="21"/>
                <w:szCs w:val="21"/>
                <w:highlight w:val="none"/>
              </w:rPr>
              <w:t>招标文件第六章“投标文件格式”</w:t>
            </w:r>
            <w:r>
              <w:rPr>
                <w:rFonts w:hint="eastAsia" w:ascii="Times New Roman"/>
                <w:color w:val="auto"/>
                <w:sz w:val="21"/>
                <w:szCs w:val="21"/>
                <w:highlight w:val="none"/>
              </w:rPr>
              <w:t>及“投标人须知前附表”的要求签字盖章</w:t>
            </w:r>
            <w:r>
              <w:rPr>
                <w:rFonts w:ascii="Times New Roman"/>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38"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投标文件格式</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hint="eastAsia" w:ascii="Times New Roman"/>
                <w:color w:val="auto"/>
                <w:sz w:val="21"/>
                <w:szCs w:val="21"/>
                <w:highlight w:val="none"/>
              </w:rPr>
              <w:t>符合</w:t>
            </w:r>
            <w:r>
              <w:rPr>
                <w:rFonts w:ascii="Times New Roman"/>
                <w:color w:val="auto"/>
                <w:sz w:val="21"/>
                <w:szCs w:val="21"/>
                <w:highlight w:val="none"/>
              </w:rPr>
              <w:t>招标文件第六章“投标文件格式”</w:t>
            </w:r>
            <w:r>
              <w:rPr>
                <w:rFonts w:hint="eastAsia" w:ascii="Times New Roman"/>
                <w:color w:val="auto"/>
                <w:sz w:val="21"/>
                <w:szCs w:val="21"/>
                <w:highlight w:val="none"/>
              </w:rPr>
              <w:t>要求</w:t>
            </w:r>
            <w:r>
              <w:rPr>
                <w:rFonts w:ascii="Times New Roman"/>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报价唯一</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只能有一个有效报价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1" w:hRule="atLeast"/>
        </w:trPr>
        <w:tc>
          <w:tcPr>
            <w:tcW w:w="842" w:type="dxa"/>
            <w:vMerge w:val="restart"/>
            <w:tcBorders>
              <w:top w:val="single" w:color="auto" w:sz="2" w:space="0"/>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hint="eastAsia" w:ascii="Times New Roman"/>
                <w:color w:val="auto"/>
                <w:sz w:val="21"/>
                <w:szCs w:val="21"/>
                <w:highlight w:val="none"/>
              </w:rPr>
              <w:t>2.1.2</w:t>
            </w:r>
          </w:p>
        </w:tc>
        <w:tc>
          <w:tcPr>
            <w:tcW w:w="516" w:type="dxa"/>
            <w:vMerge w:val="restart"/>
            <w:tcBorders>
              <w:top w:val="single" w:color="auto" w:sz="2" w:space="0"/>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资格评审标准</w:t>
            </w:r>
          </w:p>
        </w:tc>
        <w:tc>
          <w:tcPr>
            <w:tcW w:w="1974" w:type="dxa"/>
            <w:tcBorders>
              <w:top w:val="single" w:color="auto" w:sz="2" w:space="0"/>
              <w:left w:val="single" w:color="auto" w:sz="2" w:space="0"/>
              <w:bottom w:val="single" w:color="auto" w:sz="2" w:space="0"/>
              <w:right w:val="single" w:color="auto" w:sz="2" w:space="0"/>
            </w:tcBorders>
            <w:vAlign w:val="center"/>
          </w:tcPr>
          <w:p>
            <w:pPr>
              <w:widowControl/>
              <w:spacing w:line="410" w:lineRule="exact"/>
              <w:jc w:val="center"/>
              <w:rPr>
                <w:rFonts w:ascii="Times New Roman"/>
                <w:color w:val="auto"/>
                <w:sz w:val="21"/>
                <w:szCs w:val="21"/>
                <w:highlight w:val="none"/>
              </w:rPr>
            </w:pPr>
            <w:r>
              <w:rPr>
                <w:rFonts w:ascii="Times New Roman"/>
                <w:color w:val="auto"/>
                <w:sz w:val="21"/>
                <w:szCs w:val="21"/>
                <w:highlight w:val="none"/>
              </w:rPr>
              <w:t>营业执照</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符合第一卷第二章“投标人须知前附表”第1.4.1项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1"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widowControl/>
              <w:spacing w:line="410" w:lineRule="exact"/>
              <w:jc w:val="center"/>
              <w:rPr>
                <w:rFonts w:ascii="Times New Roman"/>
                <w:color w:val="auto"/>
                <w:sz w:val="21"/>
                <w:szCs w:val="21"/>
                <w:highlight w:val="none"/>
              </w:rPr>
            </w:pPr>
            <w:r>
              <w:rPr>
                <w:rFonts w:ascii="Times New Roman"/>
                <w:color w:val="auto"/>
                <w:sz w:val="21"/>
                <w:szCs w:val="21"/>
                <w:highlight w:val="none"/>
              </w:rPr>
              <w:t>资质要求</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符合第一卷第二章“投标人须知前附表”第1.4.1项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1"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类似业绩</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符合第一卷第二章“投标人须知前附表”第1.4.1项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1"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财务状况</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符合第一卷第二章“投标人须知前附表”第1.4.1项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1"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信誉要求</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符合第一卷第二章“投标人须知前附表”第1.4.1项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4"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项目负责人、技术负责人及检测人员</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符合第一卷第二章“投标人须知前附表”第1.4.1项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276" w:lineRule="auto"/>
              <w:jc w:val="center"/>
              <w:textAlignment w:val="baseline"/>
              <w:rPr>
                <w:rFonts w:ascii="Times New Roman"/>
                <w:color w:val="auto"/>
                <w:sz w:val="21"/>
                <w:szCs w:val="21"/>
                <w:highlight w:val="none"/>
              </w:rPr>
            </w:pPr>
            <w:r>
              <w:rPr>
                <w:rFonts w:ascii="Times New Roman"/>
                <w:color w:val="auto"/>
                <w:sz w:val="21"/>
                <w:szCs w:val="21"/>
                <w:highlight w:val="none"/>
              </w:rPr>
              <w:t>联合体投标人</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00" w:lineRule="exact"/>
              <w:jc w:val="left"/>
              <w:textAlignment w:val="baseline"/>
              <w:rPr>
                <w:rFonts w:ascii="Times New Roman"/>
                <w:color w:val="auto"/>
                <w:sz w:val="21"/>
                <w:szCs w:val="21"/>
                <w:highlight w:val="none"/>
              </w:rPr>
            </w:pPr>
            <w:r>
              <w:rPr>
                <w:rFonts w:ascii="Times New Roman"/>
                <w:color w:val="auto"/>
                <w:sz w:val="21"/>
                <w:szCs w:val="21"/>
                <w:highlight w:val="none"/>
              </w:rPr>
              <w:t>符合第一卷第二章“投标人须知前附表”第1.4.2项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8"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right w:val="single" w:color="auto" w:sz="2" w:space="0"/>
            </w:tcBorders>
            <w:vAlign w:val="center"/>
          </w:tcPr>
          <w:p>
            <w:pPr>
              <w:widowControl/>
              <w:spacing w:line="410" w:lineRule="exact"/>
              <w:jc w:val="center"/>
              <w:rPr>
                <w:rFonts w:ascii="Times New Roman"/>
                <w:color w:val="auto"/>
                <w:sz w:val="21"/>
                <w:szCs w:val="21"/>
                <w:highlight w:val="none"/>
              </w:rPr>
            </w:pPr>
            <w:r>
              <w:rPr>
                <w:rFonts w:ascii="Times New Roman"/>
                <w:color w:val="auto"/>
                <w:sz w:val="21"/>
                <w:szCs w:val="21"/>
                <w:highlight w:val="none"/>
              </w:rPr>
              <w:t>其他要求</w:t>
            </w:r>
          </w:p>
        </w:tc>
        <w:tc>
          <w:tcPr>
            <w:tcW w:w="5348" w:type="dxa"/>
            <w:tcBorders>
              <w:top w:val="single" w:color="auto" w:sz="2" w:space="0"/>
              <w:left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符合第一卷第二章“投标人须知前附表”第1.4.1项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trPr>
        <w:tc>
          <w:tcPr>
            <w:tcW w:w="842" w:type="dxa"/>
            <w:vMerge w:val="restart"/>
            <w:tcBorders>
              <w:top w:val="single" w:color="auto" w:sz="2" w:space="0"/>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hint="eastAsia" w:ascii="Times New Roman"/>
                <w:color w:val="auto"/>
                <w:sz w:val="21"/>
                <w:szCs w:val="21"/>
                <w:highlight w:val="none"/>
              </w:rPr>
              <w:t>2.1.3</w:t>
            </w:r>
          </w:p>
        </w:tc>
        <w:tc>
          <w:tcPr>
            <w:tcW w:w="516" w:type="dxa"/>
            <w:vMerge w:val="restart"/>
            <w:tcBorders>
              <w:top w:val="single" w:color="auto" w:sz="2" w:space="0"/>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响应性评审标准</w:t>
            </w: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投标内容</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符合第一卷第二章“投标人须知前附表”第1.3.1项规定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计划服务周期</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符合第一卷第二章“投标人须知前附表”第1.3.2项规定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质量要求</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符合第一卷第二章“投标人须知前附表”第1.3.3项规定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5"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投标有效期</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符合第一卷第二章“投标人须知前附表”第3.3.1项规定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5"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投标保证金</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符合第一卷第二章“投标人须知前附表”第3.4.1</w:t>
            </w:r>
            <w:r>
              <w:rPr>
                <w:rFonts w:hint="eastAsia" w:ascii="Times New Roman"/>
                <w:color w:val="auto"/>
                <w:sz w:val="21"/>
                <w:szCs w:val="21"/>
                <w:highlight w:val="none"/>
              </w:rPr>
              <w:t>、3.4.2</w:t>
            </w:r>
            <w:r>
              <w:rPr>
                <w:rFonts w:ascii="Times New Roman"/>
                <w:color w:val="auto"/>
                <w:sz w:val="21"/>
                <w:szCs w:val="21"/>
                <w:highlight w:val="none"/>
              </w:rPr>
              <w:t>项规定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权利义务</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投标函附录中的相关承诺符合第四章“合同条款”的相关规定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1"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技术规范</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符合第五章“技术</w:t>
            </w:r>
            <w:r>
              <w:rPr>
                <w:rFonts w:hint="eastAsia" w:ascii="Times New Roman"/>
                <w:color w:val="auto"/>
                <w:sz w:val="21"/>
                <w:szCs w:val="21"/>
                <w:highlight w:val="none"/>
              </w:rPr>
              <w:t>标准和要求</w:t>
            </w:r>
            <w:r>
              <w:rPr>
                <w:rFonts w:ascii="Times New Roman"/>
                <w:color w:val="auto"/>
                <w:sz w:val="21"/>
                <w:szCs w:val="21"/>
                <w:highlight w:val="none"/>
              </w:rPr>
              <w:t>”的规定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842"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516" w:type="dxa"/>
            <w:vMerge w:val="continue"/>
            <w:tcBorders>
              <w:left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p>
        </w:tc>
        <w:tc>
          <w:tcPr>
            <w:tcW w:w="1974"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jc w:val="center"/>
              <w:textAlignment w:val="baseline"/>
              <w:rPr>
                <w:rFonts w:ascii="Times New Roman"/>
                <w:color w:val="auto"/>
                <w:sz w:val="21"/>
                <w:szCs w:val="21"/>
                <w:highlight w:val="none"/>
              </w:rPr>
            </w:pPr>
            <w:r>
              <w:rPr>
                <w:rFonts w:ascii="Times New Roman"/>
                <w:color w:val="auto"/>
                <w:sz w:val="21"/>
                <w:szCs w:val="21"/>
                <w:highlight w:val="none"/>
              </w:rPr>
              <w:t>投标价格</w:t>
            </w:r>
          </w:p>
        </w:tc>
        <w:tc>
          <w:tcPr>
            <w:tcW w:w="5348" w:type="dxa"/>
            <w:tcBorders>
              <w:top w:val="single" w:color="auto" w:sz="2" w:space="0"/>
              <w:left w:val="single" w:color="auto" w:sz="2" w:space="0"/>
              <w:bottom w:val="single" w:color="auto" w:sz="2" w:space="0"/>
              <w:right w:val="single" w:color="auto" w:sz="2" w:space="0"/>
            </w:tcBorders>
            <w:vAlign w:val="center"/>
          </w:tcPr>
          <w:p>
            <w:pPr>
              <w:adjustRightInd w:val="0"/>
              <w:spacing w:line="410" w:lineRule="exact"/>
              <w:textAlignment w:val="baseline"/>
              <w:rPr>
                <w:rFonts w:ascii="Times New Roman"/>
                <w:color w:val="auto"/>
                <w:sz w:val="21"/>
                <w:szCs w:val="21"/>
                <w:highlight w:val="none"/>
              </w:rPr>
            </w:pPr>
            <w:r>
              <w:rPr>
                <w:rFonts w:ascii="Times New Roman"/>
                <w:color w:val="auto"/>
                <w:sz w:val="21"/>
                <w:szCs w:val="21"/>
                <w:highlight w:val="none"/>
              </w:rPr>
              <w:t>低于（含等于）第二章“投标人须知前附表”第10.</w:t>
            </w:r>
            <w:r>
              <w:rPr>
                <w:rFonts w:hint="eastAsia" w:ascii="Times New Roman"/>
                <w:color w:val="auto"/>
                <w:sz w:val="21"/>
                <w:szCs w:val="21"/>
                <w:highlight w:val="none"/>
              </w:rPr>
              <w:t>2</w:t>
            </w:r>
            <w:r>
              <w:rPr>
                <w:rFonts w:ascii="Times New Roman"/>
                <w:color w:val="auto"/>
                <w:sz w:val="21"/>
                <w:szCs w:val="21"/>
                <w:highlight w:val="none"/>
              </w:rPr>
              <w:t>款载明的招标控制价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12" w:hRule="atLeast"/>
        </w:trPr>
        <w:tc>
          <w:tcPr>
            <w:tcW w:w="842" w:type="dxa"/>
            <w:tcBorders>
              <w:top w:val="single" w:color="auto" w:sz="2" w:space="0"/>
              <w:left w:val="single" w:color="auto" w:sz="2" w:space="0"/>
              <w:bottom w:val="single" w:color="auto" w:sz="2" w:space="0"/>
              <w:right w:val="single" w:color="auto" w:sz="2" w:space="0"/>
            </w:tcBorders>
            <w:vAlign w:val="center"/>
          </w:tcPr>
          <w:p>
            <w:pPr>
              <w:spacing w:line="410" w:lineRule="exact"/>
              <w:jc w:val="center"/>
              <w:rPr>
                <w:rFonts w:ascii="Times New Roman"/>
                <w:color w:val="auto"/>
                <w:sz w:val="21"/>
                <w:szCs w:val="21"/>
                <w:highlight w:val="none"/>
              </w:rPr>
            </w:pPr>
            <w:r>
              <w:rPr>
                <w:rFonts w:hint="eastAsia" w:ascii="Times New Roman"/>
                <w:color w:val="auto"/>
                <w:sz w:val="21"/>
                <w:szCs w:val="21"/>
                <w:highlight w:val="none"/>
              </w:rPr>
              <w:t>2.2</w:t>
            </w:r>
          </w:p>
        </w:tc>
        <w:tc>
          <w:tcPr>
            <w:tcW w:w="2490" w:type="dxa"/>
            <w:gridSpan w:val="2"/>
            <w:tcBorders>
              <w:top w:val="single" w:color="auto" w:sz="2" w:space="0"/>
              <w:left w:val="single" w:color="auto" w:sz="2" w:space="0"/>
              <w:bottom w:val="single" w:color="auto" w:sz="2" w:space="0"/>
              <w:right w:val="single" w:color="auto" w:sz="2" w:space="0"/>
            </w:tcBorders>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分值构成</w:t>
            </w:r>
          </w:p>
          <w:p>
            <w:pPr>
              <w:spacing w:line="410" w:lineRule="exact"/>
              <w:jc w:val="center"/>
              <w:rPr>
                <w:rFonts w:ascii="Times New Roman"/>
                <w:color w:val="auto"/>
                <w:sz w:val="21"/>
                <w:szCs w:val="21"/>
                <w:highlight w:val="none"/>
              </w:rPr>
            </w:pPr>
            <w:r>
              <w:rPr>
                <w:rFonts w:ascii="Times New Roman"/>
                <w:color w:val="auto"/>
                <w:sz w:val="21"/>
                <w:szCs w:val="21"/>
                <w:highlight w:val="none"/>
              </w:rPr>
              <w:t>（总分100分）</w:t>
            </w:r>
          </w:p>
        </w:tc>
        <w:tc>
          <w:tcPr>
            <w:tcW w:w="5348" w:type="dxa"/>
            <w:tcBorders>
              <w:top w:val="single" w:color="auto" w:sz="2" w:space="0"/>
              <w:left w:val="single" w:color="auto" w:sz="2" w:space="0"/>
              <w:bottom w:val="single" w:color="auto" w:sz="2" w:space="0"/>
              <w:right w:val="single" w:color="auto" w:sz="2" w:space="0"/>
            </w:tcBorders>
            <w:vAlign w:val="center"/>
          </w:tcPr>
          <w:p>
            <w:pPr>
              <w:spacing w:line="410" w:lineRule="exact"/>
              <w:rPr>
                <w:rFonts w:ascii="Times New Roman"/>
                <w:color w:val="auto"/>
                <w:sz w:val="21"/>
                <w:szCs w:val="21"/>
                <w:highlight w:val="none"/>
              </w:rPr>
            </w:pPr>
            <w:r>
              <w:rPr>
                <w:rFonts w:ascii="Times New Roman"/>
                <w:color w:val="auto"/>
                <w:sz w:val="21"/>
                <w:szCs w:val="21"/>
                <w:highlight w:val="none"/>
              </w:rPr>
              <w:t>技术部分：</w:t>
            </w:r>
            <w:r>
              <w:rPr>
                <w:rFonts w:hint="eastAsia" w:ascii="Times New Roman"/>
                <w:color w:val="auto"/>
                <w:sz w:val="21"/>
                <w:szCs w:val="21"/>
                <w:highlight w:val="none"/>
              </w:rPr>
              <w:t>30</w:t>
            </w:r>
            <w:r>
              <w:rPr>
                <w:rFonts w:ascii="Times New Roman"/>
                <w:color w:val="auto"/>
                <w:sz w:val="21"/>
                <w:szCs w:val="21"/>
                <w:highlight w:val="none"/>
              </w:rPr>
              <w:t>分</w:t>
            </w:r>
          </w:p>
          <w:p>
            <w:pPr>
              <w:spacing w:line="410" w:lineRule="exact"/>
              <w:rPr>
                <w:rFonts w:ascii="Times New Roman"/>
                <w:color w:val="auto"/>
                <w:sz w:val="21"/>
                <w:szCs w:val="21"/>
                <w:highlight w:val="none"/>
              </w:rPr>
            </w:pPr>
            <w:r>
              <w:rPr>
                <w:rFonts w:ascii="Times New Roman"/>
                <w:color w:val="auto"/>
                <w:sz w:val="21"/>
                <w:szCs w:val="21"/>
                <w:highlight w:val="none"/>
              </w:rPr>
              <w:t>投标报价：30分</w:t>
            </w:r>
          </w:p>
          <w:p>
            <w:pPr>
              <w:widowControl/>
              <w:spacing w:line="410" w:lineRule="exact"/>
              <w:rPr>
                <w:rFonts w:ascii="Times New Roman"/>
                <w:color w:val="auto"/>
                <w:sz w:val="21"/>
                <w:szCs w:val="21"/>
                <w:highlight w:val="none"/>
              </w:rPr>
            </w:pPr>
            <w:r>
              <w:rPr>
                <w:rFonts w:ascii="Times New Roman"/>
                <w:color w:val="auto"/>
                <w:sz w:val="21"/>
                <w:szCs w:val="21"/>
                <w:highlight w:val="none"/>
              </w:rPr>
              <w:t>商务部分：</w:t>
            </w:r>
            <w:r>
              <w:rPr>
                <w:rFonts w:hint="eastAsia" w:ascii="Times New Roman"/>
                <w:color w:val="auto"/>
                <w:sz w:val="21"/>
                <w:szCs w:val="21"/>
                <w:highlight w:val="none"/>
              </w:rPr>
              <w:t>40</w:t>
            </w:r>
            <w:r>
              <w:rPr>
                <w:rFonts w:ascii="Times New Roman"/>
                <w:color w:val="auto"/>
                <w:sz w:val="21"/>
                <w:szCs w:val="21"/>
                <w:highlight w:val="none"/>
              </w:rPr>
              <w:t>分</w:t>
            </w:r>
          </w:p>
        </w:tc>
      </w:tr>
      <w:bookmarkEnd w:id="72"/>
      <w:bookmarkEnd w:id="73"/>
    </w:tbl>
    <w:p>
      <w:pPr>
        <w:spacing w:line="410" w:lineRule="exact"/>
        <w:ind w:firstLine="562"/>
        <w:jc w:val="center"/>
        <w:rPr>
          <w:b/>
          <w:bCs/>
          <w:color w:val="auto"/>
          <w:sz w:val="28"/>
          <w:szCs w:val="28"/>
          <w:highlight w:val="none"/>
        </w:rPr>
      </w:pPr>
      <w:bookmarkStart w:id="74" w:name="_Toc25210"/>
      <w:bookmarkStart w:id="75" w:name="_Toc391119483"/>
    </w:p>
    <w:p>
      <w:pPr>
        <w:widowControl/>
        <w:jc w:val="left"/>
        <w:rPr>
          <w:b/>
          <w:bCs/>
          <w:color w:val="auto"/>
          <w:sz w:val="28"/>
          <w:szCs w:val="28"/>
          <w:highlight w:val="none"/>
        </w:rPr>
      </w:pPr>
      <w:r>
        <w:rPr>
          <w:rFonts w:hint="eastAsia"/>
          <w:b/>
          <w:bCs/>
          <w:color w:val="auto"/>
          <w:sz w:val="28"/>
          <w:szCs w:val="28"/>
          <w:highlight w:val="none"/>
        </w:rPr>
        <w:t>（1）</w:t>
      </w:r>
      <w:r>
        <w:rPr>
          <w:b/>
          <w:bCs/>
          <w:color w:val="auto"/>
          <w:sz w:val="28"/>
          <w:szCs w:val="28"/>
          <w:highlight w:val="none"/>
        </w:rPr>
        <w:t>技术部分评审表</w:t>
      </w:r>
    </w:p>
    <w:tbl>
      <w:tblPr>
        <w:tblStyle w:val="20"/>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908"/>
        <w:gridCol w:w="1801"/>
        <w:gridCol w:w="851"/>
        <w:gridCol w:w="212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919" w:type="dxa"/>
            <w:vAlign w:val="center"/>
          </w:tcPr>
          <w:p>
            <w:pPr>
              <w:adjustRightInd w:val="0"/>
              <w:snapToGrid w:val="0"/>
              <w:spacing w:line="410" w:lineRule="exact"/>
              <w:rPr>
                <w:rFonts w:ascii="Times New Roman"/>
                <w:b/>
                <w:color w:val="auto"/>
                <w:sz w:val="21"/>
                <w:szCs w:val="21"/>
                <w:highlight w:val="none"/>
              </w:rPr>
            </w:pPr>
            <w:r>
              <w:rPr>
                <w:rFonts w:ascii="Times New Roman"/>
                <w:b/>
                <w:color w:val="auto"/>
                <w:sz w:val="21"/>
                <w:szCs w:val="21"/>
                <w:highlight w:val="none"/>
              </w:rPr>
              <w:t>序号</w:t>
            </w:r>
          </w:p>
        </w:tc>
        <w:tc>
          <w:tcPr>
            <w:tcW w:w="2709" w:type="dxa"/>
            <w:gridSpan w:val="2"/>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项目</w:t>
            </w:r>
          </w:p>
        </w:tc>
        <w:tc>
          <w:tcPr>
            <w:tcW w:w="851" w:type="dxa"/>
            <w:vAlign w:val="center"/>
          </w:tcPr>
          <w:p>
            <w:pPr>
              <w:adjustRightInd w:val="0"/>
              <w:snapToGrid w:val="0"/>
              <w:spacing w:line="410" w:lineRule="exact"/>
              <w:rPr>
                <w:rFonts w:ascii="Times New Roman"/>
                <w:b/>
                <w:color w:val="auto"/>
                <w:sz w:val="21"/>
                <w:szCs w:val="21"/>
                <w:highlight w:val="none"/>
              </w:rPr>
            </w:pPr>
            <w:r>
              <w:rPr>
                <w:rFonts w:ascii="Times New Roman"/>
                <w:b/>
                <w:color w:val="auto"/>
                <w:sz w:val="21"/>
                <w:szCs w:val="21"/>
                <w:highlight w:val="none"/>
              </w:rPr>
              <w:t>标准分</w:t>
            </w:r>
          </w:p>
        </w:tc>
        <w:tc>
          <w:tcPr>
            <w:tcW w:w="2126" w:type="dxa"/>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评分标准</w:t>
            </w:r>
          </w:p>
        </w:tc>
        <w:tc>
          <w:tcPr>
            <w:tcW w:w="2067" w:type="dxa"/>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p>
        </w:tc>
        <w:tc>
          <w:tcPr>
            <w:tcW w:w="908" w:type="dxa"/>
            <w:vMerge w:val="restart"/>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质量检测服务大纲（</w:t>
            </w:r>
          </w:p>
          <w:p>
            <w:pPr>
              <w:adjustRightInd w:val="0"/>
              <w:snapToGrid w:val="0"/>
              <w:spacing w:line="410" w:lineRule="exact"/>
              <w:rPr>
                <w:rFonts w:ascii="Times New Roman"/>
                <w:color w:val="auto"/>
                <w:sz w:val="21"/>
                <w:szCs w:val="21"/>
                <w:highlight w:val="none"/>
              </w:rPr>
            </w:pPr>
            <w:r>
              <w:rPr>
                <w:rFonts w:hint="eastAsia" w:ascii="Times New Roman"/>
                <w:color w:val="auto"/>
                <w:sz w:val="21"/>
                <w:szCs w:val="21"/>
                <w:highlight w:val="none"/>
              </w:rPr>
              <w:t>15</w:t>
            </w:r>
            <w:r>
              <w:rPr>
                <w:rFonts w:ascii="Times New Roman"/>
                <w:color w:val="auto"/>
                <w:sz w:val="21"/>
                <w:szCs w:val="21"/>
                <w:highlight w:val="none"/>
              </w:rPr>
              <w:t>分）</w:t>
            </w: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检测工作实施方案</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kern w:val="24"/>
                <w:sz w:val="21"/>
                <w:szCs w:val="21"/>
                <w:highlight w:val="none"/>
              </w:rPr>
              <w:t>4</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3.5</w:t>
            </w:r>
            <w:r>
              <w:rPr>
                <w:rFonts w:ascii="Times New Roman"/>
                <w:color w:val="auto"/>
                <w:sz w:val="21"/>
                <w:szCs w:val="21"/>
                <w:highlight w:val="none"/>
              </w:rPr>
              <w:t>＜m≤</w:t>
            </w:r>
            <w:r>
              <w:rPr>
                <w:rFonts w:hint="eastAsia" w:ascii="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3</w:t>
            </w:r>
            <w:r>
              <w:rPr>
                <w:rFonts w:ascii="Times New Roman"/>
                <w:color w:val="auto"/>
                <w:sz w:val="21"/>
                <w:szCs w:val="21"/>
                <w:highlight w:val="none"/>
              </w:rPr>
              <w:t>＜m≤</w:t>
            </w:r>
            <w:r>
              <w:rPr>
                <w:rFonts w:hint="eastAsia" w:ascii="Times New Roman"/>
                <w:color w:val="auto"/>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2.5</w:t>
            </w:r>
            <w:r>
              <w:rPr>
                <w:rFonts w:ascii="Times New Roman"/>
                <w:color w:val="auto"/>
                <w:sz w:val="21"/>
                <w:szCs w:val="21"/>
                <w:highlight w:val="none"/>
              </w:rPr>
              <w:t>≤m≤</w:t>
            </w:r>
            <w:r>
              <w:rPr>
                <w:rFonts w:hint="eastAsia" w:ascii="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检测工作控制程序</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kern w:val="24"/>
                <w:sz w:val="21"/>
                <w:szCs w:val="21"/>
                <w:highlight w:val="none"/>
              </w:rPr>
              <w:t>3</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2</w:t>
            </w:r>
            <w:r>
              <w:rPr>
                <w:rFonts w:hint="eastAsia" w:ascii="Times New Roman"/>
                <w:color w:val="auto"/>
                <w:sz w:val="21"/>
                <w:szCs w:val="21"/>
                <w:highlight w:val="none"/>
              </w:rPr>
              <w:t>.5</w:t>
            </w:r>
            <w:r>
              <w:rPr>
                <w:rFonts w:ascii="Times New Roman"/>
                <w:color w:val="auto"/>
                <w:sz w:val="21"/>
                <w:szCs w:val="21"/>
                <w:highlight w:val="none"/>
              </w:rPr>
              <w:t>＜m≤</w:t>
            </w:r>
            <w:r>
              <w:rPr>
                <w:rFonts w:hint="eastAsia" w:ascii="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2</w:t>
            </w:r>
            <w:r>
              <w:rPr>
                <w:rFonts w:ascii="Times New Roman"/>
                <w:color w:val="auto"/>
                <w:sz w:val="21"/>
                <w:szCs w:val="21"/>
                <w:highlight w:val="none"/>
              </w:rPr>
              <w:t>＜m≤2</w:t>
            </w:r>
            <w:r>
              <w:rPr>
                <w:rFonts w:hint="eastAsia" w:ascii="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1.5</w:t>
            </w: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组织机构及岗位职责</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kern w:val="24"/>
                <w:sz w:val="21"/>
                <w:szCs w:val="21"/>
                <w:highlight w:val="none"/>
              </w:rPr>
              <w:t>2</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1.8</w:t>
            </w: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r>
              <w:rPr>
                <w:rFonts w:hint="eastAsia" w:ascii="Times New Roman"/>
                <w:color w:val="auto"/>
                <w:sz w:val="21"/>
                <w:szCs w:val="21"/>
                <w:highlight w:val="none"/>
              </w:rPr>
              <w:t>.4</w:t>
            </w:r>
            <w:r>
              <w:rPr>
                <w:rFonts w:ascii="Times New Roman"/>
                <w:color w:val="auto"/>
                <w:sz w:val="21"/>
                <w:szCs w:val="21"/>
                <w:highlight w:val="none"/>
              </w:rPr>
              <w:t>＜m≤</w:t>
            </w:r>
            <w:r>
              <w:rPr>
                <w:rFonts w:hint="eastAsia" w:ascii="Times New Roman"/>
                <w:color w:val="auto"/>
                <w:sz w:val="21"/>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1</w:t>
            </w:r>
            <w:r>
              <w:rPr>
                <w:rFonts w:ascii="Times New Roman"/>
                <w:color w:val="auto"/>
                <w:sz w:val="21"/>
                <w:szCs w:val="21"/>
                <w:highlight w:val="none"/>
              </w:rPr>
              <w:t>≤m≤1</w:t>
            </w:r>
            <w:r>
              <w:rPr>
                <w:rFonts w:hint="eastAsia" w:ascii="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对本招标项目的理解</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kern w:val="24"/>
                <w:sz w:val="21"/>
                <w:szCs w:val="21"/>
                <w:highlight w:val="none"/>
              </w:rPr>
              <w:t>2</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1.8</w:t>
            </w: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r>
              <w:rPr>
                <w:rFonts w:hint="eastAsia" w:ascii="Times New Roman"/>
                <w:color w:val="auto"/>
                <w:sz w:val="21"/>
                <w:szCs w:val="21"/>
                <w:highlight w:val="none"/>
              </w:rPr>
              <w:t>.5</w:t>
            </w:r>
            <w:r>
              <w:rPr>
                <w:rFonts w:ascii="Times New Roman"/>
                <w:color w:val="auto"/>
                <w:sz w:val="21"/>
                <w:szCs w:val="21"/>
                <w:highlight w:val="none"/>
              </w:rPr>
              <w:t>＜m≤</w:t>
            </w:r>
            <w:r>
              <w:rPr>
                <w:rFonts w:hint="eastAsia" w:ascii="Times New Roman"/>
                <w:color w:val="auto"/>
                <w:sz w:val="21"/>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r>
              <w:rPr>
                <w:rFonts w:hint="eastAsia" w:ascii="Times New Roman"/>
                <w:color w:val="auto"/>
                <w:sz w:val="21"/>
                <w:szCs w:val="21"/>
                <w:highlight w:val="none"/>
              </w:rPr>
              <w:t>.2</w:t>
            </w:r>
            <w:r>
              <w:rPr>
                <w:rFonts w:ascii="Times New Roman"/>
                <w:color w:val="auto"/>
                <w:sz w:val="21"/>
                <w:szCs w:val="21"/>
                <w:highlight w:val="none"/>
              </w:rPr>
              <w:t>≤m≤1</w:t>
            </w:r>
            <w:r>
              <w:rPr>
                <w:rFonts w:hint="eastAsia" w:ascii="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试验检测工作申诉处理程序</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kern w:val="24"/>
                <w:sz w:val="21"/>
                <w:szCs w:val="21"/>
                <w:highlight w:val="none"/>
              </w:rPr>
              <w:t>2</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1.8</w:t>
            </w: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r>
              <w:rPr>
                <w:rFonts w:hint="eastAsia" w:ascii="Times New Roman"/>
                <w:color w:val="auto"/>
                <w:sz w:val="21"/>
                <w:szCs w:val="21"/>
                <w:highlight w:val="none"/>
              </w:rPr>
              <w:t>.5</w:t>
            </w:r>
            <w:r>
              <w:rPr>
                <w:rFonts w:ascii="Times New Roman"/>
                <w:color w:val="auto"/>
                <w:sz w:val="21"/>
                <w:szCs w:val="21"/>
                <w:highlight w:val="none"/>
              </w:rPr>
              <w:t>＜m≤</w:t>
            </w:r>
            <w:r>
              <w:rPr>
                <w:rFonts w:hint="eastAsia" w:ascii="Times New Roman"/>
                <w:color w:val="auto"/>
                <w:sz w:val="21"/>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r>
              <w:rPr>
                <w:rFonts w:hint="eastAsia" w:ascii="Times New Roman"/>
                <w:color w:val="auto"/>
                <w:sz w:val="21"/>
                <w:szCs w:val="21"/>
                <w:highlight w:val="none"/>
              </w:rPr>
              <w:t>.2</w:t>
            </w:r>
            <w:r>
              <w:rPr>
                <w:rFonts w:ascii="Times New Roman"/>
                <w:color w:val="auto"/>
                <w:sz w:val="21"/>
                <w:szCs w:val="21"/>
                <w:highlight w:val="none"/>
              </w:rPr>
              <w:t>≤m≤1</w:t>
            </w:r>
            <w:r>
              <w:rPr>
                <w:rFonts w:hint="eastAsia" w:ascii="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为提高本项目质量和技术水平提出的技术建议</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kern w:val="24"/>
                <w:sz w:val="21"/>
                <w:szCs w:val="21"/>
                <w:highlight w:val="none"/>
              </w:rPr>
              <w:t>2</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1.8</w:t>
            </w: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r>
              <w:rPr>
                <w:rFonts w:hint="eastAsia" w:ascii="Times New Roman"/>
                <w:color w:val="auto"/>
                <w:sz w:val="21"/>
                <w:szCs w:val="21"/>
                <w:highlight w:val="none"/>
              </w:rPr>
              <w:t>.5</w:t>
            </w:r>
            <w:r>
              <w:rPr>
                <w:rFonts w:ascii="Times New Roman"/>
                <w:color w:val="auto"/>
                <w:sz w:val="21"/>
                <w:szCs w:val="21"/>
                <w:highlight w:val="none"/>
              </w:rPr>
              <w:t>＜m≤</w:t>
            </w:r>
            <w:r>
              <w:rPr>
                <w:rFonts w:hint="eastAsia" w:ascii="Times New Roman"/>
                <w:color w:val="auto"/>
                <w:sz w:val="21"/>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r>
              <w:rPr>
                <w:rFonts w:hint="eastAsia" w:ascii="Times New Roman"/>
                <w:color w:val="auto"/>
                <w:sz w:val="21"/>
                <w:szCs w:val="21"/>
                <w:highlight w:val="none"/>
              </w:rPr>
              <w:t>.2</w:t>
            </w:r>
            <w:r>
              <w:rPr>
                <w:rFonts w:ascii="Times New Roman"/>
                <w:color w:val="auto"/>
                <w:sz w:val="21"/>
                <w:szCs w:val="21"/>
                <w:highlight w:val="none"/>
              </w:rPr>
              <w:t>≤m≤1</w:t>
            </w:r>
            <w:r>
              <w:rPr>
                <w:rFonts w:hint="eastAsia" w:ascii="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2</w:t>
            </w:r>
          </w:p>
        </w:tc>
        <w:tc>
          <w:tcPr>
            <w:tcW w:w="908" w:type="dxa"/>
            <w:vMerge w:val="restart"/>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保证措施（</w:t>
            </w:r>
            <w:r>
              <w:rPr>
                <w:rFonts w:hint="eastAsia" w:ascii="Times New Roman"/>
                <w:color w:val="auto"/>
                <w:sz w:val="21"/>
                <w:szCs w:val="21"/>
                <w:highlight w:val="none"/>
              </w:rPr>
              <w:t>10</w:t>
            </w:r>
            <w:r>
              <w:rPr>
                <w:rFonts w:ascii="Times New Roman"/>
                <w:color w:val="auto"/>
                <w:sz w:val="21"/>
                <w:szCs w:val="21"/>
                <w:highlight w:val="none"/>
              </w:rPr>
              <w:t>）</w:t>
            </w: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工作质量保证措施</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sz w:val="21"/>
                <w:szCs w:val="21"/>
                <w:highlight w:val="none"/>
              </w:rPr>
              <w:t>4</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3.5</w:t>
            </w:r>
            <w:r>
              <w:rPr>
                <w:rFonts w:ascii="Times New Roman"/>
                <w:color w:val="auto"/>
                <w:sz w:val="21"/>
                <w:szCs w:val="21"/>
                <w:highlight w:val="none"/>
              </w:rPr>
              <w:t>＜m≤</w:t>
            </w:r>
            <w:r>
              <w:rPr>
                <w:rFonts w:hint="eastAsia" w:ascii="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pStyle w:val="8"/>
              <w:kinsoku w:val="0"/>
              <w:overflowPunct w:val="0"/>
              <w:spacing w:before="67" w:after="101" w:line="410" w:lineRule="exact"/>
              <w:ind w:left="680"/>
              <w:jc w:val="center"/>
              <w:textAlignment w:val="baseline"/>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3</w:t>
            </w:r>
            <w:r>
              <w:rPr>
                <w:rFonts w:ascii="Times New Roman"/>
                <w:color w:val="auto"/>
                <w:sz w:val="21"/>
                <w:szCs w:val="21"/>
                <w:highlight w:val="none"/>
              </w:rPr>
              <w:t>＜m≤</w:t>
            </w:r>
            <w:r>
              <w:rPr>
                <w:rFonts w:hint="eastAsia" w:ascii="Times New Roman"/>
                <w:color w:val="auto"/>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pStyle w:val="8"/>
              <w:kinsoku w:val="0"/>
              <w:overflowPunct w:val="0"/>
              <w:spacing w:before="67" w:after="101" w:line="410" w:lineRule="exact"/>
              <w:ind w:left="680"/>
              <w:jc w:val="center"/>
              <w:textAlignment w:val="baseline"/>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2.5</w:t>
            </w:r>
            <w:r>
              <w:rPr>
                <w:rFonts w:ascii="Times New Roman"/>
                <w:color w:val="auto"/>
                <w:sz w:val="21"/>
                <w:szCs w:val="21"/>
                <w:highlight w:val="none"/>
              </w:rPr>
              <w:t>≤m≤</w:t>
            </w:r>
            <w:r>
              <w:rPr>
                <w:rFonts w:hint="eastAsia" w:ascii="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工作计划安排、实施及进度保证措施</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sz w:val="21"/>
                <w:szCs w:val="21"/>
                <w:highlight w:val="none"/>
              </w:rPr>
              <w:t>3</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2</w:t>
            </w:r>
            <w:r>
              <w:rPr>
                <w:rFonts w:hint="eastAsia" w:ascii="Times New Roman"/>
                <w:color w:val="auto"/>
                <w:sz w:val="21"/>
                <w:szCs w:val="21"/>
                <w:highlight w:val="none"/>
              </w:rPr>
              <w:t>.5</w:t>
            </w:r>
            <w:r>
              <w:rPr>
                <w:rFonts w:ascii="Times New Roman"/>
                <w:color w:val="auto"/>
                <w:sz w:val="21"/>
                <w:szCs w:val="21"/>
                <w:highlight w:val="none"/>
              </w:rPr>
              <w:t>＜m≤</w:t>
            </w:r>
            <w:r>
              <w:rPr>
                <w:rFonts w:hint="eastAsia" w:ascii="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pStyle w:val="8"/>
              <w:kinsoku w:val="0"/>
              <w:overflowPunct w:val="0"/>
              <w:spacing w:before="67" w:after="101" w:line="410" w:lineRule="exact"/>
              <w:ind w:left="680"/>
              <w:jc w:val="center"/>
              <w:textAlignment w:val="baseline"/>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2</w:t>
            </w:r>
            <w:r>
              <w:rPr>
                <w:rFonts w:ascii="Times New Roman"/>
                <w:color w:val="auto"/>
                <w:sz w:val="21"/>
                <w:szCs w:val="21"/>
                <w:highlight w:val="none"/>
              </w:rPr>
              <w:t>＜m≤2</w:t>
            </w:r>
            <w:r>
              <w:rPr>
                <w:rFonts w:hint="eastAsia" w:ascii="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left"/>
              <w:rPr>
                <w:rFonts w:ascii="Times New Roman"/>
                <w:color w:val="auto"/>
                <w:sz w:val="21"/>
                <w:szCs w:val="21"/>
                <w:highlight w:val="none"/>
              </w:rPr>
            </w:pPr>
          </w:p>
        </w:tc>
        <w:tc>
          <w:tcPr>
            <w:tcW w:w="851" w:type="dxa"/>
            <w:vMerge w:val="continue"/>
            <w:vAlign w:val="center"/>
          </w:tcPr>
          <w:p>
            <w:pPr>
              <w:pStyle w:val="8"/>
              <w:kinsoku w:val="0"/>
              <w:overflowPunct w:val="0"/>
              <w:spacing w:before="67" w:after="101" w:line="410" w:lineRule="exact"/>
              <w:ind w:left="680"/>
              <w:jc w:val="center"/>
              <w:textAlignment w:val="baseline"/>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1.5</w:t>
            </w: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restart"/>
            <w:vAlign w:val="center"/>
          </w:tcPr>
          <w:p>
            <w:pPr>
              <w:pStyle w:val="8"/>
              <w:kinsoku w:val="0"/>
              <w:overflowPunct w:val="0"/>
              <w:spacing w:before="67" w:after="101" w:line="410" w:lineRule="exact"/>
              <w:ind w:left="0" w:leftChars="0"/>
              <w:jc w:val="left"/>
              <w:textAlignment w:val="baseline"/>
              <w:rPr>
                <w:rFonts w:ascii="Times New Roman"/>
                <w:color w:val="auto"/>
                <w:sz w:val="21"/>
                <w:szCs w:val="21"/>
                <w:highlight w:val="none"/>
              </w:rPr>
            </w:pPr>
            <w:r>
              <w:rPr>
                <w:rFonts w:ascii="Times New Roman"/>
                <w:color w:val="auto"/>
                <w:sz w:val="21"/>
                <w:szCs w:val="21"/>
                <w:highlight w:val="none"/>
              </w:rPr>
              <w:t>安全保证措施</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hint="eastAsia" w:ascii="Times New Roman"/>
                <w:color w:val="auto"/>
                <w:sz w:val="21"/>
                <w:szCs w:val="21"/>
                <w:highlight w:val="none"/>
              </w:rPr>
              <w:t>3</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2</w:t>
            </w:r>
            <w:r>
              <w:rPr>
                <w:rFonts w:hint="eastAsia" w:ascii="Times New Roman"/>
                <w:color w:val="auto"/>
                <w:sz w:val="21"/>
                <w:szCs w:val="21"/>
                <w:highlight w:val="none"/>
              </w:rPr>
              <w:t>.5</w:t>
            </w:r>
            <w:r>
              <w:rPr>
                <w:rFonts w:ascii="Times New Roman"/>
                <w:color w:val="auto"/>
                <w:sz w:val="21"/>
                <w:szCs w:val="21"/>
                <w:highlight w:val="none"/>
              </w:rPr>
              <w:t>＜m≤</w:t>
            </w:r>
            <w:r>
              <w:rPr>
                <w:rFonts w:hint="eastAsia" w:ascii="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2</w:t>
            </w:r>
            <w:r>
              <w:rPr>
                <w:rFonts w:ascii="Times New Roman"/>
                <w:color w:val="auto"/>
                <w:sz w:val="21"/>
                <w:szCs w:val="21"/>
                <w:highlight w:val="none"/>
              </w:rPr>
              <w:t>＜m≤2</w:t>
            </w:r>
            <w:r>
              <w:rPr>
                <w:rFonts w:hint="eastAsia" w:ascii="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908"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180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1.5</w:t>
            </w: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3</w:t>
            </w:r>
          </w:p>
        </w:tc>
        <w:tc>
          <w:tcPr>
            <w:tcW w:w="2709" w:type="dxa"/>
            <w:gridSpan w:val="2"/>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技术支持与服务承诺（含专家咨询、业务培训等）（5分）</w:t>
            </w:r>
          </w:p>
        </w:tc>
        <w:tc>
          <w:tcPr>
            <w:tcW w:w="851" w:type="dxa"/>
            <w:vMerge w:val="restart"/>
            <w:vAlign w:val="center"/>
          </w:tcPr>
          <w:p>
            <w:pPr>
              <w:pStyle w:val="8"/>
              <w:kinsoku w:val="0"/>
              <w:overflowPunct w:val="0"/>
              <w:spacing w:before="67" w:after="101" w:line="410" w:lineRule="exact"/>
              <w:ind w:left="0" w:leftChars="0"/>
              <w:jc w:val="center"/>
              <w:textAlignment w:val="baseline"/>
              <w:rPr>
                <w:rFonts w:ascii="Times New Roman"/>
                <w:color w:val="auto"/>
                <w:sz w:val="21"/>
                <w:szCs w:val="21"/>
                <w:highlight w:val="none"/>
              </w:rPr>
            </w:pPr>
            <w:r>
              <w:rPr>
                <w:rFonts w:ascii="Times New Roman"/>
                <w:color w:val="auto"/>
                <w:sz w:val="21"/>
                <w:szCs w:val="21"/>
                <w:highlight w:val="none"/>
              </w:rPr>
              <w:t>5</w:t>
            </w: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好</w:t>
            </w:r>
          </w:p>
        </w:tc>
        <w:tc>
          <w:tcPr>
            <w:tcW w:w="2067" w:type="dxa"/>
            <w:vAlign w:val="center"/>
          </w:tcPr>
          <w:p>
            <w:pPr>
              <w:pStyle w:val="8"/>
              <w:spacing w:line="410" w:lineRule="exact"/>
              <w:ind w:left="680"/>
              <w:jc w:val="center"/>
              <w:textAlignment w:val="baseline"/>
              <w:rPr>
                <w:rFonts w:ascii="Times New Roman"/>
                <w:color w:val="auto"/>
                <w:sz w:val="21"/>
                <w:szCs w:val="21"/>
                <w:highlight w:val="none"/>
              </w:rPr>
            </w:pPr>
            <w:r>
              <w:rPr>
                <w:rFonts w:hint="eastAsia" w:ascii="Times New Roman"/>
                <w:color w:val="auto"/>
                <w:sz w:val="21"/>
                <w:szCs w:val="21"/>
                <w:highlight w:val="none"/>
              </w:rPr>
              <w:t>4</w:t>
            </w:r>
            <w:r>
              <w:rPr>
                <w:rFonts w:ascii="Times New Roman"/>
                <w:color w:val="auto"/>
                <w:sz w:val="21"/>
                <w:szCs w:val="21"/>
                <w:highlight w:val="none"/>
              </w:rPr>
              <w:t>＜m≤5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709" w:type="dxa"/>
            <w:gridSpan w:val="2"/>
            <w:vMerge w:val="continue"/>
            <w:vAlign w:val="center"/>
          </w:tcPr>
          <w:p>
            <w:pPr>
              <w:adjustRightInd w:val="0"/>
              <w:snapToGrid w:val="0"/>
              <w:spacing w:line="410" w:lineRule="exact"/>
              <w:jc w:val="center"/>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中</w:t>
            </w:r>
          </w:p>
        </w:tc>
        <w:tc>
          <w:tcPr>
            <w:tcW w:w="2067" w:type="dxa"/>
            <w:vAlign w:val="center"/>
          </w:tcPr>
          <w:p>
            <w:pPr>
              <w:pStyle w:val="8"/>
              <w:spacing w:line="410" w:lineRule="exact"/>
              <w:ind w:left="680"/>
              <w:jc w:val="center"/>
              <w:textAlignment w:val="baseline"/>
              <w:rPr>
                <w:rFonts w:ascii="Times New Roman"/>
                <w:color w:val="auto"/>
                <w:sz w:val="21"/>
                <w:szCs w:val="21"/>
                <w:highlight w:val="none"/>
              </w:rPr>
            </w:pPr>
            <w:r>
              <w:rPr>
                <w:rFonts w:hint="eastAsia" w:ascii="Times New Roman"/>
                <w:color w:val="auto"/>
                <w:sz w:val="21"/>
                <w:szCs w:val="21"/>
                <w:highlight w:val="none"/>
              </w:rPr>
              <w:t>3</w:t>
            </w:r>
            <w:r>
              <w:rPr>
                <w:rFonts w:ascii="Times New Roman"/>
                <w:color w:val="auto"/>
                <w:sz w:val="21"/>
                <w:szCs w:val="21"/>
                <w:highlight w:val="none"/>
              </w:rPr>
              <w:t>＜m≤</w:t>
            </w:r>
            <w:r>
              <w:rPr>
                <w:rFonts w:hint="eastAsia" w:ascii="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19"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709" w:type="dxa"/>
            <w:gridSpan w:val="2"/>
            <w:vMerge w:val="continue"/>
            <w:vAlign w:val="center"/>
          </w:tcPr>
          <w:p>
            <w:pPr>
              <w:adjustRightInd w:val="0"/>
              <w:snapToGrid w:val="0"/>
              <w:spacing w:line="410" w:lineRule="exact"/>
              <w:jc w:val="center"/>
              <w:rPr>
                <w:rFonts w:ascii="Times New Roman"/>
                <w:color w:val="auto"/>
                <w:sz w:val="21"/>
                <w:szCs w:val="21"/>
                <w:highlight w:val="none"/>
              </w:rPr>
            </w:pPr>
          </w:p>
        </w:tc>
        <w:tc>
          <w:tcPr>
            <w:tcW w:w="851"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2126"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一般</w:t>
            </w:r>
          </w:p>
        </w:tc>
        <w:tc>
          <w:tcPr>
            <w:tcW w:w="2067" w:type="dxa"/>
            <w:vAlign w:val="center"/>
          </w:tcPr>
          <w:p>
            <w:pPr>
              <w:pStyle w:val="8"/>
              <w:spacing w:line="410" w:lineRule="exact"/>
              <w:ind w:left="680"/>
              <w:jc w:val="center"/>
              <w:textAlignment w:val="baseline"/>
              <w:rPr>
                <w:rFonts w:ascii="Times New Roman"/>
                <w:color w:val="auto"/>
                <w:sz w:val="21"/>
                <w:szCs w:val="21"/>
                <w:highlight w:val="none"/>
              </w:rPr>
            </w:pPr>
            <w:r>
              <w:rPr>
                <w:rFonts w:hint="eastAsia" w:ascii="Times New Roman"/>
                <w:color w:val="auto"/>
                <w:sz w:val="21"/>
                <w:szCs w:val="21"/>
                <w:highlight w:val="none"/>
              </w:rPr>
              <w:t>2.5</w:t>
            </w:r>
            <w:r>
              <w:rPr>
                <w:rFonts w:ascii="Times New Roman"/>
                <w:color w:val="auto"/>
                <w:sz w:val="21"/>
                <w:szCs w:val="21"/>
                <w:highlight w:val="none"/>
              </w:rPr>
              <w:t>≤m≤</w:t>
            </w:r>
            <w:r>
              <w:rPr>
                <w:rFonts w:hint="eastAsia" w:ascii="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3628" w:type="dxa"/>
            <w:gridSpan w:val="3"/>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技术得分</w:t>
            </w:r>
          </w:p>
        </w:tc>
        <w:tc>
          <w:tcPr>
            <w:tcW w:w="851" w:type="dxa"/>
            <w:vAlign w:val="center"/>
          </w:tcPr>
          <w:p>
            <w:pPr>
              <w:adjustRightInd w:val="0"/>
              <w:snapToGrid w:val="0"/>
              <w:spacing w:line="410" w:lineRule="exact"/>
              <w:rPr>
                <w:rFonts w:ascii="Times New Roman"/>
                <w:b/>
                <w:color w:val="auto"/>
                <w:sz w:val="21"/>
                <w:szCs w:val="21"/>
                <w:highlight w:val="none"/>
              </w:rPr>
            </w:pPr>
            <w:r>
              <w:rPr>
                <w:rFonts w:hint="eastAsia" w:ascii="Times New Roman"/>
                <w:b/>
                <w:color w:val="auto"/>
                <w:sz w:val="21"/>
                <w:szCs w:val="21"/>
                <w:highlight w:val="none"/>
              </w:rPr>
              <w:t>3</w:t>
            </w:r>
            <w:r>
              <w:rPr>
                <w:rFonts w:ascii="Times New Roman"/>
                <w:b/>
                <w:color w:val="auto"/>
                <w:sz w:val="21"/>
                <w:szCs w:val="21"/>
                <w:highlight w:val="none"/>
              </w:rPr>
              <w:t>0</w:t>
            </w:r>
          </w:p>
        </w:tc>
        <w:tc>
          <w:tcPr>
            <w:tcW w:w="2126" w:type="dxa"/>
            <w:vAlign w:val="center"/>
          </w:tcPr>
          <w:p>
            <w:pPr>
              <w:adjustRightInd w:val="0"/>
              <w:snapToGrid w:val="0"/>
              <w:spacing w:line="410" w:lineRule="exact"/>
              <w:jc w:val="center"/>
              <w:rPr>
                <w:rFonts w:ascii="Times New Roman"/>
                <w:color w:val="auto"/>
                <w:sz w:val="21"/>
                <w:szCs w:val="21"/>
                <w:highlight w:val="none"/>
              </w:rPr>
            </w:pPr>
          </w:p>
        </w:tc>
        <w:tc>
          <w:tcPr>
            <w:tcW w:w="2067" w:type="dxa"/>
            <w:vAlign w:val="center"/>
          </w:tcPr>
          <w:p>
            <w:pPr>
              <w:adjustRightInd w:val="0"/>
              <w:snapToGrid w:val="0"/>
              <w:spacing w:line="410" w:lineRule="exact"/>
              <w:jc w:val="center"/>
              <w:rPr>
                <w:rFonts w:ascii="Times New Roman"/>
                <w:color w:val="auto"/>
                <w:sz w:val="21"/>
                <w:szCs w:val="21"/>
                <w:highlight w:val="none"/>
              </w:rPr>
            </w:pPr>
          </w:p>
        </w:tc>
      </w:tr>
    </w:tbl>
    <w:p>
      <w:pPr>
        <w:snapToGrid w:val="0"/>
        <w:ind w:firstLine="420"/>
        <w:rPr>
          <w:color w:val="auto"/>
          <w:sz w:val="21"/>
          <w:szCs w:val="21"/>
          <w:highlight w:val="none"/>
        </w:rPr>
      </w:pPr>
      <w:r>
        <w:rPr>
          <w:color w:val="auto"/>
          <w:sz w:val="21"/>
          <w:szCs w:val="21"/>
          <w:highlight w:val="none"/>
        </w:rPr>
        <w:t xml:space="preserve">       注：【好、中、</w:t>
      </w:r>
      <w:r>
        <w:rPr>
          <w:rFonts w:hint="eastAsia" w:ascii="Times New Roman"/>
          <w:color w:val="auto"/>
          <w:sz w:val="21"/>
          <w:szCs w:val="21"/>
          <w:highlight w:val="none"/>
        </w:rPr>
        <w:t>一般</w:t>
      </w:r>
      <w:r>
        <w:rPr>
          <w:color w:val="auto"/>
          <w:sz w:val="21"/>
          <w:szCs w:val="21"/>
          <w:highlight w:val="none"/>
        </w:rPr>
        <w:t>】等级标准</w:t>
      </w:r>
    </w:p>
    <w:p>
      <w:pPr>
        <w:snapToGrid w:val="0"/>
        <w:ind w:left="840" w:firstLine="420"/>
        <w:rPr>
          <w:color w:val="auto"/>
          <w:sz w:val="21"/>
          <w:szCs w:val="21"/>
          <w:highlight w:val="none"/>
        </w:rPr>
      </w:pPr>
      <w:r>
        <w:rPr>
          <w:color w:val="auto"/>
          <w:sz w:val="21"/>
          <w:szCs w:val="21"/>
          <w:highlight w:val="none"/>
        </w:rPr>
        <w:t>【好】   内容详细、具体，方法可行，规范标准明确，能满足本工程提出的所有检测项目，有具体可行的质量、进度保证措施，熟悉并能体现轨道交通建设的特点和需要，重点难点和针对性、合理性好。</w:t>
      </w:r>
    </w:p>
    <w:p>
      <w:pPr>
        <w:snapToGrid w:val="0"/>
        <w:ind w:left="840" w:firstLine="420"/>
        <w:rPr>
          <w:color w:val="auto"/>
          <w:sz w:val="21"/>
          <w:szCs w:val="21"/>
          <w:highlight w:val="none"/>
        </w:rPr>
      </w:pPr>
      <w:r>
        <w:rPr>
          <w:color w:val="auto"/>
          <w:sz w:val="21"/>
          <w:szCs w:val="21"/>
          <w:highlight w:val="none"/>
        </w:rPr>
        <w:t>【中】   内容满足要求，检测方法符合检测要求。</w:t>
      </w:r>
    </w:p>
    <w:p>
      <w:pPr>
        <w:snapToGrid w:val="0"/>
        <w:ind w:left="840" w:firstLine="420"/>
        <w:rPr>
          <w:color w:val="auto"/>
          <w:sz w:val="21"/>
          <w:szCs w:val="21"/>
          <w:highlight w:val="none"/>
        </w:rPr>
      </w:pPr>
      <w:r>
        <w:rPr>
          <w:color w:val="auto"/>
          <w:sz w:val="21"/>
          <w:szCs w:val="21"/>
          <w:highlight w:val="none"/>
        </w:rPr>
        <w:t>【</w:t>
      </w:r>
      <w:r>
        <w:rPr>
          <w:rFonts w:hint="eastAsia" w:ascii="Times New Roman"/>
          <w:color w:val="auto"/>
          <w:sz w:val="21"/>
          <w:szCs w:val="21"/>
          <w:highlight w:val="none"/>
        </w:rPr>
        <w:t>一般</w:t>
      </w:r>
      <w:r>
        <w:rPr>
          <w:color w:val="auto"/>
          <w:sz w:val="21"/>
          <w:szCs w:val="21"/>
          <w:highlight w:val="none"/>
        </w:rPr>
        <w:t>】   内容阐述一般，检测方法基本满足检测要求。</w:t>
      </w:r>
    </w:p>
    <w:p>
      <w:pPr>
        <w:spacing w:line="410" w:lineRule="exact"/>
        <w:ind w:firstLine="562"/>
        <w:jc w:val="center"/>
        <w:rPr>
          <w:rFonts w:hint="eastAsia"/>
          <w:b/>
          <w:color w:val="auto"/>
          <w:sz w:val="28"/>
          <w:szCs w:val="28"/>
          <w:highlight w:val="none"/>
        </w:rPr>
      </w:pPr>
    </w:p>
    <w:p>
      <w:pPr>
        <w:spacing w:line="410" w:lineRule="exact"/>
        <w:ind w:firstLine="562"/>
        <w:jc w:val="center"/>
        <w:rPr>
          <w:rFonts w:hint="eastAsia"/>
          <w:b/>
          <w:color w:val="auto"/>
          <w:sz w:val="28"/>
          <w:szCs w:val="28"/>
          <w:highlight w:val="none"/>
        </w:rPr>
      </w:pPr>
    </w:p>
    <w:p>
      <w:pPr>
        <w:spacing w:line="410" w:lineRule="exact"/>
        <w:ind w:firstLine="562"/>
        <w:jc w:val="center"/>
        <w:rPr>
          <w:b/>
          <w:color w:val="auto"/>
          <w:sz w:val="28"/>
          <w:szCs w:val="28"/>
          <w:highlight w:val="none"/>
        </w:rPr>
      </w:pPr>
      <w:r>
        <w:rPr>
          <w:rFonts w:hint="eastAsia"/>
          <w:b/>
          <w:color w:val="auto"/>
          <w:sz w:val="28"/>
          <w:szCs w:val="28"/>
          <w:highlight w:val="none"/>
        </w:rPr>
        <w:t>（2）</w:t>
      </w:r>
      <w:r>
        <w:rPr>
          <w:b/>
          <w:color w:val="auto"/>
          <w:sz w:val="28"/>
          <w:szCs w:val="28"/>
          <w:highlight w:val="none"/>
        </w:rPr>
        <w:t>投标报价</w:t>
      </w:r>
      <w:r>
        <w:rPr>
          <w:rFonts w:hint="eastAsia"/>
          <w:b/>
          <w:color w:val="auto"/>
          <w:sz w:val="28"/>
          <w:szCs w:val="28"/>
          <w:highlight w:val="none"/>
        </w:rPr>
        <w:t>部分</w:t>
      </w:r>
      <w:r>
        <w:rPr>
          <w:b/>
          <w:color w:val="auto"/>
          <w:sz w:val="28"/>
          <w:szCs w:val="28"/>
          <w:highlight w:val="none"/>
        </w:rPr>
        <w:t>评审表</w:t>
      </w:r>
    </w:p>
    <w:tbl>
      <w:tblPr>
        <w:tblStyle w:val="20"/>
        <w:tblW w:w="92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
      <w:tblGrid>
        <w:gridCol w:w="825"/>
        <w:gridCol w:w="937"/>
        <w:gridCol w:w="6343"/>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431" w:hRule="atLeast"/>
          <w:jc w:val="center"/>
        </w:trPr>
        <w:tc>
          <w:tcPr>
            <w:tcW w:w="825" w:type="dxa"/>
            <w:vAlign w:val="center"/>
          </w:tcPr>
          <w:p>
            <w:pPr>
              <w:adjustRightInd w:val="0"/>
              <w:snapToGrid w:val="0"/>
              <w:spacing w:line="410" w:lineRule="exact"/>
              <w:jc w:val="center"/>
              <w:rPr>
                <w:rFonts w:ascii="Times New Roman"/>
                <w:b/>
                <w:bCs/>
                <w:color w:val="auto"/>
                <w:sz w:val="24"/>
                <w:szCs w:val="24"/>
                <w:highlight w:val="none"/>
              </w:rPr>
            </w:pPr>
            <w:r>
              <w:rPr>
                <w:rFonts w:hint="eastAsia" w:ascii="Times New Roman"/>
                <w:b/>
                <w:bCs/>
                <w:color w:val="auto"/>
                <w:sz w:val="24"/>
                <w:szCs w:val="24"/>
                <w:highlight w:val="none"/>
              </w:rPr>
              <w:t>项目</w:t>
            </w:r>
          </w:p>
        </w:tc>
        <w:tc>
          <w:tcPr>
            <w:tcW w:w="937" w:type="dxa"/>
            <w:vAlign w:val="center"/>
          </w:tcPr>
          <w:p>
            <w:pPr>
              <w:adjustRightInd w:val="0"/>
              <w:snapToGrid w:val="0"/>
              <w:spacing w:line="410" w:lineRule="exact"/>
              <w:jc w:val="center"/>
              <w:rPr>
                <w:rFonts w:ascii="Times New Roman"/>
                <w:b/>
                <w:bCs/>
                <w:color w:val="auto"/>
                <w:sz w:val="24"/>
                <w:szCs w:val="24"/>
                <w:highlight w:val="none"/>
              </w:rPr>
            </w:pPr>
            <w:r>
              <w:rPr>
                <w:rFonts w:hint="eastAsia" w:ascii="Times New Roman"/>
                <w:b/>
                <w:bCs/>
                <w:color w:val="auto"/>
                <w:sz w:val="24"/>
                <w:szCs w:val="24"/>
                <w:highlight w:val="none"/>
              </w:rPr>
              <w:t>标准分</w:t>
            </w:r>
          </w:p>
        </w:tc>
        <w:tc>
          <w:tcPr>
            <w:tcW w:w="6343" w:type="dxa"/>
            <w:vAlign w:val="center"/>
          </w:tcPr>
          <w:p>
            <w:pPr>
              <w:adjustRightInd w:val="0"/>
              <w:snapToGrid w:val="0"/>
              <w:spacing w:line="410" w:lineRule="exact"/>
              <w:ind w:firstLine="482"/>
              <w:jc w:val="center"/>
              <w:rPr>
                <w:rFonts w:ascii="Times New Roman"/>
                <w:b/>
                <w:bCs/>
                <w:color w:val="auto"/>
                <w:sz w:val="24"/>
                <w:szCs w:val="24"/>
                <w:highlight w:val="none"/>
              </w:rPr>
            </w:pPr>
            <w:r>
              <w:rPr>
                <w:rFonts w:hint="eastAsia" w:ascii="Times New Roman"/>
                <w:b/>
                <w:bCs/>
                <w:color w:val="auto"/>
                <w:sz w:val="24"/>
                <w:szCs w:val="24"/>
                <w:highlight w:val="none"/>
              </w:rPr>
              <w:t>评分标准</w:t>
            </w:r>
          </w:p>
        </w:tc>
        <w:tc>
          <w:tcPr>
            <w:tcW w:w="1095" w:type="dxa"/>
            <w:vAlign w:val="center"/>
          </w:tcPr>
          <w:p>
            <w:pPr>
              <w:adjustRightInd w:val="0"/>
              <w:snapToGrid w:val="0"/>
              <w:spacing w:line="410" w:lineRule="exact"/>
              <w:jc w:val="center"/>
              <w:rPr>
                <w:rFonts w:ascii="Times New Roman"/>
                <w:b/>
                <w:bCs/>
                <w:color w:val="auto"/>
                <w:sz w:val="24"/>
                <w:szCs w:val="24"/>
                <w:highlight w:val="none"/>
              </w:rPr>
            </w:pPr>
            <w:r>
              <w:rPr>
                <w:rFonts w:hint="eastAsia" w:ascii="Times New Roman"/>
                <w:b/>
                <w:bCs/>
                <w:color w:val="auto"/>
                <w:sz w:val="24"/>
                <w:szCs w:val="24"/>
                <w:highlight w:val="none"/>
              </w:rPr>
              <w:t>分值</w:t>
            </w:r>
            <w:r>
              <w:rPr>
                <w:rFonts w:ascii="Times New Roman"/>
                <w:b/>
                <w:bCs/>
                <w:color w:val="auto"/>
                <w:sz w:val="24"/>
                <w:szCs w:val="24"/>
                <w:highlight w:val="none"/>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4914" w:hRule="atLeast"/>
          <w:jc w:val="center"/>
        </w:trPr>
        <w:tc>
          <w:tcPr>
            <w:tcW w:w="825" w:type="dxa"/>
            <w:vAlign w:val="center"/>
          </w:tcPr>
          <w:p>
            <w:pPr>
              <w:adjustRightInd w:val="0"/>
              <w:snapToGrid w:val="0"/>
              <w:spacing w:line="410" w:lineRule="exact"/>
              <w:jc w:val="center"/>
              <w:rPr>
                <w:rFonts w:ascii="Times New Roman"/>
                <w:color w:val="auto"/>
                <w:sz w:val="24"/>
                <w:szCs w:val="24"/>
                <w:highlight w:val="none"/>
              </w:rPr>
            </w:pPr>
            <w:r>
              <w:rPr>
                <w:rFonts w:hint="eastAsia" w:ascii="Times New Roman"/>
                <w:color w:val="auto"/>
                <w:sz w:val="24"/>
                <w:szCs w:val="24"/>
                <w:highlight w:val="none"/>
              </w:rPr>
              <w:t>投标报价部分</w:t>
            </w:r>
          </w:p>
        </w:tc>
        <w:tc>
          <w:tcPr>
            <w:tcW w:w="937" w:type="dxa"/>
            <w:vAlign w:val="center"/>
          </w:tcPr>
          <w:p>
            <w:pPr>
              <w:adjustRightInd w:val="0"/>
              <w:snapToGrid w:val="0"/>
              <w:spacing w:line="410" w:lineRule="exact"/>
              <w:jc w:val="center"/>
              <w:rPr>
                <w:rFonts w:ascii="Times New Roman"/>
                <w:color w:val="auto"/>
                <w:sz w:val="24"/>
                <w:szCs w:val="24"/>
                <w:highlight w:val="none"/>
              </w:rPr>
            </w:pPr>
            <w:r>
              <w:rPr>
                <w:rFonts w:ascii="Times New Roman"/>
                <w:color w:val="auto"/>
                <w:sz w:val="24"/>
                <w:szCs w:val="24"/>
                <w:highlight w:val="none"/>
              </w:rPr>
              <w:t>30</w:t>
            </w:r>
          </w:p>
        </w:tc>
        <w:tc>
          <w:tcPr>
            <w:tcW w:w="6343" w:type="dxa"/>
            <w:vAlign w:val="center"/>
          </w:tcPr>
          <w:p>
            <w:pPr>
              <w:tabs>
                <w:tab w:val="left" w:pos="6660"/>
              </w:tabs>
              <w:snapToGrid w:val="0"/>
              <w:spacing w:line="264" w:lineRule="auto"/>
              <w:rPr>
                <w:color w:val="auto"/>
                <w:sz w:val="24"/>
                <w:szCs w:val="32"/>
                <w:highlight w:val="none"/>
              </w:rPr>
            </w:pPr>
            <w:r>
              <w:rPr>
                <w:rFonts w:hint="eastAsia" w:ascii="新宋体" w:hAnsi="新宋体" w:eastAsia="新宋体"/>
                <w:color w:val="auto"/>
                <w:sz w:val="24"/>
                <w:highlight w:val="none"/>
              </w:rPr>
              <w:t xml:space="preserve">    评标基准价：</w:t>
            </w:r>
            <w:r>
              <w:rPr>
                <w:rFonts w:hint="eastAsia"/>
                <w:color w:val="auto"/>
                <w:sz w:val="24"/>
                <w:szCs w:val="32"/>
                <w:highlight w:val="none"/>
              </w:rPr>
              <w:t>评标基准价＝</w:t>
            </w:r>
            <w:bookmarkStart w:id="76" w:name="OLE_LINK46"/>
            <w:r>
              <w:rPr>
                <w:rFonts w:hint="eastAsia"/>
                <w:color w:val="auto"/>
                <w:sz w:val="24"/>
                <w:szCs w:val="32"/>
                <w:highlight w:val="none"/>
              </w:rPr>
              <w:t>招标控制价</w:t>
            </w:r>
            <w:bookmarkEnd w:id="76"/>
            <w:r>
              <w:rPr>
                <w:rFonts w:hint="eastAsia"/>
                <w:color w:val="auto"/>
                <w:sz w:val="24"/>
                <w:szCs w:val="32"/>
                <w:highlight w:val="none"/>
              </w:rPr>
              <w:t>×K+投标总报价×（1－</w:t>
            </w:r>
            <w:bookmarkStart w:id="77" w:name="OLE_LINK47"/>
            <w:r>
              <w:rPr>
                <w:rFonts w:hint="eastAsia"/>
                <w:color w:val="auto"/>
                <w:sz w:val="24"/>
                <w:szCs w:val="32"/>
                <w:highlight w:val="none"/>
              </w:rPr>
              <w:t>K</w:t>
            </w:r>
            <w:bookmarkEnd w:id="77"/>
            <w:r>
              <w:rPr>
                <w:rFonts w:hint="eastAsia"/>
                <w:color w:val="auto"/>
                <w:sz w:val="24"/>
                <w:szCs w:val="32"/>
                <w:highlight w:val="none"/>
              </w:rPr>
              <w:t>）</w:t>
            </w:r>
          </w:p>
          <w:p>
            <w:pPr>
              <w:tabs>
                <w:tab w:val="left" w:pos="6660"/>
              </w:tabs>
              <w:snapToGrid w:val="0"/>
              <w:spacing w:line="264" w:lineRule="auto"/>
              <w:rPr>
                <w:color w:val="auto"/>
                <w:sz w:val="24"/>
                <w:szCs w:val="32"/>
                <w:highlight w:val="none"/>
              </w:rPr>
            </w:pPr>
            <w:r>
              <w:rPr>
                <w:rFonts w:hint="eastAsia" w:ascii="新宋体" w:hAnsi="新宋体" w:eastAsia="新宋体"/>
                <w:color w:val="auto"/>
                <w:sz w:val="24"/>
                <w:highlight w:val="none"/>
              </w:rPr>
              <w:t xml:space="preserve">    式中：</w:t>
            </w:r>
            <w:r>
              <w:rPr>
                <w:rFonts w:hint="eastAsia"/>
                <w:color w:val="auto"/>
                <w:sz w:val="24"/>
                <w:szCs w:val="32"/>
                <w:highlight w:val="none"/>
              </w:rPr>
              <w:t>投标总报价为各投标人有效投标总报价，去掉一个最高和一个最低报价后的算术平均值。当有效投标少于5家时（不含5家），则以所有有效投标总报价的算术平均值作为投标总报价。</w:t>
            </w:r>
          </w:p>
          <w:p>
            <w:pPr>
              <w:tabs>
                <w:tab w:val="left" w:pos="6660"/>
              </w:tabs>
              <w:snapToGrid w:val="0"/>
              <w:spacing w:line="264" w:lineRule="auto"/>
              <w:rPr>
                <w:color w:val="auto"/>
                <w:sz w:val="24"/>
                <w:szCs w:val="32"/>
                <w:highlight w:val="none"/>
              </w:rPr>
            </w:pPr>
            <w:r>
              <w:rPr>
                <w:rFonts w:hint="eastAsia"/>
                <w:color w:val="auto"/>
                <w:sz w:val="24"/>
                <w:szCs w:val="32"/>
                <w:highlight w:val="none"/>
              </w:rPr>
              <w:t xml:space="preserve">    K</w:t>
            </w:r>
            <w:r>
              <w:rPr>
                <w:rFonts w:hint="eastAsia" w:ascii="新宋体" w:hAnsi="新宋体" w:eastAsia="新宋体"/>
                <w:color w:val="auto"/>
                <w:sz w:val="24"/>
                <w:highlight w:val="none"/>
              </w:rPr>
              <w:t>为</w:t>
            </w:r>
            <w:r>
              <w:rPr>
                <w:rFonts w:hint="eastAsia"/>
                <w:color w:val="auto"/>
                <w:sz w:val="24"/>
                <w:szCs w:val="32"/>
                <w:highlight w:val="none"/>
              </w:rPr>
              <w:t>招标控制价</w:t>
            </w:r>
            <w:r>
              <w:rPr>
                <w:rFonts w:hint="eastAsia" w:ascii="新宋体" w:hAnsi="新宋体" w:eastAsia="新宋体"/>
                <w:color w:val="auto"/>
                <w:sz w:val="24"/>
                <w:highlight w:val="none"/>
              </w:rPr>
              <w:t>的权重</w:t>
            </w:r>
            <w:r>
              <w:rPr>
                <w:rFonts w:hint="eastAsia"/>
                <w:color w:val="auto"/>
                <w:sz w:val="24"/>
                <w:szCs w:val="32"/>
                <w:highlight w:val="none"/>
              </w:rPr>
              <w:t>系数，K取值在0.1、0.2、0.3、0.4、0.5之间抽取。（在开标现场随机抽取）</w:t>
            </w:r>
          </w:p>
          <w:p>
            <w:pPr>
              <w:adjustRightInd w:val="0"/>
              <w:snapToGrid w:val="0"/>
              <w:spacing w:line="410" w:lineRule="exact"/>
              <w:ind w:firstLine="420"/>
              <w:rPr>
                <w:rFonts w:ascii="Times New Roman"/>
                <w:color w:val="auto"/>
                <w:sz w:val="24"/>
                <w:szCs w:val="24"/>
                <w:highlight w:val="none"/>
              </w:rPr>
            </w:pPr>
            <w:r>
              <w:rPr>
                <w:rFonts w:hint="eastAsia"/>
                <w:color w:val="auto"/>
                <w:sz w:val="24"/>
                <w:szCs w:val="32"/>
                <w:highlight w:val="none"/>
              </w:rPr>
              <w:t>投标报价等于评标基准价的得基础分25分，比评标基准价每高1%在25分基础上扣1分，扣完为止。比评标基准值每低1%，在25分基础上加1分，最高加5分；低于基准价5%时（不含5%）的每再低于评标基准价1%，在基础分25分的基础上扣1分，扣完为止。</w:t>
            </w:r>
          </w:p>
        </w:tc>
        <w:tc>
          <w:tcPr>
            <w:tcW w:w="1095" w:type="dxa"/>
            <w:vAlign w:val="center"/>
          </w:tcPr>
          <w:p>
            <w:pPr>
              <w:adjustRightInd w:val="0"/>
              <w:snapToGrid w:val="0"/>
              <w:spacing w:line="410" w:lineRule="exact"/>
              <w:jc w:val="center"/>
              <w:rPr>
                <w:rFonts w:ascii="Times New Roman"/>
                <w:b/>
                <w:bCs/>
                <w:color w:val="auto"/>
                <w:sz w:val="24"/>
                <w:szCs w:val="24"/>
                <w:highlight w:val="none"/>
              </w:rPr>
            </w:pPr>
            <w:r>
              <w:rPr>
                <w:rFonts w:hint="eastAsia" w:ascii="Times New Roman"/>
                <w:color w:val="auto"/>
                <w:sz w:val="24"/>
                <w:szCs w:val="24"/>
                <w:highlight w:val="none"/>
              </w:rPr>
              <w:t>0≤m≤30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637" w:hRule="atLeast"/>
          <w:jc w:val="center"/>
        </w:trPr>
        <w:tc>
          <w:tcPr>
            <w:tcW w:w="1762" w:type="dxa"/>
            <w:gridSpan w:val="2"/>
            <w:vAlign w:val="center"/>
          </w:tcPr>
          <w:p>
            <w:pPr>
              <w:spacing w:line="410" w:lineRule="exact"/>
              <w:ind w:firstLine="422"/>
              <w:jc w:val="center"/>
              <w:rPr>
                <w:rFonts w:ascii="Times New Roman"/>
                <w:b/>
                <w:color w:val="auto"/>
                <w:szCs w:val="21"/>
                <w:highlight w:val="none"/>
              </w:rPr>
            </w:pPr>
            <w:r>
              <w:rPr>
                <w:rFonts w:ascii="Times New Roman"/>
                <w:b/>
                <w:color w:val="auto"/>
                <w:sz w:val="21"/>
                <w:szCs w:val="21"/>
                <w:highlight w:val="none"/>
              </w:rPr>
              <w:t>报价得分</w:t>
            </w:r>
          </w:p>
        </w:tc>
        <w:tc>
          <w:tcPr>
            <w:tcW w:w="7438" w:type="dxa"/>
            <w:gridSpan w:val="2"/>
            <w:vAlign w:val="center"/>
          </w:tcPr>
          <w:p>
            <w:pPr>
              <w:spacing w:line="410" w:lineRule="exact"/>
              <w:ind w:firstLine="422"/>
              <w:jc w:val="center"/>
              <w:rPr>
                <w:rFonts w:ascii="Times New Roman"/>
                <w:b/>
                <w:color w:val="auto"/>
                <w:sz w:val="21"/>
                <w:szCs w:val="21"/>
                <w:highlight w:val="none"/>
              </w:rPr>
            </w:pPr>
            <w:r>
              <w:rPr>
                <w:rFonts w:ascii="Times New Roman"/>
                <w:b/>
                <w:color w:val="auto"/>
                <w:sz w:val="21"/>
                <w:szCs w:val="21"/>
                <w:highlight w:val="none"/>
              </w:rPr>
              <w:t>30分</w:t>
            </w:r>
          </w:p>
        </w:tc>
      </w:tr>
    </w:tbl>
    <w:p>
      <w:pPr>
        <w:spacing w:line="410" w:lineRule="exact"/>
        <w:jc w:val="center"/>
        <w:rPr>
          <w:b/>
          <w:color w:val="auto"/>
          <w:sz w:val="28"/>
          <w:szCs w:val="28"/>
          <w:highlight w:val="none"/>
        </w:rPr>
      </w:pPr>
      <w:r>
        <w:rPr>
          <w:b/>
          <w:color w:val="auto"/>
          <w:sz w:val="28"/>
          <w:szCs w:val="28"/>
          <w:highlight w:val="none"/>
        </w:rPr>
        <w:br w:type="page"/>
      </w:r>
      <w:r>
        <w:rPr>
          <w:rFonts w:hint="eastAsia"/>
          <w:b/>
          <w:color w:val="auto"/>
          <w:sz w:val="28"/>
          <w:szCs w:val="28"/>
          <w:highlight w:val="none"/>
        </w:rPr>
        <w:t>（3）</w:t>
      </w:r>
      <w:r>
        <w:rPr>
          <w:b/>
          <w:color w:val="auto"/>
          <w:sz w:val="28"/>
          <w:szCs w:val="28"/>
          <w:highlight w:val="none"/>
        </w:rPr>
        <w:t>商务部分评审表</w:t>
      </w:r>
    </w:p>
    <w:tbl>
      <w:tblPr>
        <w:tblStyle w:val="20"/>
        <w:tblW w:w="8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540"/>
        <w:gridCol w:w="854"/>
        <w:gridCol w:w="4776"/>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565" w:type="dxa"/>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序号</w:t>
            </w:r>
          </w:p>
        </w:tc>
        <w:tc>
          <w:tcPr>
            <w:tcW w:w="1540" w:type="dxa"/>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项目</w:t>
            </w:r>
          </w:p>
        </w:tc>
        <w:tc>
          <w:tcPr>
            <w:tcW w:w="854" w:type="dxa"/>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标准分</w:t>
            </w:r>
          </w:p>
        </w:tc>
        <w:tc>
          <w:tcPr>
            <w:tcW w:w="4776" w:type="dxa"/>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评分标准</w:t>
            </w:r>
          </w:p>
        </w:tc>
        <w:tc>
          <w:tcPr>
            <w:tcW w:w="1170" w:type="dxa"/>
            <w:vAlign w:val="center"/>
          </w:tcPr>
          <w:p>
            <w:pPr>
              <w:adjustRightInd w:val="0"/>
              <w:snapToGrid w:val="0"/>
              <w:spacing w:line="410" w:lineRule="exact"/>
              <w:jc w:val="center"/>
              <w:rPr>
                <w:rFonts w:ascii="Times New Roman"/>
                <w:b/>
                <w:color w:val="auto"/>
                <w:sz w:val="21"/>
                <w:szCs w:val="21"/>
                <w:highlight w:val="none"/>
              </w:rPr>
            </w:pPr>
            <w:r>
              <w:rPr>
                <w:rFonts w:ascii="Times New Roman"/>
                <w:b/>
                <w:color w:val="auto"/>
                <w:sz w:val="21"/>
                <w:szCs w:val="21"/>
                <w:highlight w:val="none"/>
              </w:rPr>
              <w:t>分值（m）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65"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1</w:t>
            </w:r>
          </w:p>
        </w:tc>
        <w:tc>
          <w:tcPr>
            <w:tcW w:w="1540"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投标人类似项目业绩</w:t>
            </w:r>
          </w:p>
        </w:tc>
        <w:tc>
          <w:tcPr>
            <w:tcW w:w="854"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6</w:t>
            </w: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每具有一项类似项目业绩的</w:t>
            </w:r>
            <w:r>
              <w:rPr>
                <w:rFonts w:hint="eastAsia" w:ascii="Times New Roman"/>
                <w:color w:val="auto"/>
                <w:sz w:val="21"/>
                <w:szCs w:val="21"/>
                <w:highlight w:val="none"/>
              </w:rPr>
              <w:t>得5分</w:t>
            </w:r>
            <w:r>
              <w:rPr>
                <w:rFonts w:ascii="Times New Roman"/>
                <w:color w:val="auto"/>
                <w:sz w:val="21"/>
                <w:szCs w:val="21"/>
                <w:highlight w:val="none"/>
              </w:rPr>
              <w:t>，每再具有一项的得</w:t>
            </w:r>
            <w:r>
              <w:rPr>
                <w:rFonts w:hint="eastAsia" w:ascii="Times New Roman"/>
                <w:color w:val="auto"/>
                <w:sz w:val="21"/>
                <w:szCs w:val="21"/>
                <w:highlight w:val="none"/>
              </w:rPr>
              <w:t>1分</w:t>
            </w:r>
            <w:r>
              <w:rPr>
                <w:rFonts w:ascii="Times New Roman"/>
                <w:color w:val="auto"/>
                <w:sz w:val="21"/>
                <w:szCs w:val="21"/>
                <w:highlight w:val="none"/>
              </w:rPr>
              <w:t>本项最多得</w:t>
            </w:r>
            <w:r>
              <w:rPr>
                <w:rFonts w:hint="eastAsia" w:ascii="Times New Roman"/>
                <w:color w:val="auto"/>
                <w:sz w:val="21"/>
                <w:szCs w:val="21"/>
                <w:highlight w:val="none"/>
              </w:rPr>
              <w:t>6</w:t>
            </w:r>
            <w:r>
              <w:rPr>
                <w:rFonts w:ascii="Times New Roman"/>
                <w:color w:val="auto"/>
                <w:sz w:val="21"/>
                <w:szCs w:val="21"/>
                <w:highlight w:val="none"/>
              </w:rPr>
              <w:t>分</w:t>
            </w:r>
          </w:p>
        </w:tc>
        <w:tc>
          <w:tcPr>
            <w:tcW w:w="1170"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0≤m≤</w:t>
            </w:r>
            <w:r>
              <w:rPr>
                <w:rFonts w:hint="eastAsia" w:ascii="Times New Roman"/>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565"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2</w:t>
            </w:r>
          </w:p>
        </w:tc>
        <w:tc>
          <w:tcPr>
            <w:tcW w:w="1540"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项目负责人</w:t>
            </w:r>
          </w:p>
        </w:tc>
        <w:tc>
          <w:tcPr>
            <w:tcW w:w="854" w:type="dxa"/>
            <w:vMerge w:val="restart"/>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6</w:t>
            </w: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具有高级工程师职称</w:t>
            </w:r>
            <w:r>
              <w:rPr>
                <w:rFonts w:hint="eastAsia" w:ascii="Times New Roman"/>
                <w:color w:val="auto"/>
                <w:sz w:val="21"/>
                <w:szCs w:val="21"/>
                <w:highlight w:val="none"/>
              </w:rPr>
              <w:t>的</w:t>
            </w:r>
            <w:r>
              <w:rPr>
                <w:rFonts w:ascii="Times New Roman"/>
                <w:color w:val="auto"/>
                <w:sz w:val="21"/>
                <w:szCs w:val="21"/>
                <w:highlight w:val="none"/>
              </w:rPr>
              <w:t>得</w:t>
            </w:r>
            <w:r>
              <w:rPr>
                <w:rFonts w:hint="eastAsia" w:ascii="Times New Roman"/>
                <w:color w:val="auto"/>
                <w:sz w:val="21"/>
                <w:szCs w:val="21"/>
                <w:highlight w:val="none"/>
                <w:lang w:val="en-US" w:eastAsia="zh-CN"/>
              </w:rPr>
              <w:t>4</w:t>
            </w:r>
            <w:r>
              <w:rPr>
                <w:rFonts w:ascii="Times New Roman"/>
                <w:color w:val="auto"/>
                <w:sz w:val="21"/>
                <w:szCs w:val="21"/>
                <w:highlight w:val="none"/>
              </w:rPr>
              <w:t>分</w:t>
            </w:r>
          </w:p>
        </w:tc>
        <w:tc>
          <w:tcPr>
            <w:tcW w:w="1170" w:type="dxa"/>
            <w:vAlign w:val="center"/>
          </w:tcPr>
          <w:p>
            <w:pPr>
              <w:adjustRightInd w:val="0"/>
              <w:snapToGrid w:val="0"/>
              <w:spacing w:line="410" w:lineRule="exact"/>
              <w:jc w:val="center"/>
              <w:rPr>
                <w:rFonts w:hint="eastAsia" w:ascii="Times New Roman" w:eastAsia="仿宋_GB2312"/>
                <w:color w:val="auto"/>
                <w:sz w:val="21"/>
                <w:szCs w:val="21"/>
                <w:highlight w:val="none"/>
                <w:lang w:eastAsia="zh-CN"/>
              </w:rPr>
            </w:pPr>
            <w:r>
              <w:rPr>
                <w:rFonts w:hint="eastAsia" w:ascii="Times New Roman" w:eastAsia="仿宋_GB2312"/>
                <w:color w:val="auto"/>
                <w:sz w:val="21"/>
                <w:szCs w:val="21"/>
                <w:highlight w:val="none"/>
              </w:rPr>
              <w:t>0</w:t>
            </w:r>
            <w:r>
              <w:rPr>
                <w:rFonts w:ascii="Times New Roman" w:eastAsia="仿宋_GB2312"/>
                <w:color w:val="auto"/>
                <w:sz w:val="21"/>
                <w:szCs w:val="21"/>
                <w:highlight w:val="none"/>
              </w:rPr>
              <w:t>≤m≤</w:t>
            </w:r>
            <w:r>
              <w:rPr>
                <w:rFonts w:hint="eastAsia" w:ascii="Times New Roman" w:eastAsia="仿宋_GB2312"/>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565"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1540"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854" w:type="dxa"/>
            <w:vMerge w:val="continue"/>
            <w:vAlign w:val="center"/>
          </w:tcPr>
          <w:p>
            <w:pPr>
              <w:adjustRightInd w:val="0"/>
              <w:snapToGrid w:val="0"/>
              <w:spacing w:line="410" w:lineRule="exact"/>
              <w:ind w:firstLine="420"/>
              <w:rPr>
                <w:rFonts w:ascii="Times New Roman"/>
                <w:color w:val="auto"/>
                <w:sz w:val="21"/>
                <w:szCs w:val="21"/>
                <w:highlight w:val="none"/>
              </w:rPr>
            </w:pP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担任过类似项目负责人，每具有一项的得</w:t>
            </w:r>
            <w:r>
              <w:rPr>
                <w:rFonts w:hint="eastAsia" w:ascii="Times New Roman"/>
                <w:color w:val="auto"/>
                <w:sz w:val="21"/>
                <w:szCs w:val="21"/>
                <w:highlight w:val="none"/>
                <w:lang w:val="en-US" w:eastAsia="zh-CN"/>
              </w:rPr>
              <w:t>2</w:t>
            </w:r>
            <w:r>
              <w:rPr>
                <w:rFonts w:hint="eastAsia" w:ascii="Times New Roman"/>
                <w:color w:val="auto"/>
                <w:sz w:val="21"/>
                <w:szCs w:val="21"/>
                <w:highlight w:val="none"/>
              </w:rPr>
              <w:t>分</w:t>
            </w:r>
            <w:r>
              <w:rPr>
                <w:rFonts w:ascii="Times New Roman"/>
                <w:color w:val="auto"/>
                <w:sz w:val="21"/>
                <w:szCs w:val="21"/>
                <w:highlight w:val="none"/>
              </w:rPr>
              <w:t>，最多得</w:t>
            </w:r>
            <w:r>
              <w:rPr>
                <w:rFonts w:hint="eastAsia" w:ascii="Times New Roman"/>
                <w:color w:val="auto"/>
                <w:sz w:val="21"/>
                <w:szCs w:val="21"/>
                <w:highlight w:val="none"/>
                <w:lang w:val="en-US" w:eastAsia="zh-CN"/>
              </w:rPr>
              <w:t>2</w:t>
            </w:r>
            <w:r>
              <w:rPr>
                <w:rFonts w:hint="eastAsia" w:ascii="Times New Roman"/>
                <w:color w:val="auto"/>
                <w:sz w:val="21"/>
                <w:szCs w:val="21"/>
                <w:highlight w:val="none"/>
              </w:rPr>
              <w:t>分</w:t>
            </w:r>
          </w:p>
        </w:tc>
        <w:tc>
          <w:tcPr>
            <w:tcW w:w="1170" w:type="dxa"/>
            <w:vAlign w:val="center"/>
          </w:tcPr>
          <w:p>
            <w:pPr>
              <w:adjustRightInd w:val="0"/>
              <w:snapToGrid w:val="0"/>
              <w:spacing w:line="410" w:lineRule="exact"/>
              <w:jc w:val="center"/>
              <w:rPr>
                <w:rFonts w:hint="eastAsia" w:ascii="Times New Roman" w:eastAsia="仿宋_GB2312"/>
                <w:color w:val="auto"/>
                <w:sz w:val="21"/>
                <w:szCs w:val="21"/>
                <w:highlight w:val="none"/>
                <w:lang w:eastAsia="zh-CN"/>
              </w:rPr>
            </w:pPr>
            <w:r>
              <w:rPr>
                <w:rFonts w:hint="eastAsia" w:ascii="Times New Roman" w:eastAsia="仿宋_GB2312"/>
                <w:color w:val="auto"/>
                <w:sz w:val="21"/>
                <w:szCs w:val="21"/>
                <w:highlight w:val="none"/>
              </w:rPr>
              <w:t>0</w:t>
            </w:r>
            <w:r>
              <w:rPr>
                <w:rFonts w:ascii="Times New Roman" w:eastAsia="仿宋_GB2312"/>
                <w:color w:val="auto"/>
                <w:sz w:val="21"/>
                <w:szCs w:val="21"/>
                <w:highlight w:val="none"/>
              </w:rPr>
              <w:t>≤m≤</w:t>
            </w:r>
            <w:r>
              <w:rPr>
                <w:rFonts w:hint="eastAsia" w:ascii="Times New Roman" w:eastAsia="仿宋_GB2312"/>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565"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3</w:t>
            </w:r>
          </w:p>
        </w:tc>
        <w:tc>
          <w:tcPr>
            <w:tcW w:w="1540"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技术负责人</w:t>
            </w:r>
          </w:p>
        </w:tc>
        <w:tc>
          <w:tcPr>
            <w:tcW w:w="854" w:type="dxa"/>
            <w:vMerge w:val="restart"/>
            <w:vAlign w:val="center"/>
          </w:tcPr>
          <w:p>
            <w:pPr>
              <w:adjustRightInd w:val="0"/>
              <w:snapToGrid w:val="0"/>
              <w:spacing w:line="410" w:lineRule="exact"/>
              <w:ind w:firstLine="315" w:firstLineChars="150"/>
              <w:rPr>
                <w:rFonts w:ascii="Times New Roman"/>
                <w:color w:val="auto"/>
                <w:sz w:val="21"/>
                <w:szCs w:val="21"/>
                <w:highlight w:val="none"/>
              </w:rPr>
            </w:pPr>
            <w:r>
              <w:rPr>
                <w:rFonts w:hint="eastAsia" w:ascii="Times New Roman"/>
                <w:color w:val="auto"/>
                <w:sz w:val="21"/>
                <w:szCs w:val="21"/>
                <w:highlight w:val="none"/>
              </w:rPr>
              <w:t>6</w:t>
            </w: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具有高级工程师职称的得</w:t>
            </w:r>
            <w:r>
              <w:rPr>
                <w:rFonts w:hint="eastAsia" w:ascii="Times New Roman"/>
                <w:color w:val="auto"/>
                <w:sz w:val="21"/>
                <w:szCs w:val="21"/>
                <w:highlight w:val="none"/>
                <w:lang w:val="en-US" w:eastAsia="zh-CN"/>
              </w:rPr>
              <w:t>4</w:t>
            </w:r>
            <w:r>
              <w:rPr>
                <w:rFonts w:ascii="Times New Roman"/>
                <w:color w:val="auto"/>
                <w:sz w:val="21"/>
                <w:szCs w:val="21"/>
                <w:highlight w:val="none"/>
              </w:rPr>
              <w:t>分</w:t>
            </w:r>
          </w:p>
        </w:tc>
        <w:tc>
          <w:tcPr>
            <w:tcW w:w="1170" w:type="dxa"/>
            <w:vAlign w:val="center"/>
          </w:tcPr>
          <w:p>
            <w:pPr>
              <w:adjustRightInd w:val="0"/>
              <w:snapToGrid w:val="0"/>
              <w:spacing w:line="410" w:lineRule="exact"/>
              <w:jc w:val="center"/>
              <w:rPr>
                <w:rFonts w:hint="eastAsia" w:ascii="Times New Roman" w:eastAsia="仿宋_GB2312"/>
                <w:color w:val="auto"/>
                <w:sz w:val="21"/>
                <w:szCs w:val="21"/>
                <w:highlight w:val="none"/>
                <w:lang w:eastAsia="zh-CN"/>
              </w:rPr>
            </w:pPr>
            <w:r>
              <w:rPr>
                <w:rFonts w:hint="eastAsia" w:ascii="Times New Roman" w:eastAsia="仿宋_GB2312"/>
                <w:color w:val="auto"/>
                <w:sz w:val="21"/>
                <w:szCs w:val="21"/>
                <w:highlight w:val="none"/>
              </w:rPr>
              <w:t>0</w:t>
            </w:r>
            <w:r>
              <w:rPr>
                <w:rFonts w:ascii="Times New Roman" w:eastAsia="仿宋_GB2312"/>
                <w:color w:val="auto"/>
                <w:sz w:val="21"/>
                <w:szCs w:val="21"/>
                <w:highlight w:val="none"/>
              </w:rPr>
              <w:t>≤m≤</w:t>
            </w:r>
            <w:r>
              <w:rPr>
                <w:rFonts w:hint="eastAsia" w:ascii="Times New Roman" w:eastAsia="仿宋_GB2312"/>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65"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1540"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854" w:type="dxa"/>
            <w:vMerge w:val="continue"/>
            <w:vAlign w:val="center"/>
          </w:tcPr>
          <w:p>
            <w:pPr>
              <w:adjustRightInd w:val="0"/>
              <w:snapToGrid w:val="0"/>
              <w:spacing w:line="410" w:lineRule="exact"/>
              <w:ind w:firstLine="420"/>
              <w:rPr>
                <w:rFonts w:ascii="Times New Roman"/>
                <w:color w:val="auto"/>
                <w:sz w:val="21"/>
                <w:szCs w:val="21"/>
                <w:highlight w:val="none"/>
              </w:rPr>
            </w:pP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担任过类似项目技术负责人，每具有一项的得</w:t>
            </w:r>
            <w:r>
              <w:rPr>
                <w:rFonts w:hint="eastAsia" w:ascii="Times New Roman"/>
                <w:color w:val="auto"/>
                <w:sz w:val="21"/>
                <w:szCs w:val="21"/>
                <w:highlight w:val="none"/>
                <w:lang w:val="en-US" w:eastAsia="zh-CN"/>
              </w:rPr>
              <w:t>2</w:t>
            </w:r>
            <w:r>
              <w:rPr>
                <w:rFonts w:hint="eastAsia" w:ascii="Times New Roman"/>
                <w:color w:val="auto"/>
                <w:sz w:val="21"/>
                <w:szCs w:val="21"/>
                <w:highlight w:val="none"/>
              </w:rPr>
              <w:t>分，</w:t>
            </w:r>
            <w:r>
              <w:rPr>
                <w:rFonts w:ascii="Times New Roman"/>
                <w:color w:val="auto"/>
                <w:sz w:val="21"/>
                <w:szCs w:val="21"/>
                <w:highlight w:val="none"/>
              </w:rPr>
              <w:t>最多得</w:t>
            </w:r>
            <w:r>
              <w:rPr>
                <w:rFonts w:hint="eastAsia" w:ascii="Times New Roman"/>
                <w:color w:val="auto"/>
                <w:sz w:val="21"/>
                <w:szCs w:val="21"/>
                <w:highlight w:val="none"/>
                <w:lang w:val="en-US" w:eastAsia="zh-CN"/>
              </w:rPr>
              <w:t>2</w:t>
            </w:r>
            <w:r>
              <w:rPr>
                <w:rFonts w:hint="eastAsia" w:ascii="Times New Roman"/>
                <w:color w:val="auto"/>
                <w:sz w:val="21"/>
                <w:szCs w:val="21"/>
                <w:highlight w:val="none"/>
              </w:rPr>
              <w:t>分</w:t>
            </w:r>
          </w:p>
        </w:tc>
        <w:tc>
          <w:tcPr>
            <w:tcW w:w="1170" w:type="dxa"/>
            <w:vAlign w:val="center"/>
          </w:tcPr>
          <w:p>
            <w:pPr>
              <w:adjustRightInd w:val="0"/>
              <w:snapToGrid w:val="0"/>
              <w:spacing w:line="410" w:lineRule="exact"/>
              <w:jc w:val="center"/>
              <w:rPr>
                <w:rFonts w:hint="eastAsia" w:ascii="Times New Roman" w:eastAsia="仿宋_GB2312"/>
                <w:color w:val="auto"/>
                <w:sz w:val="21"/>
                <w:szCs w:val="21"/>
                <w:highlight w:val="none"/>
                <w:lang w:eastAsia="zh-CN"/>
              </w:rPr>
            </w:pPr>
            <w:r>
              <w:rPr>
                <w:rFonts w:hint="eastAsia" w:ascii="Times New Roman" w:eastAsia="仿宋_GB2312"/>
                <w:color w:val="auto"/>
                <w:sz w:val="21"/>
                <w:szCs w:val="21"/>
                <w:highlight w:val="none"/>
              </w:rPr>
              <w:t>0</w:t>
            </w:r>
            <w:r>
              <w:rPr>
                <w:rFonts w:ascii="Times New Roman" w:eastAsia="仿宋_GB2312"/>
                <w:color w:val="auto"/>
                <w:sz w:val="21"/>
                <w:szCs w:val="21"/>
                <w:highlight w:val="none"/>
              </w:rPr>
              <w:t>≤m≤</w:t>
            </w:r>
            <w:r>
              <w:rPr>
                <w:rFonts w:hint="eastAsia" w:ascii="Times New Roman" w:eastAsia="仿宋_GB2312"/>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565"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4</w:t>
            </w:r>
          </w:p>
        </w:tc>
        <w:tc>
          <w:tcPr>
            <w:tcW w:w="1540"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主要检测技术人员</w:t>
            </w:r>
          </w:p>
        </w:tc>
        <w:tc>
          <w:tcPr>
            <w:tcW w:w="854" w:type="dxa"/>
            <w:vMerge w:val="restart"/>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6</w:t>
            </w: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具有相应试验检测从业证书的人员不少于15人的得</w:t>
            </w:r>
            <w:r>
              <w:rPr>
                <w:rFonts w:hint="eastAsia" w:ascii="Times New Roman"/>
                <w:color w:val="auto"/>
                <w:sz w:val="21"/>
                <w:szCs w:val="21"/>
                <w:highlight w:val="none"/>
              </w:rPr>
              <w:t>2</w:t>
            </w:r>
            <w:r>
              <w:rPr>
                <w:rFonts w:ascii="Times New Roman"/>
                <w:color w:val="auto"/>
                <w:sz w:val="21"/>
                <w:szCs w:val="21"/>
                <w:highlight w:val="none"/>
              </w:rPr>
              <w:t>分；满足以上要求且具有中级及以上工程师职称的检测人员不少于5人的得</w:t>
            </w:r>
            <w:r>
              <w:rPr>
                <w:rFonts w:hint="eastAsia" w:ascii="Times New Roman"/>
                <w:color w:val="auto"/>
                <w:sz w:val="21"/>
                <w:szCs w:val="21"/>
                <w:highlight w:val="none"/>
              </w:rPr>
              <w:t>2</w:t>
            </w:r>
            <w:r>
              <w:rPr>
                <w:rFonts w:ascii="Times New Roman"/>
                <w:color w:val="auto"/>
                <w:sz w:val="21"/>
                <w:szCs w:val="21"/>
                <w:highlight w:val="none"/>
              </w:rPr>
              <w:t>分。</w:t>
            </w:r>
          </w:p>
        </w:tc>
        <w:tc>
          <w:tcPr>
            <w:tcW w:w="1170"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0≤m≤</w:t>
            </w:r>
            <w:r>
              <w:rPr>
                <w:rFonts w:hint="eastAsia" w:ascii="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565"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1540"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854"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各专业人员配备合理且具有针对性满足本工程检测任务要求的得</w:t>
            </w:r>
            <w:r>
              <w:rPr>
                <w:rFonts w:hint="eastAsia" w:ascii="Times New Roman"/>
                <w:color w:val="auto"/>
                <w:sz w:val="21"/>
                <w:szCs w:val="21"/>
                <w:highlight w:val="none"/>
              </w:rPr>
              <w:t>1-2</w:t>
            </w:r>
            <w:r>
              <w:rPr>
                <w:rFonts w:ascii="Times New Roman"/>
                <w:color w:val="auto"/>
                <w:sz w:val="21"/>
                <w:szCs w:val="21"/>
                <w:highlight w:val="none"/>
              </w:rPr>
              <w:t>分，不满足的得0分。</w:t>
            </w:r>
          </w:p>
        </w:tc>
        <w:tc>
          <w:tcPr>
            <w:tcW w:w="1170"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0</w:t>
            </w: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565"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5</w:t>
            </w:r>
          </w:p>
        </w:tc>
        <w:tc>
          <w:tcPr>
            <w:tcW w:w="1540"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拟投入仪器、设备</w:t>
            </w:r>
          </w:p>
        </w:tc>
        <w:tc>
          <w:tcPr>
            <w:tcW w:w="854" w:type="dxa"/>
            <w:vMerge w:val="restart"/>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4</w:t>
            </w: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仪器设备数量齐全性：配备的检测、办公等设备对本工程检测工作的满足程度。</w:t>
            </w:r>
          </w:p>
        </w:tc>
        <w:tc>
          <w:tcPr>
            <w:tcW w:w="1170"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0≤m≤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65"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1540"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854"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仪器设备适用性：配备的检测、办公等设备对本工程检测工作的适用性及到位可能性。</w:t>
            </w:r>
          </w:p>
        </w:tc>
        <w:tc>
          <w:tcPr>
            <w:tcW w:w="1170"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0≤m≤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65"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6</w:t>
            </w:r>
          </w:p>
        </w:tc>
        <w:tc>
          <w:tcPr>
            <w:tcW w:w="1540" w:type="dxa"/>
            <w:vMerge w:val="restart"/>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履约能力</w:t>
            </w:r>
          </w:p>
        </w:tc>
        <w:tc>
          <w:tcPr>
            <w:tcW w:w="854" w:type="dxa"/>
            <w:vMerge w:val="restart"/>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2</w:t>
            </w: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履约能力强、信誉好</w:t>
            </w:r>
          </w:p>
        </w:tc>
        <w:tc>
          <w:tcPr>
            <w:tcW w:w="1170"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65"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1540"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854" w:type="dxa"/>
            <w:vMerge w:val="continue"/>
            <w:vAlign w:val="center"/>
          </w:tcPr>
          <w:p>
            <w:pPr>
              <w:adjustRightInd w:val="0"/>
              <w:snapToGrid w:val="0"/>
              <w:spacing w:line="410" w:lineRule="exact"/>
              <w:ind w:firstLine="420"/>
              <w:jc w:val="center"/>
              <w:rPr>
                <w:rFonts w:ascii="Times New Roman"/>
                <w:color w:val="auto"/>
                <w:sz w:val="21"/>
                <w:szCs w:val="21"/>
                <w:highlight w:val="none"/>
              </w:rPr>
            </w:pPr>
          </w:p>
        </w:tc>
        <w:tc>
          <w:tcPr>
            <w:tcW w:w="4776" w:type="dxa"/>
            <w:vAlign w:val="center"/>
          </w:tcPr>
          <w:p>
            <w:pPr>
              <w:adjustRightInd w:val="0"/>
              <w:snapToGrid w:val="0"/>
              <w:spacing w:line="410" w:lineRule="exact"/>
              <w:rPr>
                <w:rFonts w:ascii="Times New Roman"/>
                <w:color w:val="auto"/>
                <w:sz w:val="21"/>
                <w:szCs w:val="21"/>
                <w:highlight w:val="none"/>
              </w:rPr>
            </w:pPr>
            <w:r>
              <w:rPr>
                <w:rFonts w:ascii="Times New Roman"/>
                <w:color w:val="auto"/>
                <w:sz w:val="21"/>
                <w:szCs w:val="21"/>
                <w:highlight w:val="none"/>
              </w:rPr>
              <w:t>履约能力一般、信誉一般</w:t>
            </w:r>
          </w:p>
        </w:tc>
        <w:tc>
          <w:tcPr>
            <w:tcW w:w="1170" w:type="dxa"/>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m=</w:t>
            </w:r>
            <w:r>
              <w:rPr>
                <w:rFonts w:hint="eastAsia" w:ascii="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565" w:type="dxa"/>
            <w:vMerge w:val="restart"/>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7</w:t>
            </w:r>
          </w:p>
        </w:tc>
        <w:tc>
          <w:tcPr>
            <w:tcW w:w="1540" w:type="dxa"/>
            <w:vMerge w:val="restart"/>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企业实力</w:t>
            </w:r>
          </w:p>
        </w:tc>
        <w:tc>
          <w:tcPr>
            <w:tcW w:w="854"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6</w:t>
            </w:r>
          </w:p>
        </w:tc>
        <w:tc>
          <w:tcPr>
            <w:tcW w:w="4776" w:type="dxa"/>
            <w:vAlign w:val="center"/>
          </w:tcPr>
          <w:p>
            <w:pPr>
              <w:spacing w:line="420" w:lineRule="exact"/>
              <w:rPr>
                <w:rFonts w:ascii="Times New Roman"/>
                <w:color w:val="auto"/>
                <w:sz w:val="21"/>
                <w:szCs w:val="21"/>
                <w:highlight w:val="none"/>
              </w:rPr>
            </w:pPr>
            <w:r>
              <w:rPr>
                <w:rFonts w:hint="eastAsia" w:hAnsi="宋体" w:eastAsia="宋体" w:cs="宋体"/>
                <w:bCs/>
                <w:color w:val="auto"/>
                <w:sz w:val="21"/>
                <w:szCs w:val="21"/>
                <w:highlight w:val="none"/>
              </w:rPr>
              <w:t>取得质量管理体系、环境管理体系、职业健康管理体系等体系认证的，每有一项得2分，最多得6分</w:t>
            </w:r>
          </w:p>
        </w:tc>
        <w:tc>
          <w:tcPr>
            <w:tcW w:w="1170" w:type="dxa"/>
            <w:vAlign w:val="center"/>
          </w:tcPr>
          <w:p>
            <w:pPr>
              <w:spacing w:line="420" w:lineRule="exact"/>
              <w:jc w:val="center"/>
              <w:rPr>
                <w:rFonts w:ascii="Times New Roman"/>
                <w:color w:val="auto"/>
                <w:sz w:val="21"/>
                <w:szCs w:val="21"/>
                <w:highlight w:val="none"/>
              </w:rPr>
            </w:pPr>
            <w:r>
              <w:rPr>
                <w:rFonts w:ascii="Times New Roman"/>
                <w:color w:val="auto"/>
                <w:sz w:val="21"/>
                <w:szCs w:val="21"/>
                <w:highlight w:val="none"/>
              </w:rPr>
              <w:t>0≤m≤</w:t>
            </w:r>
            <w:r>
              <w:rPr>
                <w:rFonts w:hint="eastAsia" w:ascii="Times New Roman"/>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565" w:type="dxa"/>
            <w:vMerge w:val="continue"/>
            <w:vAlign w:val="center"/>
          </w:tcPr>
          <w:p>
            <w:pPr>
              <w:adjustRightInd w:val="0"/>
              <w:snapToGrid w:val="0"/>
              <w:spacing w:line="410" w:lineRule="exact"/>
              <w:rPr>
                <w:rFonts w:ascii="Times New Roman"/>
                <w:color w:val="auto"/>
                <w:sz w:val="21"/>
                <w:szCs w:val="21"/>
                <w:highlight w:val="none"/>
              </w:rPr>
            </w:pPr>
          </w:p>
        </w:tc>
        <w:tc>
          <w:tcPr>
            <w:tcW w:w="1540"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854"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2</w:t>
            </w:r>
          </w:p>
        </w:tc>
        <w:tc>
          <w:tcPr>
            <w:tcW w:w="4776" w:type="dxa"/>
            <w:vAlign w:val="center"/>
          </w:tcPr>
          <w:p>
            <w:pPr>
              <w:spacing w:line="420" w:lineRule="exact"/>
              <w:rPr>
                <w:rFonts w:ascii="Times New Roman"/>
                <w:color w:val="auto"/>
                <w:sz w:val="21"/>
                <w:szCs w:val="21"/>
                <w:highlight w:val="none"/>
              </w:rPr>
            </w:pPr>
            <w:r>
              <w:rPr>
                <w:rFonts w:hint="eastAsia" w:hAnsi="宋体" w:eastAsia="宋体" w:cs="宋体"/>
                <w:bCs/>
                <w:color w:val="auto"/>
                <w:sz w:val="21"/>
                <w:szCs w:val="21"/>
                <w:highlight w:val="none"/>
              </w:rPr>
              <w:t>《企业信用报告》为AAA级的得2分，其他等级不得分</w:t>
            </w:r>
          </w:p>
        </w:tc>
        <w:tc>
          <w:tcPr>
            <w:tcW w:w="1170" w:type="dxa"/>
            <w:vAlign w:val="center"/>
          </w:tcPr>
          <w:p>
            <w:pPr>
              <w:spacing w:line="420" w:lineRule="exact"/>
              <w:jc w:val="center"/>
              <w:rPr>
                <w:rFonts w:ascii="Times New Roman"/>
                <w:color w:val="auto"/>
                <w:sz w:val="21"/>
                <w:szCs w:val="21"/>
                <w:highlight w:val="none"/>
              </w:rPr>
            </w:pPr>
            <w:r>
              <w:rPr>
                <w:rFonts w:ascii="Times New Roman"/>
                <w:color w:val="auto"/>
                <w:sz w:val="21"/>
                <w:szCs w:val="21"/>
                <w:highlight w:val="none"/>
              </w:rPr>
              <w:t>0≤m≤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565" w:type="dxa"/>
            <w:vMerge w:val="continue"/>
            <w:vAlign w:val="center"/>
          </w:tcPr>
          <w:p>
            <w:pPr>
              <w:adjustRightInd w:val="0"/>
              <w:snapToGrid w:val="0"/>
              <w:spacing w:line="410" w:lineRule="exact"/>
              <w:rPr>
                <w:rFonts w:ascii="Times New Roman"/>
                <w:color w:val="auto"/>
                <w:sz w:val="21"/>
                <w:szCs w:val="21"/>
                <w:highlight w:val="none"/>
              </w:rPr>
            </w:pPr>
          </w:p>
        </w:tc>
        <w:tc>
          <w:tcPr>
            <w:tcW w:w="1540" w:type="dxa"/>
            <w:vMerge w:val="continue"/>
            <w:vAlign w:val="center"/>
          </w:tcPr>
          <w:p>
            <w:pPr>
              <w:adjustRightInd w:val="0"/>
              <w:snapToGrid w:val="0"/>
              <w:spacing w:line="410" w:lineRule="exact"/>
              <w:jc w:val="center"/>
              <w:rPr>
                <w:rFonts w:ascii="Times New Roman"/>
                <w:color w:val="auto"/>
                <w:sz w:val="21"/>
                <w:szCs w:val="21"/>
                <w:highlight w:val="none"/>
              </w:rPr>
            </w:pPr>
          </w:p>
        </w:tc>
        <w:tc>
          <w:tcPr>
            <w:tcW w:w="854" w:type="dxa"/>
            <w:vAlign w:val="center"/>
          </w:tcPr>
          <w:p>
            <w:pPr>
              <w:adjustRightInd w:val="0"/>
              <w:snapToGrid w:val="0"/>
              <w:spacing w:line="410" w:lineRule="exact"/>
              <w:jc w:val="center"/>
              <w:rPr>
                <w:rFonts w:ascii="Times New Roman"/>
                <w:color w:val="auto"/>
                <w:sz w:val="21"/>
                <w:szCs w:val="21"/>
                <w:highlight w:val="none"/>
              </w:rPr>
            </w:pPr>
            <w:r>
              <w:rPr>
                <w:rFonts w:hint="eastAsia" w:ascii="Times New Roman"/>
                <w:color w:val="auto"/>
                <w:sz w:val="21"/>
                <w:szCs w:val="21"/>
                <w:highlight w:val="none"/>
              </w:rPr>
              <w:t>2</w:t>
            </w:r>
          </w:p>
        </w:tc>
        <w:tc>
          <w:tcPr>
            <w:tcW w:w="4776" w:type="dxa"/>
            <w:vAlign w:val="center"/>
          </w:tcPr>
          <w:p>
            <w:pPr>
              <w:spacing w:line="420" w:lineRule="exact"/>
              <w:rPr>
                <w:rFonts w:ascii="Times New Roman" w:eastAsia="宋体"/>
                <w:color w:val="auto"/>
                <w:sz w:val="21"/>
                <w:szCs w:val="21"/>
                <w:highlight w:val="none"/>
              </w:rPr>
            </w:pPr>
            <w:r>
              <w:rPr>
                <w:rFonts w:hint="eastAsia" w:ascii="Times New Roman"/>
                <w:color w:val="auto"/>
                <w:sz w:val="21"/>
                <w:szCs w:val="21"/>
                <w:highlight w:val="none"/>
              </w:rPr>
              <w:t>2015年1月1日内以来，</w:t>
            </w:r>
            <w:r>
              <w:rPr>
                <w:rFonts w:hint="eastAsia" w:hAnsi="宋体" w:eastAsia="宋体" w:cs="宋体"/>
                <w:bCs/>
                <w:color w:val="auto"/>
                <w:sz w:val="21"/>
                <w:szCs w:val="21"/>
                <w:highlight w:val="none"/>
              </w:rPr>
              <w:t>提供获得一项国家行业先进单位得1分，获得一项省级、市级奖项各得0.5分，本项最多得2分。</w:t>
            </w:r>
          </w:p>
        </w:tc>
        <w:tc>
          <w:tcPr>
            <w:tcW w:w="1170" w:type="dxa"/>
            <w:vAlign w:val="center"/>
          </w:tcPr>
          <w:p>
            <w:pPr>
              <w:spacing w:line="420" w:lineRule="exact"/>
              <w:jc w:val="center"/>
              <w:rPr>
                <w:rFonts w:ascii="Times New Roman"/>
                <w:color w:val="auto"/>
                <w:sz w:val="21"/>
                <w:szCs w:val="21"/>
                <w:highlight w:val="none"/>
              </w:rPr>
            </w:pPr>
            <w:r>
              <w:rPr>
                <w:rFonts w:ascii="Times New Roman"/>
                <w:color w:val="auto"/>
                <w:sz w:val="21"/>
                <w:szCs w:val="21"/>
                <w:highlight w:val="none"/>
              </w:rPr>
              <w:t>0≤m≤</w:t>
            </w:r>
            <w:r>
              <w:rPr>
                <w:rFonts w:hint="eastAsia" w:ascii="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105" w:type="dxa"/>
            <w:gridSpan w:val="2"/>
            <w:vAlign w:val="center"/>
          </w:tcPr>
          <w:p>
            <w:pPr>
              <w:adjustRightInd w:val="0"/>
              <w:snapToGrid w:val="0"/>
              <w:spacing w:line="410" w:lineRule="exact"/>
              <w:jc w:val="center"/>
              <w:rPr>
                <w:rFonts w:ascii="Times New Roman"/>
                <w:color w:val="auto"/>
                <w:sz w:val="21"/>
                <w:szCs w:val="21"/>
                <w:highlight w:val="none"/>
              </w:rPr>
            </w:pPr>
            <w:r>
              <w:rPr>
                <w:rFonts w:ascii="Times New Roman"/>
                <w:color w:val="auto"/>
                <w:sz w:val="21"/>
                <w:szCs w:val="21"/>
                <w:highlight w:val="none"/>
              </w:rPr>
              <w:t>商务得分</w:t>
            </w:r>
          </w:p>
        </w:tc>
        <w:tc>
          <w:tcPr>
            <w:tcW w:w="6800" w:type="dxa"/>
            <w:gridSpan w:val="3"/>
            <w:vAlign w:val="center"/>
          </w:tcPr>
          <w:p>
            <w:pPr>
              <w:adjustRightInd w:val="0"/>
              <w:snapToGrid w:val="0"/>
              <w:spacing w:line="410" w:lineRule="exact"/>
              <w:ind w:firstLine="420"/>
              <w:jc w:val="center"/>
              <w:rPr>
                <w:rFonts w:ascii="Times New Roman"/>
                <w:color w:val="auto"/>
                <w:sz w:val="21"/>
                <w:szCs w:val="21"/>
                <w:highlight w:val="none"/>
              </w:rPr>
            </w:pPr>
            <w:r>
              <w:rPr>
                <w:rFonts w:hint="eastAsia" w:ascii="Times New Roman"/>
                <w:color w:val="auto"/>
                <w:sz w:val="21"/>
                <w:szCs w:val="21"/>
                <w:highlight w:val="none"/>
              </w:rPr>
              <w:t>40</w:t>
            </w:r>
          </w:p>
        </w:tc>
      </w:tr>
    </w:tbl>
    <w:p>
      <w:pPr>
        <w:widowControl/>
        <w:ind w:firstLine="420"/>
        <w:rPr>
          <w:color w:val="auto"/>
          <w:sz w:val="21"/>
          <w:szCs w:val="21"/>
          <w:highlight w:val="none"/>
        </w:rPr>
      </w:pPr>
      <w:r>
        <w:rPr>
          <w:color w:val="auto"/>
          <w:sz w:val="21"/>
          <w:szCs w:val="21"/>
          <w:highlight w:val="none"/>
        </w:rPr>
        <w:t>备注：1.有效投标人是指通过本章评审标准规定的投标人。</w:t>
      </w:r>
    </w:p>
    <w:p>
      <w:pPr>
        <w:ind w:firstLine="420"/>
        <w:rPr>
          <w:color w:val="auto"/>
          <w:sz w:val="21"/>
          <w:szCs w:val="21"/>
          <w:highlight w:val="none"/>
        </w:rPr>
      </w:pPr>
      <w:r>
        <w:rPr>
          <w:color w:val="auto"/>
          <w:sz w:val="21"/>
          <w:szCs w:val="21"/>
          <w:highlight w:val="none"/>
        </w:rPr>
        <w:t>2.投标人、项目负责人、技术负责人的同一类似项目业绩可重复计分。</w:t>
      </w:r>
    </w:p>
    <w:p>
      <w:pPr>
        <w:ind w:firstLine="420"/>
        <w:rPr>
          <w:color w:val="auto"/>
          <w:sz w:val="21"/>
          <w:szCs w:val="21"/>
          <w:highlight w:val="none"/>
        </w:rPr>
      </w:pPr>
      <w:r>
        <w:rPr>
          <w:color w:val="auto"/>
          <w:sz w:val="21"/>
          <w:szCs w:val="21"/>
          <w:highlight w:val="none"/>
        </w:rPr>
        <w:t>3.投标人类似项目业绩证明材料是</w:t>
      </w:r>
      <w:r>
        <w:rPr>
          <w:b/>
          <w:color w:val="auto"/>
          <w:sz w:val="21"/>
          <w:szCs w:val="21"/>
          <w:highlight w:val="none"/>
        </w:rPr>
        <w:t>合同协议书及</w:t>
      </w:r>
      <w:r>
        <w:rPr>
          <w:rFonts w:hint="eastAsia"/>
          <w:b/>
          <w:color w:val="auto"/>
          <w:sz w:val="21"/>
          <w:szCs w:val="21"/>
          <w:highlight w:val="none"/>
        </w:rPr>
        <w:t>中标通知书或</w:t>
      </w:r>
      <w:r>
        <w:rPr>
          <w:b/>
          <w:color w:val="auto"/>
          <w:sz w:val="21"/>
          <w:szCs w:val="21"/>
          <w:highlight w:val="none"/>
        </w:rPr>
        <w:t>合同协议书及完工证明（工程接收证书或竣工验收备案表或竣工验收记录或竣工验收报告或业主证明文件）</w:t>
      </w:r>
      <w:r>
        <w:rPr>
          <w:color w:val="auto"/>
          <w:sz w:val="21"/>
          <w:szCs w:val="21"/>
          <w:highlight w:val="none"/>
        </w:rPr>
        <w:t>，缺少其中任何一项证明材料的，视为无效业绩。</w:t>
      </w:r>
    </w:p>
    <w:p>
      <w:pPr>
        <w:ind w:firstLine="420"/>
        <w:rPr>
          <w:color w:val="auto"/>
          <w:sz w:val="21"/>
          <w:szCs w:val="21"/>
          <w:highlight w:val="none"/>
        </w:rPr>
      </w:pPr>
      <w:r>
        <w:rPr>
          <w:color w:val="auto"/>
          <w:sz w:val="21"/>
          <w:szCs w:val="21"/>
          <w:highlight w:val="none"/>
        </w:rPr>
        <w:t>4.项目负责人及技术负责人类似项目业绩证明材料是</w:t>
      </w:r>
      <w:r>
        <w:rPr>
          <w:b/>
          <w:color w:val="auto"/>
          <w:sz w:val="21"/>
          <w:szCs w:val="21"/>
          <w:highlight w:val="none"/>
        </w:rPr>
        <w:t>合同协议书及完工证明（工程接收证书或竣工验收备案表或竣工验收记录或竣工验收报告或业主证明文件）</w:t>
      </w:r>
      <w:r>
        <w:rPr>
          <w:color w:val="auto"/>
          <w:sz w:val="21"/>
          <w:szCs w:val="21"/>
          <w:highlight w:val="none"/>
        </w:rPr>
        <w:t>，合同协议书中应体现其姓名及所担任的职务等信息，如以上资料内未显示人员名称，可提供业主（或委托方）开具的证明文件，以上资料缺一不可。</w:t>
      </w:r>
    </w:p>
    <w:p>
      <w:pPr>
        <w:ind w:firstLine="420"/>
        <w:rPr>
          <w:color w:val="auto"/>
          <w:sz w:val="21"/>
          <w:szCs w:val="21"/>
          <w:highlight w:val="none"/>
        </w:rPr>
      </w:pPr>
      <w:r>
        <w:rPr>
          <w:color w:val="auto"/>
          <w:sz w:val="21"/>
          <w:szCs w:val="21"/>
          <w:highlight w:val="none"/>
        </w:rPr>
        <w:t>5.如项目负责人及技术负责人类似项目业绩证明材料中出现姓名及所担任的职务信息不一致的情况，投标人须附相关变更资料。</w:t>
      </w:r>
    </w:p>
    <w:p>
      <w:pPr>
        <w:ind w:firstLine="420"/>
        <w:rPr>
          <w:color w:val="auto"/>
          <w:highlight w:val="none"/>
        </w:rPr>
      </w:pPr>
      <w:r>
        <w:rPr>
          <w:rFonts w:hint="eastAsia"/>
          <w:color w:val="auto"/>
          <w:sz w:val="21"/>
          <w:szCs w:val="21"/>
          <w:highlight w:val="none"/>
        </w:rPr>
        <w:t>6、类似业绩是指合同额200万以上的城市轨道交通项目检测业绩。</w:t>
      </w:r>
    </w:p>
    <w:p>
      <w:pPr>
        <w:widowControl/>
        <w:ind w:firstLine="420"/>
        <w:rPr>
          <w:color w:val="auto"/>
          <w:sz w:val="21"/>
          <w:szCs w:val="21"/>
          <w:highlight w:val="none"/>
        </w:rPr>
      </w:pPr>
    </w:p>
    <w:p>
      <w:pPr>
        <w:pStyle w:val="9"/>
        <w:spacing w:line="410" w:lineRule="exact"/>
        <w:ind w:firstLine="0" w:firstLineChars="0"/>
        <w:rPr>
          <w:color w:val="auto"/>
          <w:highlight w:val="none"/>
        </w:rPr>
      </w:pPr>
      <w:r>
        <w:rPr>
          <w:color w:val="auto"/>
          <w:highlight w:val="none"/>
        </w:rPr>
        <w:br w:type="page"/>
      </w:r>
    </w:p>
    <w:p>
      <w:pPr>
        <w:pStyle w:val="3"/>
        <w:spacing w:line="410" w:lineRule="exact"/>
        <w:rPr>
          <w:rFonts w:ascii="Times New Roman" w:hAnsi="Times New Roman"/>
          <w:color w:val="auto"/>
          <w:sz w:val="24"/>
          <w:szCs w:val="24"/>
          <w:highlight w:val="none"/>
        </w:rPr>
      </w:pPr>
      <w:bookmarkStart w:id="78" w:name="_Toc18010"/>
      <w:bookmarkStart w:id="79" w:name="_Toc8144"/>
      <w:r>
        <w:rPr>
          <w:rFonts w:ascii="Times New Roman" w:hAnsi="Times New Roman"/>
          <w:color w:val="auto"/>
          <w:sz w:val="24"/>
          <w:szCs w:val="24"/>
          <w:highlight w:val="none"/>
        </w:rPr>
        <w:t xml:space="preserve">1. </w:t>
      </w:r>
      <w:bookmarkEnd w:id="74"/>
      <w:r>
        <w:rPr>
          <w:rFonts w:hint="eastAsia" w:ascii="Times New Roman" w:hAnsi="Times New Roman"/>
          <w:color w:val="auto"/>
          <w:sz w:val="24"/>
          <w:szCs w:val="24"/>
          <w:highlight w:val="none"/>
        </w:rPr>
        <w:t>评标方法</w:t>
      </w:r>
      <w:bookmarkEnd w:id="75"/>
      <w:bookmarkEnd w:id="78"/>
      <w:bookmarkEnd w:id="79"/>
    </w:p>
    <w:p>
      <w:pPr>
        <w:autoSpaceDE w:val="0"/>
        <w:autoSpaceDN w:val="0"/>
        <w:adjustRightInd w:val="0"/>
        <w:spacing w:before="56" w:line="410" w:lineRule="exact"/>
        <w:ind w:left="120" w:right="98" w:firstLine="420"/>
        <w:jc w:val="left"/>
        <w:rPr>
          <w:color w:val="auto"/>
          <w:sz w:val="24"/>
          <w:szCs w:val="24"/>
          <w:highlight w:val="none"/>
        </w:rPr>
      </w:pPr>
      <w:r>
        <w:rPr>
          <w:rFonts w:hint="eastAsia"/>
          <w:color w:val="auto"/>
          <w:sz w:val="24"/>
          <w:szCs w:val="24"/>
          <w:highlight w:val="none"/>
        </w:rPr>
        <w:t>评标委员会对满足招标文件实质性要求的投标文件按公平、公正、科学、择优的原则</w:t>
      </w:r>
      <w:r>
        <w:rPr>
          <w:rFonts w:hint="eastAsia"/>
          <w:color w:val="auto"/>
          <w:spacing w:val="-47"/>
          <w:sz w:val="24"/>
          <w:szCs w:val="24"/>
          <w:highlight w:val="none"/>
        </w:rPr>
        <w:t>，</w:t>
      </w:r>
      <w:r>
        <w:rPr>
          <w:rFonts w:hint="eastAsia"/>
          <w:color w:val="auto"/>
          <w:sz w:val="24"/>
          <w:szCs w:val="24"/>
          <w:highlight w:val="none"/>
        </w:rPr>
        <w:t>按照本章第</w:t>
      </w:r>
      <w:r>
        <w:rPr>
          <w:color w:val="auto"/>
          <w:spacing w:val="1"/>
          <w:sz w:val="24"/>
          <w:szCs w:val="24"/>
          <w:highlight w:val="none"/>
        </w:rPr>
        <w:t>2</w:t>
      </w:r>
      <w:r>
        <w:rPr>
          <w:color w:val="auto"/>
          <w:spacing w:val="-1"/>
          <w:sz w:val="24"/>
          <w:szCs w:val="24"/>
          <w:highlight w:val="none"/>
        </w:rPr>
        <w:t>.</w:t>
      </w:r>
      <w:r>
        <w:rPr>
          <w:color w:val="auto"/>
          <w:sz w:val="24"/>
          <w:szCs w:val="24"/>
          <w:highlight w:val="none"/>
        </w:rPr>
        <w:t>2</w:t>
      </w:r>
      <w:r>
        <w:rPr>
          <w:rFonts w:hint="eastAsia"/>
          <w:color w:val="auto"/>
          <w:sz w:val="24"/>
          <w:szCs w:val="24"/>
          <w:highlight w:val="none"/>
        </w:rPr>
        <w:t>款</w:t>
      </w:r>
      <w:r>
        <w:rPr>
          <w:rFonts w:hint="eastAsia"/>
          <w:color w:val="auto"/>
          <w:spacing w:val="-1"/>
          <w:sz w:val="24"/>
          <w:szCs w:val="24"/>
          <w:highlight w:val="none"/>
        </w:rPr>
        <w:t>规</w:t>
      </w:r>
      <w:r>
        <w:rPr>
          <w:rFonts w:hint="eastAsia"/>
          <w:color w:val="auto"/>
          <w:sz w:val="24"/>
          <w:szCs w:val="24"/>
          <w:highlight w:val="none"/>
        </w:rPr>
        <w:t>定的评分标准进行打分</w:t>
      </w:r>
      <w:r>
        <w:rPr>
          <w:rFonts w:hint="eastAsia"/>
          <w:color w:val="auto"/>
          <w:spacing w:val="-20"/>
          <w:sz w:val="24"/>
          <w:szCs w:val="24"/>
          <w:highlight w:val="none"/>
        </w:rPr>
        <w:t>，</w:t>
      </w:r>
      <w:r>
        <w:rPr>
          <w:rFonts w:hint="eastAsia"/>
          <w:color w:val="auto"/>
          <w:sz w:val="24"/>
          <w:szCs w:val="24"/>
          <w:highlight w:val="none"/>
        </w:rPr>
        <w:t>并按得分由高到低的顺序推荐中标候选人</w:t>
      </w:r>
      <w:r>
        <w:rPr>
          <w:rFonts w:hint="eastAsia"/>
          <w:color w:val="auto"/>
          <w:spacing w:val="-20"/>
          <w:sz w:val="24"/>
          <w:szCs w:val="24"/>
          <w:highlight w:val="none"/>
        </w:rPr>
        <w:t>，</w:t>
      </w:r>
      <w:r>
        <w:rPr>
          <w:rFonts w:hint="eastAsia"/>
          <w:color w:val="auto"/>
          <w:sz w:val="24"/>
          <w:szCs w:val="24"/>
          <w:highlight w:val="none"/>
        </w:rPr>
        <w:t>或根据招标人授权直接确定中标人</w:t>
      </w:r>
      <w:r>
        <w:rPr>
          <w:rFonts w:hint="eastAsia"/>
          <w:color w:val="auto"/>
          <w:spacing w:val="-31"/>
          <w:sz w:val="24"/>
          <w:szCs w:val="24"/>
          <w:highlight w:val="none"/>
        </w:rPr>
        <w:t>，</w:t>
      </w:r>
      <w:r>
        <w:rPr>
          <w:rFonts w:hint="eastAsia"/>
          <w:color w:val="auto"/>
          <w:sz w:val="24"/>
          <w:szCs w:val="24"/>
          <w:highlight w:val="none"/>
        </w:rPr>
        <w:t>但投标报价低于其成本的除外</w:t>
      </w:r>
      <w:r>
        <w:rPr>
          <w:rFonts w:hint="eastAsia"/>
          <w:color w:val="auto"/>
          <w:spacing w:val="-31"/>
          <w:sz w:val="24"/>
          <w:szCs w:val="24"/>
          <w:highlight w:val="none"/>
        </w:rPr>
        <w:t>。</w:t>
      </w:r>
      <w:r>
        <w:rPr>
          <w:rFonts w:hint="eastAsia"/>
          <w:color w:val="auto"/>
          <w:sz w:val="24"/>
          <w:szCs w:val="24"/>
          <w:highlight w:val="none"/>
        </w:rPr>
        <w:t>综合评分相等时</w:t>
      </w:r>
      <w:r>
        <w:rPr>
          <w:rFonts w:hint="eastAsia"/>
          <w:color w:val="auto"/>
          <w:spacing w:val="-31"/>
          <w:sz w:val="24"/>
          <w:szCs w:val="24"/>
          <w:highlight w:val="none"/>
        </w:rPr>
        <w:t>，</w:t>
      </w:r>
      <w:r>
        <w:rPr>
          <w:rFonts w:hint="eastAsia"/>
          <w:color w:val="auto"/>
          <w:sz w:val="24"/>
          <w:szCs w:val="24"/>
          <w:highlight w:val="none"/>
        </w:rPr>
        <w:t>以投标报价低的优先；投标报价也相等的，由评标委员会根据业绩等因素择</w:t>
      </w:r>
      <w:bookmarkStart w:id="80" w:name="_Toc31063"/>
      <w:r>
        <w:rPr>
          <w:rFonts w:hint="eastAsia"/>
          <w:color w:val="auto"/>
          <w:sz w:val="24"/>
          <w:szCs w:val="24"/>
          <w:highlight w:val="none"/>
        </w:rPr>
        <w:t>优确定。</w:t>
      </w:r>
    </w:p>
    <w:p>
      <w:pPr>
        <w:pStyle w:val="3"/>
        <w:spacing w:line="410" w:lineRule="exact"/>
        <w:rPr>
          <w:rFonts w:ascii="Times New Roman" w:hAnsi="Times New Roman"/>
          <w:color w:val="auto"/>
          <w:sz w:val="24"/>
          <w:szCs w:val="24"/>
          <w:highlight w:val="none"/>
        </w:rPr>
      </w:pPr>
      <w:bookmarkStart w:id="81" w:name="_Toc18191"/>
      <w:bookmarkStart w:id="82" w:name="_Toc391119484"/>
      <w:bookmarkStart w:id="83" w:name="_Toc24858"/>
      <w:r>
        <w:rPr>
          <w:rFonts w:ascii="Times New Roman" w:hAnsi="Times New Roman"/>
          <w:color w:val="auto"/>
          <w:sz w:val="24"/>
          <w:szCs w:val="24"/>
          <w:highlight w:val="none"/>
        </w:rPr>
        <w:t xml:space="preserve">2. </w:t>
      </w:r>
      <w:bookmarkEnd w:id="80"/>
      <w:bookmarkStart w:id="84" w:name="_Toc27388"/>
      <w:r>
        <w:rPr>
          <w:rFonts w:hint="eastAsia" w:ascii="Times New Roman" w:hAnsi="Times New Roman"/>
          <w:color w:val="auto"/>
          <w:sz w:val="24"/>
          <w:szCs w:val="24"/>
          <w:highlight w:val="none"/>
        </w:rPr>
        <w:t>评审标准</w:t>
      </w:r>
      <w:bookmarkEnd w:id="81"/>
      <w:bookmarkEnd w:id="82"/>
      <w:bookmarkEnd w:id="83"/>
    </w:p>
    <w:p>
      <w:pPr>
        <w:pStyle w:val="4"/>
        <w:spacing w:line="410" w:lineRule="exact"/>
        <w:ind w:firstLine="422"/>
        <w:rPr>
          <w:rFonts w:ascii="Times New Roman"/>
          <w:color w:val="auto"/>
          <w:sz w:val="24"/>
          <w:szCs w:val="24"/>
          <w:highlight w:val="none"/>
        </w:rPr>
      </w:pPr>
      <w:r>
        <w:rPr>
          <w:rFonts w:ascii="Times New Roman"/>
          <w:color w:val="auto"/>
          <w:sz w:val="24"/>
          <w:szCs w:val="24"/>
          <w:highlight w:val="none"/>
        </w:rPr>
        <w:t xml:space="preserve">2.1  </w:t>
      </w:r>
      <w:r>
        <w:rPr>
          <w:rFonts w:hint="eastAsia" w:ascii="Times New Roman"/>
          <w:color w:val="auto"/>
          <w:sz w:val="24"/>
          <w:szCs w:val="24"/>
          <w:highlight w:val="none"/>
        </w:rPr>
        <w:t>初</w:t>
      </w:r>
      <w:bookmarkEnd w:id="84"/>
      <w:r>
        <w:rPr>
          <w:rFonts w:hint="eastAsia" w:ascii="Times New Roman"/>
          <w:color w:val="auto"/>
          <w:sz w:val="24"/>
          <w:szCs w:val="24"/>
          <w:highlight w:val="none"/>
        </w:rPr>
        <w:t>步评审标准</w:t>
      </w:r>
    </w:p>
    <w:p>
      <w:pPr>
        <w:autoSpaceDE w:val="0"/>
        <w:autoSpaceDN w:val="0"/>
        <w:adjustRightInd w:val="0"/>
        <w:spacing w:line="400" w:lineRule="exact"/>
        <w:ind w:left="540" w:right="-20" w:firstLine="420"/>
        <w:jc w:val="left"/>
        <w:rPr>
          <w:color w:val="auto"/>
          <w:sz w:val="24"/>
          <w:szCs w:val="24"/>
          <w:highlight w:val="none"/>
        </w:rPr>
      </w:pPr>
      <w:r>
        <w:rPr>
          <w:color w:val="auto"/>
          <w:sz w:val="24"/>
          <w:szCs w:val="24"/>
          <w:highlight w:val="none"/>
        </w:rPr>
        <w:t xml:space="preserve">2.1.1  </w:t>
      </w:r>
      <w:r>
        <w:rPr>
          <w:rFonts w:hint="eastAsia"/>
          <w:color w:val="auto"/>
          <w:sz w:val="24"/>
          <w:szCs w:val="24"/>
          <w:highlight w:val="none"/>
        </w:rPr>
        <w:t>形式评审标准：见评标办法前附表。</w:t>
      </w:r>
    </w:p>
    <w:p>
      <w:pPr>
        <w:autoSpaceDE w:val="0"/>
        <w:autoSpaceDN w:val="0"/>
        <w:adjustRightInd w:val="0"/>
        <w:spacing w:line="400" w:lineRule="exact"/>
        <w:ind w:left="540" w:right="-20" w:firstLine="420"/>
        <w:jc w:val="left"/>
        <w:rPr>
          <w:color w:val="auto"/>
          <w:sz w:val="24"/>
          <w:szCs w:val="24"/>
          <w:highlight w:val="none"/>
        </w:rPr>
      </w:pPr>
      <w:r>
        <w:rPr>
          <w:color w:val="auto"/>
          <w:sz w:val="24"/>
          <w:szCs w:val="24"/>
          <w:highlight w:val="none"/>
        </w:rPr>
        <w:t xml:space="preserve">2.1.2  </w:t>
      </w:r>
      <w:r>
        <w:rPr>
          <w:rFonts w:hint="eastAsia"/>
          <w:color w:val="auto"/>
          <w:sz w:val="24"/>
          <w:szCs w:val="24"/>
          <w:highlight w:val="none"/>
        </w:rPr>
        <w:t>资格评审标准：见评标办法前附表。</w:t>
      </w:r>
    </w:p>
    <w:p>
      <w:pPr>
        <w:autoSpaceDE w:val="0"/>
        <w:autoSpaceDN w:val="0"/>
        <w:adjustRightInd w:val="0"/>
        <w:spacing w:line="400" w:lineRule="exact"/>
        <w:ind w:left="540" w:right="-20" w:firstLine="420"/>
        <w:jc w:val="left"/>
        <w:rPr>
          <w:color w:val="auto"/>
          <w:sz w:val="24"/>
          <w:szCs w:val="24"/>
          <w:highlight w:val="none"/>
        </w:rPr>
      </w:pPr>
      <w:r>
        <w:rPr>
          <w:color w:val="auto"/>
          <w:sz w:val="24"/>
          <w:szCs w:val="24"/>
          <w:highlight w:val="none"/>
        </w:rPr>
        <w:t xml:space="preserve">2.1.3  </w:t>
      </w:r>
      <w:r>
        <w:rPr>
          <w:rFonts w:hint="eastAsia"/>
          <w:color w:val="auto"/>
          <w:sz w:val="24"/>
          <w:szCs w:val="24"/>
          <w:highlight w:val="none"/>
        </w:rPr>
        <w:t>响应性评审标准：见评标办法</w:t>
      </w:r>
      <w:bookmarkStart w:id="85" w:name="_Toc13388"/>
      <w:r>
        <w:rPr>
          <w:rFonts w:hint="eastAsia"/>
          <w:color w:val="auto"/>
          <w:sz w:val="24"/>
          <w:szCs w:val="24"/>
          <w:highlight w:val="none"/>
        </w:rPr>
        <w:t>前附表。</w:t>
      </w:r>
    </w:p>
    <w:p>
      <w:pPr>
        <w:pStyle w:val="4"/>
        <w:spacing w:line="410" w:lineRule="exact"/>
        <w:ind w:firstLine="422"/>
        <w:rPr>
          <w:rFonts w:ascii="Times New Roman"/>
          <w:color w:val="auto"/>
          <w:sz w:val="24"/>
          <w:szCs w:val="24"/>
          <w:highlight w:val="none"/>
        </w:rPr>
      </w:pPr>
      <w:r>
        <w:rPr>
          <w:rFonts w:ascii="Times New Roman"/>
          <w:color w:val="auto"/>
          <w:sz w:val="24"/>
          <w:szCs w:val="24"/>
          <w:highlight w:val="none"/>
        </w:rPr>
        <w:t xml:space="preserve">2.2  </w:t>
      </w:r>
      <w:r>
        <w:rPr>
          <w:rFonts w:hint="eastAsia" w:ascii="Times New Roman"/>
          <w:color w:val="auto"/>
          <w:sz w:val="24"/>
          <w:szCs w:val="24"/>
          <w:highlight w:val="none"/>
        </w:rPr>
        <w:t>分值构成</w:t>
      </w:r>
      <w:bookmarkEnd w:id="85"/>
      <w:r>
        <w:rPr>
          <w:rFonts w:hint="eastAsia" w:ascii="Times New Roman"/>
          <w:color w:val="auto"/>
          <w:sz w:val="24"/>
          <w:szCs w:val="24"/>
          <w:highlight w:val="none"/>
        </w:rPr>
        <w:t>与评分标准</w:t>
      </w:r>
    </w:p>
    <w:p>
      <w:pPr>
        <w:autoSpaceDE w:val="0"/>
        <w:autoSpaceDN w:val="0"/>
        <w:adjustRightInd w:val="0"/>
        <w:spacing w:before="64" w:line="410" w:lineRule="exact"/>
        <w:ind w:left="540" w:right="-20" w:firstLine="420"/>
        <w:jc w:val="left"/>
        <w:rPr>
          <w:color w:val="auto"/>
          <w:sz w:val="24"/>
          <w:szCs w:val="24"/>
          <w:highlight w:val="none"/>
        </w:rPr>
      </w:pPr>
      <w:r>
        <w:rPr>
          <w:color w:val="auto"/>
          <w:sz w:val="24"/>
          <w:szCs w:val="24"/>
          <w:highlight w:val="none"/>
        </w:rPr>
        <w:t xml:space="preserve">2.2.1  </w:t>
      </w:r>
      <w:r>
        <w:rPr>
          <w:rFonts w:hint="eastAsia"/>
          <w:color w:val="auto"/>
          <w:sz w:val="24"/>
          <w:szCs w:val="24"/>
          <w:highlight w:val="none"/>
        </w:rPr>
        <w:t>分值构成</w:t>
      </w:r>
    </w:p>
    <w:p>
      <w:pPr>
        <w:autoSpaceDE w:val="0"/>
        <w:autoSpaceDN w:val="0"/>
        <w:adjustRightInd w:val="0"/>
        <w:spacing w:line="400" w:lineRule="exact"/>
        <w:ind w:left="540" w:right="-20" w:firstLine="420"/>
        <w:jc w:val="left"/>
        <w:rPr>
          <w:color w:val="auto"/>
          <w:sz w:val="24"/>
          <w:szCs w:val="24"/>
          <w:highlight w:val="none"/>
        </w:rPr>
      </w:pPr>
      <w:r>
        <w:rPr>
          <w:rFonts w:hint="eastAsia"/>
          <w:color w:val="auto"/>
          <w:sz w:val="24"/>
          <w:szCs w:val="24"/>
          <w:highlight w:val="none"/>
        </w:rPr>
        <w:t>（1）技术部分：见评标办法前附表；</w:t>
      </w:r>
    </w:p>
    <w:p>
      <w:pPr>
        <w:autoSpaceDE w:val="0"/>
        <w:autoSpaceDN w:val="0"/>
        <w:adjustRightInd w:val="0"/>
        <w:spacing w:line="400" w:lineRule="exact"/>
        <w:ind w:left="540" w:right="-20" w:firstLine="420"/>
        <w:jc w:val="left"/>
        <w:rPr>
          <w:color w:val="auto"/>
          <w:sz w:val="24"/>
          <w:szCs w:val="24"/>
          <w:highlight w:val="none"/>
        </w:rPr>
      </w:pPr>
      <w:r>
        <w:rPr>
          <w:rFonts w:hint="eastAsia"/>
          <w:color w:val="auto"/>
          <w:sz w:val="24"/>
          <w:szCs w:val="24"/>
          <w:highlight w:val="none"/>
        </w:rPr>
        <w:t>（2）投标报价：见评标办法前附表；</w:t>
      </w:r>
    </w:p>
    <w:p>
      <w:pPr>
        <w:autoSpaceDE w:val="0"/>
        <w:autoSpaceDN w:val="0"/>
        <w:adjustRightInd w:val="0"/>
        <w:spacing w:line="400" w:lineRule="exact"/>
        <w:ind w:left="540" w:right="-20" w:firstLine="420"/>
        <w:jc w:val="left"/>
        <w:rPr>
          <w:color w:val="auto"/>
          <w:sz w:val="24"/>
          <w:szCs w:val="24"/>
          <w:highlight w:val="none"/>
        </w:rPr>
      </w:pPr>
      <w:r>
        <w:rPr>
          <w:rFonts w:hint="eastAsia"/>
          <w:color w:val="auto"/>
          <w:sz w:val="24"/>
          <w:szCs w:val="24"/>
          <w:highlight w:val="none"/>
        </w:rPr>
        <w:t>（3）商务部分：见评标办法前附表。</w:t>
      </w:r>
    </w:p>
    <w:p>
      <w:pPr>
        <w:autoSpaceDE w:val="0"/>
        <w:autoSpaceDN w:val="0"/>
        <w:adjustRightInd w:val="0"/>
        <w:spacing w:before="74" w:line="410" w:lineRule="exact"/>
        <w:ind w:left="540" w:right="-20" w:firstLine="424"/>
        <w:jc w:val="left"/>
        <w:rPr>
          <w:color w:val="auto"/>
          <w:sz w:val="24"/>
          <w:szCs w:val="24"/>
          <w:highlight w:val="none"/>
        </w:rPr>
      </w:pPr>
      <w:r>
        <w:rPr>
          <w:color w:val="auto"/>
          <w:spacing w:val="1"/>
          <w:sz w:val="24"/>
          <w:szCs w:val="24"/>
          <w:highlight w:val="none"/>
        </w:rPr>
        <w:t>2</w:t>
      </w:r>
      <w:r>
        <w:rPr>
          <w:color w:val="auto"/>
          <w:sz w:val="24"/>
          <w:szCs w:val="24"/>
          <w:highlight w:val="none"/>
        </w:rPr>
        <w:t xml:space="preserve">.2.2  </w:t>
      </w:r>
      <w:bookmarkStart w:id="86" w:name="_Toc31443"/>
      <w:r>
        <w:rPr>
          <w:rFonts w:hint="eastAsia"/>
          <w:color w:val="auto"/>
          <w:sz w:val="24"/>
          <w:szCs w:val="24"/>
          <w:highlight w:val="none"/>
        </w:rPr>
        <w:t>评分</w:t>
      </w:r>
      <w:r>
        <w:rPr>
          <w:rFonts w:hint="eastAsia"/>
          <w:color w:val="auto"/>
          <w:spacing w:val="-1"/>
          <w:sz w:val="24"/>
          <w:szCs w:val="24"/>
          <w:highlight w:val="none"/>
        </w:rPr>
        <w:t>标</w:t>
      </w:r>
      <w:r>
        <w:rPr>
          <w:rFonts w:hint="eastAsia"/>
          <w:color w:val="auto"/>
          <w:sz w:val="24"/>
          <w:szCs w:val="24"/>
          <w:highlight w:val="none"/>
        </w:rPr>
        <w:t>准</w:t>
      </w:r>
    </w:p>
    <w:p>
      <w:pPr>
        <w:autoSpaceDE w:val="0"/>
        <w:autoSpaceDN w:val="0"/>
        <w:adjustRightInd w:val="0"/>
        <w:spacing w:line="400" w:lineRule="exact"/>
        <w:ind w:left="540" w:right="-20" w:firstLine="420"/>
        <w:jc w:val="left"/>
        <w:rPr>
          <w:color w:val="auto"/>
          <w:sz w:val="24"/>
          <w:szCs w:val="24"/>
          <w:highlight w:val="none"/>
        </w:rPr>
      </w:pPr>
      <w:r>
        <w:rPr>
          <w:rFonts w:hint="eastAsia"/>
          <w:color w:val="auto"/>
          <w:sz w:val="24"/>
          <w:szCs w:val="24"/>
          <w:highlight w:val="none"/>
        </w:rPr>
        <w:t>（1）技术部分：见技术部分评审表；</w:t>
      </w:r>
    </w:p>
    <w:p>
      <w:pPr>
        <w:autoSpaceDE w:val="0"/>
        <w:autoSpaceDN w:val="0"/>
        <w:adjustRightInd w:val="0"/>
        <w:spacing w:line="400" w:lineRule="exact"/>
        <w:ind w:left="540" w:right="-20" w:firstLine="420"/>
        <w:jc w:val="left"/>
        <w:rPr>
          <w:color w:val="auto"/>
          <w:sz w:val="24"/>
          <w:szCs w:val="24"/>
          <w:highlight w:val="none"/>
        </w:rPr>
      </w:pPr>
      <w:r>
        <w:rPr>
          <w:rFonts w:hint="eastAsia"/>
          <w:color w:val="auto"/>
          <w:sz w:val="24"/>
          <w:szCs w:val="24"/>
          <w:highlight w:val="none"/>
        </w:rPr>
        <w:t>（2）投标报价：见投标报价评审表；</w:t>
      </w:r>
    </w:p>
    <w:p>
      <w:pPr>
        <w:autoSpaceDE w:val="0"/>
        <w:autoSpaceDN w:val="0"/>
        <w:adjustRightInd w:val="0"/>
        <w:spacing w:line="400" w:lineRule="exact"/>
        <w:ind w:left="540" w:right="-20" w:firstLine="420"/>
        <w:jc w:val="left"/>
        <w:rPr>
          <w:color w:val="auto"/>
          <w:sz w:val="24"/>
          <w:szCs w:val="24"/>
          <w:highlight w:val="none"/>
        </w:rPr>
      </w:pPr>
      <w:r>
        <w:rPr>
          <w:rFonts w:hint="eastAsia"/>
          <w:color w:val="auto"/>
          <w:sz w:val="24"/>
          <w:szCs w:val="24"/>
          <w:highlight w:val="none"/>
        </w:rPr>
        <w:t>（3）商务部分：见商务部分评审表；</w:t>
      </w:r>
    </w:p>
    <w:p>
      <w:pPr>
        <w:pStyle w:val="3"/>
        <w:spacing w:line="410" w:lineRule="exact"/>
        <w:rPr>
          <w:rFonts w:ascii="Times New Roman" w:hAnsi="Times New Roman"/>
          <w:color w:val="auto"/>
          <w:sz w:val="24"/>
          <w:szCs w:val="24"/>
          <w:highlight w:val="none"/>
        </w:rPr>
      </w:pPr>
      <w:bookmarkStart w:id="87" w:name="_Toc6299"/>
      <w:bookmarkStart w:id="88" w:name="_Toc20784"/>
      <w:bookmarkStart w:id="89" w:name="_Toc391119485"/>
      <w:r>
        <w:rPr>
          <w:rFonts w:ascii="Times New Roman" w:hAnsi="Times New Roman"/>
          <w:color w:val="auto"/>
          <w:sz w:val="24"/>
          <w:szCs w:val="24"/>
          <w:highlight w:val="none"/>
        </w:rPr>
        <w:t xml:space="preserve">3. </w:t>
      </w:r>
      <w:bookmarkEnd w:id="86"/>
      <w:bookmarkStart w:id="90" w:name="_Toc2120"/>
      <w:r>
        <w:rPr>
          <w:rFonts w:hint="eastAsia" w:ascii="Times New Roman" w:hAnsi="Times New Roman"/>
          <w:color w:val="auto"/>
          <w:sz w:val="24"/>
          <w:szCs w:val="24"/>
          <w:highlight w:val="none"/>
        </w:rPr>
        <w:t>评标程序</w:t>
      </w:r>
      <w:bookmarkEnd w:id="87"/>
      <w:bookmarkEnd w:id="88"/>
      <w:bookmarkEnd w:id="89"/>
    </w:p>
    <w:p>
      <w:pPr>
        <w:pStyle w:val="4"/>
        <w:spacing w:line="410" w:lineRule="exact"/>
        <w:ind w:firstLine="422"/>
        <w:rPr>
          <w:rFonts w:ascii="Times New Roman"/>
          <w:color w:val="auto"/>
          <w:sz w:val="24"/>
          <w:szCs w:val="24"/>
          <w:highlight w:val="none"/>
        </w:rPr>
      </w:pPr>
      <w:r>
        <w:rPr>
          <w:rFonts w:ascii="Times New Roman"/>
          <w:color w:val="auto"/>
          <w:sz w:val="24"/>
          <w:szCs w:val="24"/>
          <w:highlight w:val="none"/>
        </w:rPr>
        <w:t xml:space="preserve">3.1 </w:t>
      </w:r>
      <w:bookmarkEnd w:id="90"/>
      <w:r>
        <w:rPr>
          <w:rFonts w:hint="eastAsia" w:ascii="Times New Roman"/>
          <w:color w:val="auto"/>
          <w:sz w:val="24"/>
          <w:szCs w:val="24"/>
          <w:highlight w:val="none"/>
        </w:rPr>
        <w:t>初步评审</w:t>
      </w:r>
    </w:p>
    <w:p>
      <w:pPr>
        <w:autoSpaceDE w:val="0"/>
        <w:autoSpaceDN w:val="0"/>
        <w:adjustRightInd w:val="0"/>
        <w:spacing w:before="9" w:line="410" w:lineRule="exact"/>
        <w:ind w:left="540" w:right="-20" w:firstLine="424"/>
        <w:jc w:val="left"/>
        <w:rPr>
          <w:color w:val="auto"/>
          <w:spacing w:val="20"/>
          <w:sz w:val="24"/>
          <w:szCs w:val="24"/>
          <w:highlight w:val="none"/>
        </w:rPr>
      </w:pPr>
      <w:r>
        <w:rPr>
          <w:color w:val="auto"/>
          <w:spacing w:val="1"/>
          <w:sz w:val="24"/>
          <w:szCs w:val="24"/>
          <w:highlight w:val="none"/>
        </w:rPr>
        <w:t>3</w:t>
      </w:r>
      <w:r>
        <w:rPr>
          <w:rFonts w:hint="eastAsia"/>
          <w:color w:val="auto"/>
          <w:sz w:val="24"/>
          <w:szCs w:val="24"/>
          <w:highlight w:val="none"/>
        </w:rPr>
        <w:t>.1.1评标委员会依据本章第</w:t>
      </w:r>
      <w:r>
        <w:rPr>
          <w:color w:val="auto"/>
          <w:spacing w:val="1"/>
          <w:sz w:val="24"/>
          <w:szCs w:val="24"/>
          <w:highlight w:val="none"/>
        </w:rPr>
        <w:t>2</w:t>
      </w:r>
      <w:r>
        <w:rPr>
          <w:color w:val="auto"/>
          <w:spacing w:val="-1"/>
          <w:sz w:val="24"/>
          <w:szCs w:val="24"/>
          <w:highlight w:val="none"/>
        </w:rPr>
        <w:t>.</w:t>
      </w:r>
      <w:r>
        <w:rPr>
          <w:color w:val="auto"/>
          <w:sz w:val="24"/>
          <w:szCs w:val="24"/>
          <w:highlight w:val="none"/>
        </w:rPr>
        <w:t>1</w:t>
      </w:r>
      <w:r>
        <w:rPr>
          <w:rFonts w:hint="eastAsia"/>
          <w:color w:val="auto"/>
          <w:spacing w:val="-1"/>
          <w:sz w:val="24"/>
          <w:szCs w:val="24"/>
          <w:highlight w:val="none"/>
        </w:rPr>
        <w:t>款</w:t>
      </w:r>
      <w:r>
        <w:rPr>
          <w:rFonts w:hint="eastAsia"/>
          <w:color w:val="auto"/>
          <w:sz w:val="24"/>
          <w:szCs w:val="24"/>
          <w:highlight w:val="none"/>
        </w:rPr>
        <w:t>规定的标准对投标文件进行初步评审，有一项不符合评审标准的，作否决其投标处理</w:t>
      </w:r>
      <w:r>
        <w:rPr>
          <w:rFonts w:hint="eastAsia"/>
          <w:color w:val="auto"/>
          <w:spacing w:val="-20"/>
          <w:sz w:val="24"/>
          <w:szCs w:val="24"/>
          <w:highlight w:val="none"/>
        </w:rPr>
        <w:t>。</w:t>
      </w:r>
    </w:p>
    <w:p>
      <w:pPr>
        <w:autoSpaceDE w:val="0"/>
        <w:autoSpaceDN w:val="0"/>
        <w:adjustRightInd w:val="0"/>
        <w:spacing w:before="9" w:line="410" w:lineRule="exact"/>
        <w:ind w:left="540" w:right="-20" w:firstLine="424"/>
        <w:jc w:val="left"/>
        <w:rPr>
          <w:color w:val="auto"/>
          <w:sz w:val="24"/>
          <w:szCs w:val="24"/>
          <w:highlight w:val="none"/>
        </w:rPr>
      </w:pPr>
      <w:r>
        <w:rPr>
          <w:color w:val="auto"/>
          <w:spacing w:val="1"/>
          <w:sz w:val="24"/>
          <w:szCs w:val="24"/>
          <w:highlight w:val="none"/>
        </w:rPr>
        <w:t>3</w:t>
      </w:r>
      <w:r>
        <w:rPr>
          <w:color w:val="auto"/>
          <w:sz w:val="24"/>
          <w:szCs w:val="24"/>
          <w:highlight w:val="none"/>
        </w:rPr>
        <w:t>.1.2</w:t>
      </w:r>
      <w:r>
        <w:rPr>
          <w:rFonts w:hint="eastAsia"/>
          <w:color w:val="auto"/>
          <w:sz w:val="24"/>
          <w:szCs w:val="24"/>
          <w:highlight w:val="none"/>
        </w:rPr>
        <w:t>投标</w:t>
      </w:r>
      <w:r>
        <w:rPr>
          <w:rFonts w:hint="eastAsia"/>
          <w:color w:val="auto"/>
          <w:spacing w:val="-1"/>
          <w:sz w:val="24"/>
          <w:szCs w:val="24"/>
          <w:highlight w:val="none"/>
        </w:rPr>
        <w:t>人</w:t>
      </w:r>
      <w:r>
        <w:rPr>
          <w:rFonts w:hint="eastAsia"/>
          <w:color w:val="auto"/>
          <w:sz w:val="24"/>
          <w:szCs w:val="24"/>
          <w:highlight w:val="none"/>
        </w:rPr>
        <w:t>有以下情形之一的，其投标作否决其投标处理：</w:t>
      </w:r>
    </w:p>
    <w:p>
      <w:pPr>
        <w:autoSpaceDE w:val="0"/>
        <w:autoSpaceDN w:val="0"/>
        <w:adjustRightInd w:val="0"/>
        <w:spacing w:before="70" w:line="410" w:lineRule="exact"/>
        <w:ind w:left="838" w:right="-20" w:firstLine="420"/>
        <w:jc w:val="left"/>
        <w:rPr>
          <w:color w:val="auto"/>
          <w:sz w:val="24"/>
          <w:szCs w:val="24"/>
          <w:highlight w:val="none"/>
        </w:rPr>
      </w:pPr>
      <w:r>
        <w:rPr>
          <w:rFonts w:hint="eastAsia"/>
          <w:color w:val="auto"/>
          <w:sz w:val="24"/>
          <w:szCs w:val="24"/>
          <w:highlight w:val="none"/>
        </w:rPr>
        <w:t>（</w:t>
      </w:r>
      <w:r>
        <w:rPr>
          <w:color w:val="auto"/>
          <w:spacing w:val="1"/>
          <w:sz w:val="24"/>
          <w:szCs w:val="24"/>
          <w:highlight w:val="none"/>
        </w:rPr>
        <w:t>1</w:t>
      </w:r>
      <w:r>
        <w:rPr>
          <w:rFonts w:hint="eastAsia"/>
          <w:color w:val="auto"/>
          <w:sz w:val="24"/>
          <w:szCs w:val="24"/>
          <w:highlight w:val="none"/>
        </w:rPr>
        <w:t>）第二</w:t>
      </w:r>
      <w:r>
        <w:rPr>
          <w:rFonts w:hint="eastAsia"/>
          <w:color w:val="auto"/>
          <w:spacing w:val="-1"/>
          <w:sz w:val="24"/>
          <w:szCs w:val="24"/>
          <w:highlight w:val="none"/>
        </w:rPr>
        <w:t>章</w:t>
      </w:r>
      <w:r>
        <w:rPr>
          <w:color w:val="auto"/>
          <w:sz w:val="24"/>
          <w:szCs w:val="24"/>
          <w:highlight w:val="none"/>
        </w:rPr>
        <w:t>“</w:t>
      </w:r>
      <w:r>
        <w:rPr>
          <w:rFonts w:hint="eastAsia"/>
          <w:color w:val="auto"/>
          <w:sz w:val="24"/>
          <w:szCs w:val="24"/>
          <w:highlight w:val="none"/>
        </w:rPr>
        <w:t>投标人须知</w:t>
      </w:r>
      <w:r>
        <w:rPr>
          <w:color w:val="auto"/>
          <w:sz w:val="24"/>
          <w:szCs w:val="24"/>
          <w:highlight w:val="none"/>
        </w:rPr>
        <w:t>”</w:t>
      </w:r>
      <w:r>
        <w:rPr>
          <w:rFonts w:hint="eastAsia"/>
          <w:color w:val="auto"/>
          <w:sz w:val="24"/>
          <w:szCs w:val="24"/>
          <w:highlight w:val="none"/>
        </w:rPr>
        <w:t>第</w:t>
      </w:r>
      <w:r>
        <w:rPr>
          <w:color w:val="auto"/>
          <w:spacing w:val="1"/>
          <w:sz w:val="24"/>
          <w:szCs w:val="24"/>
          <w:highlight w:val="none"/>
        </w:rPr>
        <w:t>1</w:t>
      </w:r>
      <w:r>
        <w:rPr>
          <w:color w:val="auto"/>
          <w:spacing w:val="-1"/>
          <w:sz w:val="24"/>
          <w:szCs w:val="24"/>
          <w:highlight w:val="none"/>
        </w:rPr>
        <w:t>.</w:t>
      </w:r>
      <w:r>
        <w:rPr>
          <w:color w:val="auto"/>
          <w:spacing w:val="1"/>
          <w:sz w:val="24"/>
          <w:szCs w:val="24"/>
          <w:highlight w:val="none"/>
        </w:rPr>
        <w:t>4</w:t>
      </w:r>
      <w:r>
        <w:rPr>
          <w:color w:val="auto"/>
          <w:spacing w:val="-1"/>
          <w:sz w:val="24"/>
          <w:szCs w:val="24"/>
          <w:highlight w:val="none"/>
        </w:rPr>
        <w:t>.</w:t>
      </w:r>
      <w:r>
        <w:rPr>
          <w:color w:val="auto"/>
          <w:sz w:val="24"/>
          <w:szCs w:val="24"/>
          <w:highlight w:val="none"/>
        </w:rPr>
        <w:t xml:space="preserve">3 </w:t>
      </w:r>
      <w:r>
        <w:rPr>
          <w:rFonts w:hint="eastAsia"/>
          <w:color w:val="auto"/>
          <w:sz w:val="24"/>
          <w:szCs w:val="24"/>
          <w:highlight w:val="none"/>
        </w:rPr>
        <w:t>项规定的任何一种情形的；</w:t>
      </w:r>
    </w:p>
    <w:p>
      <w:pPr>
        <w:autoSpaceDE w:val="0"/>
        <w:autoSpaceDN w:val="0"/>
        <w:adjustRightInd w:val="0"/>
        <w:spacing w:before="70" w:line="410" w:lineRule="exact"/>
        <w:ind w:left="838" w:right="-20" w:firstLine="420"/>
        <w:jc w:val="left"/>
        <w:rPr>
          <w:color w:val="auto"/>
          <w:sz w:val="24"/>
          <w:szCs w:val="24"/>
          <w:highlight w:val="none"/>
        </w:rPr>
      </w:pPr>
      <w:r>
        <w:rPr>
          <w:rFonts w:hint="eastAsia"/>
          <w:color w:val="auto"/>
          <w:sz w:val="24"/>
          <w:szCs w:val="24"/>
          <w:highlight w:val="none"/>
        </w:rPr>
        <w:t>（</w:t>
      </w:r>
      <w:r>
        <w:rPr>
          <w:color w:val="auto"/>
          <w:spacing w:val="1"/>
          <w:sz w:val="24"/>
          <w:szCs w:val="24"/>
          <w:highlight w:val="none"/>
        </w:rPr>
        <w:t>2</w:t>
      </w:r>
      <w:r>
        <w:rPr>
          <w:rFonts w:hint="eastAsia"/>
          <w:color w:val="auto"/>
          <w:sz w:val="24"/>
          <w:szCs w:val="24"/>
          <w:highlight w:val="none"/>
        </w:rPr>
        <w:t>）附件：否决其投标条件规定的任何一种情形的；</w:t>
      </w:r>
    </w:p>
    <w:p>
      <w:pPr>
        <w:autoSpaceDE w:val="0"/>
        <w:autoSpaceDN w:val="0"/>
        <w:adjustRightInd w:val="0"/>
        <w:spacing w:before="9" w:line="410" w:lineRule="exact"/>
        <w:ind w:left="521" w:right="-20" w:firstLine="424"/>
        <w:jc w:val="left"/>
        <w:rPr>
          <w:color w:val="auto"/>
          <w:spacing w:val="1"/>
          <w:sz w:val="24"/>
          <w:szCs w:val="24"/>
          <w:highlight w:val="none"/>
        </w:rPr>
      </w:pPr>
      <w:r>
        <w:rPr>
          <w:color w:val="auto"/>
          <w:spacing w:val="1"/>
          <w:sz w:val="24"/>
          <w:szCs w:val="24"/>
          <w:highlight w:val="none"/>
        </w:rPr>
        <w:t xml:space="preserve">3.1.3 </w:t>
      </w:r>
      <w:r>
        <w:rPr>
          <w:rFonts w:hint="eastAsia"/>
          <w:color w:val="auto"/>
          <w:spacing w:val="1"/>
          <w:sz w:val="24"/>
          <w:szCs w:val="24"/>
          <w:highlight w:val="none"/>
        </w:rPr>
        <w:t>投标报价有算术错误的，评标委员会按以下原则对投标报价进行修正，修正的价格经投标人书面确认后具有约束力。投标人不接受修正价格的，其投标作否决其投标处理。</w:t>
      </w:r>
    </w:p>
    <w:p>
      <w:pPr>
        <w:autoSpaceDE w:val="0"/>
        <w:autoSpaceDN w:val="0"/>
        <w:adjustRightInd w:val="0"/>
        <w:spacing w:before="9" w:line="410" w:lineRule="exact"/>
        <w:ind w:left="521" w:right="-20" w:firstLine="424"/>
        <w:jc w:val="left"/>
        <w:rPr>
          <w:color w:val="auto"/>
          <w:spacing w:val="1"/>
          <w:sz w:val="24"/>
          <w:szCs w:val="24"/>
          <w:highlight w:val="none"/>
        </w:rPr>
      </w:pPr>
      <w:r>
        <w:rPr>
          <w:rFonts w:hint="eastAsia"/>
          <w:color w:val="auto"/>
          <w:spacing w:val="1"/>
          <w:sz w:val="24"/>
          <w:szCs w:val="24"/>
          <w:highlight w:val="none"/>
        </w:rPr>
        <w:t>（1）投标文件中的大写金额与小写金额不一致的，以大写金额为准；</w:t>
      </w:r>
    </w:p>
    <w:p>
      <w:pPr>
        <w:autoSpaceDE w:val="0"/>
        <w:autoSpaceDN w:val="0"/>
        <w:adjustRightInd w:val="0"/>
        <w:spacing w:before="9" w:line="410" w:lineRule="exact"/>
        <w:ind w:left="521" w:right="-20" w:firstLine="424"/>
        <w:jc w:val="left"/>
        <w:rPr>
          <w:color w:val="auto"/>
          <w:sz w:val="24"/>
          <w:szCs w:val="24"/>
          <w:highlight w:val="none"/>
        </w:rPr>
      </w:pPr>
      <w:r>
        <w:rPr>
          <w:rFonts w:hint="eastAsia"/>
          <w:color w:val="auto"/>
          <w:spacing w:val="1"/>
          <w:sz w:val="24"/>
          <w:szCs w:val="24"/>
          <w:highlight w:val="none"/>
        </w:rPr>
        <w:t>（2）总价金额与依据单价计算出的结果不一致的，以单价金额为准修正总价，但单价金额小数点有明显错误的除外；</w:t>
      </w:r>
    </w:p>
    <w:p>
      <w:pPr>
        <w:autoSpaceDE w:val="0"/>
        <w:autoSpaceDN w:val="0"/>
        <w:adjustRightInd w:val="0"/>
        <w:spacing w:before="9" w:line="410" w:lineRule="exact"/>
        <w:ind w:left="521" w:right="-20" w:firstLine="424"/>
        <w:jc w:val="left"/>
        <w:rPr>
          <w:color w:val="auto"/>
          <w:spacing w:val="1"/>
          <w:sz w:val="24"/>
          <w:szCs w:val="24"/>
          <w:highlight w:val="none"/>
        </w:rPr>
      </w:pPr>
      <w:r>
        <w:rPr>
          <w:rFonts w:hint="eastAsia"/>
          <w:color w:val="auto"/>
          <w:spacing w:val="1"/>
          <w:sz w:val="24"/>
          <w:szCs w:val="24"/>
          <w:highlight w:val="none"/>
        </w:rPr>
        <w:t>（</w:t>
      </w:r>
      <w:r>
        <w:rPr>
          <w:color w:val="auto"/>
          <w:spacing w:val="1"/>
          <w:sz w:val="24"/>
          <w:szCs w:val="24"/>
          <w:highlight w:val="none"/>
        </w:rPr>
        <w:t>3</w:t>
      </w:r>
      <w:r>
        <w:rPr>
          <w:rFonts w:hint="eastAsia"/>
          <w:color w:val="auto"/>
          <w:spacing w:val="1"/>
          <w:sz w:val="24"/>
          <w:szCs w:val="24"/>
          <w:highlight w:val="none"/>
        </w:rPr>
        <w:t>）如果评标委员会在评审过程中没有及时发现算术性错误，招标人在合同谈判阶段和执行阶段可按上述原则进</w:t>
      </w:r>
      <w:bookmarkStart w:id="91" w:name="_Toc9084"/>
      <w:r>
        <w:rPr>
          <w:rFonts w:hint="eastAsia"/>
          <w:color w:val="auto"/>
          <w:spacing w:val="1"/>
          <w:sz w:val="24"/>
          <w:szCs w:val="24"/>
          <w:highlight w:val="none"/>
        </w:rPr>
        <w:t>行修正。</w:t>
      </w:r>
    </w:p>
    <w:p>
      <w:pPr>
        <w:pStyle w:val="4"/>
        <w:spacing w:line="410" w:lineRule="exact"/>
        <w:ind w:firstLine="422"/>
        <w:rPr>
          <w:rFonts w:ascii="Times New Roman"/>
          <w:color w:val="auto"/>
          <w:sz w:val="24"/>
          <w:szCs w:val="24"/>
          <w:highlight w:val="none"/>
        </w:rPr>
      </w:pPr>
      <w:r>
        <w:rPr>
          <w:rFonts w:ascii="Times New Roman"/>
          <w:color w:val="auto"/>
          <w:sz w:val="24"/>
          <w:szCs w:val="24"/>
          <w:highlight w:val="none"/>
        </w:rPr>
        <w:t xml:space="preserve">3.2 </w:t>
      </w:r>
      <w:bookmarkEnd w:id="91"/>
      <w:r>
        <w:rPr>
          <w:rFonts w:hint="eastAsia" w:ascii="Times New Roman"/>
          <w:color w:val="auto"/>
          <w:sz w:val="24"/>
          <w:szCs w:val="24"/>
          <w:highlight w:val="none"/>
        </w:rPr>
        <w:t>详细评审</w:t>
      </w:r>
    </w:p>
    <w:p>
      <w:pPr>
        <w:autoSpaceDE w:val="0"/>
        <w:autoSpaceDN w:val="0"/>
        <w:adjustRightInd w:val="0"/>
        <w:spacing w:before="64" w:line="410" w:lineRule="exact"/>
        <w:ind w:left="120" w:right="-89" w:firstLine="424"/>
        <w:jc w:val="left"/>
        <w:rPr>
          <w:color w:val="auto"/>
          <w:sz w:val="24"/>
          <w:szCs w:val="24"/>
          <w:highlight w:val="none"/>
        </w:rPr>
      </w:pPr>
      <w:r>
        <w:rPr>
          <w:color w:val="auto"/>
          <w:spacing w:val="1"/>
          <w:sz w:val="24"/>
          <w:szCs w:val="24"/>
          <w:highlight w:val="none"/>
        </w:rPr>
        <w:t>3</w:t>
      </w:r>
      <w:r>
        <w:rPr>
          <w:color w:val="auto"/>
          <w:sz w:val="24"/>
          <w:szCs w:val="24"/>
          <w:highlight w:val="none"/>
        </w:rPr>
        <w:t xml:space="preserve">.2.1  </w:t>
      </w:r>
      <w:r>
        <w:rPr>
          <w:rFonts w:hint="eastAsia"/>
          <w:color w:val="auto"/>
          <w:sz w:val="24"/>
          <w:szCs w:val="24"/>
          <w:highlight w:val="none"/>
        </w:rPr>
        <w:t>评标</w:t>
      </w:r>
      <w:r>
        <w:rPr>
          <w:rFonts w:hint="eastAsia"/>
          <w:color w:val="auto"/>
          <w:spacing w:val="-1"/>
          <w:sz w:val="24"/>
          <w:szCs w:val="24"/>
          <w:highlight w:val="none"/>
        </w:rPr>
        <w:t>委</w:t>
      </w:r>
      <w:r>
        <w:rPr>
          <w:rFonts w:hint="eastAsia"/>
          <w:color w:val="auto"/>
          <w:sz w:val="24"/>
          <w:szCs w:val="24"/>
          <w:highlight w:val="none"/>
        </w:rPr>
        <w:t xml:space="preserve">员会按本章第 </w:t>
      </w:r>
      <w:r>
        <w:rPr>
          <w:color w:val="auto"/>
          <w:sz w:val="24"/>
          <w:szCs w:val="24"/>
          <w:highlight w:val="none"/>
        </w:rPr>
        <w:t xml:space="preserve">2.2 </w:t>
      </w:r>
      <w:r>
        <w:rPr>
          <w:rFonts w:hint="eastAsia"/>
          <w:color w:val="auto"/>
          <w:sz w:val="24"/>
          <w:szCs w:val="24"/>
          <w:highlight w:val="none"/>
        </w:rPr>
        <w:t>款</w:t>
      </w:r>
      <w:r>
        <w:rPr>
          <w:rFonts w:hint="eastAsia"/>
          <w:color w:val="auto"/>
          <w:spacing w:val="-1"/>
          <w:sz w:val="24"/>
          <w:szCs w:val="24"/>
          <w:highlight w:val="none"/>
        </w:rPr>
        <w:t>规</w:t>
      </w:r>
      <w:r>
        <w:rPr>
          <w:rFonts w:hint="eastAsia"/>
          <w:color w:val="auto"/>
          <w:sz w:val="24"/>
          <w:szCs w:val="24"/>
          <w:highlight w:val="none"/>
        </w:rPr>
        <w:t>定的量化因素和分值进行打分，并计算出综合评估得分。</w:t>
      </w:r>
    </w:p>
    <w:p>
      <w:pPr>
        <w:autoSpaceDE w:val="0"/>
        <w:autoSpaceDN w:val="0"/>
        <w:adjustRightInd w:val="0"/>
        <w:spacing w:before="64" w:line="410" w:lineRule="exact"/>
        <w:ind w:left="120" w:right="-89" w:firstLine="420"/>
        <w:jc w:val="left"/>
        <w:rPr>
          <w:color w:val="auto"/>
          <w:sz w:val="24"/>
          <w:szCs w:val="24"/>
          <w:highlight w:val="none"/>
        </w:rPr>
      </w:pPr>
      <w:r>
        <w:rPr>
          <w:rFonts w:hint="eastAsia"/>
          <w:color w:val="auto"/>
          <w:sz w:val="24"/>
          <w:szCs w:val="24"/>
          <w:highlight w:val="none"/>
        </w:rPr>
        <w:t>（1）按本章第2.2.2（1）条规定的评审因素和分值对技术部分打分计算出得分A；</w:t>
      </w:r>
    </w:p>
    <w:p>
      <w:pPr>
        <w:autoSpaceDE w:val="0"/>
        <w:autoSpaceDN w:val="0"/>
        <w:adjustRightInd w:val="0"/>
        <w:spacing w:before="64" w:line="410" w:lineRule="exact"/>
        <w:ind w:left="120" w:right="-89" w:firstLine="420"/>
        <w:jc w:val="left"/>
        <w:rPr>
          <w:color w:val="auto"/>
          <w:sz w:val="24"/>
          <w:szCs w:val="24"/>
          <w:highlight w:val="none"/>
        </w:rPr>
      </w:pPr>
      <w:r>
        <w:rPr>
          <w:rFonts w:hint="eastAsia"/>
          <w:color w:val="auto"/>
          <w:sz w:val="24"/>
          <w:szCs w:val="24"/>
          <w:highlight w:val="none"/>
        </w:rPr>
        <w:t>（2）按本章第2.2.2（2）条规定的评审因素和分值对投标报价打分计算出得分B；</w:t>
      </w:r>
    </w:p>
    <w:p>
      <w:pPr>
        <w:autoSpaceDE w:val="0"/>
        <w:autoSpaceDN w:val="0"/>
        <w:adjustRightInd w:val="0"/>
        <w:spacing w:before="64" w:line="410" w:lineRule="exact"/>
        <w:ind w:left="120" w:right="-89" w:firstLine="420"/>
        <w:jc w:val="left"/>
        <w:rPr>
          <w:color w:val="auto"/>
          <w:sz w:val="24"/>
          <w:szCs w:val="24"/>
          <w:highlight w:val="none"/>
        </w:rPr>
      </w:pPr>
      <w:r>
        <w:rPr>
          <w:rFonts w:hint="eastAsia"/>
          <w:color w:val="auto"/>
          <w:sz w:val="24"/>
          <w:szCs w:val="24"/>
          <w:highlight w:val="none"/>
        </w:rPr>
        <w:t xml:space="preserve">（3）按本章第 2.2.2（3）条规定的评审因素和分值对商务部分打分计算出得分C； </w:t>
      </w:r>
    </w:p>
    <w:p>
      <w:pPr>
        <w:autoSpaceDE w:val="0"/>
        <w:autoSpaceDN w:val="0"/>
        <w:adjustRightInd w:val="0"/>
        <w:spacing w:before="64" w:line="410" w:lineRule="exact"/>
        <w:ind w:left="120" w:right="-89" w:firstLine="420"/>
        <w:jc w:val="left"/>
        <w:rPr>
          <w:color w:val="auto"/>
          <w:sz w:val="24"/>
          <w:szCs w:val="24"/>
          <w:highlight w:val="none"/>
        </w:rPr>
      </w:pPr>
      <w:r>
        <w:rPr>
          <w:color w:val="auto"/>
          <w:sz w:val="24"/>
          <w:szCs w:val="24"/>
          <w:highlight w:val="none"/>
        </w:rPr>
        <w:t xml:space="preserve">3.2.2  </w:t>
      </w:r>
      <w:r>
        <w:rPr>
          <w:rFonts w:hint="eastAsia"/>
          <w:color w:val="auto"/>
          <w:sz w:val="24"/>
          <w:szCs w:val="24"/>
          <w:highlight w:val="none"/>
        </w:rPr>
        <w:t>评分分值计算保留小数点后两位，小数点后第三位</w:t>
      </w:r>
      <w:r>
        <w:rPr>
          <w:color w:val="auto"/>
          <w:sz w:val="24"/>
          <w:szCs w:val="24"/>
          <w:highlight w:val="none"/>
        </w:rPr>
        <w:t>“</w:t>
      </w:r>
      <w:r>
        <w:rPr>
          <w:rFonts w:hint="eastAsia"/>
          <w:color w:val="auto"/>
          <w:sz w:val="24"/>
          <w:szCs w:val="24"/>
          <w:highlight w:val="none"/>
        </w:rPr>
        <w:t>四舍五入</w:t>
      </w:r>
      <w:r>
        <w:rPr>
          <w:color w:val="auto"/>
          <w:sz w:val="24"/>
          <w:szCs w:val="24"/>
          <w:highlight w:val="none"/>
        </w:rPr>
        <w:t>”</w:t>
      </w:r>
      <w:r>
        <w:rPr>
          <w:rFonts w:hint="eastAsia"/>
          <w:color w:val="auto"/>
          <w:sz w:val="24"/>
          <w:szCs w:val="24"/>
          <w:highlight w:val="none"/>
        </w:rPr>
        <w:t>。</w:t>
      </w:r>
    </w:p>
    <w:p>
      <w:pPr>
        <w:autoSpaceDE w:val="0"/>
        <w:autoSpaceDN w:val="0"/>
        <w:adjustRightInd w:val="0"/>
        <w:spacing w:before="64" w:line="410" w:lineRule="exact"/>
        <w:ind w:left="120" w:right="-89" w:firstLine="420"/>
        <w:jc w:val="left"/>
        <w:rPr>
          <w:color w:val="auto"/>
          <w:sz w:val="24"/>
          <w:szCs w:val="24"/>
          <w:highlight w:val="none"/>
        </w:rPr>
      </w:pPr>
      <w:r>
        <w:rPr>
          <w:color w:val="auto"/>
          <w:sz w:val="24"/>
          <w:szCs w:val="24"/>
          <w:highlight w:val="none"/>
        </w:rPr>
        <w:t xml:space="preserve">3.2.3  </w:t>
      </w:r>
      <w:r>
        <w:rPr>
          <w:rFonts w:hint="eastAsia"/>
          <w:color w:val="auto"/>
          <w:sz w:val="24"/>
          <w:szCs w:val="24"/>
          <w:highlight w:val="none"/>
        </w:rPr>
        <w:t>投标人得分=A+B+C。</w:t>
      </w:r>
    </w:p>
    <w:p>
      <w:pPr>
        <w:adjustRightInd w:val="0"/>
        <w:snapToGrid w:val="0"/>
        <w:spacing w:line="430" w:lineRule="exact"/>
        <w:ind w:firstLine="484" w:firstLineChars="200"/>
        <w:rPr>
          <w:rFonts w:hAnsi="宋体" w:cs="宋体"/>
          <w:color w:val="auto"/>
          <w:sz w:val="24"/>
          <w:szCs w:val="24"/>
          <w:highlight w:val="none"/>
        </w:rPr>
      </w:pPr>
      <w:r>
        <w:rPr>
          <w:color w:val="auto"/>
          <w:spacing w:val="1"/>
          <w:sz w:val="24"/>
          <w:szCs w:val="24"/>
          <w:highlight w:val="none"/>
        </w:rPr>
        <w:t>3.</w:t>
      </w:r>
      <w:r>
        <w:rPr>
          <w:color w:val="auto"/>
          <w:spacing w:val="-1"/>
          <w:sz w:val="24"/>
          <w:szCs w:val="24"/>
          <w:highlight w:val="none"/>
        </w:rPr>
        <w:t>2</w:t>
      </w:r>
      <w:r>
        <w:rPr>
          <w:color w:val="auto"/>
          <w:sz w:val="24"/>
          <w:szCs w:val="24"/>
          <w:highlight w:val="none"/>
        </w:rPr>
        <w:t xml:space="preserve">.4 </w:t>
      </w:r>
      <w:r>
        <w:rPr>
          <w:rFonts w:hint="eastAsia"/>
          <w:color w:val="auto"/>
          <w:sz w:val="24"/>
          <w:szCs w:val="24"/>
          <w:highlight w:val="none"/>
        </w:rPr>
        <w:t>评标委员会发现</w:t>
      </w:r>
      <w:r>
        <w:rPr>
          <w:rFonts w:hint="eastAsia"/>
          <w:color w:val="auto"/>
          <w:spacing w:val="1"/>
          <w:sz w:val="24"/>
          <w:szCs w:val="24"/>
          <w:highlight w:val="none"/>
        </w:rPr>
        <w:t>投</w:t>
      </w:r>
      <w:r>
        <w:rPr>
          <w:rFonts w:hint="eastAsia"/>
          <w:color w:val="auto"/>
          <w:sz w:val="24"/>
          <w:szCs w:val="24"/>
          <w:highlight w:val="none"/>
        </w:rPr>
        <w:t>标人的报</w:t>
      </w:r>
      <w:r>
        <w:rPr>
          <w:rFonts w:hint="eastAsia"/>
          <w:color w:val="auto"/>
          <w:spacing w:val="1"/>
          <w:sz w:val="24"/>
          <w:szCs w:val="24"/>
          <w:highlight w:val="none"/>
        </w:rPr>
        <w:t>价</w:t>
      </w:r>
      <w:r>
        <w:rPr>
          <w:rFonts w:hint="eastAsia"/>
          <w:color w:val="auto"/>
          <w:sz w:val="24"/>
          <w:szCs w:val="24"/>
          <w:highlight w:val="none"/>
        </w:rPr>
        <w:t>明显低于</w:t>
      </w:r>
      <w:r>
        <w:rPr>
          <w:rFonts w:hint="eastAsia"/>
          <w:color w:val="auto"/>
          <w:spacing w:val="1"/>
          <w:sz w:val="24"/>
          <w:szCs w:val="24"/>
          <w:highlight w:val="none"/>
        </w:rPr>
        <w:t>其</w:t>
      </w:r>
      <w:r>
        <w:rPr>
          <w:rFonts w:hint="eastAsia"/>
          <w:color w:val="auto"/>
          <w:sz w:val="24"/>
          <w:szCs w:val="24"/>
          <w:highlight w:val="none"/>
        </w:rPr>
        <w:t>他投标报</w:t>
      </w:r>
      <w:r>
        <w:rPr>
          <w:rFonts w:hint="eastAsia"/>
          <w:color w:val="auto"/>
          <w:spacing w:val="1"/>
          <w:sz w:val="24"/>
          <w:szCs w:val="24"/>
          <w:highlight w:val="none"/>
        </w:rPr>
        <w:t>价</w:t>
      </w:r>
      <w:r>
        <w:rPr>
          <w:rFonts w:hint="eastAsia"/>
          <w:color w:val="auto"/>
          <w:sz w:val="24"/>
          <w:szCs w:val="24"/>
          <w:highlight w:val="none"/>
        </w:rPr>
        <w:t>，或者在</w:t>
      </w:r>
      <w:r>
        <w:rPr>
          <w:rFonts w:hint="eastAsia"/>
          <w:color w:val="auto"/>
          <w:spacing w:val="1"/>
          <w:sz w:val="24"/>
          <w:szCs w:val="24"/>
          <w:highlight w:val="none"/>
        </w:rPr>
        <w:t>设</w:t>
      </w:r>
      <w:r>
        <w:rPr>
          <w:rFonts w:hint="eastAsia"/>
          <w:color w:val="auto"/>
          <w:sz w:val="24"/>
          <w:szCs w:val="24"/>
          <w:highlight w:val="none"/>
        </w:rPr>
        <w:t>有标底时</w:t>
      </w:r>
      <w:r>
        <w:rPr>
          <w:rFonts w:hint="eastAsia"/>
          <w:color w:val="auto"/>
          <w:spacing w:val="1"/>
          <w:sz w:val="24"/>
          <w:szCs w:val="24"/>
          <w:highlight w:val="none"/>
        </w:rPr>
        <w:t>明显</w:t>
      </w:r>
      <w:r>
        <w:rPr>
          <w:rFonts w:hint="eastAsia"/>
          <w:color w:val="auto"/>
          <w:sz w:val="24"/>
          <w:szCs w:val="24"/>
          <w:highlight w:val="none"/>
        </w:rPr>
        <w:t>低于标底</w:t>
      </w:r>
      <w:r>
        <w:rPr>
          <w:rFonts w:hint="eastAsia"/>
          <w:color w:val="auto"/>
          <w:spacing w:val="-47"/>
          <w:sz w:val="24"/>
          <w:szCs w:val="24"/>
          <w:highlight w:val="none"/>
        </w:rPr>
        <w:t>，</w:t>
      </w:r>
      <w:r>
        <w:rPr>
          <w:rFonts w:hint="eastAsia"/>
          <w:color w:val="auto"/>
          <w:sz w:val="24"/>
          <w:szCs w:val="24"/>
          <w:highlight w:val="none"/>
        </w:rPr>
        <w:t>使得其投标报价可能低于其个别成本的</w:t>
      </w:r>
      <w:r>
        <w:rPr>
          <w:rFonts w:hint="eastAsia"/>
          <w:color w:val="auto"/>
          <w:spacing w:val="-47"/>
          <w:sz w:val="24"/>
          <w:szCs w:val="24"/>
          <w:highlight w:val="none"/>
        </w:rPr>
        <w:t>，</w:t>
      </w:r>
      <w:r>
        <w:rPr>
          <w:rFonts w:hint="eastAsia"/>
          <w:color w:val="auto"/>
          <w:sz w:val="24"/>
          <w:szCs w:val="24"/>
          <w:highlight w:val="none"/>
        </w:rPr>
        <w:t>应当要求该投标人作出书面说明并提供相应的证明材料</w:t>
      </w:r>
      <w:r>
        <w:rPr>
          <w:rFonts w:hint="eastAsia"/>
          <w:color w:val="auto"/>
          <w:spacing w:val="-47"/>
          <w:sz w:val="24"/>
          <w:szCs w:val="24"/>
          <w:highlight w:val="none"/>
        </w:rPr>
        <w:t>。</w:t>
      </w:r>
      <w:r>
        <w:rPr>
          <w:rFonts w:hint="eastAsia"/>
          <w:color w:val="auto"/>
          <w:sz w:val="24"/>
          <w:szCs w:val="24"/>
          <w:highlight w:val="none"/>
        </w:rPr>
        <w:t>投标人不能合理说明或者不能提供相应证明材料的</w:t>
      </w:r>
      <w:r>
        <w:rPr>
          <w:rFonts w:hint="eastAsia"/>
          <w:color w:val="auto"/>
          <w:spacing w:val="-47"/>
          <w:sz w:val="24"/>
          <w:szCs w:val="24"/>
          <w:highlight w:val="none"/>
        </w:rPr>
        <w:t>，</w:t>
      </w:r>
      <w:r>
        <w:rPr>
          <w:rFonts w:hint="eastAsia"/>
          <w:color w:val="auto"/>
          <w:sz w:val="24"/>
          <w:szCs w:val="24"/>
          <w:highlight w:val="none"/>
        </w:rPr>
        <w:t>由评标委员会认定该投标人以低于成本报价竞标，其投标作否决其投标处理。</w:t>
      </w:r>
    </w:p>
    <w:p>
      <w:pPr>
        <w:pStyle w:val="4"/>
        <w:spacing w:line="400" w:lineRule="exact"/>
        <w:ind w:firstLine="444"/>
        <w:rPr>
          <w:rFonts w:hAnsi="宋体" w:cs="宋体"/>
          <w:color w:val="auto"/>
          <w:sz w:val="24"/>
          <w:szCs w:val="24"/>
          <w:highlight w:val="none"/>
        </w:rPr>
      </w:pPr>
      <w:bookmarkStart w:id="92" w:name="_Toc295572535"/>
      <w:bookmarkEnd w:id="92"/>
      <w:bookmarkStart w:id="93" w:name="_Toc272833453"/>
      <w:bookmarkEnd w:id="93"/>
      <w:bookmarkStart w:id="94" w:name="_Toc270931534"/>
      <w:bookmarkEnd w:id="94"/>
      <w:bookmarkStart w:id="95" w:name="_Toc273546398"/>
      <w:bookmarkEnd w:id="95"/>
      <w:r>
        <w:rPr>
          <w:rFonts w:hint="eastAsia" w:hAnsi="宋体" w:cs="宋体"/>
          <w:color w:val="auto"/>
          <w:sz w:val="24"/>
          <w:szCs w:val="24"/>
          <w:highlight w:val="none"/>
        </w:rPr>
        <w:t xml:space="preserve">3.3评审结果 </w:t>
      </w:r>
    </w:p>
    <w:p>
      <w:pPr>
        <w:snapToGrid w:val="0"/>
        <w:spacing w:line="360" w:lineRule="auto"/>
        <w:ind w:firstLine="481"/>
        <w:rPr>
          <w:rFonts w:hAnsi="宋体" w:cs="宋体"/>
          <w:color w:val="auto"/>
          <w:sz w:val="24"/>
          <w:szCs w:val="24"/>
          <w:highlight w:val="none"/>
        </w:rPr>
      </w:pPr>
      <w:r>
        <w:rPr>
          <w:rFonts w:hint="eastAsia" w:hAnsi="宋体" w:cs="宋体"/>
          <w:color w:val="auto"/>
          <w:sz w:val="24"/>
          <w:szCs w:val="24"/>
          <w:highlight w:val="none"/>
        </w:rPr>
        <w:t>3.3.1评标委员会按照投标人的得分，由高到低排序，向招标人推荐1-3名中标候选人。</w:t>
      </w:r>
    </w:p>
    <w:p>
      <w:pPr>
        <w:snapToGrid w:val="0"/>
        <w:spacing w:line="360" w:lineRule="auto"/>
        <w:ind w:firstLine="481"/>
        <w:rPr>
          <w:rFonts w:hAnsi="宋体" w:cs="宋体"/>
          <w:color w:val="auto"/>
          <w:sz w:val="24"/>
          <w:szCs w:val="24"/>
          <w:highlight w:val="none"/>
        </w:rPr>
      </w:pPr>
      <w:r>
        <w:rPr>
          <w:rFonts w:hint="eastAsia" w:hAnsi="宋体" w:cs="宋体"/>
          <w:color w:val="auto"/>
          <w:sz w:val="24"/>
          <w:szCs w:val="24"/>
          <w:highlight w:val="none"/>
        </w:rPr>
        <w:t>3.3.2 评标</w:t>
      </w:r>
      <w:r>
        <w:rPr>
          <w:rFonts w:hint="eastAsia" w:hAnsi="宋体" w:cs="宋体"/>
          <w:color w:val="auto"/>
          <w:spacing w:val="-1"/>
          <w:sz w:val="24"/>
          <w:szCs w:val="24"/>
          <w:highlight w:val="none"/>
        </w:rPr>
        <w:t>委</w:t>
      </w:r>
      <w:r>
        <w:rPr>
          <w:rFonts w:hint="eastAsia" w:hAnsi="宋体" w:cs="宋体"/>
          <w:color w:val="auto"/>
          <w:sz w:val="24"/>
          <w:szCs w:val="24"/>
          <w:highlight w:val="none"/>
        </w:rPr>
        <w:t>员会完成评标后，应当向招标人提交书面评标报告。</w:t>
      </w:r>
    </w:p>
    <w:p>
      <w:pPr>
        <w:adjustRightInd w:val="0"/>
        <w:snapToGrid w:val="0"/>
        <w:spacing w:line="400" w:lineRule="exact"/>
        <w:ind w:firstLine="482" w:firstLineChars="200"/>
        <w:rPr>
          <w:rFonts w:hAnsi="宋体" w:cs="宋体"/>
          <w:b/>
          <w:bCs/>
          <w:color w:val="auto"/>
          <w:sz w:val="24"/>
          <w:szCs w:val="24"/>
          <w:highlight w:val="none"/>
        </w:rPr>
      </w:pPr>
      <w:r>
        <w:rPr>
          <w:rFonts w:hint="eastAsia" w:hAnsi="宋体" w:cs="宋体"/>
          <w:b/>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color w:val="auto"/>
          <w:sz w:val="24"/>
          <w:highlight w:val="none"/>
        </w:rPr>
      </w:pPr>
      <w:r>
        <w:rPr>
          <w:rFonts w:hint="eastAsia" w:hAnsi="宋体" w:cs="宋体"/>
          <w:b/>
          <w:color w:val="auto"/>
          <w:sz w:val="24"/>
          <w:highlight w:val="none"/>
        </w:rPr>
        <w:t>4、定标</w:t>
      </w:r>
    </w:p>
    <w:p>
      <w:pPr>
        <w:adjustRightInd w:val="0"/>
        <w:snapToGrid w:val="0"/>
        <w:spacing w:line="440" w:lineRule="exact"/>
        <w:ind w:firstLine="480" w:firstLineChars="200"/>
        <w:rPr>
          <w:rFonts w:hAnsi="宋体" w:cs="宋体"/>
          <w:color w:val="auto"/>
          <w:sz w:val="24"/>
          <w:highlight w:val="none"/>
        </w:rPr>
      </w:pPr>
      <w:r>
        <w:rPr>
          <w:rFonts w:hint="eastAsia" w:ascii="新宋体" w:hAnsi="新宋体" w:eastAsia="新宋体"/>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highlight w:val="none"/>
        </w:rPr>
        <w:t>。</w:t>
      </w:r>
    </w:p>
    <w:p>
      <w:pPr>
        <w:pStyle w:val="26"/>
        <w:keepNext w:val="0"/>
        <w:keepLines w:val="0"/>
        <w:adjustRightInd w:val="0"/>
        <w:snapToGrid w:val="0"/>
        <w:spacing w:line="440" w:lineRule="exact"/>
        <w:ind w:firstLine="482" w:firstLineChars="200"/>
        <w:rPr>
          <w:rFonts w:hAnsi="宋体" w:eastAsia="宋体"/>
          <w:b/>
          <w:color w:val="auto"/>
          <w:szCs w:val="24"/>
          <w:highlight w:val="none"/>
        </w:rPr>
      </w:pPr>
      <w:r>
        <w:rPr>
          <w:rFonts w:hint="eastAsia" w:hAnsi="宋体" w:eastAsia="宋体"/>
          <w:b/>
          <w:color w:val="auto"/>
          <w:highlight w:val="none"/>
        </w:rPr>
        <w:t>5、</w:t>
      </w:r>
      <w:r>
        <w:rPr>
          <w:rFonts w:hint="eastAsia" w:hAnsi="宋体" w:eastAsia="宋体"/>
          <w:b/>
          <w:color w:val="auto"/>
          <w:szCs w:val="24"/>
          <w:highlight w:val="none"/>
        </w:rPr>
        <w:t>公示</w:t>
      </w:r>
    </w:p>
    <w:p>
      <w:pPr>
        <w:adjustRightInd w:val="0"/>
        <w:snapToGrid w:val="0"/>
        <w:spacing w:line="440" w:lineRule="exact"/>
        <w:ind w:firstLine="480" w:firstLineChars="200"/>
        <w:rPr>
          <w:rFonts w:hAnsi="宋体" w:cs="宋体"/>
          <w:color w:val="auto"/>
          <w:sz w:val="24"/>
          <w:highlight w:val="none"/>
        </w:rPr>
      </w:pPr>
      <w:r>
        <w:rPr>
          <w:rFonts w:hint="eastAsia" w:hAnsi="宋体" w:cs="宋体"/>
          <w:color w:val="auto"/>
          <w:sz w:val="24"/>
          <w:highlight w:val="none"/>
        </w:rPr>
        <w:t>中标人确定后，招标人应当在</w:t>
      </w:r>
      <w:r>
        <w:rPr>
          <w:rFonts w:hint="eastAsia" w:hAnsi="宋体" w:cs="宋体"/>
          <w:color w:val="auto"/>
          <w:sz w:val="24"/>
          <w:szCs w:val="24"/>
          <w:highlight w:val="none"/>
        </w:rPr>
        <w:t>【全国公共资源交易平台（河南省·许昌市）】</w:t>
      </w:r>
      <w:r>
        <w:rPr>
          <w:rFonts w:hint="eastAsia" w:hAnsi="宋体" w:cs="宋体"/>
          <w:color w:val="auto"/>
          <w:sz w:val="24"/>
          <w:highlight w:val="none"/>
        </w:rPr>
        <w:t>、</w:t>
      </w:r>
      <w:r>
        <w:rPr>
          <w:rFonts w:hint="eastAsia" w:hAnsi="宋体" w:cs="宋体"/>
          <w:color w:val="auto"/>
          <w:sz w:val="24"/>
          <w:szCs w:val="24"/>
          <w:highlight w:val="none"/>
        </w:rPr>
        <w:t>《河南省电子招标投标公共服务平台》</w:t>
      </w:r>
      <w:r>
        <w:rPr>
          <w:rFonts w:hint="eastAsia" w:hAnsi="宋体" w:cs="宋体"/>
          <w:color w:val="auto"/>
          <w:sz w:val="24"/>
          <w:highlight w:val="none"/>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hAnsi="宋体" w:cs="宋体"/>
          <w:b/>
          <w:color w:val="auto"/>
          <w:sz w:val="24"/>
          <w:highlight w:val="none"/>
        </w:rPr>
      </w:pPr>
      <w:r>
        <w:rPr>
          <w:rFonts w:hint="eastAsia" w:hAnsi="宋体" w:cs="宋体"/>
          <w:b/>
          <w:color w:val="auto"/>
          <w:sz w:val="24"/>
          <w:highlight w:val="none"/>
        </w:rPr>
        <w:t>6、特殊情况的处置程序</w:t>
      </w:r>
    </w:p>
    <w:p>
      <w:pPr>
        <w:adjustRightInd w:val="0"/>
        <w:snapToGrid w:val="0"/>
        <w:spacing w:line="440" w:lineRule="exact"/>
        <w:ind w:firstLine="482" w:firstLineChars="200"/>
        <w:outlineLvl w:val="0"/>
        <w:rPr>
          <w:rFonts w:hAnsi="宋体" w:cs="宋体"/>
          <w:b/>
          <w:color w:val="auto"/>
          <w:sz w:val="24"/>
          <w:highlight w:val="none"/>
        </w:rPr>
      </w:pPr>
      <w:r>
        <w:rPr>
          <w:rFonts w:hint="eastAsia" w:hAnsi="宋体" w:cs="宋体"/>
          <w:b/>
          <w:color w:val="auto"/>
          <w:sz w:val="24"/>
          <w:highlight w:val="none"/>
        </w:rPr>
        <w:t>6.1关于澄清、说明或补正</w:t>
      </w:r>
    </w:p>
    <w:p>
      <w:pPr>
        <w:adjustRightInd w:val="0"/>
        <w:snapToGrid w:val="0"/>
        <w:spacing w:line="440" w:lineRule="exact"/>
        <w:ind w:firstLine="480" w:firstLineChars="200"/>
        <w:outlineLvl w:val="0"/>
        <w:rPr>
          <w:rFonts w:hAnsi="宋体" w:cs="宋体"/>
          <w:color w:val="auto"/>
          <w:sz w:val="24"/>
          <w:highlight w:val="none"/>
        </w:rPr>
      </w:pPr>
      <w:r>
        <w:rPr>
          <w:rFonts w:hint="eastAsia" w:hAnsi="宋体" w:cs="宋体"/>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hAnsi="宋体" w:cs="宋体"/>
          <w:b/>
          <w:color w:val="auto"/>
          <w:sz w:val="24"/>
          <w:highlight w:val="none"/>
        </w:rPr>
      </w:pPr>
      <w:r>
        <w:rPr>
          <w:rFonts w:hint="eastAsia" w:hAnsi="宋体" w:cs="宋体"/>
          <w:b/>
          <w:color w:val="auto"/>
          <w:sz w:val="24"/>
          <w:highlight w:val="none"/>
        </w:rPr>
        <w:t>6.2关于评标活动暂停</w:t>
      </w:r>
    </w:p>
    <w:p>
      <w:pPr>
        <w:adjustRightInd w:val="0"/>
        <w:snapToGrid w:val="0"/>
        <w:spacing w:line="440" w:lineRule="exact"/>
        <w:ind w:firstLine="480" w:firstLineChars="200"/>
        <w:rPr>
          <w:rFonts w:hAnsi="宋体" w:cs="宋体"/>
          <w:color w:val="auto"/>
          <w:sz w:val="24"/>
          <w:highlight w:val="none"/>
        </w:rPr>
      </w:pPr>
      <w:r>
        <w:rPr>
          <w:rFonts w:hint="eastAsia" w:hAnsi="宋体" w:cs="宋体"/>
          <w:color w:val="auto"/>
          <w:sz w:val="24"/>
          <w:highlight w:val="none"/>
        </w:rPr>
        <w:t>6.2.1评标委员会应当执行连续评标的原则，按评标办法中规定的程序、内容、方法、标准完成全部评标工作。只有发生不可抗力导致评标工作无法继续时，评标活动方可暂停。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color w:val="auto"/>
          <w:sz w:val="24"/>
          <w:highlight w:val="none"/>
        </w:rPr>
      </w:pPr>
      <w:r>
        <w:rPr>
          <w:rFonts w:hint="eastAsia" w:hAnsi="宋体" w:cs="宋体"/>
          <w:color w:val="auto"/>
          <w:sz w:val="24"/>
          <w:highlight w:val="none"/>
        </w:rPr>
        <w:t>6.2.2发生评标暂停情况时，评标委员会应当封存全部投标文件和评标记录，待不可抗力的影响结束且具备继续评标的条件时，由原评标委员会继续评标。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hAnsi="宋体" w:cs="宋体"/>
          <w:b/>
          <w:color w:val="auto"/>
          <w:sz w:val="24"/>
          <w:highlight w:val="none"/>
        </w:rPr>
      </w:pPr>
      <w:r>
        <w:rPr>
          <w:rFonts w:hint="eastAsia" w:hAnsi="宋体" w:cs="宋体"/>
          <w:b/>
          <w:color w:val="auto"/>
          <w:sz w:val="24"/>
          <w:highlight w:val="none"/>
        </w:rPr>
        <w:t>6.3关于评标中途更换评标委员会成员</w:t>
      </w:r>
    </w:p>
    <w:p>
      <w:pPr>
        <w:adjustRightInd w:val="0"/>
        <w:snapToGrid w:val="0"/>
        <w:spacing w:line="440" w:lineRule="exact"/>
        <w:ind w:firstLine="480" w:firstLineChars="200"/>
        <w:rPr>
          <w:rFonts w:hAnsi="宋体" w:cs="宋体"/>
          <w:color w:val="auto"/>
          <w:sz w:val="24"/>
          <w:highlight w:val="none"/>
        </w:rPr>
      </w:pPr>
      <w:r>
        <w:rPr>
          <w:rFonts w:hint="eastAsia" w:hAnsi="宋体" w:cs="宋体"/>
          <w:color w:val="auto"/>
          <w:sz w:val="24"/>
          <w:highlight w:val="none"/>
        </w:rPr>
        <w:t>6.3.1除非发生下列情况之一，评标委员会成员不得在评标中途更换：</w:t>
      </w:r>
    </w:p>
    <w:p>
      <w:pPr>
        <w:adjustRightInd w:val="0"/>
        <w:snapToGrid w:val="0"/>
        <w:spacing w:line="440" w:lineRule="exact"/>
        <w:ind w:firstLine="480" w:firstLineChars="200"/>
        <w:rPr>
          <w:rFonts w:hAnsi="宋体" w:cs="宋体"/>
          <w:color w:val="auto"/>
          <w:sz w:val="24"/>
          <w:highlight w:val="none"/>
        </w:rPr>
      </w:pPr>
      <w:r>
        <w:rPr>
          <w:rFonts w:hint="eastAsia" w:hAnsi="宋体" w:cs="宋体"/>
          <w:color w:val="auto"/>
          <w:sz w:val="24"/>
          <w:highlight w:val="none"/>
        </w:rPr>
        <w:t>（1）因不可抗拒的客观原因，不能到场或需在评标中途退出评标活动。</w:t>
      </w:r>
    </w:p>
    <w:p>
      <w:pPr>
        <w:adjustRightInd w:val="0"/>
        <w:snapToGrid w:val="0"/>
        <w:spacing w:line="440" w:lineRule="exact"/>
        <w:ind w:firstLine="480" w:firstLineChars="200"/>
        <w:rPr>
          <w:rFonts w:hAnsi="宋体" w:cs="宋体"/>
          <w:color w:val="auto"/>
          <w:sz w:val="24"/>
          <w:highlight w:val="none"/>
        </w:rPr>
      </w:pPr>
      <w:r>
        <w:rPr>
          <w:rFonts w:hint="eastAsia" w:hAnsi="宋体" w:cs="宋体"/>
          <w:color w:val="auto"/>
          <w:sz w:val="24"/>
          <w:highlight w:val="none"/>
        </w:rPr>
        <w:t>（2）根据法律法规规定，某个或某几个评标委员会成员需要回避。</w:t>
      </w:r>
    </w:p>
    <w:p>
      <w:pPr>
        <w:adjustRightInd w:val="0"/>
        <w:snapToGrid w:val="0"/>
        <w:spacing w:line="440" w:lineRule="exact"/>
        <w:ind w:firstLine="480" w:firstLineChars="200"/>
        <w:rPr>
          <w:rFonts w:hAnsi="宋体" w:cs="宋体"/>
          <w:color w:val="auto"/>
          <w:sz w:val="24"/>
          <w:highlight w:val="none"/>
        </w:rPr>
      </w:pPr>
      <w:r>
        <w:rPr>
          <w:rFonts w:hint="eastAsia" w:hAnsi="宋体" w:cs="宋体"/>
          <w:color w:val="auto"/>
          <w:sz w:val="24"/>
          <w:highlight w:val="none"/>
        </w:rPr>
        <w:t>6.3.2退出评标的评标委员会成员，其已完成的评标行为无效。由招标人根据本招标文件规定的评标委员会成员产生方式另行确定替代者进行评标。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Ansi="宋体" w:cs="宋体"/>
          <w:b/>
          <w:color w:val="auto"/>
          <w:sz w:val="24"/>
          <w:highlight w:val="none"/>
        </w:rPr>
      </w:pPr>
      <w:r>
        <w:rPr>
          <w:rFonts w:hint="eastAsia" w:hAnsi="宋体" w:cs="宋体"/>
          <w:b/>
          <w:color w:val="auto"/>
          <w:sz w:val="24"/>
          <w:highlight w:val="none"/>
        </w:rPr>
        <w:t>6.4记名投票</w:t>
      </w:r>
    </w:p>
    <w:p>
      <w:pPr>
        <w:adjustRightInd w:val="0"/>
        <w:snapToGrid w:val="0"/>
        <w:spacing w:line="440" w:lineRule="exact"/>
        <w:ind w:firstLine="480" w:firstLineChars="200"/>
        <w:rPr>
          <w:rFonts w:hAnsi="宋体" w:cs="宋体"/>
          <w:color w:val="auto"/>
          <w:sz w:val="24"/>
          <w:highlight w:val="none"/>
        </w:rPr>
      </w:pPr>
      <w:r>
        <w:rPr>
          <w:rFonts w:hint="eastAsia" w:hAnsi="宋体" w:cs="宋体"/>
          <w:color w:val="auto"/>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color w:val="auto"/>
          <w:sz w:val="24"/>
          <w:highlight w:val="none"/>
        </w:rPr>
      </w:pPr>
      <w:r>
        <w:rPr>
          <w:rFonts w:hint="eastAsia" w:hAnsi="宋体" w:cs="宋体"/>
          <w:b/>
          <w:color w:val="auto"/>
          <w:sz w:val="24"/>
          <w:highlight w:val="none"/>
        </w:rPr>
        <w:t>6.5评标委员会对评标结果有异议的</w:t>
      </w:r>
    </w:p>
    <w:p>
      <w:pPr>
        <w:adjustRightInd w:val="0"/>
        <w:snapToGrid w:val="0"/>
        <w:spacing w:line="430" w:lineRule="exact"/>
        <w:rPr>
          <w:rFonts w:hAnsi="宋体" w:cs="宋体"/>
          <w:color w:val="auto"/>
          <w:spacing w:val="-3"/>
          <w:sz w:val="24"/>
          <w:highlight w:val="none"/>
        </w:rPr>
      </w:pPr>
      <w:r>
        <w:rPr>
          <w:rFonts w:hint="eastAsia" w:hAnsi="宋体" w:cs="宋体"/>
          <w:color w:val="auto"/>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spacing w:line="240" w:lineRule="auto"/>
        <w:jc w:val="center"/>
        <w:rPr>
          <w:color w:val="auto"/>
          <w:sz w:val="24"/>
          <w:szCs w:val="24"/>
          <w:highlight w:val="none"/>
        </w:rPr>
      </w:pPr>
      <w:r>
        <w:rPr>
          <w:rFonts w:hAnsi="宋体" w:cs="宋体"/>
          <w:b w:val="0"/>
          <w:color w:val="auto"/>
          <w:sz w:val="36"/>
          <w:szCs w:val="36"/>
          <w:highlight w:val="none"/>
        </w:rPr>
        <w:br w:type="page"/>
      </w:r>
      <w:bookmarkStart w:id="96" w:name="_Toc494209596"/>
      <w:bookmarkStart w:id="97" w:name="_Toc465786036"/>
      <w:bookmarkStart w:id="98" w:name="_Toc291427638"/>
      <w:bookmarkStart w:id="99" w:name="_Toc2320"/>
      <w:r>
        <w:rPr>
          <w:rFonts w:hint="eastAsia"/>
          <w:color w:val="auto"/>
          <w:sz w:val="24"/>
          <w:szCs w:val="24"/>
          <w:highlight w:val="none"/>
        </w:rPr>
        <w:t>附件：</w:t>
      </w:r>
      <w:r>
        <w:rPr>
          <w:rFonts w:hint="eastAsia" w:eastAsia="黑体" w:cs="宋体"/>
          <w:color w:val="auto"/>
          <w:kern w:val="0"/>
          <w:sz w:val="24"/>
          <w:szCs w:val="24"/>
          <w:highlight w:val="none"/>
        </w:rPr>
        <w:t>否决</w:t>
      </w:r>
      <w:r>
        <w:rPr>
          <w:rFonts w:hint="eastAsia"/>
          <w:color w:val="auto"/>
          <w:sz w:val="24"/>
          <w:szCs w:val="24"/>
          <w:highlight w:val="none"/>
        </w:rPr>
        <w:t>投标条件</w:t>
      </w:r>
      <w:bookmarkEnd w:id="96"/>
      <w:bookmarkEnd w:id="97"/>
      <w:bookmarkEnd w:id="98"/>
      <w:bookmarkEnd w:id="99"/>
    </w:p>
    <w:p>
      <w:pPr>
        <w:pStyle w:val="4"/>
        <w:spacing w:line="400" w:lineRule="exact"/>
        <w:ind w:firstLine="422"/>
        <w:rPr>
          <w:rFonts w:hAnsi="宋体" w:cs="宋体"/>
          <w:color w:val="auto"/>
          <w:sz w:val="24"/>
          <w:szCs w:val="24"/>
          <w:highlight w:val="none"/>
        </w:rPr>
      </w:pPr>
      <w:bookmarkStart w:id="100" w:name="_Toc293403341"/>
      <w:bookmarkStart w:id="101" w:name="_Toc291427639"/>
      <w:bookmarkStart w:id="102" w:name="_Toc291496657"/>
      <w:bookmarkStart w:id="103" w:name="_Toc24150"/>
      <w:r>
        <w:rPr>
          <w:rFonts w:hint="eastAsia" w:hAnsi="宋体" w:cs="宋体"/>
          <w:color w:val="auto"/>
          <w:sz w:val="24"/>
          <w:szCs w:val="24"/>
          <w:highlight w:val="none"/>
        </w:rPr>
        <w:t>总则</w:t>
      </w:r>
      <w:bookmarkEnd w:id="100"/>
      <w:bookmarkEnd w:id="101"/>
      <w:bookmarkEnd w:id="102"/>
      <w:bookmarkEnd w:id="103"/>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4"/>
        <w:spacing w:line="400" w:lineRule="exact"/>
        <w:ind w:firstLine="422"/>
        <w:rPr>
          <w:rFonts w:hAnsi="宋体" w:cs="宋体"/>
          <w:color w:val="auto"/>
          <w:sz w:val="24"/>
          <w:szCs w:val="24"/>
          <w:highlight w:val="none"/>
        </w:rPr>
      </w:pPr>
      <w:bookmarkStart w:id="104" w:name="_Toc291427640"/>
      <w:bookmarkStart w:id="105" w:name="_Toc19385"/>
      <w:bookmarkStart w:id="106" w:name="_Toc291496658"/>
      <w:bookmarkStart w:id="107" w:name="_Toc293403342"/>
      <w:r>
        <w:rPr>
          <w:rFonts w:hint="eastAsia" w:hAnsi="宋体" w:cs="宋体"/>
          <w:color w:val="auto"/>
          <w:sz w:val="24"/>
          <w:szCs w:val="24"/>
          <w:highlight w:val="none"/>
        </w:rPr>
        <w:t>1.否决投标条件</w:t>
      </w:r>
      <w:bookmarkEnd w:id="104"/>
      <w:bookmarkEnd w:id="105"/>
      <w:bookmarkEnd w:id="106"/>
      <w:bookmarkEnd w:id="107"/>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投标人或其投标文件有下列情形之一的，其投标作否决投标处理：</w:t>
      </w:r>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1.1 有第二章“投标人须知”第1.4.3项规定的任何一种情形的。</w:t>
      </w:r>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1.2 有串通投标或弄虚作假或有其他违法行为的。</w:t>
      </w:r>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1.3 不按评标委员会要求澄清、说明或补正的。</w:t>
      </w:r>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1.4 评标委员会认定投标人以低于成本报价竞标的。</w:t>
      </w:r>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1.5 投标文件内容不全或关键字迹模糊、无法辨认的。</w:t>
      </w:r>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1.6 投标人递交两份或多份内容不同的投标文件，或在一份投标文件中，有两个或多个报价且未书面声明哪一个有效的，按招标文件规定提供可选择性方案报价的除外。</w:t>
      </w:r>
    </w:p>
    <w:p>
      <w:pPr>
        <w:spacing w:line="400" w:lineRule="exact"/>
        <w:ind w:firstLine="424"/>
        <w:jc w:val="left"/>
        <w:rPr>
          <w:color w:val="auto"/>
          <w:sz w:val="24"/>
          <w:szCs w:val="24"/>
          <w:highlight w:val="none"/>
        </w:rPr>
      </w:pPr>
      <w:r>
        <w:rPr>
          <w:rFonts w:hint="eastAsia" w:hAnsi="宋体" w:cs="宋体"/>
          <w:color w:val="auto"/>
          <w:spacing w:val="1"/>
          <w:sz w:val="24"/>
          <w:szCs w:val="24"/>
          <w:highlight w:val="none"/>
        </w:rPr>
        <w:t>1.7擅自修改《投标报价表》中内容的。</w:t>
      </w:r>
    </w:p>
    <w:p>
      <w:pPr>
        <w:autoSpaceDE w:val="0"/>
        <w:autoSpaceDN w:val="0"/>
        <w:adjustRightInd w:val="0"/>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1.8 在形式评审、资格评审、响应性评审中，评标委员会认定投标人的投标不符合评标办法前附表中规定的任何一项评审标准的。</w:t>
      </w:r>
    </w:p>
    <w:p>
      <w:pPr>
        <w:spacing w:line="400" w:lineRule="exact"/>
        <w:ind w:firstLine="424"/>
        <w:jc w:val="left"/>
        <w:rPr>
          <w:rFonts w:hint="eastAsia" w:hAnsi="宋体" w:cs="宋体"/>
          <w:color w:val="auto"/>
          <w:spacing w:val="1"/>
          <w:sz w:val="24"/>
          <w:szCs w:val="24"/>
          <w:highlight w:val="none"/>
        </w:rPr>
      </w:pPr>
      <w:r>
        <w:rPr>
          <w:rFonts w:hint="eastAsia" w:hAnsi="宋体" w:cs="宋体"/>
          <w:color w:val="auto"/>
          <w:spacing w:val="1"/>
          <w:sz w:val="24"/>
          <w:szCs w:val="24"/>
          <w:highlight w:val="none"/>
        </w:rPr>
        <w:t>1.9投标人不接受根据修正原则修正后的价格的。</w:t>
      </w:r>
    </w:p>
    <w:p>
      <w:pPr>
        <w:spacing w:line="400" w:lineRule="exact"/>
        <w:ind w:firstLine="424"/>
        <w:jc w:val="left"/>
        <w:rPr>
          <w:rFonts w:hAnsi="宋体" w:cs="宋体"/>
          <w:color w:val="auto"/>
          <w:spacing w:val="1"/>
          <w:sz w:val="24"/>
          <w:szCs w:val="24"/>
          <w:highlight w:val="none"/>
        </w:rPr>
      </w:pPr>
      <w:r>
        <w:rPr>
          <w:rFonts w:hint="eastAsia" w:hAnsi="宋体" w:cs="宋体"/>
          <w:color w:val="auto"/>
          <w:spacing w:val="1"/>
          <w:sz w:val="24"/>
          <w:szCs w:val="24"/>
          <w:highlight w:val="none"/>
        </w:rPr>
        <w:t>1.10投标报价高于招标控制价的。</w:t>
      </w:r>
    </w:p>
    <w:p>
      <w:pPr>
        <w:adjustRightInd w:val="0"/>
        <w:snapToGrid w:val="0"/>
        <w:spacing w:line="440" w:lineRule="exact"/>
        <w:ind w:firstLine="723" w:firstLineChars="200"/>
        <w:jc w:val="center"/>
        <w:rPr>
          <w:rFonts w:hAnsi="宋体" w:cs="宋体"/>
          <w:b/>
          <w:color w:val="auto"/>
          <w:sz w:val="36"/>
          <w:szCs w:val="36"/>
          <w:highlight w:val="none"/>
        </w:rPr>
      </w:pPr>
    </w:p>
    <w:p>
      <w:pPr>
        <w:adjustRightInd w:val="0"/>
        <w:snapToGrid w:val="0"/>
        <w:spacing w:line="440" w:lineRule="exact"/>
        <w:ind w:firstLine="723" w:firstLineChars="200"/>
        <w:rPr>
          <w:rFonts w:hAnsi="宋体" w:cs="宋体"/>
          <w:color w:val="auto"/>
          <w:spacing w:val="-3"/>
          <w:sz w:val="24"/>
          <w:highlight w:val="none"/>
        </w:rPr>
      </w:pPr>
      <w:r>
        <w:rPr>
          <w:rFonts w:hAnsi="宋体" w:cs="宋体"/>
          <w:b/>
          <w:color w:val="auto"/>
          <w:sz w:val="36"/>
          <w:szCs w:val="36"/>
          <w:highlight w:val="none"/>
        </w:rPr>
        <w:br w:type="page"/>
      </w:r>
    </w:p>
    <w:p>
      <w:pPr>
        <w:adjustRightInd w:val="0"/>
        <w:snapToGrid w:val="0"/>
        <w:spacing w:line="440" w:lineRule="exact"/>
        <w:ind w:firstLine="468" w:firstLineChars="200"/>
        <w:rPr>
          <w:rFonts w:hAnsi="宋体" w:cs="宋体"/>
          <w:color w:val="auto"/>
          <w:spacing w:val="-3"/>
          <w:sz w:val="24"/>
          <w:highlight w:val="none"/>
        </w:rPr>
      </w:pPr>
    </w:p>
    <w:p>
      <w:pPr>
        <w:adjustRightInd w:val="0"/>
        <w:snapToGrid w:val="0"/>
        <w:spacing w:line="440" w:lineRule="exact"/>
        <w:ind w:firstLine="468" w:firstLineChars="200"/>
        <w:jc w:val="center"/>
        <w:rPr>
          <w:rFonts w:hAnsi="宋体" w:cs="宋体"/>
          <w:color w:val="auto"/>
          <w:spacing w:val="-3"/>
          <w:sz w:val="24"/>
          <w:highlight w:val="none"/>
        </w:rPr>
      </w:pPr>
    </w:p>
    <w:p>
      <w:pPr>
        <w:adjustRightInd w:val="0"/>
        <w:snapToGrid w:val="0"/>
        <w:spacing w:line="440" w:lineRule="exact"/>
        <w:jc w:val="center"/>
        <w:rPr>
          <w:rFonts w:hAnsi="宋体" w:cs="宋体"/>
          <w:b/>
          <w:color w:val="auto"/>
          <w:sz w:val="36"/>
          <w:szCs w:val="36"/>
          <w:highlight w:val="none"/>
        </w:rPr>
      </w:pPr>
      <w:r>
        <w:rPr>
          <w:rFonts w:hint="eastAsia" w:hAnsi="宋体" w:cs="宋体"/>
          <w:b/>
          <w:color w:val="auto"/>
          <w:sz w:val="36"/>
          <w:szCs w:val="36"/>
          <w:highlight w:val="none"/>
        </w:rPr>
        <w:t>第四章 合同条款</w:t>
      </w:r>
      <w:bookmarkEnd w:id="69"/>
    </w:p>
    <w:p>
      <w:pPr>
        <w:tabs>
          <w:tab w:val="left" w:pos="5000"/>
        </w:tabs>
        <w:spacing w:line="360" w:lineRule="auto"/>
        <w:ind w:firstLine="490"/>
        <w:rPr>
          <w:rFonts w:hAnsi="宋体" w:cs="宋体"/>
          <w:bCs/>
          <w:color w:val="auto"/>
          <w:sz w:val="28"/>
          <w:szCs w:val="28"/>
          <w:highlight w:val="none"/>
        </w:rPr>
      </w:pPr>
      <w:bookmarkStart w:id="108" w:name="_Toc278443514"/>
    </w:p>
    <w:bookmarkEnd w:id="108"/>
    <w:p>
      <w:pPr>
        <w:pStyle w:val="3"/>
        <w:spacing w:line="410" w:lineRule="exact"/>
        <w:ind w:firstLine="560"/>
        <w:jc w:val="center"/>
        <w:rPr>
          <w:rFonts w:ascii="Times New Roman" w:hAnsi="Times New Roman"/>
          <w:b w:val="0"/>
          <w:bCs w:val="0"/>
          <w:color w:val="auto"/>
          <w:sz w:val="24"/>
          <w:szCs w:val="24"/>
          <w:highlight w:val="none"/>
        </w:rPr>
      </w:pPr>
      <w:bookmarkStart w:id="109" w:name="_Toc17795"/>
      <w:bookmarkStart w:id="110" w:name="_Toc13851"/>
      <w:bookmarkStart w:id="111" w:name="_Toc391119489"/>
      <w:bookmarkStart w:id="112" w:name="_Toc1498"/>
      <w:bookmarkStart w:id="113" w:name="_Toc278443518"/>
      <w:r>
        <w:rPr>
          <w:rFonts w:ascii="Times New Roman" w:hAnsi="Times New Roman"/>
          <w:b w:val="0"/>
          <w:bCs w:val="0"/>
          <w:color w:val="auto"/>
          <w:sz w:val="24"/>
          <w:szCs w:val="24"/>
          <w:highlight w:val="none"/>
        </w:rPr>
        <w:t xml:space="preserve">第一部分 </w:t>
      </w:r>
      <w:bookmarkStart w:id="114" w:name="_Toc157109750"/>
      <w:bookmarkStart w:id="115" w:name="_Toc54329093"/>
      <w:bookmarkStart w:id="116" w:name="_Toc54368828"/>
      <w:bookmarkStart w:id="117" w:name="_Toc54372597"/>
      <w:bookmarkStart w:id="118" w:name="_Toc56139012"/>
      <w:bookmarkStart w:id="119" w:name="_Toc59268882"/>
      <w:bookmarkStart w:id="120" w:name="_Toc281423255"/>
      <w:bookmarkStart w:id="121" w:name="_Toc59900898"/>
      <w:bookmarkStart w:id="122" w:name="_Toc26108549"/>
      <w:bookmarkStart w:id="123" w:name="_Toc54330922"/>
      <w:bookmarkStart w:id="124" w:name="_Toc54372013"/>
      <w:bookmarkStart w:id="125" w:name="_Toc12789522"/>
      <w:bookmarkStart w:id="126" w:name="_Toc55705098"/>
      <w:bookmarkStart w:id="127" w:name="_Toc55654470"/>
      <w:bookmarkStart w:id="128" w:name="_Toc56409037"/>
      <w:bookmarkStart w:id="129" w:name="_Toc26113029"/>
      <w:bookmarkStart w:id="130" w:name="_Toc160842750"/>
      <w:bookmarkStart w:id="131" w:name="_Toc55639335"/>
      <w:bookmarkStart w:id="132" w:name="_Toc55707603"/>
      <w:bookmarkStart w:id="133" w:name="_Toc56153784"/>
      <w:bookmarkStart w:id="134" w:name="_Toc56141822"/>
      <w:bookmarkStart w:id="135" w:name="_Toc54372179"/>
      <w:bookmarkStart w:id="136" w:name="_Toc25930123"/>
      <w:bookmarkStart w:id="137" w:name="_Toc59896630"/>
      <w:r>
        <w:rPr>
          <w:rFonts w:ascii="Times New Roman" w:hAnsi="Times New Roman"/>
          <w:b w:val="0"/>
          <w:bCs w:val="0"/>
          <w:color w:val="auto"/>
          <w:sz w:val="24"/>
          <w:szCs w:val="24"/>
          <w:highlight w:val="none"/>
        </w:rPr>
        <w:t>合同条款</w:t>
      </w:r>
      <w:bookmarkEnd w:id="109"/>
      <w:bookmarkEnd w:id="110"/>
      <w:bookmarkEnd w:id="111"/>
      <w:bookmarkEnd w:id="112"/>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pStyle w:val="4"/>
        <w:spacing w:line="410" w:lineRule="exact"/>
        <w:ind w:firstLine="482"/>
        <w:rPr>
          <w:rFonts w:ascii="Times New Roman"/>
          <w:color w:val="auto"/>
          <w:sz w:val="24"/>
          <w:szCs w:val="24"/>
          <w:highlight w:val="none"/>
        </w:rPr>
      </w:pPr>
      <w:bookmarkStart w:id="138" w:name="_Toc281410705"/>
      <w:r>
        <w:rPr>
          <w:rFonts w:ascii="Times New Roman"/>
          <w:color w:val="auto"/>
          <w:sz w:val="24"/>
          <w:szCs w:val="24"/>
          <w:highlight w:val="none"/>
        </w:rPr>
        <w:t>1</w:t>
      </w:r>
      <w:r>
        <w:rPr>
          <w:rFonts w:ascii="Times New Roman"/>
          <w:color w:val="auto"/>
          <w:sz w:val="24"/>
          <w:szCs w:val="24"/>
          <w:highlight w:val="none"/>
        </w:rPr>
        <w:tab/>
      </w:r>
      <w:r>
        <w:rPr>
          <w:rFonts w:ascii="Times New Roman"/>
          <w:color w:val="auto"/>
          <w:sz w:val="24"/>
          <w:szCs w:val="24"/>
          <w:highlight w:val="none"/>
        </w:rPr>
        <w:t>词语定义、适用语言和法律</w:t>
      </w:r>
      <w:bookmarkEnd w:id="138"/>
    </w:p>
    <w:p>
      <w:pPr>
        <w:spacing w:line="410" w:lineRule="exact"/>
        <w:ind w:left="896" w:leftChars="150" w:hanging="386" w:hangingChars="161"/>
        <w:rPr>
          <w:color w:val="auto"/>
          <w:sz w:val="24"/>
          <w:szCs w:val="24"/>
          <w:highlight w:val="none"/>
        </w:rPr>
      </w:pPr>
      <w:r>
        <w:rPr>
          <w:color w:val="auto"/>
          <w:sz w:val="24"/>
          <w:szCs w:val="24"/>
          <w:highlight w:val="none"/>
        </w:rPr>
        <w:t>1.1词语定义</w:t>
      </w:r>
    </w:p>
    <w:p>
      <w:pPr>
        <w:spacing w:line="410" w:lineRule="exact"/>
        <w:ind w:left="896" w:leftChars="150" w:hanging="386" w:hangingChars="161"/>
        <w:rPr>
          <w:color w:val="auto"/>
          <w:sz w:val="24"/>
          <w:szCs w:val="24"/>
          <w:highlight w:val="none"/>
        </w:rPr>
      </w:pPr>
      <w:r>
        <w:rPr>
          <w:color w:val="auto"/>
          <w:sz w:val="24"/>
          <w:szCs w:val="24"/>
          <w:highlight w:val="none"/>
        </w:rPr>
        <w:t>下列名称和用语，具有如下含义：</w:t>
      </w:r>
    </w:p>
    <w:p>
      <w:pPr>
        <w:spacing w:line="410" w:lineRule="exact"/>
        <w:ind w:left="1601" w:leftChars="312" w:hanging="540" w:hangingChars="225"/>
        <w:rPr>
          <w:color w:val="auto"/>
          <w:sz w:val="24"/>
          <w:szCs w:val="24"/>
          <w:highlight w:val="none"/>
        </w:rPr>
      </w:pPr>
      <w:r>
        <w:rPr>
          <w:color w:val="auto"/>
          <w:sz w:val="24"/>
          <w:szCs w:val="24"/>
          <w:highlight w:val="none"/>
        </w:rPr>
        <w:t>1.1.1项目：郑州机场至许昌市域铁路工程许昌段第三方质量检测。</w:t>
      </w:r>
    </w:p>
    <w:p>
      <w:pPr>
        <w:spacing w:line="410" w:lineRule="exact"/>
        <w:ind w:left="1601" w:leftChars="312" w:hanging="540" w:hangingChars="225"/>
        <w:rPr>
          <w:color w:val="auto"/>
          <w:sz w:val="24"/>
          <w:szCs w:val="24"/>
          <w:highlight w:val="none"/>
        </w:rPr>
      </w:pPr>
      <w:r>
        <w:rPr>
          <w:color w:val="auto"/>
          <w:sz w:val="24"/>
          <w:szCs w:val="24"/>
          <w:highlight w:val="none"/>
        </w:rPr>
        <w:t>1.1.2服务：指合同文件规定质量检测单位须承担的本合同下的工作，包括但不限于：</w:t>
      </w:r>
    </w:p>
    <w:p>
      <w:pPr>
        <w:spacing w:line="410" w:lineRule="exact"/>
        <w:ind w:left="2520" w:leftChars="600" w:hanging="480" w:hangingChars="200"/>
        <w:rPr>
          <w:color w:val="auto"/>
          <w:sz w:val="24"/>
          <w:szCs w:val="24"/>
          <w:highlight w:val="none"/>
        </w:rPr>
      </w:pPr>
      <w:r>
        <w:rPr>
          <w:color w:val="auto"/>
          <w:sz w:val="24"/>
          <w:szCs w:val="24"/>
          <w:highlight w:val="none"/>
        </w:rPr>
        <w:t>(1)负责本合同段施工检测项目的来样检测或现场检测；</w:t>
      </w:r>
    </w:p>
    <w:p>
      <w:pPr>
        <w:spacing w:line="410" w:lineRule="exact"/>
        <w:ind w:left="2280" w:leftChars="600" w:hanging="240" w:hangingChars="100"/>
        <w:rPr>
          <w:color w:val="auto"/>
          <w:sz w:val="24"/>
          <w:szCs w:val="24"/>
          <w:highlight w:val="none"/>
        </w:rPr>
      </w:pPr>
      <w:r>
        <w:rPr>
          <w:color w:val="auto"/>
          <w:sz w:val="24"/>
          <w:szCs w:val="24"/>
          <w:highlight w:val="none"/>
        </w:rPr>
        <w:t>(2)对检测结果进行分析，并以“检测月报”的方式每月上报发包人和有关单位；</w:t>
      </w:r>
    </w:p>
    <w:p>
      <w:pPr>
        <w:spacing w:line="410" w:lineRule="exact"/>
        <w:ind w:left="2520" w:leftChars="600" w:hanging="480" w:hangingChars="200"/>
        <w:rPr>
          <w:color w:val="auto"/>
          <w:sz w:val="24"/>
          <w:szCs w:val="24"/>
          <w:highlight w:val="none"/>
        </w:rPr>
      </w:pPr>
      <w:r>
        <w:rPr>
          <w:color w:val="auto"/>
          <w:sz w:val="24"/>
          <w:szCs w:val="24"/>
          <w:highlight w:val="none"/>
        </w:rPr>
        <w:t>(3)安排专业检测人员配合发包人进行质量巡查。</w:t>
      </w:r>
    </w:p>
    <w:p>
      <w:pPr>
        <w:spacing w:line="410" w:lineRule="exact"/>
        <w:ind w:left="1601" w:leftChars="312" w:hanging="540" w:hangingChars="225"/>
        <w:rPr>
          <w:color w:val="auto"/>
          <w:sz w:val="24"/>
          <w:szCs w:val="24"/>
          <w:highlight w:val="none"/>
        </w:rPr>
      </w:pPr>
      <w:r>
        <w:rPr>
          <w:color w:val="auto"/>
          <w:sz w:val="24"/>
          <w:szCs w:val="24"/>
          <w:highlight w:val="none"/>
        </w:rPr>
        <w:t>1.1.3发包人：指许昌市建设投资有限责任公司以及其取得相应资格的合法继承人。</w:t>
      </w:r>
    </w:p>
    <w:p>
      <w:pPr>
        <w:spacing w:line="410" w:lineRule="exact"/>
        <w:ind w:left="1601" w:leftChars="312" w:hanging="540" w:hangingChars="225"/>
        <w:rPr>
          <w:color w:val="auto"/>
          <w:sz w:val="24"/>
          <w:szCs w:val="24"/>
          <w:highlight w:val="none"/>
        </w:rPr>
      </w:pPr>
      <w:r>
        <w:rPr>
          <w:color w:val="auto"/>
          <w:sz w:val="24"/>
          <w:szCs w:val="24"/>
          <w:highlight w:val="none"/>
        </w:rPr>
        <w:t>1.1.4质量检测单位：指发包人委托的承担本工程检测服务并取得相应资质等级证书的单位，以及其合法继承人，亦称检测单位。</w:t>
      </w:r>
    </w:p>
    <w:p>
      <w:pPr>
        <w:spacing w:line="410" w:lineRule="exact"/>
        <w:ind w:left="1601" w:leftChars="312" w:hanging="540" w:hangingChars="225"/>
        <w:rPr>
          <w:color w:val="auto"/>
          <w:sz w:val="24"/>
          <w:szCs w:val="24"/>
          <w:highlight w:val="none"/>
        </w:rPr>
      </w:pPr>
      <w:r>
        <w:rPr>
          <w:color w:val="auto"/>
          <w:sz w:val="24"/>
          <w:szCs w:val="24"/>
          <w:highlight w:val="none"/>
        </w:rPr>
        <w:t>1.1.5承包人：指在本工程施工承包合同中约定，被发包人接受的具有工程施工承包主体资格的当事人以及取得该当事人资格的合法继承人。</w:t>
      </w:r>
    </w:p>
    <w:p>
      <w:pPr>
        <w:spacing w:line="410" w:lineRule="exact"/>
        <w:ind w:left="1601" w:leftChars="312" w:hanging="540" w:hangingChars="225"/>
        <w:rPr>
          <w:color w:val="auto"/>
          <w:sz w:val="24"/>
          <w:szCs w:val="24"/>
          <w:highlight w:val="none"/>
        </w:rPr>
      </w:pPr>
      <w:r>
        <w:rPr>
          <w:color w:val="auto"/>
          <w:sz w:val="24"/>
          <w:szCs w:val="24"/>
          <w:highlight w:val="none"/>
        </w:rPr>
        <w:t>1.1.6监理人：指在本工程施工监理合同中约定，发包人委托的承担本工程监理服务任务并具有相应工程监理资质等级证书的单位以及其合法继承人。</w:t>
      </w:r>
    </w:p>
    <w:p>
      <w:pPr>
        <w:spacing w:line="410" w:lineRule="exact"/>
        <w:ind w:left="1601" w:leftChars="312" w:hanging="540" w:hangingChars="225"/>
        <w:rPr>
          <w:color w:val="auto"/>
          <w:sz w:val="24"/>
          <w:szCs w:val="24"/>
          <w:highlight w:val="none"/>
        </w:rPr>
      </w:pPr>
      <w:r>
        <w:rPr>
          <w:color w:val="auto"/>
          <w:sz w:val="24"/>
          <w:szCs w:val="24"/>
          <w:highlight w:val="none"/>
        </w:rPr>
        <w:t>1.1.7监理工程师：指发包人委托的监理人在本工程上派驻的监理人员，包括总监理工程师、监理工程师代表和监理工程师助手。</w:t>
      </w:r>
    </w:p>
    <w:p>
      <w:pPr>
        <w:spacing w:line="410" w:lineRule="exact"/>
        <w:ind w:left="1894" w:leftChars="313" w:hanging="830" w:hangingChars="346"/>
        <w:rPr>
          <w:color w:val="auto"/>
          <w:sz w:val="24"/>
          <w:szCs w:val="24"/>
          <w:highlight w:val="none"/>
        </w:rPr>
      </w:pPr>
      <w:r>
        <w:rPr>
          <w:color w:val="auto"/>
          <w:sz w:val="24"/>
          <w:szCs w:val="24"/>
          <w:highlight w:val="none"/>
        </w:rPr>
        <w:t>1.1.8工程：郑州机场至许昌市域铁路工程许昌段。</w:t>
      </w:r>
    </w:p>
    <w:p>
      <w:pPr>
        <w:spacing w:line="410" w:lineRule="exact"/>
        <w:ind w:left="1601" w:leftChars="312" w:hanging="540" w:hangingChars="225"/>
        <w:rPr>
          <w:color w:val="auto"/>
          <w:sz w:val="24"/>
          <w:szCs w:val="24"/>
          <w:highlight w:val="none"/>
        </w:rPr>
      </w:pPr>
      <w:r>
        <w:rPr>
          <w:color w:val="auto"/>
          <w:sz w:val="24"/>
          <w:szCs w:val="24"/>
          <w:highlight w:val="none"/>
        </w:rPr>
        <w:t>1.1.9检测服务期：质量检测工作完成及提交报告时间满足发包人对本工程进度的要求，至通车试运营开始之日止。</w:t>
      </w:r>
    </w:p>
    <w:p>
      <w:pPr>
        <w:spacing w:line="410" w:lineRule="exact"/>
        <w:ind w:left="1601" w:leftChars="312" w:hanging="540" w:hangingChars="225"/>
        <w:rPr>
          <w:color w:val="auto"/>
          <w:sz w:val="24"/>
          <w:szCs w:val="24"/>
          <w:highlight w:val="none"/>
        </w:rPr>
      </w:pPr>
      <w:r>
        <w:rPr>
          <w:color w:val="auto"/>
          <w:sz w:val="24"/>
          <w:szCs w:val="24"/>
          <w:highlight w:val="none"/>
        </w:rPr>
        <w:t>1.1.10合同价款：指质量检测单位在检测服务期内为履行职责应获得的酬金，违约条款中出现的合同价款为合同签约时的合同价款。</w:t>
      </w:r>
    </w:p>
    <w:p>
      <w:pPr>
        <w:spacing w:line="410" w:lineRule="exact"/>
        <w:ind w:left="1601" w:leftChars="312" w:hanging="540" w:hangingChars="225"/>
        <w:rPr>
          <w:color w:val="auto"/>
          <w:sz w:val="24"/>
          <w:szCs w:val="24"/>
          <w:highlight w:val="none"/>
        </w:rPr>
      </w:pPr>
      <w:r>
        <w:rPr>
          <w:color w:val="auto"/>
          <w:sz w:val="24"/>
          <w:szCs w:val="24"/>
          <w:highlight w:val="none"/>
        </w:rPr>
        <w:t>1.1.11合同条件：是发包人与质量检测单位根据法律、法规和其他规范性文件规定，结合具体工程实施的需要订立，经协商达成一致，适用于本工程检测的合同条件。</w:t>
      </w:r>
    </w:p>
    <w:p>
      <w:pPr>
        <w:spacing w:line="410" w:lineRule="exact"/>
        <w:ind w:left="896" w:leftChars="150" w:hanging="386" w:hangingChars="161"/>
        <w:rPr>
          <w:color w:val="auto"/>
          <w:sz w:val="24"/>
          <w:szCs w:val="24"/>
          <w:highlight w:val="none"/>
        </w:rPr>
      </w:pPr>
      <w:r>
        <w:rPr>
          <w:color w:val="auto"/>
          <w:sz w:val="24"/>
          <w:szCs w:val="24"/>
          <w:highlight w:val="none"/>
        </w:rPr>
        <w:t>1.2本合同的书写、解释和说明的语言为汉语。</w:t>
      </w:r>
    </w:p>
    <w:p>
      <w:pPr>
        <w:spacing w:line="410" w:lineRule="exact"/>
        <w:ind w:left="896" w:leftChars="150" w:hanging="386" w:hangingChars="161"/>
        <w:rPr>
          <w:color w:val="auto"/>
          <w:sz w:val="24"/>
          <w:szCs w:val="24"/>
          <w:highlight w:val="none"/>
        </w:rPr>
      </w:pPr>
      <w:r>
        <w:rPr>
          <w:color w:val="auto"/>
          <w:sz w:val="24"/>
          <w:szCs w:val="24"/>
          <w:highlight w:val="none"/>
        </w:rPr>
        <w:t>1.3本合同适用《中华人民共和国合同法》、《中华人民共和国建筑法》、《建设工程质量管理条例》等由国家、河南省、</w:t>
      </w:r>
      <w:r>
        <w:rPr>
          <w:rFonts w:hint="eastAsia"/>
          <w:color w:val="auto"/>
          <w:sz w:val="24"/>
          <w:szCs w:val="24"/>
          <w:highlight w:val="none"/>
        </w:rPr>
        <w:t>许昌</w:t>
      </w:r>
      <w:r>
        <w:rPr>
          <w:color w:val="auto"/>
          <w:sz w:val="24"/>
          <w:szCs w:val="24"/>
          <w:highlight w:val="none"/>
        </w:rPr>
        <w:t>市颁发的相关的法律、法规及规定。</w:t>
      </w:r>
    </w:p>
    <w:p>
      <w:pPr>
        <w:spacing w:line="410" w:lineRule="exact"/>
        <w:ind w:left="896" w:leftChars="150" w:hanging="386" w:hangingChars="161"/>
        <w:rPr>
          <w:color w:val="auto"/>
          <w:sz w:val="24"/>
          <w:szCs w:val="24"/>
          <w:highlight w:val="none"/>
        </w:rPr>
      </w:pPr>
      <w:r>
        <w:rPr>
          <w:color w:val="auto"/>
          <w:sz w:val="24"/>
          <w:szCs w:val="24"/>
          <w:highlight w:val="none"/>
        </w:rPr>
        <w:t>1.4检测工作的实施应当以相关技术规范为依据。</w:t>
      </w:r>
    </w:p>
    <w:p>
      <w:pPr>
        <w:spacing w:line="410" w:lineRule="exact"/>
        <w:ind w:left="896" w:leftChars="150" w:hanging="386" w:hangingChars="161"/>
        <w:rPr>
          <w:color w:val="auto"/>
          <w:sz w:val="24"/>
          <w:szCs w:val="24"/>
          <w:highlight w:val="none"/>
        </w:rPr>
      </w:pPr>
      <w:r>
        <w:rPr>
          <w:color w:val="auto"/>
          <w:sz w:val="24"/>
          <w:szCs w:val="24"/>
          <w:highlight w:val="none"/>
        </w:rPr>
        <w:t>1.5如本合同当事人对本合同条件及其附件有关条款的理解有争议，应当按照合同所使用的词句、合同的有关条款、合同的目的、惯例以及诚实信用原则，确定该条款的真实意思。</w:t>
      </w:r>
    </w:p>
    <w:p>
      <w:pPr>
        <w:pStyle w:val="4"/>
        <w:spacing w:line="410" w:lineRule="exact"/>
        <w:ind w:firstLine="482"/>
        <w:rPr>
          <w:rFonts w:ascii="Times New Roman"/>
          <w:color w:val="auto"/>
          <w:sz w:val="24"/>
          <w:szCs w:val="24"/>
          <w:highlight w:val="none"/>
        </w:rPr>
      </w:pPr>
      <w:bookmarkStart w:id="139" w:name="_Toc281410706"/>
      <w:r>
        <w:rPr>
          <w:rFonts w:ascii="Times New Roman"/>
          <w:color w:val="auto"/>
          <w:sz w:val="24"/>
          <w:szCs w:val="24"/>
          <w:highlight w:val="none"/>
        </w:rPr>
        <w:t>2 发包人的权利与义务</w:t>
      </w:r>
      <w:bookmarkEnd w:id="139"/>
    </w:p>
    <w:p>
      <w:pPr>
        <w:spacing w:line="410" w:lineRule="exact"/>
        <w:ind w:left="896" w:leftChars="150" w:hanging="386" w:hangingChars="161"/>
        <w:rPr>
          <w:color w:val="auto"/>
          <w:sz w:val="24"/>
          <w:szCs w:val="24"/>
          <w:highlight w:val="none"/>
        </w:rPr>
      </w:pPr>
      <w:r>
        <w:rPr>
          <w:color w:val="auto"/>
          <w:sz w:val="24"/>
          <w:szCs w:val="24"/>
          <w:highlight w:val="none"/>
        </w:rPr>
        <w:t>2.1批准或认可检测单位的检测工作计划和工程量，开具本合同工作所需的证明文件，以利于该单位开展工作；</w:t>
      </w:r>
    </w:p>
    <w:p>
      <w:pPr>
        <w:spacing w:line="410" w:lineRule="exact"/>
        <w:ind w:left="896" w:leftChars="150" w:hanging="386" w:hangingChars="161"/>
        <w:rPr>
          <w:color w:val="auto"/>
          <w:sz w:val="24"/>
          <w:szCs w:val="24"/>
          <w:highlight w:val="none"/>
        </w:rPr>
      </w:pPr>
      <w:r>
        <w:rPr>
          <w:color w:val="auto"/>
          <w:sz w:val="24"/>
          <w:szCs w:val="24"/>
          <w:highlight w:val="none"/>
        </w:rPr>
        <w:t>2.2提供服务开展所必须的批准技术资料、技术要求、施工图等资料；</w:t>
      </w:r>
    </w:p>
    <w:p>
      <w:pPr>
        <w:spacing w:line="410" w:lineRule="exact"/>
        <w:ind w:left="896" w:leftChars="150" w:hanging="386" w:hangingChars="161"/>
        <w:rPr>
          <w:color w:val="auto"/>
          <w:sz w:val="24"/>
          <w:szCs w:val="24"/>
          <w:highlight w:val="none"/>
        </w:rPr>
      </w:pPr>
      <w:r>
        <w:rPr>
          <w:color w:val="auto"/>
          <w:sz w:val="24"/>
          <w:szCs w:val="24"/>
          <w:highlight w:val="none"/>
        </w:rPr>
        <w:t>2.3发包人和监理工程师对工期、质量、人员、设备、仪器、检测过程和服务进行监督检查，对不符合技术要求的工作，有权要求责任方自费进行返工；</w:t>
      </w:r>
    </w:p>
    <w:p>
      <w:pPr>
        <w:spacing w:line="410" w:lineRule="exact"/>
        <w:ind w:left="896" w:leftChars="150" w:hanging="386" w:hangingChars="161"/>
        <w:rPr>
          <w:color w:val="auto"/>
          <w:sz w:val="24"/>
          <w:szCs w:val="24"/>
          <w:highlight w:val="none"/>
        </w:rPr>
      </w:pPr>
      <w:r>
        <w:rPr>
          <w:color w:val="auto"/>
          <w:sz w:val="24"/>
          <w:szCs w:val="24"/>
          <w:highlight w:val="none"/>
        </w:rPr>
        <w:t>2.4有权根据设计、施工的需要调整工作内容和工作计划，检测单位不得对此有异议，因此而发生的费用按合同规定确定；</w:t>
      </w:r>
    </w:p>
    <w:p>
      <w:pPr>
        <w:spacing w:line="410" w:lineRule="exact"/>
        <w:ind w:left="896" w:leftChars="150" w:hanging="386" w:hangingChars="161"/>
        <w:rPr>
          <w:color w:val="auto"/>
          <w:sz w:val="24"/>
          <w:szCs w:val="24"/>
          <w:highlight w:val="none"/>
        </w:rPr>
      </w:pPr>
      <w:r>
        <w:rPr>
          <w:color w:val="auto"/>
          <w:sz w:val="24"/>
          <w:szCs w:val="24"/>
          <w:highlight w:val="none"/>
        </w:rPr>
        <w:t>2.5根据本合同规定按时支付费用；</w:t>
      </w:r>
    </w:p>
    <w:p>
      <w:pPr>
        <w:spacing w:line="410" w:lineRule="exact"/>
        <w:ind w:left="896" w:leftChars="150" w:hanging="386" w:hangingChars="161"/>
        <w:rPr>
          <w:color w:val="auto"/>
          <w:sz w:val="24"/>
          <w:szCs w:val="24"/>
          <w:highlight w:val="none"/>
        </w:rPr>
      </w:pPr>
      <w:r>
        <w:rPr>
          <w:color w:val="auto"/>
          <w:sz w:val="24"/>
          <w:szCs w:val="24"/>
          <w:highlight w:val="none"/>
        </w:rPr>
        <w:t>2.6组织检测报告成果的审查和验收；</w:t>
      </w:r>
    </w:p>
    <w:p>
      <w:pPr>
        <w:spacing w:line="410" w:lineRule="exact"/>
        <w:ind w:left="896" w:leftChars="150" w:hanging="386" w:hangingChars="161"/>
        <w:rPr>
          <w:color w:val="auto"/>
          <w:sz w:val="24"/>
          <w:szCs w:val="24"/>
          <w:highlight w:val="none"/>
        </w:rPr>
      </w:pPr>
      <w:r>
        <w:rPr>
          <w:color w:val="auto"/>
          <w:sz w:val="24"/>
          <w:szCs w:val="24"/>
          <w:highlight w:val="none"/>
        </w:rPr>
        <w:t>2.7发包人应要求土建施工监理单位进行见证取样工作并负责把待检样品送到检测单位，按要求填写好相应的委托单和提供必要的信息资料；并负责工程现场检测外部关系的协调；</w:t>
      </w:r>
    </w:p>
    <w:p>
      <w:pPr>
        <w:spacing w:line="410" w:lineRule="exact"/>
        <w:ind w:left="896" w:leftChars="150" w:hanging="386" w:hangingChars="161"/>
        <w:rPr>
          <w:color w:val="auto"/>
          <w:sz w:val="24"/>
          <w:szCs w:val="24"/>
          <w:highlight w:val="none"/>
        </w:rPr>
      </w:pPr>
      <w:r>
        <w:rPr>
          <w:color w:val="auto"/>
          <w:sz w:val="24"/>
          <w:szCs w:val="24"/>
          <w:highlight w:val="none"/>
        </w:rPr>
        <w:t>2.8在约定的时间内就检测单位书面提交并要求作出决定的一切事宜作出书面决定；</w:t>
      </w:r>
    </w:p>
    <w:p>
      <w:pPr>
        <w:spacing w:line="410" w:lineRule="exact"/>
        <w:ind w:left="896" w:leftChars="150" w:hanging="386" w:hangingChars="161"/>
        <w:rPr>
          <w:color w:val="auto"/>
          <w:sz w:val="24"/>
          <w:szCs w:val="24"/>
          <w:highlight w:val="none"/>
        </w:rPr>
      </w:pPr>
      <w:r>
        <w:rPr>
          <w:color w:val="auto"/>
          <w:sz w:val="24"/>
          <w:szCs w:val="24"/>
          <w:highlight w:val="none"/>
        </w:rPr>
        <w:t>2.9授权一名熟悉本工程情况的发包人代表，负责与检测单位联系。更换发包人代表，要提前通知检测单位；</w:t>
      </w:r>
    </w:p>
    <w:p>
      <w:pPr>
        <w:spacing w:line="410" w:lineRule="exact"/>
        <w:ind w:left="1016" w:leftChars="150" w:hanging="506" w:hangingChars="211"/>
        <w:rPr>
          <w:color w:val="auto"/>
          <w:sz w:val="24"/>
          <w:szCs w:val="24"/>
          <w:highlight w:val="none"/>
        </w:rPr>
      </w:pPr>
      <w:r>
        <w:rPr>
          <w:color w:val="auto"/>
          <w:sz w:val="24"/>
          <w:szCs w:val="24"/>
          <w:highlight w:val="none"/>
        </w:rPr>
        <w:t>2.10经发包人进行业务测验和工作考核，对检测单位不称职或严重失职的检测人员，发包人有权要求限期更换；</w:t>
      </w:r>
    </w:p>
    <w:p>
      <w:pPr>
        <w:spacing w:line="410" w:lineRule="exact"/>
        <w:ind w:left="1016" w:leftChars="150" w:hanging="506" w:hangingChars="211"/>
        <w:rPr>
          <w:color w:val="auto"/>
          <w:sz w:val="24"/>
          <w:szCs w:val="24"/>
          <w:highlight w:val="none"/>
        </w:rPr>
      </w:pPr>
      <w:r>
        <w:rPr>
          <w:color w:val="auto"/>
          <w:sz w:val="24"/>
          <w:szCs w:val="24"/>
          <w:highlight w:val="none"/>
        </w:rPr>
        <w:t>2.11发包人有权否定任何在本工程中检测单位工作人员做出的损害发包人利益的决定和行为，并有权向检测单位索赔或追究法律责任；</w:t>
      </w:r>
    </w:p>
    <w:p>
      <w:pPr>
        <w:spacing w:line="410" w:lineRule="exact"/>
        <w:ind w:left="1016" w:leftChars="150" w:hanging="506" w:hangingChars="211"/>
        <w:rPr>
          <w:color w:val="auto"/>
          <w:sz w:val="24"/>
          <w:szCs w:val="24"/>
          <w:highlight w:val="none"/>
        </w:rPr>
      </w:pPr>
      <w:r>
        <w:rPr>
          <w:color w:val="auto"/>
          <w:sz w:val="24"/>
          <w:szCs w:val="24"/>
          <w:highlight w:val="none"/>
        </w:rPr>
        <w:t>2.12如检测单位随意更换检测人员，或不能有效地履行合同职责，或严重违反国家有关法规，发包人有权解除本协议，并追究由此造成的一切损失。</w:t>
      </w:r>
    </w:p>
    <w:p>
      <w:pPr>
        <w:spacing w:line="410" w:lineRule="exact"/>
        <w:ind w:left="896" w:leftChars="150" w:hanging="386" w:hangingChars="161"/>
        <w:rPr>
          <w:color w:val="auto"/>
          <w:sz w:val="24"/>
          <w:szCs w:val="24"/>
          <w:highlight w:val="none"/>
        </w:rPr>
      </w:pPr>
      <w:r>
        <w:rPr>
          <w:color w:val="auto"/>
          <w:sz w:val="24"/>
          <w:szCs w:val="24"/>
          <w:highlight w:val="none"/>
        </w:rPr>
        <w:t>2.13本合同有关条款规定的或补充协议中发包人应负责的其它责任。</w:t>
      </w:r>
    </w:p>
    <w:p>
      <w:pPr>
        <w:pStyle w:val="4"/>
        <w:spacing w:line="410" w:lineRule="exact"/>
        <w:ind w:firstLine="482"/>
        <w:rPr>
          <w:rFonts w:ascii="Times New Roman"/>
          <w:color w:val="auto"/>
          <w:sz w:val="24"/>
          <w:szCs w:val="24"/>
          <w:highlight w:val="none"/>
        </w:rPr>
      </w:pPr>
      <w:bookmarkStart w:id="140" w:name="_Toc281410707"/>
      <w:r>
        <w:rPr>
          <w:rFonts w:ascii="Times New Roman"/>
          <w:color w:val="auto"/>
          <w:sz w:val="24"/>
          <w:szCs w:val="24"/>
          <w:highlight w:val="none"/>
        </w:rPr>
        <w:t>3 质量检测单位的权利与义务</w:t>
      </w:r>
      <w:bookmarkEnd w:id="140"/>
    </w:p>
    <w:p>
      <w:pPr>
        <w:spacing w:line="410" w:lineRule="exact"/>
        <w:ind w:left="896" w:leftChars="150" w:hanging="386" w:hangingChars="161"/>
        <w:rPr>
          <w:color w:val="auto"/>
          <w:sz w:val="24"/>
          <w:szCs w:val="24"/>
          <w:highlight w:val="none"/>
        </w:rPr>
      </w:pPr>
      <w:r>
        <w:rPr>
          <w:color w:val="auto"/>
          <w:sz w:val="24"/>
          <w:szCs w:val="24"/>
          <w:highlight w:val="none"/>
        </w:rPr>
        <w:t>3.1质量检测单位应按合同、招标文件、投标文件等履行与项目有关的检测服务；</w:t>
      </w:r>
    </w:p>
    <w:p>
      <w:pPr>
        <w:spacing w:line="410" w:lineRule="exact"/>
        <w:ind w:left="896" w:leftChars="150" w:hanging="386" w:hangingChars="161"/>
        <w:rPr>
          <w:color w:val="auto"/>
          <w:sz w:val="24"/>
          <w:szCs w:val="24"/>
          <w:highlight w:val="none"/>
        </w:rPr>
      </w:pPr>
      <w:r>
        <w:rPr>
          <w:color w:val="auto"/>
          <w:sz w:val="24"/>
          <w:szCs w:val="24"/>
          <w:highlight w:val="none"/>
        </w:rPr>
        <w:t>3.2指定一名授权代表，与发包人联系；</w:t>
      </w:r>
    </w:p>
    <w:p>
      <w:pPr>
        <w:spacing w:line="410" w:lineRule="exact"/>
        <w:ind w:left="896" w:leftChars="150" w:hanging="386" w:hangingChars="161"/>
        <w:rPr>
          <w:color w:val="auto"/>
          <w:sz w:val="24"/>
          <w:szCs w:val="24"/>
          <w:highlight w:val="none"/>
        </w:rPr>
      </w:pPr>
      <w:r>
        <w:rPr>
          <w:color w:val="auto"/>
          <w:sz w:val="24"/>
          <w:szCs w:val="24"/>
          <w:highlight w:val="none"/>
        </w:rPr>
        <w:t>3.3按国家现行的标准、规范、规程，以及技术要求等开展检测工作，质量检测单位应独立地实施检测，承担检测操作试验等工作；</w:t>
      </w:r>
    </w:p>
    <w:p>
      <w:pPr>
        <w:spacing w:line="410" w:lineRule="exact"/>
        <w:ind w:left="896" w:leftChars="150" w:hanging="386" w:hangingChars="161"/>
        <w:rPr>
          <w:color w:val="auto"/>
          <w:sz w:val="24"/>
          <w:szCs w:val="24"/>
          <w:highlight w:val="none"/>
        </w:rPr>
      </w:pPr>
      <w:r>
        <w:rPr>
          <w:color w:val="auto"/>
          <w:sz w:val="24"/>
          <w:szCs w:val="24"/>
          <w:highlight w:val="none"/>
        </w:rPr>
        <w:t>3.4检测实际工作量以检测报告为准，对于超出规范规定要求的工作量的增减，质量检测单位应取得发包人的书面批准，方可实施检测；</w:t>
      </w:r>
    </w:p>
    <w:p>
      <w:pPr>
        <w:spacing w:line="410" w:lineRule="exact"/>
        <w:ind w:left="896" w:leftChars="150" w:hanging="386" w:hangingChars="161"/>
        <w:rPr>
          <w:color w:val="auto"/>
          <w:sz w:val="24"/>
          <w:szCs w:val="24"/>
          <w:highlight w:val="none"/>
        </w:rPr>
      </w:pPr>
      <w:r>
        <w:rPr>
          <w:color w:val="auto"/>
          <w:sz w:val="24"/>
          <w:szCs w:val="24"/>
          <w:highlight w:val="none"/>
        </w:rPr>
        <w:t>3.5质量检测单位应接受发包人的管理，并接受发包人及监理工程师对工期、质量、人员资格、设备、仪器和检测过程的监督；</w:t>
      </w:r>
    </w:p>
    <w:p>
      <w:pPr>
        <w:spacing w:line="410" w:lineRule="exact"/>
        <w:ind w:left="896" w:leftChars="150" w:hanging="386" w:hangingChars="161"/>
        <w:rPr>
          <w:color w:val="auto"/>
          <w:sz w:val="24"/>
          <w:szCs w:val="24"/>
          <w:highlight w:val="none"/>
        </w:rPr>
      </w:pPr>
      <w:r>
        <w:rPr>
          <w:color w:val="auto"/>
          <w:sz w:val="24"/>
          <w:szCs w:val="24"/>
          <w:highlight w:val="none"/>
        </w:rPr>
        <w:t>3.6检测的质量及赔偿</w:t>
      </w:r>
    </w:p>
    <w:p>
      <w:pPr>
        <w:spacing w:line="410" w:lineRule="exact"/>
        <w:ind w:left="1601" w:leftChars="312" w:hanging="540" w:hangingChars="225"/>
        <w:rPr>
          <w:color w:val="auto"/>
          <w:sz w:val="24"/>
          <w:szCs w:val="24"/>
          <w:highlight w:val="none"/>
        </w:rPr>
      </w:pPr>
      <w:r>
        <w:rPr>
          <w:color w:val="auto"/>
          <w:sz w:val="24"/>
          <w:szCs w:val="24"/>
          <w:highlight w:val="none"/>
        </w:rPr>
        <w:t>3.6.1对检测的质量和数据的准确性负完全责任,如果因检测单位过失或服务水平低下、检测数据错误而造成发包人损失的，发包人有权要求质量检测单位赔偿；</w:t>
      </w:r>
    </w:p>
    <w:p>
      <w:pPr>
        <w:spacing w:line="410" w:lineRule="exact"/>
        <w:ind w:left="1601" w:leftChars="312" w:hanging="540" w:hangingChars="225"/>
        <w:rPr>
          <w:color w:val="auto"/>
          <w:sz w:val="24"/>
          <w:szCs w:val="24"/>
          <w:highlight w:val="none"/>
        </w:rPr>
      </w:pPr>
      <w:r>
        <w:rPr>
          <w:color w:val="auto"/>
          <w:sz w:val="24"/>
          <w:szCs w:val="24"/>
          <w:highlight w:val="none"/>
        </w:rPr>
        <w:t>3.6.2由于质量检测单位原因造成的扩大检测，由质量检测单位自行承担全部责任并不得向发包人收取其他任何费用；</w:t>
      </w:r>
    </w:p>
    <w:p>
      <w:pPr>
        <w:spacing w:line="410" w:lineRule="exact"/>
        <w:ind w:left="1601" w:leftChars="312" w:hanging="540" w:hangingChars="225"/>
        <w:rPr>
          <w:color w:val="auto"/>
          <w:sz w:val="24"/>
          <w:szCs w:val="24"/>
          <w:highlight w:val="none"/>
        </w:rPr>
      </w:pPr>
      <w:r>
        <w:rPr>
          <w:color w:val="auto"/>
          <w:sz w:val="24"/>
          <w:szCs w:val="24"/>
          <w:highlight w:val="none"/>
        </w:rPr>
        <w:t>3.6.3由于质量检测单位不能按发包人指定的时间和要求完全完成检测工作，发包人有权要求本合同段未中标单位（第二中标侯选人或其它侯选人）按其投标时提出的投标价参与检测，如该投标价高于检测单位投标报价的，则该多出部分由检测单位承担；</w:t>
      </w:r>
    </w:p>
    <w:p>
      <w:pPr>
        <w:spacing w:line="410" w:lineRule="exact"/>
        <w:ind w:left="1601" w:leftChars="312" w:hanging="540" w:hangingChars="225"/>
        <w:rPr>
          <w:color w:val="auto"/>
          <w:sz w:val="24"/>
          <w:szCs w:val="24"/>
          <w:highlight w:val="none"/>
        </w:rPr>
      </w:pPr>
      <w:r>
        <w:rPr>
          <w:color w:val="auto"/>
          <w:sz w:val="24"/>
          <w:szCs w:val="24"/>
          <w:highlight w:val="none"/>
        </w:rPr>
        <w:t>3.6.4如多方对质量检测单位出具的检测结论存有异议，须聘请第三方质量检测单位进行鉴定检测时，以鉴定检测的结论为准，如果是由于质量检测单位过失造成的检测错误，质量检测单位需负责第三方鉴定检测费用，对发包人造成损失的，质量检测单位应赔偿相应损失。</w:t>
      </w:r>
    </w:p>
    <w:p>
      <w:pPr>
        <w:spacing w:line="400" w:lineRule="exact"/>
        <w:ind w:left="1160" w:leftChars="200" w:hanging="480" w:hangingChars="200"/>
        <w:rPr>
          <w:color w:val="auto"/>
          <w:sz w:val="24"/>
          <w:szCs w:val="24"/>
          <w:highlight w:val="none"/>
        </w:rPr>
      </w:pPr>
      <w:r>
        <w:rPr>
          <w:color w:val="auto"/>
          <w:sz w:val="24"/>
          <w:szCs w:val="24"/>
          <w:highlight w:val="none"/>
        </w:rPr>
        <w:t>3.7检测单位应自觉维护本工程知识产权，除非发包人同意，不得向发包人之外的其他任何单位提供技术成果的数据。不得泄露与本项目、本工程、本检测合同有关的资料。</w:t>
      </w:r>
    </w:p>
    <w:p>
      <w:pPr>
        <w:spacing w:line="400" w:lineRule="exact"/>
        <w:ind w:left="1160" w:leftChars="200" w:hanging="480" w:hangingChars="200"/>
        <w:rPr>
          <w:color w:val="auto"/>
          <w:sz w:val="24"/>
          <w:szCs w:val="24"/>
          <w:highlight w:val="none"/>
        </w:rPr>
      </w:pPr>
      <w:r>
        <w:rPr>
          <w:color w:val="auto"/>
          <w:sz w:val="24"/>
          <w:szCs w:val="24"/>
          <w:highlight w:val="none"/>
        </w:rPr>
        <w:t>3.8质量检测单位承担的本合同任务，不得分包给第三方，经发包人同意的除外。</w:t>
      </w:r>
    </w:p>
    <w:p>
      <w:pPr>
        <w:spacing w:line="400" w:lineRule="exact"/>
        <w:ind w:left="1160" w:leftChars="200" w:hanging="480" w:hangingChars="200"/>
        <w:rPr>
          <w:color w:val="auto"/>
          <w:sz w:val="24"/>
          <w:szCs w:val="24"/>
          <w:highlight w:val="none"/>
        </w:rPr>
      </w:pPr>
      <w:r>
        <w:rPr>
          <w:color w:val="auto"/>
          <w:sz w:val="24"/>
          <w:szCs w:val="24"/>
          <w:highlight w:val="none"/>
        </w:rPr>
        <w:t>3.9配合工程设计和施工的需要提供技术服务。</w:t>
      </w:r>
    </w:p>
    <w:p>
      <w:pPr>
        <w:spacing w:line="400" w:lineRule="exact"/>
        <w:ind w:left="1160" w:leftChars="200" w:hanging="480" w:hangingChars="200"/>
        <w:rPr>
          <w:color w:val="auto"/>
          <w:sz w:val="24"/>
          <w:szCs w:val="24"/>
          <w:highlight w:val="none"/>
        </w:rPr>
      </w:pPr>
      <w:r>
        <w:rPr>
          <w:color w:val="auto"/>
          <w:sz w:val="24"/>
          <w:szCs w:val="24"/>
          <w:highlight w:val="none"/>
        </w:rPr>
        <w:t>3.10质量检测单位应保证提供的检测资料真实可靠。</w:t>
      </w:r>
    </w:p>
    <w:p>
      <w:pPr>
        <w:spacing w:line="400" w:lineRule="exact"/>
        <w:ind w:left="1160" w:leftChars="200" w:hanging="480" w:hangingChars="200"/>
        <w:rPr>
          <w:color w:val="auto"/>
          <w:sz w:val="24"/>
          <w:szCs w:val="24"/>
          <w:highlight w:val="none"/>
        </w:rPr>
      </w:pPr>
      <w:r>
        <w:rPr>
          <w:color w:val="auto"/>
          <w:sz w:val="24"/>
          <w:szCs w:val="24"/>
          <w:highlight w:val="none"/>
        </w:rPr>
        <w:t>3.11质量检测单位及其人员在服务期间只能获得本合同中规定的报酬，不得向发包人或承包人索要额外的报酬，不得与承包人发生任何经济往来。</w:t>
      </w:r>
    </w:p>
    <w:p>
      <w:pPr>
        <w:spacing w:line="400" w:lineRule="exact"/>
        <w:ind w:left="1160" w:leftChars="200" w:hanging="480" w:hangingChars="200"/>
        <w:rPr>
          <w:color w:val="auto"/>
          <w:sz w:val="24"/>
          <w:szCs w:val="24"/>
          <w:highlight w:val="none"/>
        </w:rPr>
      </w:pPr>
      <w:r>
        <w:rPr>
          <w:color w:val="auto"/>
          <w:sz w:val="24"/>
          <w:szCs w:val="24"/>
          <w:highlight w:val="none"/>
        </w:rPr>
        <w:t>3.12质量检测单位必须如实按投标文件中所报的人员组织机构配备人员，若出现冒名顶替、弄虚作假，发包人将有权调整检测工作量，并处以合同总价20%的违约金，同时上报市建委，予以不良行为记录登记与通报。</w:t>
      </w:r>
    </w:p>
    <w:p>
      <w:pPr>
        <w:spacing w:line="400" w:lineRule="exact"/>
        <w:ind w:left="1160" w:leftChars="200" w:hanging="480" w:hangingChars="200"/>
        <w:rPr>
          <w:color w:val="auto"/>
          <w:sz w:val="24"/>
          <w:szCs w:val="24"/>
          <w:highlight w:val="none"/>
        </w:rPr>
      </w:pPr>
      <w:r>
        <w:rPr>
          <w:color w:val="auto"/>
          <w:sz w:val="24"/>
          <w:szCs w:val="24"/>
          <w:highlight w:val="none"/>
        </w:rPr>
        <w:t>3.13</w:t>
      </w:r>
      <w:r>
        <w:rPr>
          <w:bCs/>
          <w:color w:val="auto"/>
          <w:kern w:val="18"/>
          <w:sz w:val="24"/>
          <w:szCs w:val="24"/>
          <w:highlight w:val="none"/>
        </w:rPr>
        <w:t>投标人须</w:t>
      </w:r>
      <w:r>
        <w:rPr>
          <w:rFonts w:hint="eastAsia"/>
          <w:bCs/>
          <w:color w:val="auto"/>
          <w:kern w:val="18"/>
          <w:sz w:val="24"/>
          <w:szCs w:val="24"/>
          <w:highlight w:val="none"/>
        </w:rPr>
        <w:t>具有或承诺设立</w:t>
      </w:r>
      <w:r>
        <w:rPr>
          <w:bCs/>
          <w:color w:val="auto"/>
          <w:kern w:val="18"/>
          <w:sz w:val="24"/>
          <w:szCs w:val="24"/>
          <w:highlight w:val="none"/>
        </w:rPr>
        <w:t>满足本工程检测需要的实验室。</w:t>
      </w:r>
    </w:p>
    <w:p>
      <w:pPr>
        <w:spacing w:line="400" w:lineRule="exact"/>
        <w:ind w:left="1160" w:leftChars="200" w:hanging="480" w:hangingChars="200"/>
        <w:rPr>
          <w:color w:val="auto"/>
          <w:sz w:val="24"/>
          <w:szCs w:val="24"/>
          <w:highlight w:val="none"/>
        </w:rPr>
      </w:pPr>
      <w:r>
        <w:rPr>
          <w:color w:val="auto"/>
          <w:sz w:val="24"/>
          <w:szCs w:val="24"/>
          <w:highlight w:val="none"/>
        </w:rPr>
        <w:t>3.14发包人有权以书面形式要求质量检测单位更换不能按照检测合同的规定履行检测合同的试验检测人员，对违反检测合同对发包人或工程造成损失或不良影响的检测人员，发包人有权对其进行警告、通报批评、罚款、直到清退；对触犯法律的，将依法追究其法律责任。</w:t>
      </w:r>
    </w:p>
    <w:p>
      <w:pPr>
        <w:spacing w:line="400" w:lineRule="exact"/>
        <w:ind w:left="1160" w:leftChars="200" w:hanging="480" w:hangingChars="200"/>
        <w:rPr>
          <w:color w:val="auto"/>
          <w:sz w:val="24"/>
          <w:szCs w:val="24"/>
          <w:highlight w:val="none"/>
        </w:rPr>
      </w:pPr>
      <w:r>
        <w:rPr>
          <w:color w:val="auto"/>
          <w:sz w:val="24"/>
          <w:szCs w:val="24"/>
          <w:highlight w:val="none"/>
        </w:rPr>
        <w:t>3.15 即使是发包人要求或同意更换的检测人员，其代替的检测人员的资质仍应得到发包人的认可</w:t>
      </w:r>
      <w:r>
        <w:rPr>
          <w:rFonts w:hint="eastAsia"/>
          <w:color w:val="auto"/>
          <w:sz w:val="24"/>
          <w:szCs w:val="24"/>
          <w:highlight w:val="none"/>
        </w:rPr>
        <w:t>，</w:t>
      </w:r>
      <w:r>
        <w:rPr>
          <w:color w:val="auto"/>
          <w:sz w:val="24"/>
          <w:szCs w:val="24"/>
          <w:highlight w:val="none"/>
        </w:rPr>
        <w:t>并对</w:t>
      </w:r>
      <w:r>
        <w:rPr>
          <w:rFonts w:hint="eastAsia"/>
          <w:color w:val="auto"/>
          <w:sz w:val="24"/>
          <w:szCs w:val="24"/>
          <w:highlight w:val="none"/>
        </w:rPr>
        <w:t>质量</w:t>
      </w:r>
      <w:r>
        <w:rPr>
          <w:color w:val="auto"/>
          <w:sz w:val="24"/>
          <w:szCs w:val="24"/>
          <w:highlight w:val="none"/>
        </w:rPr>
        <w:t>检测单位处以</w:t>
      </w:r>
      <w:r>
        <w:rPr>
          <w:rFonts w:hint="eastAsia"/>
          <w:color w:val="auto"/>
          <w:sz w:val="24"/>
          <w:szCs w:val="24"/>
          <w:highlight w:val="none"/>
        </w:rPr>
        <w:t>5万元到10万元不等的罚金</w:t>
      </w:r>
      <w:r>
        <w:rPr>
          <w:color w:val="auto"/>
          <w:sz w:val="24"/>
          <w:szCs w:val="24"/>
          <w:highlight w:val="none"/>
        </w:rPr>
        <w:t>。</w:t>
      </w:r>
    </w:p>
    <w:p>
      <w:pPr>
        <w:spacing w:line="400" w:lineRule="exact"/>
        <w:ind w:left="1160" w:leftChars="200" w:hanging="480" w:hangingChars="200"/>
        <w:rPr>
          <w:color w:val="auto"/>
          <w:sz w:val="24"/>
          <w:szCs w:val="24"/>
          <w:highlight w:val="none"/>
        </w:rPr>
      </w:pPr>
      <w:r>
        <w:rPr>
          <w:color w:val="auto"/>
          <w:sz w:val="24"/>
          <w:szCs w:val="24"/>
          <w:highlight w:val="none"/>
        </w:rPr>
        <w:t>3.16质量检测单位在投标书承诺的合同段项目负责人合同履行期间原则上不允许变动，发包人要求更换的情况下除外。</w:t>
      </w:r>
    </w:p>
    <w:p>
      <w:pPr>
        <w:spacing w:line="400" w:lineRule="exact"/>
        <w:ind w:left="1160" w:leftChars="200" w:hanging="480" w:hangingChars="200"/>
        <w:rPr>
          <w:color w:val="auto"/>
          <w:sz w:val="24"/>
          <w:szCs w:val="24"/>
          <w:highlight w:val="none"/>
        </w:rPr>
      </w:pPr>
      <w:r>
        <w:rPr>
          <w:color w:val="auto"/>
          <w:sz w:val="24"/>
          <w:szCs w:val="24"/>
          <w:highlight w:val="none"/>
        </w:rPr>
        <w:t>3.17质量检测单位还应保证工程收尾、工程整改、工程结算缺陷责任期可能发生的检测工作。</w:t>
      </w:r>
    </w:p>
    <w:p>
      <w:pPr>
        <w:spacing w:line="400" w:lineRule="exact"/>
        <w:ind w:left="1160" w:leftChars="200" w:hanging="480" w:hangingChars="200"/>
        <w:rPr>
          <w:color w:val="auto"/>
          <w:sz w:val="24"/>
          <w:szCs w:val="24"/>
          <w:highlight w:val="none"/>
        </w:rPr>
      </w:pPr>
      <w:r>
        <w:rPr>
          <w:color w:val="auto"/>
          <w:sz w:val="24"/>
          <w:szCs w:val="24"/>
          <w:highlight w:val="none"/>
        </w:rPr>
        <w:t>3.18对发包人支付的检测费用，质量检测单位应按照国家法律缴纳有关税款。</w:t>
      </w:r>
    </w:p>
    <w:p>
      <w:pPr>
        <w:spacing w:line="400" w:lineRule="exact"/>
        <w:ind w:left="1160" w:leftChars="200" w:hanging="480" w:hangingChars="200"/>
        <w:rPr>
          <w:color w:val="auto"/>
          <w:sz w:val="24"/>
          <w:szCs w:val="24"/>
          <w:highlight w:val="none"/>
        </w:rPr>
      </w:pPr>
      <w:r>
        <w:rPr>
          <w:color w:val="auto"/>
          <w:sz w:val="24"/>
          <w:szCs w:val="24"/>
          <w:highlight w:val="none"/>
        </w:rPr>
        <w:t>3.19质量检测单位应对检测过程中检测人员的人身安全负全部责任。</w:t>
      </w:r>
    </w:p>
    <w:p>
      <w:pPr>
        <w:spacing w:line="400" w:lineRule="exact"/>
        <w:ind w:left="1160" w:leftChars="200" w:hanging="480" w:hangingChars="200"/>
        <w:rPr>
          <w:color w:val="auto"/>
          <w:sz w:val="24"/>
          <w:szCs w:val="24"/>
          <w:highlight w:val="none"/>
        </w:rPr>
      </w:pPr>
      <w:r>
        <w:rPr>
          <w:color w:val="auto"/>
          <w:sz w:val="24"/>
          <w:szCs w:val="24"/>
          <w:highlight w:val="none"/>
        </w:rPr>
        <w:t>3.20检测工作需按发包人要求24小时内进行检测,并在相应规定的时间和发包人指定的时间内保质保量完成，不能影响工程其他工序的实施。在完成检测后的3天内（或经发包人批准后的7天内）提交正式检测报告。对于不合格的结果，应立刻通知监理人，并在24小时内将检测结果以书面形式报告监理人和发包人。质量检测单位对所提交的报告及技术数据负责，提交的检测试验报告应具有法定效力，符合工程验收要求。</w:t>
      </w:r>
    </w:p>
    <w:p>
      <w:pPr>
        <w:spacing w:line="400" w:lineRule="exact"/>
        <w:ind w:left="1160" w:leftChars="200" w:hanging="480" w:hangingChars="200"/>
        <w:rPr>
          <w:color w:val="auto"/>
          <w:sz w:val="24"/>
          <w:szCs w:val="24"/>
          <w:highlight w:val="none"/>
        </w:rPr>
      </w:pPr>
      <w:r>
        <w:rPr>
          <w:color w:val="auto"/>
          <w:sz w:val="24"/>
          <w:szCs w:val="24"/>
          <w:highlight w:val="none"/>
        </w:rPr>
        <w:t>3.21正式检测报告的数量和提交方式：检测报告一式九份，在完成该项检测3天内向监理工程师提交六份（由监理工程师转交五份给施工承包人），计量时向发包人提交一份作为附件，待工程验收时向发包人提交两份。</w:t>
      </w:r>
    </w:p>
    <w:p>
      <w:pPr>
        <w:spacing w:line="400" w:lineRule="exact"/>
        <w:ind w:left="1160" w:leftChars="200" w:hanging="480" w:hangingChars="200"/>
        <w:rPr>
          <w:color w:val="auto"/>
          <w:sz w:val="24"/>
          <w:szCs w:val="24"/>
          <w:highlight w:val="none"/>
        </w:rPr>
      </w:pPr>
      <w:r>
        <w:rPr>
          <w:color w:val="auto"/>
          <w:sz w:val="24"/>
          <w:szCs w:val="24"/>
          <w:highlight w:val="none"/>
        </w:rPr>
        <w:t>3.22需在每月的25日前编制检测工作月报，归纳统计当月的检测情况，并提出分析意见和建议，上报发包人。</w:t>
      </w:r>
    </w:p>
    <w:p>
      <w:pPr>
        <w:spacing w:line="400" w:lineRule="exact"/>
        <w:ind w:left="1160" w:leftChars="200" w:hanging="480" w:hangingChars="200"/>
        <w:rPr>
          <w:color w:val="auto"/>
          <w:sz w:val="24"/>
          <w:szCs w:val="24"/>
          <w:highlight w:val="none"/>
        </w:rPr>
      </w:pPr>
      <w:r>
        <w:rPr>
          <w:color w:val="auto"/>
          <w:sz w:val="24"/>
          <w:szCs w:val="24"/>
          <w:highlight w:val="none"/>
        </w:rPr>
        <w:t>3.23不得承担本项目范围内监理单位委托的质量抽检工作。</w:t>
      </w:r>
    </w:p>
    <w:p>
      <w:pPr>
        <w:spacing w:line="400" w:lineRule="exact"/>
        <w:ind w:left="1160" w:leftChars="200" w:hanging="480" w:hangingChars="200"/>
        <w:rPr>
          <w:color w:val="auto"/>
          <w:sz w:val="24"/>
          <w:szCs w:val="24"/>
          <w:highlight w:val="none"/>
        </w:rPr>
      </w:pPr>
      <w:r>
        <w:rPr>
          <w:color w:val="auto"/>
          <w:sz w:val="24"/>
          <w:szCs w:val="24"/>
          <w:highlight w:val="none"/>
        </w:rPr>
        <w:t>3.24 承包人在中标后应组建轨道交通项目机构负责</w:t>
      </w:r>
      <w:r>
        <w:rPr>
          <w:color w:val="auto"/>
          <w:sz w:val="24"/>
          <w:szCs w:val="24"/>
          <w:highlight w:val="none"/>
          <w:u w:val="single"/>
        </w:rPr>
        <w:t>本</w:t>
      </w:r>
      <w:r>
        <w:rPr>
          <w:rFonts w:hint="eastAsia"/>
          <w:color w:val="auto"/>
          <w:sz w:val="24"/>
          <w:szCs w:val="24"/>
          <w:highlight w:val="none"/>
          <w:u w:val="single"/>
          <w:lang w:eastAsia="zh-CN"/>
        </w:rPr>
        <w:t>工程</w:t>
      </w:r>
      <w:r>
        <w:rPr>
          <w:color w:val="auto"/>
          <w:sz w:val="24"/>
          <w:szCs w:val="24"/>
          <w:highlight w:val="none"/>
          <w:u w:val="single"/>
        </w:rPr>
        <w:t>的</w:t>
      </w:r>
      <w:r>
        <w:rPr>
          <w:color w:val="auto"/>
          <w:sz w:val="24"/>
          <w:szCs w:val="24"/>
          <w:highlight w:val="none"/>
        </w:rPr>
        <w:t>质量检测。</w:t>
      </w:r>
    </w:p>
    <w:p>
      <w:pPr>
        <w:pStyle w:val="4"/>
        <w:spacing w:line="410" w:lineRule="exact"/>
        <w:ind w:firstLine="482"/>
        <w:rPr>
          <w:rFonts w:ascii="Times New Roman"/>
          <w:color w:val="auto"/>
          <w:sz w:val="24"/>
          <w:szCs w:val="24"/>
          <w:highlight w:val="none"/>
        </w:rPr>
      </w:pPr>
      <w:bookmarkStart w:id="141" w:name="_Toc281410708"/>
      <w:r>
        <w:rPr>
          <w:rFonts w:ascii="Times New Roman"/>
          <w:color w:val="auto"/>
          <w:sz w:val="24"/>
          <w:szCs w:val="24"/>
          <w:highlight w:val="none"/>
        </w:rPr>
        <w:t>4 检测工作细则、服务期和进度安排</w:t>
      </w:r>
      <w:bookmarkEnd w:id="141"/>
    </w:p>
    <w:p>
      <w:pPr>
        <w:spacing w:line="410" w:lineRule="exact"/>
        <w:ind w:left="966" w:leftChars="150" w:hanging="456" w:hangingChars="190"/>
        <w:rPr>
          <w:color w:val="auto"/>
          <w:sz w:val="24"/>
          <w:szCs w:val="24"/>
          <w:highlight w:val="none"/>
        </w:rPr>
      </w:pPr>
      <w:r>
        <w:rPr>
          <w:color w:val="auto"/>
          <w:sz w:val="24"/>
          <w:szCs w:val="24"/>
          <w:highlight w:val="none"/>
        </w:rPr>
        <w:t>4.1质量检测单位提交的检测工作细则</w:t>
      </w:r>
    </w:p>
    <w:p>
      <w:pPr>
        <w:spacing w:line="410" w:lineRule="exact"/>
        <w:ind w:left="1601" w:leftChars="312" w:hanging="540" w:hangingChars="225"/>
        <w:rPr>
          <w:color w:val="auto"/>
          <w:sz w:val="24"/>
          <w:szCs w:val="24"/>
          <w:highlight w:val="none"/>
        </w:rPr>
      </w:pPr>
      <w:r>
        <w:rPr>
          <w:color w:val="auto"/>
          <w:sz w:val="24"/>
          <w:szCs w:val="24"/>
          <w:highlight w:val="none"/>
        </w:rPr>
        <w:t>4.1.1合同签订后7天内并于检测工作实施前，质量检测单位应向发包人提交检测工作细则。质量检测单位应按照经发包人批准后的检测细则的要求，有计划、有组织的开展检测工作，并受其约束。</w:t>
      </w:r>
    </w:p>
    <w:p>
      <w:pPr>
        <w:spacing w:line="410" w:lineRule="exact"/>
        <w:ind w:left="1601" w:leftChars="312" w:hanging="540" w:hangingChars="225"/>
        <w:rPr>
          <w:color w:val="auto"/>
          <w:sz w:val="24"/>
          <w:szCs w:val="24"/>
          <w:highlight w:val="none"/>
        </w:rPr>
      </w:pPr>
      <w:r>
        <w:rPr>
          <w:color w:val="auto"/>
          <w:sz w:val="24"/>
          <w:szCs w:val="24"/>
          <w:highlight w:val="none"/>
        </w:rPr>
        <w:t>4.1.2发包人可以根据实际情况，书面要求质量检测单位提供进一步的详细说明和其他内容。</w:t>
      </w:r>
    </w:p>
    <w:p>
      <w:pPr>
        <w:spacing w:line="410" w:lineRule="exact"/>
        <w:ind w:left="896" w:leftChars="150" w:hanging="386" w:hangingChars="161"/>
        <w:rPr>
          <w:color w:val="auto"/>
          <w:sz w:val="24"/>
          <w:szCs w:val="24"/>
          <w:highlight w:val="none"/>
        </w:rPr>
      </w:pPr>
      <w:r>
        <w:rPr>
          <w:color w:val="auto"/>
          <w:sz w:val="24"/>
          <w:szCs w:val="24"/>
          <w:highlight w:val="none"/>
        </w:rPr>
        <w:t>4.2服务期和进度安排</w:t>
      </w:r>
    </w:p>
    <w:p>
      <w:pPr>
        <w:spacing w:line="410" w:lineRule="exact"/>
        <w:ind w:left="1601" w:leftChars="312" w:hanging="540" w:hangingChars="225"/>
        <w:rPr>
          <w:color w:val="auto"/>
          <w:sz w:val="24"/>
          <w:szCs w:val="24"/>
          <w:highlight w:val="none"/>
        </w:rPr>
      </w:pPr>
      <w:r>
        <w:rPr>
          <w:color w:val="auto"/>
          <w:sz w:val="24"/>
          <w:szCs w:val="24"/>
          <w:highlight w:val="none"/>
        </w:rPr>
        <w:t>4.2.1本工程具体检测服务期见合同协议书。在合同实施过程中，如果因工程建设进度的推迟或延误而超过约定的服务期限，应相应延长服务期，但并不因检测服务期的延长原因调整各项单价。双方履行完本合同所有义务，检测工作全面结束后，检测服务期满，质量检测单位即按照本合同约定完工。</w:t>
      </w:r>
    </w:p>
    <w:p>
      <w:pPr>
        <w:spacing w:line="410" w:lineRule="exact"/>
        <w:ind w:left="1601" w:leftChars="312" w:hanging="540" w:hangingChars="225"/>
        <w:rPr>
          <w:color w:val="auto"/>
          <w:sz w:val="24"/>
          <w:szCs w:val="24"/>
          <w:highlight w:val="none"/>
        </w:rPr>
      </w:pPr>
      <w:r>
        <w:rPr>
          <w:color w:val="auto"/>
          <w:sz w:val="24"/>
          <w:szCs w:val="24"/>
          <w:highlight w:val="none"/>
        </w:rPr>
        <w:t>4.2.2质量检测单位应合理安排工作进度，在不影响工程工期的原则下实施检测，按时提交工作成果报告。由于质量检测单位的原因造成的本工程工期延误，发包人有权指令质量检测单位加快工作进度并由质量检测单位承担相关费用。若质量检测单位不采取相应措施，应视为质量检测单位严重违约。</w:t>
      </w:r>
    </w:p>
    <w:p>
      <w:pPr>
        <w:pStyle w:val="4"/>
        <w:spacing w:line="410" w:lineRule="exact"/>
        <w:ind w:firstLine="482"/>
        <w:rPr>
          <w:rFonts w:ascii="Times New Roman"/>
          <w:color w:val="auto"/>
          <w:sz w:val="24"/>
          <w:szCs w:val="24"/>
          <w:highlight w:val="none"/>
        </w:rPr>
      </w:pPr>
      <w:bookmarkStart w:id="142" w:name="_Toc281410709"/>
      <w:r>
        <w:rPr>
          <w:rFonts w:ascii="Times New Roman"/>
          <w:color w:val="auto"/>
          <w:sz w:val="24"/>
          <w:szCs w:val="24"/>
          <w:highlight w:val="none"/>
        </w:rPr>
        <w:t>5 安全措施</w:t>
      </w:r>
      <w:bookmarkEnd w:id="142"/>
    </w:p>
    <w:p>
      <w:pPr>
        <w:spacing w:line="410" w:lineRule="exact"/>
        <w:ind w:left="510" w:leftChars="150" w:firstLine="420"/>
        <w:rPr>
          <w:color w:val="auto"/>
          <w:sz w:val="24"/>
          <w:szCs w:val="24"/>
          <w:highlight w:val="none"/>
        </w:rPr>
      </w:pPr>
      <w:r>
        <w:rPr>
          <w:color w:val="auto"/>
          <w:sz w:val="24"/>
          <w:szCs w:val="24"/>
          <w:highlight w:val="none"/>
        </w:rPr>
        <w:t>发包人在作业现场，质量检测单位应采取必要的安全措施，并应保障发包人免于承担由此导致的一切诉讼、争执、索赔、罚款。</w:t>
      </w:r>
    </w:p>
    <w:p>
      <w:pPr>
        <w:pStyle w:val="4"/>
        <w:spacing w:line="410" w:lineRule="exact"/>
        <w:ind w:firstLine="482"/>
        <w:rPr>
          <w:rFonts w:ascii="Times New Roman"/>
          <w:color w:val="auto"/>
          <w:sz w:val="24"/>
          <w:szCs w:val="24"/>
          <w:highlight w:val="none"/>
        </w:rPr>
      </w:pPr>
      <w:bookmarkStart w:id="143" w:name="_Toc281410710"/>
      <w:r>
        <w:rPr>
          <w:rFonts w:ascii="Times New Roman"/>
          <w:color w:val="auto"/>
          <w:sz w:val="24"/>
          <w:szCs w:val="24"/>
          <w:highlight w:val="none"/>
        </w:rPr>
        <w:t>6合同价款支付及变更</w:t>
      </w:r>
      <w:bookmarkEnd w:id="143"/>
    </w:p>
    <w:p>
      <w:pPr>
        <w:spacing w:line="410" w:lineRule="exact"/>
        <w:ind w:left="896" w:leftChars="150" w:hanging="386" w:hangingChars="161"/>
        <w:rPr>
          <w:rFonts w:hint="eastAsia"/>
          <w:color w:val="auto"/>
          <w:sz w:val="24"/>
          <w:szCs w:val="24"/>
          <w:highlight w:val="none"/>
          <w:lang w:eastAsia="zh-CN"/>
        </w:rPr>
      </w:pPr>
      <w:r>
        <w:rPr>
          <w:rFonts w:hint="eastAsia"/>
          <w:color w:val="auto"/>
          <w:sz w:val="24"/>
          <w:szCs w:val="24"/>
          <w:highlight w:val="none"/>
        </w:rPr>
        <w:t>6.1</w:t>
      </w:r>
      <w:r>
        <w:rPr>
          <w:rFonts w:hint="eastAsia"/>
          <w:color w:val="auto"/>
          <w:sz w:val="24"/>
          <w:szCs w:val="24"/>
          <w:highlight w:val="none"/>
          <w:lang w:eastAsia="zh-CN"/>
        </w:rPr>
        <w:t>合同价款的计算：</w:t>
      </w:r>
      <w:r>
        <w:rPr>
          <w:rFonts w:hint="eastAsia"/>
          <w:color w:val="auto"/>
          <w:sz w:val="24"/>
          <w:szCs w:val="24"/>
          <w:highlight w:val="none"/>
        </w:rPr>
        <w:t>本合同为单价包干合同，在合同履行期间，各检测项目试验检测费单价不因工作数量增加、减少或变更而调整。</w:t>
      </w:r>
    </w:p>
    <w:p>
      <w:pPr>
        <w:spacing w:line="410" w:lineRule="exact"/>
        <w:ind w:left="896" w:leftChars="150" w:hanging="386" w:hangingChars="161"/>
        <w:rPr>
          <w:rFonts w:hint="eastAsia"/>
          <w:color w:val="auto"/>
          <w:sz w:val="24"/>
          <w:szCs w:val="24"/>
          <w:highlight w:val="none"/>
        </w:rPr>
      </w:pPr>
      <w:r>
        <w:rPr>
          <w:rFonts w:hint="eastAsia"/>
          <w:color w:val="auto"/>
          <w:sz w:val="24"/>
          <w:szCs w:val="24"/>
          <w:highlight w:val="none"/>
          <w:lang w:val="en-US" w:eastAsia="zh-CN"/>
        </w:rPr>
        <w:t>6.1.1</w:t>
      </w:r>
      <w:r>
        <w:rPr>
          <w:rFonts w:hint="eastAsia"/>
          <w:color w:val="auto"/>
          <w:sz w:val="24"/>
          <w:szCs w:val="24"/>
          <w:highlight w:val="none"/>
        </w:rPr>
        <w:t>质量检测费是指质量检测费报价清单中所包含的所有检测项目的费用。</w:t>
      </w:r>
      <w:r>
        <w:rPr>
          <w:rFonts w:hint="eastAsia"/>
          <w:color w:val="auto"/>
          <w:sz w:val="24"/>
          <w:szCs w:val="24"/>
          <w:highlight w:val="none"/>
          <w:lang w:eastAsia="zh-CN"/>
        </w:rPr>
        <w:t>如果存在</w:t>
      </w:r>
      <w:r>
        <w:rPr>
          <w:rFonts w:hint="eastAsia"/>
          <w:color w:val="auto"/>
          <w:sz w:val="24"/>
          <w:szCs w:val="24"/>
          <w:highlight w:val="none"/>
        </w:rPr>
        <w:t>清单以外的检测</w:t>
      </w:r>
      <w:r>
        <w:rPr>
          <w:rFonts w:hint="eastAsia"/>
          <w:color w:val="auto"/>
          <w:sz w:val="24"/>
          <w:szCs w:val="24"/>
          <w:highlight w:val="none"/>
          <w:lang w:eastAsia="zh-CN"/>
        </w:rPr>
        <w:t>工作，承包人应无条件按照发包人指令开展检测工作，此部分费用已包含在合同价中，</w:t>
      </w:r>
      <w:r>
        <w:rPr>
          <w:rFonts w:hint="eastAsia"/>
          <w:color w:val="auto"/>
          <w:sz w:val="24"/>
          <w:szCs w:val="24"/>
          <w:highlight w:val="none"/>
        </w:rPr>
        <w:t>不再单独计量支付。</w:t>
      </w:r>
    </w:p>
    <w:p>
      <w:pPr>
        <w:spacing w:line="410" w:lineRule="exact"/>
        <w:ind w:left="896" w:leftChars="150" w:hanging="386" w:hangingChars="161"/>
        <w:rPr>
          <w:rFonts w:hint="eastAsia" w:hAnsi="宋体" w:eastAsia="宋体" w:cs="宋体"/>
          <w:color w:val="auto"/>
          <w:sz w:val="24"/>
          <w:szCs w:val="24"/>
          <w:highlight w:val="none"/>
          <w:lang w:val="en-US" w:eastAsia="zh-CN"/>
        </w:rPr>
      </w:pPr>
      <w:r>
        <w:rPr>
          <w:rFonts w:hint="eastAsia"/>
          <w:color w:val="auto"/>
          <w:sz w:val="24"/>
          <w:szCs w:val="24"/>
          <w:highlight w:val="none"/>
          <w:lang w:val="en-US" w:eastAsia="zh-CN"/>
        </w:rPr>
        <w:t>6.1.2当实际完成工程量</w:t>
      </w:r>
      <w:r>
        <w:rPr>
          <w:rFonts w:hint="eastAsia" w:hAnsi="宋体" w:eastAsia="宋体" w:cs="宋体"/>
          <w:color w:val="auto"/>
          <w:sz w:val="24"/>
          <w:szCs w:val="24"/>
          <w:highlight w:val="none"/>
          <w:lang w:val="en-US" w:eastAsia="zh-CN"/>
        </w:rPr>
        <w:t>小于或等于本项目清单工程量时，以实际完成工程量为准进行结算；当</w:t>
      </w:r>
      <w:r>
        <w:rPr>
          <w:rFonts w:hint="eastAsia"/>
          <w:color w:val="auto"/>
          <w:sz w:val="24"/>
          <w:szCs w:val="24"/>
          <w:highlight w:val="none"/>
          <w:lang w:val="en-US" w:eastAsia="zh-CN"/>
        </w:rPr>
        <w:t>实际完成工程量大于</w:t>
      </w:r>
      <w:r>
        <w:rPr>
          <w:rFonts w:hint="eastAsia" w:hAnsi="宋体" w:eastAsia="宋体" w:cs="宋体"/>
          <w:color w:val="auto"/>
          <w:sz w:val="24"/>
          <w:szCs w:val="24"/>
          <w:highlight w:val="none"/>
          <w:lang w:val="en-US" w:eastAsia="zh-CN"/>
        </w:rPr>
        <w:t>本项目清单工程量时，以本项目清单工程量为准进行结算。</w:t>
      </w:r>
    </w:p>
    <w:p>
      <w:pPr>
        <w:spacing w:line="410" w:lineRule="exact"/>
        <w:ind w:left="896" w:leftChars="150" w:hanging="386" w:hangingChars="16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6.1.3结算额不得高于合同总价。</w:t>
      </w:r>
    </w:p>
    <w:p>
      <w:pPr>
        <w:spacing w:line="410" w:lineRule="exact"/>
        <w:ind w:left="896" w:leftChars="150" w:hanging="386" w:hangingChars="161"/>
        <w:rPr>
          <w:color w:val="auto"/>
          <w:sz w:val="24"/>
          <w:szCs w:val="24"/>
          <w:highlight w:val="none"/>
        </w:rPr>
      </w:pPr>
      <w:r>
        <w:rPr>
          <w:rFonts w:hint="eastAsia"/>
          <w:color w:val="auto"/>
          <w:sz w:val="24"/>
          <w:szCs w:val="24"/>
          <w:highlight w:val="none"/>
        </w:rPr>
        <w:t>6.2本合同价款支付方式如下：</w:t>
      </w:r>
    </w:p>
    <w:p>
      <w:pPr>
        <w:spacing w:line="410" w:lineRule="exact"/>
        <w:ind w:left="896" w:leftChars="150" w:hanging="386" w:hangingChars="161"/>
        <w:rPr>
          <w:color w:val="auto"/>
          <w:sz w:val="24"/>
          <w:szCs w:val="24"/>
          <w:highlight w:val="none"/>
        </w:rPr>
      </w:pPr>
      <w:r>
        <w:rPr>
          <w:rFonts w:hint="eastAsia"/>
          <w:color w:val="auto"/>
          <w:sz w:val="24"/>
          <w:szCs w:val="24"/>
          <w:highlight w:val="none"/>
        </w:rPr>
        <w:t>6.2.1质量检测费按季度支付，质量检测单位在每季度的最后14天内按形象进度结合所完成的工作量向发包人提供支付申请。</w:t>
      </w:r>
    </w:p>
    <w:p>
      <w:pPr>
        <w:spacing w:line="410" w:lineRule="exact"/>
        <w:ind w:left="896" w:leftChars="150" w:hanging="386" w:hangingChars="161"/>
        <w:rPr>
          <w:color w:val="auto"/>
          <w:sz w:val="24"/>
          <w:szCs w:val="24"/>
          <w:highlight w:val="none"/>
        </w:rPr>
      </w:pPr>
      <w:r>
        <w:rPr>
          <w:rFonts w:hint="eastAsia"/>
          <w:color w:val="auto"/>
          <w:sz w:val="24"/>
          <w:szCs w:val="24"/>
          <w:highlight w:val="none"/>
        </w:rPr>
        <w:t>6.2.2发包人按照实际完成的合格工程量（以监理确认的正式检测成果报告为准），以及检测工作质量、进度等综合考核情况审核后14天内向质量检测单位支付至经审核完成工程量的80％。</w:t>
      </w:r>
    </w:p>
    <w:p>
      <w:pPr>
        <w:spacing w:line="410" w:lineRule="exact"/>
        <w:ind w:left="896" w:leftChars="150" w:hanging="386" w:hangingChars="161"/>
        <w:rPr>
          <w:color w:val="auto"/>
          <w:sz w:val="24"/>
          <w:szCs w:val="24"/>
          <w:highlight w:val="none"/>
        </w:rPr>
      </w:pPr>
      <w:r>
        <w:rPr>
          <w:rFonts w:hint="eastAsia"/>
          <w:color w:val="auto"/>
          <w:sz w:val="24"/>
          <w:szCs w:val="24"/>
          <w:highlight w:val="none"/>
        </w:rPr>
        <w:t>6.2.3质量检测工作完成后，所提交的检测成果资料经发包人验收通过，发包人付至经审核完成工程量的90%；本工程结算完成后，承包人按省、市档案部门要求及时移交竣工档案资料后，向发包人申请支付剩余款项。</w:t>
      </w:r>
    </w:p>
    <w:p>
      <w:pPr>
        <w:spacing w:line="410" w:lineRule="exact"/>
        <w:ind w:left="896" w:leftChars="150" w:hanging="386" w:hangingChars="161"/>
        <w:rPr>
          <w:color w:val="auto"/>
          <w:sz w:val="24"/>
          <w:szCs w:val="24"/>
          <w:highlight w:val="none"/>
        </w:rPr>
      </w:pPr>
      <w:r>
        <w:rPr>
          <w:rFonts w:hint="eastAsia"/>
          <w:color w:val="auto"/>
          <w:sz w:val="24"/>
          <w:szCs w:val="24"/>
          <w:highlight w:val="none"/>
        </w:rPr>
        <w:t>6.2.4具体按发包人下达的管理办法实施。</w:t>
      </w:r>
    </w:p>
    <w:p>
      <w:pPr>
        <w:spacing w:line="410" w:lineRule="exact"/>
        <w:ind w:left="896" w:leftChars="150" w:hanging="386" w:hangingChars="161"/>
        <w:rPr>
          <w:color w:val="auto"/>
          <w:sz w:val="24"/>
          <w:szCs w:val="24"/>
          <w:highlight w:val="none"/>
        </w:rPr>
      </w:pPr>
      <w:r>
        <w:rPr>
          <w:rFonts w:hint="eastAsia"/>
          <w:color w:val="auto"/>
          <w:sz w:val="24"/>
          <w:szCs w:val="24"/>
          <w:highlight w:val="none"/>
        </w:rPr>
        <w:t>6.3在签订本合同后，质量检测费单价不因法律、法规变化，以及因物价变动、规范性文件发生变化等因素予以调整。</w:t>
      </w:r>
    </w:p>
    <w:p>
      <w:pPr>
        <w:pStyle w:val="4"/>
        <w:spacing w:line="410" w:lineRule="exact"/>
        <w:ind w:firstLine="482"/>
        <w:rPr>
          <w:rFonts w:ascii="Times New Roman"/>
          <w:color w:val="auto"/>
          <w:sz w:val="24"/>
          <w:szCs w:val="24"/>
          <w:highlight w:val="none"/>
        </w:rPr>
      </w:pPr>
      <w:bookmarkStart w:id="144" w:name="_Toc281410711"/>
      <w:r>
        <w:rPr>
          <w:rFonts w:ascii="Times New Roman"/>
          <w:color w:val="auto"/>
          <w:sz w:val="24"/>
          <w:szCs w:val="24"/>
          <w:highlight w:val="none"/>
        </w:rPr>
        <w:t>7 违约和争议</w:t>
      </w:r>
      <w:bookmarkEnd w:id="144"/>
    </w:p>
    <w:p>
      <w:pPr>
        <w:spacing w:line="410" w:lineRule="exact"/>
        <w:ind w:left="896" w:leftChars="150" w:hanging="386" w:hangingChars="161"/>
        <w:rPr>
          <w:color w:val="auto"/>
          <w:sz w:val="24"/>
          <w:szCs w:val="24"/>
          <w:highlight w:val="none"/>
        </w:rPr>
      </w:pPr>
      <w:r>
        <w:rPr>
          <w:color w:val="auto"/>
          <w:sz w:val="24"/>
          <w:szCs w:val="24"/>
          <w:highlight w:val="none"/>
        </w:rPr>
        <w:t>7.1发包人违约责任</w:t>
      </w:r>
    </w:p>
    <w:p>
      <w:pPr>
        <w:spacing w:line="410" w:lineRule="exact"/>
        <w:ind w:left="1591" w:leftChars="300" w:hanging="571" w:hangingChars="238"/>
        <w:rPr>
          <w:color w:val="auto"/>
          <w:sz w:val="24"/>
          <w:szCs w:val="24"/>
          <w:highlight w:val="none"/>
        </w:rPr>
      </w:pPr>
      <w:r>
        <w:rPr>
          <w:color w:val="auto"/>
          <w:sz w:val="24"/>
          <w:szCs w:val="24"/>
          <w:highlight w:val="none"/>
        </w:rPr>
        <w:t>7.1.1合同生效后，若发包人不按合同履行职责，已支付的检测费用不得收回。</w:t>
      </w:r>
    </w:p>
    <w:p>
      <w:pPr>
        <w:spacing w:line="410" w:lineRule="exact"/>
        <w:ind w:left="1591" w:leftChars="300" w:hanging="571" w:hangingChars="238"/>
        <w:rPr>
          <w:color w:val="auto"/>
          <w:sz w:val="24"/>
          <w:szCs w:val="24"/>
          <w:highlight w:val="none"/>
        </w:rPr>
      </w:pPr>
      <w:r>
        <w:rPr>
          <w:color w:val="auto"/>
          <w:sz w:val="24"/>
          <w:szCs w:val="24"/>
          <w:highlight w:val="none"/>
        </w:rPr>
        <w:t>7.1.2合同生效后，由于工程停建或因发包人原因而需要终止合同的，发包人有权单方解除合同，解除合同后发包人应向质量检测单位支付已完成工作量的检测费用。</w:t>
      </w:r>
    </w:p>
    <w:p>
      <w:pPr>
        <w:spacing w:line="410" w:lineRule="exact"/>
        <w:ind w:left="896" w:leftChars="150" w:hanging="386" w:hangingChars="161"/>
        <w:rPr>
          <w:color w:val="auto"/>
          <w:sz w:val="24"/>
          <w:szCs w:val="24"/>
          <w:highlight w:val="none"/>
        </w:rPr>
      </w:pPr>
      <w:r>
        <w:rPr>
          <w:color w:val="auto"/>
          <w:sz w:val="24"/>
          <w:szCs w:val="24"/>
          <w:highlight w:val="none"/>
        </w:rPr>
        <w:t>7.2质量检测单位违约责任</w:t>
      </w:r>
    </w:p>
    <w:p>
      <w:pPr>
        <w:spacing w:line="410" w:lineRule="exact"/>
        <w:ind w:left="1591" w:leftChars="300" w:hanging="571" w:hangingChars="238"/>
        <w:rPr>
          <w:color w:val="auto"/>
          <w:sz w:val="24"/>
          <w:szCs w:val="24"/>
          <w:highlight w:val="none"/>
        </w:rPr>
      </w:pPr>
      <w:r>
        <w:rPr>
          <w:color w:val="auto"/>
          <w:sz w:val="24"/>
          <w:szCs w:val="24"/>
          <w:highlight w:val="none"/>
        </w:rPr>
        <w:t>7.2.1若质量检测单位不按合同履行职责，发包人有权解除合同，履约保函不予退还；质量检测单位须补偿发包人的损失，包括发包人重新招标费用、延误工期损失等，并且发包人有权扣除应支付给质量检测单位的费用作为违约金。</w:t>
      </w:r>
    </w:p>
    <w:p>
      <w:pPr>
        <w:spacing w:line="410" w:lineRule="exact"/>
        <w:ind w:left="1591" w:leftChars="300" w:hanging="571" w:hangingChars="238"/>
        <w:rPr>
          <w:color w:val="auto"/>
          <w:sz w:val="24"/>
          <w:szCs w:val="24"/>
          <w:highlight w:val="none"/>
        </w:rPr>
      </w:pPr>
      <w:r>
        <w:rPr>
          <w:color w:val="auto"/>
          <w:sz w:val="24"/>
          <w:szCs w:val="24"/>
          <w:highlight w:val="none"/>
        </w:rPr>
        <w:t>7.2.2质量检测单位未按规定时间提交检测成果，每超过一周，每次扣减人民币5000元整。</w:t>
      </w:r>
    </w:p>
    <w:p>
      <w:pPr>
        <w:spacing w:line="410" w:lineRule="exact"/>
        <w:ind w:left="1591" w:leftChars="300" w:hanging="571" w:hangingChars="238"/>
        <w:rPr>
          <w:color w:val="auto"/>
          <w:sz w:val="24"/>
          <w:szCs w:val="24"/>
          <w:highlight w:val="none"/>
        </w:rPr>
      </w:pPr>
      <w:r>
        <w:rPr>
          <w:color w:val="auto"/>
          <w:sz w:val="24"/>
          <w:szCs w:val="24"/>
          <w:highlight w:val="none"/>
        </w:rPr>
        <w:t>7.2.3若质量检测单位提供的检测成果质量不合要求，质量检测单位应自行采取有效措施，积极、主动地弥补过失，保证成果质量能够达到合同要求，需要返工检测的，费用由质量检测单位承担。如因检测成果质量原因造成发包人工程变更的，质量检测单位须赔偿发包人相应的经济损失。</w:t>
      </w:r>
    </w:p>
    <w:p>
      <w:pPr>
        <w:spacing w:line="410" w:lineRule="exact"/>
        <w:ind w:left="1591" w:leftChars="300" w:hanging="571" w:hangingChars="238"/>
        <w:rPr>
          <w:color w:val="auto"/>
          <w:sz w:val="24"/>
          <w:szCs w:val="24"/>
          <w:highlight w:val="none"/>
        </w:rPr>
      </w:pPr>
      <w:r>
        <w:rPr>
          <w:color w:val="auto"/>
          <w:sz w:val="24"/>
          <w:szCs w:val="24"/>
          <w:highlight w:val="none"/>
        </w:rPr>
        <w:t>7.2.4质量检测单位应保证提供真实可靠的检测资料，违反规定作假者，每次扣减人民币10000元整，若质量检测单位不改正，发包人可解除合同关系并追究相关责任。</w:t>
      </w:r>
    </w:p>
    <w:p>
      <w:pPr>
        <w:spacing w:line="410" w:lineRule="exact"/>
        <w:ind w:left="1591" w:leftChars="300" w:hanging="571" w:hangingChars="238"/>
        <w:jc w:val="left"/>
        <w:rPr>
          <w:color w:val="auto"/>
          <w:sz w:val="24"/>
          <w:szCs w:val="24"/>
          <w:highlight w:val="none"/>
        </w:rPr>
      </w:pPr>
      <w:r>
        <w:rPr>
          <w:color w:val="auto"/>
          <w:sz w:val="24"/>
          <w:szCs w:val="24"/>
          <w:highlight w:val="none"/>
        </w:rPr>
        <w:t>7.2.5发包人定期或不定期检查项目工作进展及质量情况，项目不能正常运作或质量达不到要求时，发包人可提出口头及书面警告，如未在规定的时间内按要求改正，发包人有权扣减人民币20000元整。</w:t>
      </w:r>
    </w:p>
    <w:p>
      <w:pPr>
        <w:spacing w:line="410" w:lineRule="exact"/>
        <w:ind w:left="1591" w:leftChars="300" w:hanging="571" w:hangingChars="238"/>
        <w:rPr>
          <w:color w:val="auto"/>
          <w:sz w:val="24"/>
          <w:szCs w:val="24"/>
          <w:highlight w:val="none"/>
        </w:rPr>
      </w:pPr>
      <w:r>
        <w:rPr>
          <w:color w:val="auto"/>
          <w:sz w:val="24"/>
          <w:szCs w:val="24"/>
          <w:highlight w:val="none"/>
        </w:rPr>
        <w:t>7.2.6质量检测单位未履行义务或未按相关技术要求工作的，情节较轻者，一经发现，则对质量检测单位处以1万元以上违约金；未按技术要求进行工作而不能满足设计需要时，发包人有权扣减人民币50000元整。</w:t>
      </w:r>
    </w:p>
    <w:p>
      <w:pPr>
        <w:spacing w:line="410" w:lineRule="exact"/>
        <w:ind w:left="1591" w:leftChars="300" w:hanging="571" w:hangingChars="238"/>
        <w:rPr>
          <w:color w:val="auto"/>
          <w:sz w:val="24"/>
          <w:szCs w:val="24"/>
          <w:highlight w:val="none"/>
        </w:rPr>
      </w:pPr>
      <w:r>
        <w:rPr>
          <w:color w:val="auto"/>
          <w:sz w:val="24"/>
          <w:szCs w:val="24"/>
          <w:highlight w:val="none"/>
        </w:rPr>
        <w:t>7.2.7如质量检测单位未安排投标书承诺的项目负责人、技术负责人，则发包人按每人次扣质量检测单位1万元，其他管理人员或技术人员每人次扣人民币5000元整。如被罚款5次以上者，发包人有权单方解除合同，追究质量检测单位相关责任。</w:t>
      </w:r>
    </w:p>
    <w:p>
      <w:pPr>
        <w:spacing w:line="410" w:lineRule="exact"/>
        <w:ind w:left="1591" w:leftChars="300" w:hanging="571" w:hangingChars="238"/>
        <w:rPr>
          <w:color w:val="auto"/>
          <w:sz w:val="24"/>
          <w:szCs w:val="24"/>
          <w:highlight w:val="none"/>
        </w:rPr>
      </w:pPr>
      <w:r>
        <w:rPr>
          <w:color w:val="auto"/>
          <w:sz w:val="24"/>
          <w:szCs w:val="24"/>
          <w:highlight w:val="none"/>
        </w:rPr>
        <w:t>7.2.8对不配合发包人进行监督检查的，每次扣减人民币10000元整，不配合情形包括：阻挠、迟滞，以内部的管理制度限制查阅有关资料或限制对试件去向进行追索，提供虚假信息等。</w:t>
      </w:r>
    </w:p>
    <w:p>
      <w:pPr>
        <w:spacing w:line="410" w:lineRule="exact"/>
        <w:ind w:left="1736" w:leftChars="150" w:hanging="1226" w:hangingChars="511"/>
        <w:rPr>
          <w:color w:val="auto"/>
          <w:sz w:val="24"/>
          <w:szCs w:val="24"/>
          <w:highlight w:val="none"/>
        </w:rPr>
      </w:pPr>
      <w:r>
        <w:rPr>
          <w:color w:val="auto"/>
          <w:sz w:val="24"/>
          <w:szCs w:val="24"/>
          <w:highlight w:val="none"/>
        </w:rPr>
        <w:t xml:space="preserve">      7.2.9若不能按相应规定的时间和发包人要求的时间提供检测报告的，则每违约一次扣罚5000元，另外造成损失的由承包人赔偿。</w:t>
      </w:r>
    </w:p>
    <w:p>
      <w:pPr>
        <w:spacing w:line="410" w:lineRule="exact"/>
        <w:ind w:left="1736" w:leftChars="150" w:hanging="1226" w:hangingChars="511"/>
        <w:rPr>
          <w:color w:val="auto"/>
          <w:sz w:val="24"/>
          <w:szCs w:val="24"/>
          <w:highlight w:val="none"/>
        </w:rPr>
      </w:pPr>
      <w:r>
        <w:rPr>
          <w:color w:val="auto"/>
          <w:sz w:val="24"/>
          <w:szCs w:val="24"/>
          <w:highlight w:val="none"/>
        </w:rPr>
        <w:t xml:space="preserve">     7.2.1在合同履行过程中若发生争议，应在甲、乙两方之间达成一致，如未能达成一致意见，提交</w:t>
      </w:r>
      <w:r>
        <w:rPr>
          <w:rFonts w:hint="eastAsia"/>
          <w:color w:val="auto"/>
          <w:sz w:val="24"/>
          <w:szCs w:val="24"/>
          <w:highlight w:val="none"/>
        </w:rPr>
        <w:t>许昌</w:t>
      </w:r>
      <w:r>
        <w:rPr>
          <w:color w:val="auto"/>
          <w:sz w:val="24"/>
          <w:szCs w:val="24"/>
          <w:highlight w:val="none"/>
        </w:rPr>
        <w:t xml:space="preserve">仲裁委员会仲裁。 </w:t>
      </w:r>
    </w:p>
    <w:p>
      <w:pPr>
        <w:pStyle w:val="4"/>
        <w:spacing w:line="410" w:lineRule="exact"/>
        <w:ind w:firstLine="482"/>
        <w:rPr>
          <w:rFonts w:ascii="Times New Roman"/>
          <w:color w:val="auto"/>
          <w:sz w:val="24"/>
          <w:szCs w:val="24"/>
          <w:highlight w:val="none"/>
        </w:rPr>
      </w:pPr>
      <w:bookmarkStart w:id="145" w:name="_Toc281410712"/>
      <w:r>
        <w:rPr>
          <w:rFonts w:ascii="Times New Roman"/>
          <w:color w:val="auto"/>
          <w:sz w:val="24"/>
          <w:szCs w:val="24"/>
          <w:highlight w:val="none"/>
        </w:rPr>
        <w:t>8 转包与分包</w:t>
      </w:r>
      <w:bookmarkEnd w:id="145"/>
    </w:p>
    <w:p>
      <w:pPr>
        <w:spacing w:line="410" w:lineRule="exact"/>
        <w:ind w:left="896" w:leftChars="150" w:hanging="386" w:hangingChars="161"/>
        <w:rPr>
          <w:color w:val="auto"/>
          <w:sz w:val="24"/>
          <w:szCs w:val="24"/>
          <w:highlight w:val="none"/>
        </w:rPr>
      </w:pPr>
      <w:r>
        <w:rPr>
          <w:color w:val="auto"/>
          <w:sz w:val="24"/>
          <w:szCs w:val="24"/>
          <w:highlight w:val="none"/>
        </w:rPr>
        <w:t>8.1没有对方的书面同意，任何一方均不得将本合同第2条、第3条规定的义务、责任和权利转让给第三方。如特殊原因需要分包，应征得发包人同意。</w:t>
      </w:r>
    </w:p>
    <w:p>
      <w:pPr>
        <w:spacing w:line="410" w:lineRule="exact"/>
        <w:ind w:left="896" w:leftChars="150" w:hanging="386" w:hangingChars="161"/>
        <w:rPr>
          <w:color w:val="auto"/>
          <w:sz w:val="24"/>
          <w:szCs w:val="24"/>
          <w:highlight w:val="none"/>
        </w:rPr>
      </w:pPr>
      <w:r>
        <w:rPr>
          <w:color w:val="auto"/>
          <w:sz w:val="24"/>
          <w:szCs w:val="24"/>
          <w:highlight w:val="none"/>
        </w:rPr>
        <w:t>8.2专业检测分包应事先以书面形式将分包中心的名称、分包范围与分包内容报告发包人，发包人对此分包有确认和否决权。</w:t>
      </w:r>
    </w:p>
    <w:p>
      <w:pPr>
        <w:spacing w:line="410" w:lineRule="exact"/>
        <w:ind w:left="896" w:leftChars="150" w:hanging="386" w:hangingChars="161"/>
        <w:rPr>
          <w:color w:val="auto"/>
          <w:sz w:val="24"/>
          <w:szCs w:val="24"/>
          <w:highlight w:val="none"/>
        </w:rPr>
      </w:pPr>
      <w:r>
        <w:rPr>
          <w:color w:val="auto"/>
          <w:sz w:val="24"/>
          <w:szCs w:val="24"/>
          <w:highlight w:val="none"/>
        </w:rPr>
        <w:t>8.3工程分包不能解除质量检测单位任何责任与义务。在经济上发包人只与质量检测单位发生关系，但发包人对质量检测单位分包单位的工作有权监督，分包人的任何违约，均视为质量检测单位的违约。</w:t>
      </w:r>
    </w:p>
    <w:p>
      <w:pPr>
        <w:spacing w:line="410" w:lineRule="exact"/>
        <w:ind w:left="896" w:leftChars="150" w:hanging="386" w:hangingChars="161"/>
        <w:rPr>
          <w:color w:val="auto"/>
          <w:sz w:val="24"/>
          <w:szCs w:val="24"/>
          <w:highlight w:val="none"/>
        </w:rPr>
      </w:pPr>
      <w:r>
        <w:rPr>
          <w:color w:val="auto"/>
          <w:sz w:val="24"/>
          <w:szCs w:val="24"/>
          <w:highlight w:val="none"/>
        </w:rPr>
        <w:t>8.4 质量检测单位应在投标文件中充分考虑外聘人员的管理、协调和配合工作，并在投标报价中涵盖质量检测单位因对外聘人员实施一切必要的管理、配合、协调，提供任何必要的帮助、支持、条件以及本合同约定的其它所有总包责任和义务所必须的所有费用。</w:t>
      </w:r>
    </w:p>
    <w:p>
      <w:pPr>
        <w:spacing w:line="410" w:lineRule="exact"/>
        <w:ind w:left="896" w:leftChars="150" w:hanging="386" w:hangingChars="161"/>
        <w:rPr>
          <w:color w:val="auto"/>
          <w:sz w:val="24"/>
          <w:szCs w:val="24"/>
          <w:highlight w:val="none"/>
        </w:rPr>
      </w:pPr>
      <w:r>
        <w:rPr>
          <w:color w:val="auto"/>
          <w:sz w:val="24"/>
          <w:szCs w:val="24"/>
          <w:highlight w:val="none"/>
        </w:rPr>
        <w:t>8.5 外聘人员应具有顺利实施检测工作的能力，并符合发包人对检测人员的要求。发包人有权对外聘人员进行工作考核和业务技能测验，发包人有权要求质量检测单位更换不称职的、严重失职的、有故意或恶意违约行为的外聘人员。</w:t>
      </w:r>
    </w:p>
    <w:p>
      <w:pPr>
        <w:spacing w:line="410" w:lineRule="exact"/>
        <w:ind w:left="896" w:leftChars="150" w:hanging="386" w:hangingChars="161"/>
        <w:rPr>
          <w:color w:val="auto"/>
          <w:sz w:val="24"/>
          <w:szCs w:val="24"/>
          <w:highlight w:val="none"/>
        </w:rPr>
      </w:pPr>
      <w:r>
        <w:rPr>
          <w:color w:val="auto"/>
          <w:sz w:val="24"/>
          <w:szCs w:val="24"/>
          <w:highlight w:val="none"/>
        </w:rPr>
        <w:t>8.6 质量检测单位的外聘人员不视为分包。外聘人员数量不得超过总人数的30%。质量检测单位应承担外聘人员过失而引起的一切责任。</w:t>
      </w:r>
    </w:p>
    <w:p>
      <w:pPr>
        <w:pStyle w:val="4"/>
        <w:spacing w:line="410" w:lineRule="exact"/>
        <w:ind w:firstLine="482"/>
        <w:rPr>
          <w:rFonts w:ascii="Times New Roman"/>
          <w:color w:val="auto"/>
          <w:sz w:val="24"/>
          <w:szCs w:val="24"/>
          <w:highlight w:val="none"/>
        </w:rPr>
      </w:pPr>
      <w:bookmarkStart w:id="146" w:name="_Toc281410713"/>
      <w:r>
        <w:rPr>
          <w:rFonts w:ascii="Times New Roman"/>
          <w:color w:val="auto"/>
          <w:sz w:val="24"/>
          <w:szCs w:val="24"/>
          <w:highlight w:val="none"/>
        </w:rPr>
        <w:t>9 不可抗力</w:t>
      </w:r>
      <w:bookmarkEnd w:id="146"/>
    </w:p>
    <w:p>
      <w:pPr>
        <w:spacing w:line="410" w:lineRule="exact"/>
        <w:ind w:left="896" w:leftChars="150" w:hanging="386" w:hangingChars="161"/>
        <w:rPr>
          <w:color w:val="auto"/>
          <w:sz w:val="24"/>
          <w:szCs w:val="24"/>
          <w:highlight w:val="none"/>
        </w:rPr>
      </w:pPr>
      <w:r>
        <w:rPr>
          <w:color w:val="auto"/>
          <w:sz w:val="24"/>
          <w:szCs w:val="24"/>
          <w:highlight w:val="none"/>
        </w:rPr>
        <w:t>9.1除非合同另有约定，不可抗力系指发包人和质量检测单位都不可预见、不可避免、不能克服的超出认识控制和防范能力的事件。这类事件使合同一方的履约已变得不可能。不可抗力可以包括(但不限于)下列情况：</w:t>
      </w:r>
    </w:p>
    <w:p>
      <w:pPr>
        <w:spacing w:line="410" w:lineRule="exact"/>
        <w:ind w:left="1591" w:leftChars="300" w:hanging="571" w:hangingChars="238"/>
        <w:rPr>
          <w:color w:val="auto"/>
          <w:sz w:val="24"/>
          <w:szCs w:val="24"/>
          <w:highlight w:val="none"/>
        </w:rPr>
      </w:pPr>
      <w:r>
        <w:rPr>
          <w:color w:val="auto"/>
          <w:sz w:val="24"/>
          <w:szCs w:val="24"/>
          <w:highlight w:val="none"/>
        </w:rPr>
        <w:t>9.1.1战争、敌对行动(不论宣战与否)、入侵、外敌行动；</w:t>
      </w:r>
    </w:p>
    <w:p>
      <w:pPr>
        <w:spacing w:line="410" w:lineRule="exact"/>
        <w:ind w:left="1591" w:leftChars="300" w:hanging="571" w:hangingChars="238"/>
        <w:rPr>
          <w:color w:val="auto"/>
          <w:sz w:val="24"/>
          <w:szCs w:val="24"/>
          <w:highlight w:val="none"/>
        </w:rPr>
      </w:pPr>
      <w:r>
        <w:rPr>
          <w:color w:val="auto"/>
          <w:sz w:val="24"/>
          <w:szCs w:val="24"/>
          <w:highlight w:val="none"/>
        </w:rPr>
        <w:t>9.1.2叛乱、革命、暴动或军事政变或篡夺政权，或内战；</w:t>
      </w:r>
    </w:p>
    <w:p>
      <w:pPr>
        <w:spacing w:line="410" w:lineRule="exact"/>
        <w:ind w:left="1591" w:leftChars="300" w:hanging="571" w:hangingChars="238"/>
        <w:rPr>
          <w:color w:val="auto"/>
          <w:sz w:val="24"/>
          <w:szCs w:val="24"/>
          <w:highlight w:val="none"/>
        </w:rPr>
      </w:pPr>
      <w:r>
        <w:rPr>
          <w:color w:val="auto"/>
          <w:sz w:val="24"/>
          <w:szCs w:val="24"/>
          <w:highlight w:val="none"/>
        </w:rPr>
        <w:t>9.1.3暴乱、骚乱或混乱，但对于完全局限在承包人或质量检测单位雇用人员内部并且是由于从事本工程而发生的事件除外；</w:t>
      </w:r>
    </w:p>
    <w:p>
      <w:pPr>
        <w:spacing w:line="410" w:lineRule="exact"/>
        <w:ind w:left="1591" w:leftChars="300" w:hanging="571" w:hangingChars="238"/>
        <w:rPr>
          <w:color w:val="auto"/>
          <w:sz w:val="24"/>
          <w:szCs w:val="24"/>
          <w:highlight w:val="none"/>
        </w:rPr>
      </w:pPr>
      <w:r>
        <w:rPr>
          <w:color w:val="auto"/>
          <w:sz w:val="24"/>
          <w:szCs w:val="24"/>
          <w:highlight w:val="none"/>
        </w:rPr>
        <w:t>9.1.4离子辐射或放射性污染；</w:t>
      </w:r>
    </w:p>
    <w:p>
      <w:pPr>
        <w:spacing w:line="410" w:lineRule="exact"/>
        <w:ind w:left="1591" w:leftChars="300" w:hanging="571" w:hangingChars="238"/>
        <w:rPr>
          <w:color w:val="auto"/>
          <w:sz w:val="24"/>
          <w:szCs w:val="24"/>
          <w:highlight w:val="none"/>
        </w:rPr>
      </w:pPr>
      <w:r>
        <w:rPr>
          <w:color w:val="auto"/>
          <w:sz w:val="24"/>
          <w:szCs w:val="24"/>
          <w:highlight w:val="none"/>
        </w:rPr>
        <w:t>9.1.5以音速或超音速飞行的飞机或其他飞行装置产生的压力波，飞行器坠落；</w:t>
      </w:r>
    </w:p>
    <w:p>
      <w:pPr>
        <w:spacing w:line="410" w:lineRule="exact"/>
        <w:ind w:left="1591" w:leftChars="300" w:hanging="571" w:hangingChars="238"/>
        <w:rPr>
          <w:color w:val="auto"/>
          <w:sz w:val="24"/>
          <w:szCs w:val="24"/>
          <w:highlight w:val="none"/>
        </w:rPr>
      </w:pPr>
      <w:r>
        <w:rPr>
          <w:color w:val="auto"/>
          <w:sz w:val="24"/>
          <w:szCs w:val="24"/>
          <w:highlight w:val="none"/>
        </w:rPr>
        <w:t>9.1.6自然灾害(地震、洪水、海啸、飓风、超强台风、雷击等)。</w:t>
      </w:r>
    </w:p>
    <w:p>
      <w:pPr>
        <w:spacing w:line="410" w:lineRule="exact"/>
        <w:ind w:left="896" w:leftChars="150" w:hanging="386" w:hangingChars="161"/>
        <w:rPr>
          <w:color w:val="auto"/>
          <w:sz w:val="24"/>
          <w:szCs w:val="24"/>
          <w:highlight w:val="none"/>
        </w:rPr>
      </w:pPr>
      <w:r>
        <w:rPr>
          <w:color w:val="auto"/>
          <w:sz w:val="24"/>
          <w:szCs w:val="24"/>
          <w:highlight w:val="none"/>
        </w:rPr>
        <w:t>9.2遇有不可抗力事件的一方因此影响合同执行时，应在不可抗力事件发生后立即以书面形式通知对方，并应在不可抗力事件发生后15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spacing w:line="410" w:lineRule="exact"/>
        <w:ind w:left="896" w:leftChars="150" w:hanging="386" w:hangingChars="161"/>
        <w:rPr>
          <w:color w:val="auto"/>
          <w:sz w:val="24"/>
          <w:szCs w:val="24"/>
          <w:highlight w:val="none"/>
        </w:rPr>
      </w:pPr>
      <w:r>
        <w:rPr>
          <w:color w:val="auto"/>
          <w:sz w:val="24"/>
          <w:szCs w:val="24"/>
          <w:highlight w:val="none"/>
        </w:rPr>
        <w:t>9.3因合同一方拖延履行合同后发生不可抗力的，不能免除拖延履行方的相应责任。</w:t>
      </w:r>
    </w:p>
    <w:p>
      <w:pPr>
        <w:pStyle w:val="4"/>
        <w:spacing w:line="410" w:lineRule="exact"/>
        <w:ind w:firstLine="482"/>
        <w:rPr>
          <w:rFonts w:ascii="Times New Roman"/>
          <w:color w:val="auto"/>
          <w:sz w:val="24"/>
          <w:szCs w:val="24"/>
          <w:highlight w:val="none"/>
        </w:rPr>
      </w:pPr>
      <w:bookmarkStart w:id="147" w:name="_Toc281410714"/>
      <w:r>
        <w:rPr>
          <w:rFonts w:ascii="Times New Roman"/>
          <w:color w:val="auto"/>
          <w:sz w:val="24"/>
          <w:szCs w:val="24"/>
          <w:highlight w:val="none"/>
        </w:rPr>
        <w:t>10 索赔</w:t>
      </w:r>
      <w:bookmarkEnd w:id="147"/>
    </w:p>
    <w:p>
      <w:pPr>
        <w:spacing w:line="410" w:lineRule="exact"/>
        <w:ind w:left="896" w:leftChars="150" w:hanging="386" w:hangingChars="161"/>
        <w:rPr>
          <w:color w:val="auto"/>
          <w:sz w:val="24"/>
          <w:szCs w:val="24"/>
          <w:highlight w:val="none"/>
        </w:rPr>
      </w:pPr>
      <w:r>
        <w:rPr>
          <w:color w:val="auto"/>
          <w:sz w:val="24"/>
          <w:szCs w:val="24"/>
          <w:highlight w:val="none"/>
        </w:rPr>
        <w:t>10.1当一方提出索赔时，要有正当索赔理由，且有索赔事件发生时的有效证据。</w:t>
      </w:r>
    </w:p>
    <w:p>
      <w:pPr>
        <w:spacing w:line="410" w:lineRule="exact"/>
        <w:ind w:left="896" w:leftChars="150" w:hanging="386" w:hangingChars="161"/>
        <w:rPr>
          <w:color w:val="auto"/>
          <w:sz w:val="24"/>
          <w:szCs w:val="24"/>
          <w:highlight w:val="none"/>
        </w:rPr>
      </w:pPr>
      <w:r>
        <w:rPr>
          <w:color w:val="auto"/>
          <w:sz w:val="24"/>
          <w:szCs w:val="24"/>
          <w:highlight w:val="none"/>
        </w:rPr>
        <w:t>10.2发包人未能按合同约定履行自己的各项义务或发生错误以及应由发包人承担责任的其他情况，造成质量检测单位的经济损失，质量检测单位可按下列程序以书面形式向发包人索赔：</w:t>
      </w:r>
    </w:p>
    <w:p>
      <w:pPr>
        <w:spacing w:line="410" w:lineRule="exact"/>
        <w:ind w:left="1591" w:leftChars="300" w:hanging="571" w:hangingChars="238"/>
        <w:rPr>
          <w:color w:val="auto"/>
          <w:sz w:val="24"/>
          <w:szCs w:val="24"/>
          <w:highlight w:val="none"/>
        </w:rPr>
      </w:pPr>
      <w:r>
        <w:rPr>
          <w:color w:val="auto"/>
          <w:sz w:val="24"/>
          <w:szCs w:val="24"/>
          <w:highlight w:val="none"/>
        </w:rPr>
        <w:t>10.2.1索赔事件发生后28日内，发出索赔意向通知；</w:t>
      </w:r>
    </w:p>
    <w:p>
      <w:pPr>
        <w:spacing w:line="410" w:lineRule="exact"/>
        <w:ind w:left="1704" w:leftChars="300" w:hanging="684" w:hangingChars="285"/>
        <w:rPr>
          <w:color w:val="auto"/>
          <w:sz w:val="24"/>
          <w:szCs w:val="24"/>
          <w:highlight w:val="none"/>
        </w:rPr>
      </w:pPr>
      <w:r>
        <w:rPr>
          <w:color w:val="auto"/>
          <w:sz w:val="24"/>
          <w:szCs w:val="24"/>
          <w:highlight w:val="none"/>
        </w:rPr>
        <w:t>10.2.2发包人在收到质量检测单位送交的索赔报告和有关资料后，于28日内给予答复，或要求质量检测单位进一步补充索赔理由和证据；</w:t>
      </w:r>
    </w:p>
    <w:p>
      <w:pPr>
        <w:spacing w:line="410" w:lineRule="exact"/>
        <w:ind w:left="1704" w:leftChars="300" w:hanging="684" w:hangingChars="285"/>
        <w:rPr>
          <w:color w:val="auto"/>
          <w:sz w:val="24"/>
          <w:szCs w:val="24"/>
          <w:highlight w:val="none"/>
        </w:rPr>
      </w:pPr>
      <w:r>
        <w:rPr>
          <w:color w:val="auto"/>
          <w:sz w:val="24"/>
          <w:szCs w:val="24"/>
          <w:highlight w:val="none"/>
        </w:rPr>
        <w:t>10.2.3发包人在收到质量检测单位送交的索赔报告和有关资料后28日内未予答复或未对质量检测单位作进一步要求，视为该项索赔已经认可；</w:t>
      </w:r>
    </w:p>
    <w:p>
      <w:pPr>
        <w:spacing w:line="410" w:lineRule="exact"/>
        <w:ind w:left="1704" w:leftChars="300" w:hanging="684" w:hangingChars="285"/>
        <w:rPr>
          <w:color w:val="auto"/>
          <w:sz w:val="24"/>
          <w:szCs w:val="24"/>
          <w:highlight w:val="none"/>
        </w:rPr>
      </w:pPr>
      <w:r>
        <w:rPr>
          <w:color w:val="auto"/>
          <w:sz w:val="24"/>
          <w:szCs w:val="24"/>
          <w:highlight w:val="none"/>
        </w:rPr>
        <w:t>10.2.4当该索赔事件持续进行时，质量检测单位应当阶段性向发包人发出索赔意向，在索赔事件终了后28日内，向发包人送交索赔的有关资料和最终索赔报告。索赔答复程序与(2)、(3)规定相同。</w:t>
      </w:r>
    </w:p>
    <w:p>
      <w:pPr>
        <w:spacing w:line="410" w:lineRule="exact"/>
        <w:ind w:left="966" w:leftChars="150" w:hanging="456" w:hangingChars="190"/>
        <w:rPr>
          <w:color w:val="auto"/>
          <w:sz w:val="24"/>
          <w:szCs w:val="24"/>
          <w:highlight w:val="none"/>
        </w:rPr>
      </w:pPr>
      <w:r>
        <w:rPr>
          <w:color w:val="auto"/>
          <w:sz w:val="24"/>
          <w:szCs w:val="24"/>
          <w:highlight w:val="none"/>
        </w:rPr>
        <w:t>10.3质量检测单位未能按合同约定履行自己的各项义务或发生错误，造成工期延误和(或)对发包人造成的其它经济损失，发包人可按本合同第10.2款确定的时限和方式向质量检测单位提出索赔。</w:t>
      </w:r>
    </w:p>
    <w:p>
      <w:pPr>
        <w:pStyle w:val="4"/>
        <w:spacing w:line="410" w:lineRule="exact"/>
        <w:ind w:firstLine="482"/>
        <w:rPr>
          <w:rFonts w:ascii="Times New Roman"/>
          <w:color w:val="auto"/>
          <w:sz w:val="24"/>
          <w:szCs w:val="24"/>
          <w:highlight w:val="none"/>
        </w:rPr>
      </w:pPr>
      <w:bookmarkStart w:id="148" w:name="_Toc281410715"/>
      <w:r>
        <w:rPr>
          <w:rFonts w:ascii="Times New Roman"/>
          <w:color w:val="auto"/>
          <w:sz w:val="24"/>
          <w:szCs w:val="24"/>
          <w:highlight w:val="none"/>
        </w:rPr>
        <w:t>11 合同生效、变更、中止、解除和终止</w:t>
      </w:r>
      <w:bookmarkEnd w:id="148"/>
    </w:p>
    <w:p>
      <w:pPr>
        <w:spacing w:line="410" w:lineRule="exact"/>
        <w:ind w:left="966" w:leftChars="150" w:hanging="456" w:hangingChars="190"/>
        <w:rPr>
          <w:color w:val="auto"/>
          <w:sz w:val="24"/>
          <w:szCs w:val="24"/>
          <w:highlight w:val="none"/>
        </w:rPr>
      </w:pPr>
      <w:r>
        <w:rPr>
          <w:color w:val="auto"/>
          <w:sz w:val="24"/>
          <w:szCs w:val="24"/>
          <w:highlight w:val="none"/>
        </w:rPr>
        <w:t>11.1质量检测单位提交履约保函，并且合同经双方签字盖章后生效。</w:t>
      </w:r>
    </w:p>
    <w:p>
      <w:pPr>
        <w:spacing w:line="410" w:lineRule="exact"/>
        <w:ind w:left="966" w:leftChars="150" w:hanging="456" w:hangingChars="190"/>
        <w:rPr>
          <w:color w:val="auto"/>
          <w:sz w:val="24"/>
          <w:szCs w:val="24"/>
          <w:highlight w:val="none"/>
        </w:rPr>
      </w:pPr>
      <w:r>
        <w:rPr>
          <w:color w:val="auto"/>
          <w:sz w:val="24"/>
          <w:szCs w:val="24"/>
          <w:highlight w:val="none"/>
        </w:rPr>
        <w:t>11.2双方履行合同全部义务，合同价款支付完毕，发包人退还履约保函后，本合同即告终止。</w:t>
      </w:r>
    </w:p>
    <w:p>
      <w:pPr>
        <w:spacing w:line="410" w:lineRule="exact"/>
        <w:ind w:left="966" w:leftChars="150" w:hanging="456" w:hangingChars="190"/>
        <w:rPr>
          <w:color w:val="auto"/>
          <w:sz w:val="24"/>
          <w:szCs w:val="24"/>
          <w:highlight w:val="none"/>
        </w:rPr>
      </w:pPr>
      <w:r>
        <w:rPr>
          <w:color w:val="auto"/>
          <w:sz w:val="24"/>
          <w:szCs w:val="24"/>
          <w:highlight w:val="none"/>
        </w:rPr>
        <w:t>11.3对本合同条款的任何变更、修改或增减，须经双方协商同意后由法定代表人或授权代理人签署书面补充文件，作为本合同的组成部分。</w:t>
      </w:r>
    </w:p>
    <w:p>
      <w:pPr>
        <w:spacing w:line="410" w:lineRule="exact"/>
        <w:ind w:left="966" w:leftChars="150" w:hanging="456" w:hangingChars="190"/>
        <w:rPr>
          <w:color w:val="auto"/>
          <w:sz w:val="24"/>
          <w:szCs w:val="24"/>
          <w:highlight w:val="none"/>
        </w:rPr>
      </w:pPr>
      <w:r>
        <w:rPr>
          <w:color w:val="auto"/>
          <w:sz w:val="24"/>
          <w:szCs w:val="24"/>
          <w:highlight w:val="none"/>
        </w:rPr>
        <w:t>11.4发包人如果要求质量检测单位全部或部分中止执行检测或终止合同，则应当在14日前通知质量检测单位，质量检测单位应当立即安排停止执行检测工作。</w:t>
      </w:r>
    </w:p>
    <w:p>
      <w:pPr>
        <w:spacing w:line="410" w:lineRule="exact"/>
        <w:ind w:left="966" w:leftChars="150" w:hanging="456" w:hangingChars="190"/>
        <w:rPr>
          <w:color w:val="auto"/>
          <w:sz w:val="24"/>
          <w:szCs w:val="24"/>
          <w:highlight w:val="none"/>
        </w:rPr>
      </w:pPr>
      <w:r>
        <w:rPr>
          <w:color w:val="auto"/>
          <w:sz w:val="24"/>
          <w:szCs w:val="24"/>
          <w:highlight w:val="none"/>
        </w:rPr>
        <w:t>11.5如质量检测单位发生7.2款规定的违约行为，质量检测单位除偿付发包人违约金和损失赔偿费外，发包人有权解除本合同。合同解除后，发包人不承担责任。</w:t>
      </w:r>
    </w:p>
    <w:p>
      <w:pPr>
        <w:spacing w:line="410" w:lineRule="exact"/>
        <w:ind w:left="966" w:leftChars="150" w:hanging="456" w:hangingChars="190"/>
        <w:rPr>
          <w:color w:val="auto"/>
          <w:sz w:val="24"/>
          <w:szCs w:val="24"/>
          <w:highlight w:val="none"/>
        </w:rPr>
      </w:pPr>
      <w:r>
        <w:rPr>
          <w:color w:val="auto"/>
          <w:sz w:val="24"/>
          <w:szCs w:val="24"/>
          <w:highlight w:val="none"/>
        </w:rPr>
        <w:t>11.6双方因不可抗力致使合同无法履行，可以解除合同。</w:t>
      </w:r>
    </w:p>
    <w:p>
      <w:pPr>
        <w:spacing w:line="410" w:lineRule="exact"/>
        <w:ind w:left="966" w:leftChars="150" w:hanging="456" w:hangingChars="190"/>
        <w:rPr>
          <w:color w:val="auto"/>
          <w:sz w:val="24"/>
          <w:szCs w:val="24"/>
          <w:highlight w:val="none"/>
        </w:rPr>
      </w:pPr>
      <w:r>
        <w:rPr>
          <w:color w:val="auto"/>
          <w:sz w:val="24"/>
          <w:szCs w:val="24"/>
          <w:highlight w:val="none"/>
        </w:rPr>
        <w:t>11.7一方根据11.5、11.6款约定要求解除合同的，应以书面形式向对方发出解除合同的通知，通知达到对方时合同解除。对解除合同有争议的，按本合同第7.2款关于争议的约定处理。</w:t>
      </w:r>
    </w:p>
    <w:p>
      <w:pPr>
        <w:spacing w:line="410" w:lineRule="exact"/>
        <w:ind w:left="966" w:leftChars="150" w:hanging="456" w:hangingChars="190"/>
        <w:rPr>
          <w:color w:val="auto"/>
          <w:sz w:val="24"/>
          <w:szCs w:val="24"/>
          <w:highlight w:val="none"/>
        </w:rPr>
      </w:pPr>
      <w:r>
        <w:rPr>
          <w:color w:val="auto"/>
          <w:sz w:val="24"/>
          <w:szCs w:val="24"/>
          <w:highlight w:val="none"/>
        </w:rPr>
        <w:t>11.8合同解除后，不影响双方在合同中约定的结算、清理和损害赔偿条款及争议的效力。</w:t>
      </w:r>
    </w:p>
    <w:p>
      <w:pPr>
        <w:pStyle w:val="4"/>
        <w:spacing w:line="410" w:lineRule="exact"/>
        <w:ind w:firstLine="482"/>
        <w:rPr>
          <w:rFonts w:ascii="Times New Roman"/>
          <w:color w:val="auto"/>
          <w:sz w:val="24"/>
          <w:szCs w:val="24"/>
          <w:highlight w:val="none"/>
        </w:rPr>
      </w:pPr>
      <w:bookmarkStart w:id="149" w:name="_Toc281410716"/>
      <w:r>
        <w:rPr>
          <w:rFonts w:ascii="Times New Roman"/>
          <w:color w:val="auto"/>
          <w:sz w:val="24"/>
          <w:szCs w:val="24"/>
          <w:highlight w:val="none"/>
        </w:rPr>
        <w:t>12 廉洁条款</w:t>
      </w:r>
      <w:bookmarkEnd w:id="149"/>
    </w:p>
    <w:p>
      <w:pPr>
        <w:spacing w:line="410" w:lineRule="exact"/>
        <w:ind w:left="966" w:leftChars="150" w:hanging="456" w:hangingChars="190"/>
        <w:rPr>
          <w:color w:val="auto"/>
          <w:sz w:val="24"/>
          <w:szCs w:val="24"/>
          <w:highlight w:val="none"/>
        </w:rPr>
      </w:pPr>
      <w:r>
        <w:rPr>
          <w:color w:val="auto"/>
          <w:sz w:val="24"/>
          <w:szCs w:val="24"/>
          <w:highlight w:val="none"/>
        </w:rPr>
        <w:t>12.1发包人和质量检测单位应当自觉遵守国家、河南省省和</w:t>
      </w:r>
      <w:r>
        <w:rPr>
          <w:rFonts w:hint="eastAsia"/>
          <w:color w:val="auto"/>
          <w:sz w:val="24"/>
          <w:szCs w:val="24"/>
          <w:highlight w:val="none"/>
        </w:rPr>
        <w:t>许昌</w:t>
      </w:r>
      <w:r>
        <w:rPr>
          <w:color w:val="auto"/>
          <w:sz w:val="24"/>
          <w:szCs w:val="24"/>
          <w:highlight w:val="none"/>
        </w:rPr>
        <w:t>市关于建设工程廉政建设的有关规定。</w:t>
      </w:r>
    </w:p>
    <w:p>
      <w:pPr>
        <w:spacing w:line="410" w:lineRule="exact"/>
        <w:ind w:left="966" w:leftChars="150" w:hanging="456" w:hangingChars="190"/>
        <w:rPr>
          <w:color w:val="auto"/>
          <w:sz w:val="24"/>
          <w:szCs w:val="24"/>
          <w:highlight w:val="none"/>
        </w:rPr>
      </w:pPr>
      <w:r>
        <w:rPr>
          <w:color w:val="auto"/>
          <w:sz w:val="24"/>
          <w:szCs w:val="24"/>
          <w:highlight w:val="none"/>
        </w:rPr>
        <w:t>12.2质量检测单位人员：</w:t>
      </w:r>
    </w:p>
    <w:p>
      <w:pPr>
        <w:spacing w:line="410" w:lineRule="exact"/>
        <w:ind w:left="1704" w:leftChars="300" w:hanging="684" w:hangingChars="285"/>
        <w:rPr>
          <w:color w:val="auto"/>
          <w:sz w:val="24"/>
          <w:szCs w:val="24"/>
          <w:highlight w:val="none"/>
        </w:rPr>
      </w:pPr>
      <w:r>
        <w:rPr>
          <w:color w:val="auto"/>
          <w:sz w:val="24"/>
          <w:szCs w:val="24"/>
          <w:highlight w:val="none"/>
        </w:rPr>
        <w:t>12.2.1不得以任何形式向承包人索要和收受回扣等好处费。</w:t>
      </w:r>
    </w:p>
    <w:p>
      <w:pPr>
        <w:spacing w:line="410" w:lineRule="exact"/>
        <w:ind w:left="1704" w:leftChars="300" w:hanging="684" w:hangingChars="285"/>
        <w:rPr>
          <w:color w:val="auto"/>
          <w:sz w:val="24"/>
          <w:szCs w:val="24"/>
          <w:highlight w:val="none"/>
        </w:rPr>
      </w:pPr>
      <w:r>
        <w:rPr>
          <w:color w:val="auto"/>
          <w:sz w:val="24"/>
          <w:szCs w:val="24"/>
          <w:highlight w:val="none"/>
        </w:rPr>
        <w:t>12.2.2应当保持与承包人的正常业务交往，不得接受承包人的礼金、有价证券和物品，不得在承包人报销任何应由个人支付的费用。</w:t>
      </w:r>
    </w:p>
    <w:p>
      <w:pPr>
        <w:spacing w:line="410" w:lineRule="exact"/>
        <w:ind w:left="1704" w:leftChars="300" w:hanging="684" w:hangingChars="285"/>
        <w:rPr>
          <w:color w:val="auto"/>
          <w:sz w:val="24"/>
          <w:szCs w:val="24"/>
          <w:highlight w:val="none"/>
        </w:rPr>
      </w:pPr>
      <w:r>
        <w:rPr>
          <w:color w:val="auto"/>
          <w:sz w:val="24"/>
          <w:szCs w:val="24"/>
          <w:highlight w:val="none"/>
        </w:rPr>
        <w:t>12.2.3不得参加可能对公正执行公务有影响的宴请和娱乐活动。</w:t>
      </w:r>
    </w:p>
    <w:p>
      <w:pPr>
        <w:spacing w:line="410" w:lineRule="exact"/>
        <w:ind w:left="1704" w:leftChars="300" w:hanging="684" w:hangingChars="285"/>
        <w:rPr>
          <w:color w:val="auto"/>
          <w:sz w:val="24"/>
          <w:szCs w:val="24"/>
          <w:highlight w:val="none"/>
        </w:rPr>
      </w:pPr>
      <w:r>
        <w:rPr>
          <w:color w:val="auto"/>
          <w:sz w:val="24"/>
          <w:szCs w:val="24"/>
          <w:highlight w:val="none"/>
        </w:rPr>
        <w:t>12.2.4不得要求或者接受承包人为其住房装修、婚丧嫁娶、家属和子女的工作安排、旅游以及出国等提供方便。</w:t>
      </w:r>
    </w:p>
    <w:p>
      <w:pPr>
        <w:spacing w:line="410" w:lineRule="exact"/>
        <w:ind w:left="1704" w:leftChars="300" w:hanging="684" w:hangingChars="285"/>
        <w:rPr>
          <w:color w:val="auto"/>
          <w:sz w:val="24"/>
          <w:szCs w:val="24"/>
          <w:highlight w:val="none"/>
        </w:rPr>
      </w:pPr>
      <w:r>
        <w:rPr>
          <w:color w:val="auto"/>
          <w:sz w:val="24"/>
          <w:szCs w:val="24"/>
          <w:highlight w:val="none"/>
        </w:rPr>
        <w:t>12.2.5不得向承包人介绍家属或者亲友从事与发包人工程有关的经济活动。</w:t>
      </w:r>
    </w:p>
    <w:p>
      <w:pPr>
        <w:pStyle w:val="4"/>
        <w:spacing w:line="410" w:lineRule="exact"/>
        <w:ind w:firstLine="482"/>
        <w:rPr>
          <w:rFonts w:ascii="Times New Roman"/>
          <w:color w:val="auto"/>
          <w:sz w:val="24"/>
          <w:szCs w:val="24"/>
          <w:highlight w:val="none"/>
        </w:rPr>
      </w:pPr>
      <w:bookmarkStart w:id="150" w:name="_Toc281410717"/>
      <w:r>
        <w:rPr>
          <w:rFonts w:ascii="Times New Roman"/>
          <w:color w:val="auto"/>
          <w:sz w:val="24"/>
          <w:szCs w:val="24"/>
          <w:highlight w:val="none"/>
        </w:rPr>
        <w:t>13 其它</w:t>
      </w:r>
      <w:bookmarkEnd w:id="150"/>
    </w:p>
    <w:p>
      <w:pPr>
        <w:spacing w:line="410" w:lineRule="exact"/>
        <w:ind w:left="966" w:leftChars="150" w:hanging="456" w:hangingChars="190"/>
        <w:rPr>
          <w:color w:val="auto"/>
          <w:sz w:val="24"/>
          <w:szCs w:val="24"/>
          <w:highlight w:val="none"/>
        </w:rPr>
      </w:pPr>
      <w:r>
        <w:rPr>
          <w:color w:val="auto"/>
          <w:sz w:val="24"/>
          <w:szCs w:val="24"/>
          <w:highlight w:val="none"/>
        </w:rPr>
        <w:t>13.1质量检测单位在</w:t>
      </w:r>
      <w:r>
        <w:rPr>
          <w:bCs/>
          <w:color w:val="auto"/>
          <w:sz w:val="24"/>
          <w:szCs w:val="24"/>
          <w:highlight w:val="none"/>
        </w:rPr>
        <w:t>合同签订前</w:t>
      </w:r>
      <w:r>
        <w:rPr>
          <w:color w:val="auto"/>
          <w:sz w:val="24"/>
          <w:szCs w:val="24"/>
          <w:highlight w:val="none"/>
        </w:rPr>
        <w:t>向发包人提供履约</w:t>
      </w:r>
      <w:r>
        <w:rPr>
          <w:bCs/>
          <w:color w:val="auto"/>
          <w:sz w:val="24"/>
          <w:szCs w:val="24"/>
          <w:highlight w:val="none"/>
        </w:rPr>
        <w:t>担保</w:t>
      </w:r>
      <w:r>
        <w:rPr>
          <w:color w:val="auto"/>
          <w:sz w:val="24"/>
          <w:szCs w:val="24"/>
          <w:highlight w:val="none"/>
        </w:rPr>
        <w:t>，履约</w:t>
      </w:r>
      <w:r>
        <w:rPr>
          <w:bCs/>
          <w:color w:val="auto"/>
          <w:sz w:val="24"/>
          <w:szCs w:val="24"/>
          <w:highlight w:val="none"/>
        </w:rPr>
        <w:t>担保</w:t>
      </w:r>
      <w:r>
        <w:rPr>
          <w:color w:val="auto"/>
          <w:sz w:val="24"/>
          <w:szCs w:val="24"/>
          <w:highlight w:val="none"/>
        </w:rPr>
        <w:t>金额为</w:t>
      </w:r>
      <w:r>
        <w:rPr>
          <w:bCs/>
          <w:color w:val="auto"/>
          <w:sz w:val="24"/>
          <w:szCs w:val="24"/>
          <w:highlight w:val="none"/>
        </w:rPr>
        <w:t>签约中标价</w:t>
      </w:r>
      <w:r>
        <w:rPr>
          <w:color w:val="auto"/>
          <w:sz w:val="24"/>
          <w:szCs w:val="24"/>
          <w:highlight w:val="none"/>
        </w:rPr>
        <w:t>的10％；</w:t>
      </w:r>
      <w:r>
        <w:rPr>
          <w:bCs/>
          <w:color w:val="auto"/>
          <w:sz w:val="24"/>
          <w:szCs w:val="24"/>
          <w:highlight w:val="none"/>
        </w:rPr>
        <w:t>如为保函形式，</w:t>
      </w:r>
      <w:r>
        <w:rPr>
          <w:color w:val="auto"/>
          <w:sz w:val="24"/>
          <w:szCs w:val="24"/>
          <w:highlight w:val="none"/>
        </w:rPr>
        <w:t>应由银行开具</w:t>
      </w:r>
      <w:r>
        <w:rPr>
          <w:bCs/>
          <w:color w:val="auto"/>
          <w:sz w:val="24"/>
          <w:szCs w:val="24"/>
          <w:highlight w:val="none"/>
        </w:rPr>
        <w:t>，如为非保函形式，可采用电汇或网银的形式，须由</w:t>
      </w:r>
      <w:r>
        <w:rPr>
          <w:color w:val="auto"/>
          <w:sz w:val="24"/>
          <w:szCs w:val="24"/>
          <w:highlight w:val="none"/>
        </w:rPr>
        <w:t>质量检测单位</w:t>
      </w:r>
      <w:r>
        <w:rPr>
          <w:bCs/>
          <w:color w:val="auto"/>
          <w:sz w:val="24"/>
          <w:szCs w:val="24"/>
          <w:highlight w:val="none"/>
        </w:rPr>
        <w:t>基本账户汇出；</w:t>
      </w:r>
      <w:r>
        <w:rPr>
          <w:color w:val="auto"/>
          <w:sz w:val="24"/>
          <w:szCs w:val="24"/>
          <w:highlight w:val="none"/>
        </w:rPr>
        <w:t>履约</w:t>
      </w:r>
      <w:r>
        <w:rPr>
          <w:bCs/>
          <w:color w:val="auto"/>
          <w:sz w:val="24"/>
          <w:szCs w:val="24"/>
          <w:highlight w:val="none"/>
        </w:rPr>
        <w:t>担保</w:t>
      </w:r>
      <w:r>
        <w:rPr>
          <w:color w:val="auto"/>
          <w:sz w:val="24"/>
          <w:szCs w:val="24"/>
          <w:highlight w:val="none"/>
        </w:rPr>
        <w:t>期限为</w:t>
      </w:r>
      <w:r>
        <w:rPr>
          <w:bCs/>
          <w:color w:val="auto"/>
          <w:sz w:val="24"/>
          <w:szCs w:val="24"/>
          <w:highlight w:val="none"/>
        </w:rPr>
        <w:t>自合同生效之日起至工程竣工验收备案完成后28日</w:t>
      </w:r>
      <w:r>
        <w:rPr>
          <w:color w:val="auto"/>
          <w:sz w:val="24"/>
          <w:szCs w:val="24"/>
          <w:highlight w:val="none"/>
        </w:rPr>
        <w:t>。在质量检测单位不能履行其合同项下任何一项义务而承担违约责任的情况下，发包人有权用履约保证金的资金补偿其任何损失。</w:t>
      </w:r>
    </w:p>
    <w:p>
      <w:pPr>
        <w:tabs>
          <w:tab w:val="left" w:pos="5000"/>
        </w:tabs>
        <w:spacing w:line="360" w:lineRule="auto"/>
        <w:ind w:firstLine="490"/>
        <w:rPr>
          <w:color w:val="auto"/>
          <w:sz w:val="24"/>
          <w:szCs w:val="24"/>
          <w:highlight w:val="none"/>
        </w:rPr>
      </w:pPr>
      <w:r>
        <w:rPr>
          <w:color w:val="auto"/>
          <w:sz w:val="24"/>
          <w:szCs w:val="24"/>
          <w:highlight w:val="none"/>
        </w:rPr>
        <w:t>13.2双方根据有关法律、行政法规规定，结合工程实际，经协商一致后，可对本检测合同条款进行补充或修改，另行签订补充协议，作为本合同的组成部分。</w:t>
      </w:r>
    </w:p>
    <w:p>
      <w:pPr>
        <w:widowControl/>
        <w:jc w:val="left"/>
        <w:rPr>
          <w:color w:val="auto"/>
          <w:sz w:val="24"/>
          <w:szCs w:val="24"/>
          <w:highlight w:val="none"/>
        </w:rPr>
      </w:pPr>
      <w:r>
        <w:rPr>
          <w:color w:val="auto"/>
          <w:sz w:val="24"/>
          <w:szCs w:val="24"/>
          <w:highlight w:val="none"/>
        </w:rPr>
        <w:br w:type="page"/>
      </w:r>
    </w:p>
    <w:p>
      <w:pPr>
        <w:pStyle w:val="3"/>
        <w:spacing w:line="410" w:lineRule="exact"/>
        <w:jc w:val="center"/>
        <w:rPr>
          <w:rFonts w:ascii="Times New Roman" w:hAnsi="Times New Roman"/>
          <w:color w:val="auto"/>
          <w:sz w:val="24"/>
          <w:szCs w:val="24"/>
          <w:highlight w:val="none"/>
        </w:rPr>
      </w:pPr>
      <w:bookmarkStart w:id="151" w:name="_Toc18672"/>
      <w:bookmarkStart w:id="152" w:name="_Toc391119490"/>
      <w:bookmarkStart w:id="153" w:name="_Toc17857"/>
      <w:bookmarkStart w:id="154" w:name="_Toc7560"/>
      <w:r>
        <w:rPr>
          <w:rFonts w:ascii="Times New Roman" w:hAnsi="Times New Roman"/>
          <w:color w:val="auto"/>
          <w:sz w:val="24"/>
          <w:szCs w:val="24"/>
          <w:highlight w:val="none"/>
        </w:rPr>
        <w:t>第二部分  合</w:t>
      </w:r>
      <w:bookmarkStart w:id="155" w:name="_Toc59900967"/>
      <w:bookmarkStart w:id="156" w:name="_Toc54330976"/>
      <w:bookmarkStart w:id="157" w:name="_Toc279350851"/>
      <w:bookmarkStart w:id="158" w:name="_Toc54372067"/>
      <w:bookmarkStart w:id="159" w:name="_Toc54372651"/>
      <w:bookmarkStart w:id="160" w:name="_Toc55654536"/>
      <w:bookmarkStart w:id="161" w:name="_Toc54372233"/>
      <w:bookmarkStart w:id="162" w:name="_Toc59896699"/>
      <w:bookmarkStart w:id="163" w:name="_Toc56153851"/>
      <w:bookmarkStart w:id="164" w:name="_Toc26111119"/>
      <w:bookmarkStart w:id="165" w:name="_Toc55705164"/>
      <w:bookmarkStart w:id="166" w:name="_Toc55707669"/>
      <w:bookmarkStart w:id="167" w:name="_Toc54368882"/>
      <w:bookmarkStart w:id="168" w:name="_Toc157109766"/>
      <w:bookmarkStart w:id="169" w:name="_Toc55639389"/>
      <w:bookmarkStart w:id="170" w:name="_Toc56139078"/>
      <w:bookmarkStart w:id="171" w:name="_Toc160842766"/>
      <w:bookmarkStart w:id="172" w:name="_Toc56409104"/>
      <w:bookmarkStart w:id="173" w:name="_Toc56141888"/>
      <w:r>
        <w:rPr>
          <w:rFonts w:ascii="Times New Roman" w:hAnsi="Times New Roman"/>
          <w:color w:val="auto"/>
          <w:sz w:val="24"/>
          <w:szCs w:val="24"/>
          <w:highlight w:val="none"/>
        </w:rPr>
        <w:t>同</w:t>
      </w:r>
      <w:bookmarkStart w:id="174" w:name="_Toc27811"/>
      <w:r>
        <w:rPr>
          <w:rFonts w:ascii="Times New Roman" w:hAnsi="Times New Roman"/>
          <w:color w:val="auto"/>
          <w:sz w:val="24"/>
          <w:szCs w:val="24"/>
          <w:highlight w:val="none"/>
        </w:rPr>
        <w:t>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color w:val="auto"/>
          <w:sz w:val="24"/>
          <w:szCs w:val="24"/>
          <w:highlight w:val="none"/>
        </w:rPr>
        <w:t>格式</w:t>
      </w:r>
      <w:bookmarkEnd w:id="151"/>
      <w:bookmarkEnd w:id="152"/>
      <w:bookmarkEnd w:id="153"/>
      <w:bookmarkEnd w:id="154"/>
    </w:p>
    <w:p>
      <w:pPr>
        <w:pStyle w:val="4"/>
        <w:spacing w:beforeLines="150" w:line="410" w:lineRule="exact"/>
        <w:ind w:firstLine="422"/>
        <w:jc w:val="center"/>
        <w:rPr>
          <w:rFonts w:ascii="Times New Roman"/>
          <w:color w:val="auto"/>
          <w:sz w:val="24"/>
          <w:szCs w:val="24"/>
          <w:highlight w:val="none"/>
        </w:rPr>
      </w:pPr>
      <w:r>
        <w:rPr>
          <w:rFonts w:ascii="Times New Roman"/>
          <w:color w:val="auto"/>
          <w:sz w:val="24"/>
          <w:szCs w:val="24"/>
          <w:highlight w:val="none"/>
        </w:rPr>
        <w:t>1．合同协议书</w:t>
      </w:r>
    </w:p>
    <w:p>
      <w:pPr>
        <w:spacing w:line="410" w:lineRule="exact"/>
        <w:ind w:firstLine="422"/>
        <w:rPr>
          <w:b/>
          <w:color w:val="auto"/>
          <w:sz w:val="24"/>
          <w:szCs w:val="24"/>
          <w:highlight w:val="none"/>
        </w:rPr>
      </w:pPr>
    </w:p>
    <w:p>
      <w:pPr>
        <w:spacing w:line="410" w:lineRule="exact"/>
        <w:ind w:firstLine="420"/>
        <w:rPr>
          <w:color w:val="auto"/>
          <w:sz w:val="24"/>
          <w:szCs w:val="24"/>
          <w:highlight w:val="none"/>
          <w:u w:val="single"/>
        </w:rPr>
      </w:pPr>
      <w:bookmarkStart w:id="175" w:name="_Toc281423314"/>
      <w:r>
        <w:rPr>
          <w:color w:val="auto"/>
          <w:sz w:val="24"/>
          <w:szCs w:val="24"/>
          <w:highlight w:val="none"/>
        </w:rPr>
        <w:t>通过公开招标，由</w:t>
      </w:r>
      <w:r>
        <w:rPr>
          <w:bCs/>
          <w:color w:val="auto"/>
          <w:sz w:val="24"/>
          <w:szCs w:val="24"/>
          <w:highlight w:val="none"/>
          <w:u w:val="single"/>
        </w:rPr>
        <w:t>许昌市建设投资有限责任公司</w:t>
      </w:r>
      <w:r>
        <w:rPr>
          <w:color w:val="auto"/>
          <w:sz w:val="24"/>
          <w:szCs w:val="24"/>
          <w:highlight w:val="none"/>
        </w:rPr>
        <w:t>（以下简称发包人），与</w:t>
      </w:r>
    </w:p>
    <w:p>
      <w:pPr>
        <w:spacing w:line="410" w:lineRule="exact"/>
        <w:rPr>
          <w:color w:val="auto"/>
          <w:sz w:val="24"/>
          <w:szCs w:val="24"/>
          <w:highlight w:val="none"/>
        </w:rPr>
      </w:pPr>
      <w:r>
        <w:rPr>
          <w:color w:val="auto"/>
          <w:sz w:val="24"/>
          <w:szCs w:val="24"/>
          <w:highlight w:val="none"/>
        </w:rPr>
        <w:t>（以下简称质量检测单位）双方协商同意，共同签订协议书。</w:t>
      </w:r>
    </w:p>
    <w:p>
      <w:pPr>
        <w:spacing w:line="410" w:lineRule="exact"/>
        <w:ind w:firstLine="420"/>
        <w:rPr>
          <w:color w:val="auto"/>
          <w:sz w:val="24"/>
          <w:szCs w:val="24"/>
          <w:highlight w:val="none"/>
        </w:rPr>
      </w:pPr>
      <w:r>
        <w:rPr>
          <w:color w:val="auto"/>
          <w:sz w:val="24"/>
          <w:szCs w:val="24"/>
          <w:highlight w:val="none"/>
        </w:rPr>
        <w:t>根据质量检测合同的规定，质量检测单位应履行的相应义务，接受发包人的管理，为发包人提供符合国家规范和合同要求的</w:t>
      </w:r>
      <w:r>
        <w:rPr>
          <w:color w:val="auto"/>
          <w:sz w:val="24"/>
          <w:szCs w:val="24"/>
          <w:highlight w:val="none"/>
          <w:u w:val="single"/>
        </w:rPr>
        <w:t>质量检测</w:t>
      </w:r>
      <w:r>
        <w:rPr>
          <w:color w:val="auto"/>
          <w:sz w:val="24"/>
          <w:szCs w:val="24"/>
          <w:highlight w:val="none"/>
        </w:rPr>
        <w:t>服务。</w:t>
      </w:r>
    </w:p>
    <w:p>
      <w:pPr>
        <w:spacing w:line="410" w:lineRule="exact"/>
        <w:ind w:firstLine="420"/>
        <w:rPr>
          <w:color w:val="auto"/>
          <w:sz w:val="24"/>
          <w:szCs w:val="24"/>
          <w:highlight w:val="none"/>
        </w:rPr>
      </w:pPr>
      <w:r>
        <w:rPr>
          <w:color w:val="auto"/>
          <w:sz w:val="24"/>
          <w:szCs w:val="24"/>
          <w:highlight w:val="none"/>
        </w:rPr>
        <w:t>现就以下事项达成一致意见，签订本合同协议书：</w:t>
      </w:r>
    </w:p>
    <w:p>
      <w:pPr>
        <w:pStyle w:val="9"/>
        <w:spacing w:line="410" w:lineRule="exact"/>
        <w:rPr>
          <w:color w:val="auto"/>
          <w:sz w:val="24"/>
          <w:highlight w:val="none"/>
          <w:u w:val="single"/>
        </w:rPr>
      </w:pPr>
      <w:r>
        <w:rPr>
          <w:color w:val="auto"/>
          <w:sz w:val="24"/>
          <w:highlight w:val="none"/>
        </w:rPr>
        <w:t>1、服务范围：。具体工作内容详见合同条款。</w:t>
      </w:r>
    </w:p>
    <w:p>
      <w:pPr>
        <w:spacing w:line="410" w:lineRule="exact"/>
        <w:ind w:firstLine="420"/>
        <w:rPr>
          <w:color w:val="auto"/>
          <w:sz w:val="24"/>
          <w:szCs w:val="24"/>
          <w:highlight w:val="none"/>
        </w:rPr>
      </w:pPr>
      <w:r>
        <w:rPr>
          <w:color w:val="auto"/>
          <w:sz w:val="24"/>
          <w:szCs w:val="24"/>
          <w:highlight w:val="none"/>
        </w:rPr>
        <w:t>2、主要人员：</w:t>
      </w:r>
    </w:p>
    <w:p>
      <w:pPr>
        <w:spacing w:line="410" w:lineRule="exact"/>
        <w:ind w:firstLine="420"/>
        <w:rPr>
          <w:color w:val="auto"/>
          <w:sz w:val="24"/>
          <w:szCs w:val="24"/>
          <w:highlight w:val="none"/>
          <w:u w:val="single"/>
        </w:rPr>
      </w:pPr>
      <w:r>
        <w:rPr>
          <w:color w:val="auto"/>
          <w:sz w:val="24"/>
          <w:szCs w:val="24"/>
          <w:highlight w:val="none"/>
        </w:rPr>
        <w:t>项目负责人：。</w:t>
      </w:r>
    </w:p>
    <w:p>
      <w:pPr>
        <w:pStyle w:val="9"/>
        <w:spacing w:line="410" w:lineRule="exact"/>
        <w:rPr>
          <w:color w:val="auto"/>
          <w:sz w:val="24"/>
          <w:highlight w:val="none"/>
        </w:rPr>
      </w:pPr>
      <w:r>
        <w:rPr>
          <w:color w:val="auto"/>
          <w:sz w:val="24"/>
          <w:highlight w:val="none"/>
        </w:rPr>
        <w:t>3、计划服务周期：质量检测工作完成及提交报告时间满足发包人对本工程进度的要求，至通车试运营开始之日止。</w:t>
      </w:r>
    </w:p>
    <w:p>
      <w:pPr>
        <w:spacing w:line="410" w:lineRule="exact"/>
        <w:ind w:firstLine="420"/>
        <w:rPr>
          <w:color w:val="auto"/>
          <w:sz w:val="24"/>
          <w:szCs w:val="24"/>
          <w:highlight w:val="none"/>
        </w:rPr>
      </w:pPr>
      <w:r>
        <w:rPr>
          <w:color w:val="auto"/>
          <w:sz w:val="24"/>
          <w:szCs w:val="24"/>
          <w:highlight w:val="none"/>
        </w:rPr>
        <w:t>4、下列文件应视为构成并作为阅读和理解本合同文件的组成部分，构成本合同的合同文件之间应是相互说明和相互补充的。如果合同文件之间出现歧义或相互矛盾，或合同文件中出现明显错误时，按如下顺序进行解释：</w:t>
      </w:r>
    </w:p>
    <w:p>
      <w:pPr>
        <w:spacing w:line="410" w:lineRule="exact"/>
        <w:ind w:firstLine="420"/>
        <w:rPr>
          <w:color w:val="auto"/>
          <w:sz w:val="24"/>
          <w:szCs w:val="24"/>
          <w:highlight w:val="none"/>
        </w:rPr>
      </w:pPr>
      <w:r>
        <w:rPr>
          <w:color w:val="auto"/>
          <w:sz w:val="24"/>
          <w:szCs w:val="24"/>
          <w:highlight w:val="none"/>
        </w:rPr>
        <w:t>（1）合同协议书及各种合同附件（含评标期间和合同谈判过程中的澄清文件和补充资料）；</w:t>
      </w:r>
    </w:p>
    <w:p>
      <w:pPr>
        <w:spacing w:line="410" w:lineRule="exact"/>
        <w:ind w:firstLine="420"/>
        <w:rPr>
          <w:color w:val="auto"/>
          <w:sz w:val="24"/>
          <w:szCs w:val="24"/>
          <w:highlight w:val="none"/>
        </w:rPr>
      </w:pPr>
      <w:r>
        <w:rPr>
          <w:color w:val="auto"/>
          <w:sz w:val="24"/>
          <w:szCs w:val="24"/>
          <w:highlight w:val="none"/>
        </w:rPr>
        <w:t>（2）中标通知书；</w:t>
      </w:r>
    </w:p>
    <w:p>
      <w:pPr>
        <w:spacing w:line="410" w:lineRule="exact"/>
        <w:ind w:firstLine="420"/>
        <w:rPr>
          <w:color w:val="auto"/>
          <w:sz w:val="24"/>
          <w:szCs w:val="24"/>
          <w:highlight w:val="none"/>
        </w:rPr>
      </w:pPr>
      <w:r>
        <w:rPr>
          <w:color w:val="auto"/>
          <w:sz w:val="24"/>
          <w:szCs w:val="24"/>
          <w:highlight w:val="none"/>
        </w:rPr>
        <w:t>（3）投标函及投标函附录；</w:t>
      </w:r>
    </w:p>
    <w:p>
      <w:pPr>
        <w:spacing w:line="410" w:lineRule="exact"/>
        <w:ind w:firstLine="420"/>
        <w:rPr>
          <w:color w:val="auto"/>
          <w:sz w:val="24"/>
          <w:szCs w:val="24"/>
          <w:highlight w:val="none"/>
        </w:rPr>
      </w:pPr>
      <w:r>
        <w:rPr>
          <w:color w:val="auto"/>
          <w:sz w:val="24"/>
          <w:szCs w:val="24"/>
          <w:highlight w:val="none"/>
        </w:rPr>
        <w:t>（4）合同条款；</w:t>
      </w:r>
    </w:p>
    <w:p>
      <w:pPr>
        <w:spacing w:line="410" w:lineRule="exact"/>
        <w:ind w:firstLine="420"/>
        <w:rPr>
          <w:color w:val="auto"/>
          <w:sz w:val="24"/>
          <w:szCs w:val="24"/>
          <w:highlight w:val="none"/>
        </w:rPr>
      </w:pPr>
      <w:r>
        <w:rPr>
          <w:color w:val="auto"/>
          <w:sz w:val="24"/>
          <w:szCs w:val="24"/>
          <w:highlight w:val="none"/>
        </w:rPr>
        <w:t>（5）合同附件；</w:t>
      </w:r>
    </w:p>
    <w:p>
      <w:pPr>
        <w:spacing w:line="410" w:lineRule="exact"/>
        <w:ind w:firstLine="420"/>
        <w:rPr>
          <w:color w:val="auto"/>
          <w:sz w:val="24"/>
          <w:szCs w:val="24"/>
          <w:highlight w:val="none"/>
        </w:rPr>
      </w:pPr>
      <w:r>
        <w:rPr>
          <w:color w:val="auto"/>
          <w:sz w:val="24"/>
          <w:szCs w:val="24"/>
          <w:highlight w:val="none"/>
        </w:rPr>
        <w:t>（6）标准、规范及有关技术文件；</w:t>
      </w:r>
    </w:p>
    <w:p>
      <w:pPr>
        <w:spacing w:line="410" w:lineRule="exact"/>
        <w:ind w:firstLine="420"/>
        <w:rPr>
          <w:color w:val="auto"/>
          <w:sz w:val="24"/>
          <w:szCs w:val="24"/>
          <w:highlight w:val="none"/>
        </w:rPr>
      </w:pPr>
      <w:r>
        <w:rPr>
          <w:color w:val="auto"/>
          <w:sz w:val="24"/>
          <w:szCs w:val="24"/>
          <w:highlight w:val="none"/>
        </w:rPr>
        <w:t>（7）其它投标组成文件。</w:t>
      </w:r>
    </w:p>
    <w:p>
      <w:pPr>
        <w:spacing w:line="410" w:lineRule="exact"/>
        <w:ind w:firstLine="420"/>
        <w:rPr>
          <w:color w:val="auto"/>
          <w:sz w:val="24"/>
          <w:szCs w:val="24"/>
          <w:highlight w:val="none"/>
        </w:rPr>
      </w:pPr>
      <w:r>
        <w:rPr>
          <w:color w:val="auto"/>
          <w:sz w:val="24"/>
          <w:szCs w:val="24"/>
          <w:highlight w:val="none"/>
        </w:rPr>
        <w:t>进一步规定如下：</w:t>
      </w:r>
    </w:p>
    <w:p>
      <w:pPr>
        <w:spacing w:line="410" w:lineRule="exact"/>
        <w:ind w:firstLine="420"/>
        <w:rPr>
          <w:color w:val="auto"/>
          <w:sz w:val="24"/>
          <w:szCs w:val="24"/>
          <w:highlight w:val="none"/>
        </w:rPr>
      </w:pPr>
      <w:r>
        <w:rPr>
          <w:color w:val="auto"/>
          <w:sz w:val="24"/>
          <w:szCs w:val="24"/>
          <w:highlight w:val="none"/>
        </w:rPr>
        <w:t>（1）对于同一类合同文件，以其最新版本或最新颁发者为准；</w:t>
      </w:r>
    </w:p>
    <w:p>
      <w:pPr>
        <w:spacing w:line="410" w:lineRule="exact"/>
        <w:ind w:firstLine="420"/>
        <w:rPr>
          <w:color w:val="auto"/>
          <w:sz w:val="24"/>
          <w:szCs w:val="24"/>
          <w:highlight w:val="none"/>
        </w:rPr>
      </w:pPr>
      <w:r>
        <w:rPr>
          <w:color w:val="auto"/>
          <w:sz w:val="24"/>
          <w:szCs w:val="24"/>
          <w:highlight w:val="none"/>
        </w:rPr>
        <w:t>（2）在合同订立和履行过程中，发包人颁布的本项目其他管理制度及双方签署、签发、签收的与本合同订立或履行有关的协议、信函、纪要、备忘录等亦构成合同组成部分，其优先解释顺序应视其内容与其它合同文件的相互关系而定。</w:t>
      </w:r>
    </w:p>
    <w:p>
      <w:pPr>
        <w:spacing w:line="410" w:lineRule="exact"/>
        <w:ind w:firstLine="420"/>
        <w:rPr>
          <w:color w:val="auto"/>
          <w:sz w:val="24"/>
          <w:szCs w:val="24"/>
          <w:highlight w:val="none"/>
          <w:u w:val="single"/>
        </w:rPr>
      </w:pPr>
      <w:r>
        <w:rPr>
          <w:color w:val="auto"/>
          <w:sz w:val="24"/>
          <w:szCs w:val="24"/>
          <w:highlight w:val="none"/>
        </w:rPr>
        <w:t>5、质量检测单位在此向发包人承诺按照本合同的约定履行服务。</w:t>
      </w:r>
    </w:p>
    <w:p>
      <w:pPr>
        <w:spacing w:line="410" w:lineRule="exact"/>
        <w:ind w:firstLine="420"/>
        <w:rPr>
          <w:color w:val="auto"/>
          <w:sz w:val="24"/>
          <w:szCs w:val="24"/>
          <w:highlight w:val="none"/>
        </w:rPr>
      </w:pPr>
      <w:r>
        <w:rPr>
          <w:color w:val="auto"/>
          <w:sz w:val="24"/>
          <w:szCs w:val="24"/>
          <w:highlight w:val="none"/>
        </w:rPr>
        <w:t>6、合同价款：人民币（大写）元整（小写）</w:t>
      </w:r>
      <w:r>
        <w:rPr>
          <w:color w:val="auto"/>
          <w:sz w:val="24"/>
          <w:szCs w:val="24"/>
          <w:highlight w:val="none"/>
          <w:u w:val="single"/>
        </w:rPr>
        <w:t xml:space="preserve">              元</w:t>
      </w:r>
      <w:r>
        <w:rPr>
          <w:color w:val="auto"/>
          <w:sz w:val="24"/>
          <w:szCs w:val="24"/>
          <w:highlight w:val="none"/>
        </w:rPr>
        <w:t>。</w:t>
      </w:r>
    </w:p>
    <w:p>
      <w:pPr>
        <w:spacing w:line="410" w:lineRule="exact"/>
        <w:ind w:firstLine="420"/>
        <w:rPr>
          <w:color w:val="auto"/>
          <w:sz w:val="24"/>
          <w:szCs w:val="24"/>
          <w:highlight w:val="none"/>
          <w:u w:val="single"/>
        </w:rPr>
      </w:pPr>
      <w:r>
        <w:rPr>
          <w:color w:val="auto"/>
          <w:sz w:val="24"/>
          <w:szCs w:val="24"/>
          <w:highlight w:val="none"/>
        </w:rPr>
        <w:t>经测算的不含税价为：人民币（大写）元整（小写）</w:t>
      </w:r>
      <w:r>
        <w:rPr>
          <w:color w:val="auto"/>
          <w:sz w:val="24"/>
          <w:szCs w:val="24"/>
          <w:highlight w:val="none"/>
          <w:u w:val="single"/>
        </w:rPr>
        <w:t xml:space="preserve">              元</w:t>
      </w:r>
      <w:r>
        <w:rPr>
          <w:color w:val="auto"/>
          <w:sz w:val="24"/>
          <w:szCs w:val="24"/>
          <w:highlight w:val="none"/>
        </w:rPr>
        <w:t>。</w:t>
      </w:r>
    </w:p>
    <w:p>
      <w:pPr>
        <w:spacing w:line="410" w:lineRule="exact"/>
        <w:ind w:firstLine="420"/>
        <w:rPr>
          <w:color w:val="auto"/>
          <w:sz w:val="24"/>
          <w:szCs w:val="24"/>
          <w:highlight w:val="none"/>
          <w:u w:val="single"/>
        </w:rPr>
      </w:pPr>
      <w:r>
        <w:rPr>
          <w:color w:val="auto"/>
          <w:sz w:val="24"/>
          <w:szCs w:val="24"/>
          <w:highlight w:val="none"/>
        </w:rPr>
        <w:t>7、发包人在此同意按本合同注明的期限和方式，向质量检测单位支付根据合同规定应支付的款项，以此作为履行合同的报酬。</w:t>
      </w:r>
    </w:p>
    <w:p>
      <w:pPr>
        <w:spacing w:line="410" w:lineRule="exact"/>
        <w:ind w:firstLine="420"/>
        <w:rPr>
          <w:color w:val="auto"/>
          <w:sz w:val="24"/>
          <w:szCs w:val="24"/>
          <w:highlight w:val="none"/>
          <w:u w:val="single"/>
        </w:rPr>
      </w:pPr>
      <w:r>
        <w:rPr>
          <w:color w:val="auto"/>
          <w:sz w:val="24"/>
          <w:szCs w:val="24"/>
          <w:highlight w:val="none"/>
        </w:rPr>
        <w:t>8、本合同协议书一式12份，其中正本 2份，双方各持 1 份，副本 10份，发包人持有 8份，质量检测单位持有 2 份。</w:t>
      </w:r>
    </w:p>
    <w:p>
      <w:pPr>
        <w:spacing w:line="410" w:lineRule="exact"/>
        <w:ind w:firstLine="420"/>
        <w:rPr>
          <w:rFonts w:hint="default" w:eastAsiaTheme="minorEastAsia"/>
          <w:color w:val="auto"/>
          <w:sz w:val="24"/>
          <w:szCs w:val="24"/>
          <w:highlight w:val="none"/>
          <w:lang w:val="en-US" w:eastAsia="zh-CN"/>
        </w:rPr>
      </w:pPr>
      <w:r>
        <w:rPr>
          <w:color w:val="auto"/>
          <w:sz w:val="24"/>
          <w:szCs w:val="24"/>
          <w:highlight w:val="none"/>
        </w:rPr>
        <w:t>9、</w:t>
      </w:r>
      <w:r>
        <w:rPr>
          <w:rFonts w:hint="eastAsia"/>
          <w:color w:val="auto"/>
          <w:sz w:val="24"/>
          <w:szCs w:val="24"/>
          <w:highlight w:val="none"/>
          <w:lang w:eastAsia="zh-CN"/>
        </w:rPr>
        <w:t>双方约定，凡因执行本合同所发生的与本合同有关的一切争议，当和解或调解不成时，将争议提交许昌仲裁委员会仲裁的方式解决。</w:t>
      </w:r>
    </w:p>
    <w:p>
      <w:pPr>
        <w:spacing w:line="410" w:lineRule="exact"/>
        <w:ind w:firstLine="420"/>
        <w:rPr>
          <w:color w:val="auto"/>
          <w:sz w:val="24"/>
          <w:szCs w:val="24"/>
          <w:highlight w:val="none"/>
        </w:rPr>
      </w:pPr>
      <w:r>
        <w:rPr>
          <w:rFonts w:hint="eastAsia"/>
          <w:color w:val="auto"/>
          <w:sz w:val="24"/>
          <w:szCs w:val="24"/>
          <w:highlight w:val="none"/>
          <w:lang w:val="en-US" w:eastAsia="zh-CN"/>
        </w:rPr>
        <w:t>10、</w:t>
      </w:r>
      <w:r>
        <w:rPr>
          <w:color w:val="auto"/>
          <w:sz w:val="24"/>
          <w:szCs w:val="24"/>
          <w:highlight w:val="none"/>
        </w:rPr>
        <w:t>本合同约定</w:t>
      </w:r>
      <w:r>
        <w:rPr>
          <w:color w:val="auto"/>
          <w:sz w:val="24"/>
          <w:szCs w:val="24"/>
          <w:highlight w:val="none"/>
          <w:u w:val="single"/>
        </w:rPr>
        <w:t xml:space="preserve"> 自双方签字盖章后  </w:t>
      </w:r>
      <w:r>
        <w:rPr>
          <w:color w:val="auto"/>
          <w:sz w:val="24"/>
          <w:szCs w:val="24"/>
          <w:highlight w:val="none"/>
        </w:rPr>
        <w:t>生效。</w:t>
      </w:r>
    </w:p>
    <w:p>
      <w:pPr>
        <w:spacing w:line="410" w:lineRule="exact"/>
        <w:ind w:firstLine="420"/>
        <w:rPr>
          <w:color w:val="auto"/>
          <w:sz w:val="24"/>
          <w:szCs w:val="24"/>
          <w:highlight w:val="none"/>
          <w:u w:val="single"/>
        </w:rPr>
      </w:pPr>
    </w:p>
    <w:p>
      <w:pPr>
        <w:spacing w:line="410" w:lineRule="exact"/>
        <w:ind w:firstLine="420"/>
        <w:rPr>
          <w:color w:val="auto"/>
          <w:sz w:val="24"/>
          <w:szCs w:val="24"/>
          <w:highlight w:val="none"/>
        </w:rPr>
      </w:pPr>
    </w:p>
    <w:p>
      <w:pPr>
        <w:spacing w:line="410" w:lineRule="exact"/>
        <w:ind w:firstLine="420"/>
        <w:rPr>
          <w:color w:val="auto"/>
          <w:sz w:val="24"/>
          <w:szCs w:val="24"/>
          <w:highlight w:val="none"/>
        </w:rPr>
      </w:pPr>
    </w:p>
    <w:p>
      <w:pPr>
        <w:spacing w:line="410" w:lineRule="exact"/>
        <w:ind w:firstLine="420"/>
        <w:rPr>
          <w:color w:val="auto"/>
          <w:sz w:val="24"/>
          <w:szCs w:val="24"/>
          <w:highlight w:val="none"/>
        </w:rPr>
      </w:pPr>
      <w:r>
        <w:rPr>
          <w:color w:val="auto"/>
          <w:sz w:val="24"/>
          <w:szCs w:val="24"/>
          <w:highlight w:val="none"/>
        </w:rPr>
        <w:t>发包人：                                质量检测单位：</w:t>
      </w:r>
    </w:p>
    <w:p>
      <w:pPr>
        <w:spacing w:line="410" w:lineRule="exact"/>
        <w:ind w:firstLine="420"/>
        <w:rPr>
          <w:color w:val="auto"/>
          <w:sz w:val="24"/>
          <w:szCs w:val="24"/>
          <w:highlight w:val="none"/>
        </w:rPr>
      </w:pPr>
    </w:p>
    <w:p>
      <w:pPr>
        <w:spacing w:line="410" w:lineRule="exact"/>
        <w:ind w:firstLine="420"/>
        <w:rPr>
          <w:color w:val="auto"/>
          <w:sz w:val="24"/>
          <w:szCs w:val="24"/>
          <w:highlight w:val="none"/>
        </w:rPr>
      </w:pPr>
      <w:r>
        <w:rPr>
          <w:color w:val="auto"/>
          <w:sz w:val="24"/>
          <w:szCs w:val="24"/>
          <w:highlight w:val="none"/>
        </w:rPr>
        <w:t>法定代表人：                            法定代表人：</w:t>
      </w:r>
    </w:p>
    <w:p>
      <w:pPr>
        <w:spacing w:line="410" w:lineRule="exact"/>
        <w:ind w:firstLine="420"/>
        <w:rPr>
          <w:color w:val="auto"/>
          <w:sz w:val="24"/>
          <w:szCs w:val="24"/>
          <w:highlight w:val="none"/>
        </w:rPr>
      </w:pPr>
      <w:r>
        <w:rPr>
          <w:color w:val="auto"/>
          <w:sz w:val="24"/>
          <w:szCs w:val="24"/>
          <w:highlight w:val="none"/>
        </w:rPr>
        <w:t>或                                      或　</w:t>
      </w:r>
    </w:p>
    <w:p>
      <w:pPr>
        <w:spacing w:line="410" w:lineRule="exact"/>
        <w:ind w:firstLine="420"/>
        <w:rPr>
          <w:color w:val="auto"/>
          <w:sz w:val="24"/>
          <w:szCs w:val="24"/>
          <w:highlight w:val="none"/>
        </w:rPr>
      </w:pPr>
      <w:r>
        <w:rPr>
          <w:color w:val="auto"/>
          <w:sz w:val="24"/>
          <w:szCs w:val="24"/>
          <w:highlight w:val="none"/>
        </w:rPr>
        <w:t>授权代理人：                            授权代理人：</w:t>
      </w:r>
    </w:p>
    <w:p>
      <w:pPr>
        <w:spacing w:line="410" w:lineRule="exact"/>
        <w:ind w:firstLine="420"/>
        <w:rPr>
          <w:color w:val="auto"/>
          <w:sz w:val="24"/>
          <w:szCs w:val="24"/>
          <w:highlight w:val="none"/>
        </w:rPr>
      </w:pPr>
    </w:p>
    <w:p>
      <w:pPr>
        <w:spacing w:line="410" w:lineRule="exact"/>
        <w:ind w:firstLine="420"/>
        <w:rPr>
          <w:color w:val="auto"/>
          <w:sz w:val="24"/>
          <w:szCs w:val="24"/>
          <w:highlight w:val="none"/>
        </w:rPr>
      </w:pPr>
      <w:r>
        <w:rPr>
          <w:color w:val="auto"/>
          <w:sz w:val="24"/>
          <w:szCs w:val="24"/>
          <w:highlight w:val="none"/>
        </w:rPr>
        <w:t>签约日期：    年   月   日              签约日期：    年   月   日</w:t>
      </w:r>
    </w:p>
    <w:p>
      <w:pPr>
        <w:spacing w:line="410" w:lineRule="exact"/>
        <w:ind w:firstLine="420"/>
        <w:rPr>
          <w:color w:val="auto"/>
          <w:sz w:val="24"/>
          <w:szCs w:val="24"/>
          <w:highlight w:val="none"/>
        </w:rPr>
      </w:pPr>
    </w:p>
    <w:p>
      <w:pPr>
        <w:spacing w:line="410" w:lineRule="exact"/>
        <w:ind w:firstLine="420"/>
        <w:rPr>
          <w:color w:val="auto"/>
          <w:sz w:val="24"/>
          <w:szCs w:val="24"/>
          <w:highlight w:val="none"/>
        </w:rPr>
      </w:pPr>
      <w:r>
        <w:rPr>
          <w:color w:val="auto"/>
          <w:sz w:val="24"/>
          <w:szCs w:val="24"/>
          <w:highlight w:val="none"/>
        </w:rPr>
        <w:t>地 　 址：                          　　地 　 址：</w:t>
      </w:r>
    </w:p>
    <w:p>
      <w:pPr>
        <w:spacing w:line="410" w:lineRule="exact"/>
        <w:ind w:firstLine="420"/>
        <w:rPr>
          <w:color w:val="auto"/>
          <w:sz w:val="24"/>
          <w:szCs w:val="24"/>
          <w:highlight w:val="none"/>
        </w:rPr>
      </w:pPr>
    </w:p>
    <w:p>
      <w:pPr>
        <w:spacing w:line="410" w:lineRule="exact"/>
        <w:ind w:firstLine="420"/>
        <w:rPr>
          <w:color w:val="auto"/>
          <w:sz w:val="24"/>
          <w:szCs w:val="24"/>
          <w:highlight w:val="none"/>
        </w:rPr>
      </w:pPr>
      <w:r>
        <w:rPr>
          <w:color w:val="auto"/>
          <w:sz w:val="24"/>
          <w:szCs w:val="24"/>
          <w:highlight w:val="none"/>
        </w:rPr>
        <w:t>电　　话：                    　　　    电　　话：</w:t>
      </w:r>
    </w:p>
    <w:p>
      <w:pPr>
        <w:spacing w:line="410" w:lineRule="exact"/>
        <w:ind w:firstLine="420"/>
        <w:rPr>
          <w:color w:val="auto"/>
          <w:sz w:val="24"/>
          <w:szCs w:val="24"/>
          <w:highlight w:val="none"/>
        </w:rPr>
      </w:pPr>
    </w:p>
    <w:p>
      <w:pPr>
        <w:spacing w:line="410" w:lineRule="exact"/>
        <w:ind w:firstLine="420"/>
        <w:rPr>
          <w:color w:val="auto"/>
          <w:sz w:val="24"/>
          <w:szCs w:val="24"/>
          <w:highlight w:val="none"/>
        </w:rPr>
      </w:pPr>
    </w:p>
    <w:p>
      <w:pPr>
        <w:spacing w:line="410" w:lineRule="exact"/>
        <w:ind w:firstLine="420"/>
        <w:rPr>
          <w:color w:val="auto"/>
          <w:sz w:val="24"/>
          <w:szCs w:val="24"/>
          <w:highlight w:val="none"/>
        </w:rPr>
      </w:pPr>
    </w:p>
    <w:p>
      <w:pPr>
        <w:spacing w:line="410" w:lineRule="exact"/>
        <w:rPr>
          <w:color w:val="auto"/>
          <w:sz w:val="24"/>
          <w:szCs w:val="24"/>
          <w:highlight w:val="none"/>
        </w:rPr>
      </w:pPr>
    </w:p>
    <w:p>
      <w:pPr>
        <w:spacing w:line="410" w:lineRule="exact"/>
        <w:rPr>
          <w:color w:val="auto"/>
          <w:sz w:val="24"/>
          <w:szCs w:val="24"/>
          <w:highlight w:val="none"/>
        </w:rPr>
      </w:pPr>
    </w:p>
    <w:p>
      <w:pPr>
        <w:spacing w:line="410" w:lineRule="exact"/>
        <w:rPr>
          <w:color w:val="auto"/>
          <w:sz w:val="24"/>
          <w:szCs w:val="24"/>
          <w:highlight w:val="none"/>
        </w:rPr>
      </w:pPr>
    </w:p>
    <w:p>
      <w:pPr>
        <w:spacing w:line="410" w:lineRule="exact"/>
        <w:rPr>
          <w:color w:val="auto"/>
          <w:sz w:val="24"/>
          <w:szCs w:val="24"/>
          <w:highlight w:val="none"/>
        </w:rPr>
      </w:pPr>
    </w:p>
    <w:bookmarkEnd w:id="175"/>
    <w:p>
      <w:pPr>
        <w:pStyle w:val="4"/>
        <w:spacing w:beforeLines="150" w:line="410" w:lineRule="exact"/>
        <w:ind w:firstLine="422"/>
        <w:jc w:val="center"/>
        <w:rPr>
          <w:rFonts w:ascii="Times New Roman"/>
          <w:color w:val="auto"/>
          <w:sz w:val="24"/>
          <w:szCs w:val="24"/>
          <w:highlight w:val="none"/>
        </w:rPr>
      </w:pPr>
      <w:bookmarkStart w:id="176" w:name="_Toc9268"/>
      <w:bookmarkStart w:id="177" w:name="_Toc281423316"/>
      <w:r>
        <w:rPr>
          <w:rFonts w:ascii="Times New Roman"/>
          <w:color w:val="auto"/>
          <w:sz w:val="24"/>
          <w:szCs w:val="24"/>
          <w:highlight w:val="none"/>
        </w:rPr>
        <w:br w:type="page"/>
      </w:r>
      <w:r>
        <w:rPr>
          <w:rFonts w:ascii="Times New Roman"/>
          <w:color w:val="auto"/>
          <w:sz w:val="24"/>
          <w:szCs w:val="24"/>
          <w:highlight w:val="none"/>
        </w:rPr>
        <w:t>2. 建设工程廉洁从业合同书</w:t>
      </w:r>
      <w:bookmarkEnd w:id="176"/>
    </w:p>
    <w:p>
      <w:pPr>
        <w:spacing w:line="410" w:lineRule="exact"/>
        <w:ind w:firstLine="420"/>
        <w:rPr>
          <w:color w:val="auto"/>
          <w:sz w:val="24"/>
          <w:szCs w:val="24"/>
          <w:highlight w:val="none"/>
        </w:rPr>
      </w:pPr>
    </w:p>
    <w:p>
      <w:pPr>
        <w:ind w:firstLine="420"/>
        <w:rPr>
          <w:color w:val="auto"/>
          <w:sz w:val="24"/>
          <w:szCs w:val="24"/>
          <w:highlight w:val="none"/>
        </w:rPr>
      </w:pPr>
      <w:r>
        <w:rPr>
          <w:color w:val="auto"/>
          <w:sz w:val="24"/>
          <w:szCs w:val="24"/>
          <w:highlight w:val="none"/>
        </w:rPr>
        <w:t>发包人：许昌市建设投资有限责任公司</w:t>
      </w:r>
    </w:p>
    <w:p>
      <w:pPr>
        <w:ind w:firstLine="420"/>
        <w:rPr>
          <w:color w:val="auto"/>
          <w:sz w:val="24"/>
          <w:szCs w:val="24"/>
          <w:highlight w:val="none"/>
        </w:rPr>
      </w:pPr>
      <w:r>
        <w:rPr>
          <w:color w:val="auto"/>
          <w:sz w:val="24"/>
          <w:szCs w:val="24"/>
          <w:highlight w:val="none"/>
        </w:rPr>
        <w:t>承包人：</w:t>
      </w:r>
    </w:p>
    <w:p>
      <w:pPr>
        <w:ind w:firstLine="420"/>
        <w:rPr>
          <w:color w:val="auto"/>
          <w:sz w:val="24"/>
          <w:szCs w:val="24"/>
          <w:highlight w:val="none"/>
        </w:rPr>
      </w:pPr>
      <w:r>
        <w:rPr>
          <w:color w:val="auto"/>
          <w:sz w:val="24"/>
          <w:szCs w:val="24"/>
          <w:highlight w:val="none"/>
        </w:rPr>
        <w:t>为加强建设工程廉洁建设，规范建设工程各项活动中发包人承包人双方的行为，防止谋取不正当利益的违法违纪现象的发生，保护国家、集体和当事人的合法权益，根据国家有关工程建设的法律法规和廉洁建设的有关规定，订立本廉洁从业合同书。</w:t>
      </w:r>
    </w:p>
    <w:p>
      <w:pPr>
        <w:ind w:firstLine="420"/>
        <w:rPr>
          <w:color w:val="auto"/>
          <w:sz w:val="24"/>
          <w:szCs w:val="24"/>
          <w:highlight w:val="none"/>
        </w:rPr>
      </w:pPr>
      <w:bookmarkStart w:id="178" w:name="_Toc387330946"/>
      <w:bookmarkStart w:id="179" w:name="_Toc372029544"/>
      <w:r>
        <w:rPr>
          <w:color w:val="auto"/>
          <w:sz w:val="24"/>
          <w:szCs w:val="24"/>
          <w:highlight w:val="none"/>
        </w:rPr>
        <w:t>一、双方的责任</w:t>
      </w:r>
      <w:bookmarkEnd w:id="178"/>
      <w:bookmarkEnd w:id="179"/>
    </w:p>
    <w:p>
      <w:pPr>
        <w:ind w:firstLine="420"/>
        <w:rPr>
          <w:color w:val="auto"/>
          <w:sz w:val="24"/>
          <w:szCs w:val="24"/>
          <w:highlight w:val="none"/>
        </w:rPr>
      </w:pPr>
      <w:r>
        <w:rPr>
          <w:color w:val="auto"/>
          <w:sz w:val="24"/>
          <w:szCs w:val="24"/>
          <w:highlight w:val="none"/>
        </w:rPr>
        <w:t>1.1应严格遵守国家关于建设工程的有关法律、法规，相关政策，以及廉洁建设的各项规定。</w:t>
      </w:r>
    </w:p>
    <w:p>
      <w:pPr>
        <w:ind w:firstLine="420"/>
        <w:rPr>
          <w:color w:val="auto"/>
          <w:sz w:val="24"/>
          <w:szCs w:val="24"/>
          <w:highlight w:val="none"/>
        </w:rPr>
      </w:pPr>
      <w:r>
        <w:rPr>
          <w:color w:val="auto"/>
          <w:sz w:val="24"/>
          <w:szCs w:val="24"/>
          <w:highlight w:val="none"/>
        </w:rPr>
        <w:t>1.2严格执行建设工程合同文件，自觉按合同办事。</w:t>
      </w:r>
    </w:p>
    <w:p>
      <w:pPr>
        <w:ind w:firstLine="420"/>
        <w:rPr>
          <w:color w:val="auto"/>
          <w:sz w:val="24"/>
          <w:szCs w:val="24"/>
          <w:highlight w:val="none"/>
        </w:rPr>
      </w:pPr>
      <w:r>
        <w:rPr>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ind w:firstLine="420"/>
        <w:rPr>
          <w:color w:val="auto"/>
          <w:sz w:val="24"/>
          <w:szCs w:val="24"/>
          <w:highlight w:val="none"/>
        </w:rPr>
      </w:pPr>
      <w:r>
        <w:rPr>
          <w:color w:val="auto"/>
          <w:sz w:val="24"/>
          <w:szCs w:val="24"/>
          <w:highlight w:val="none"/>
        </w:rPr>
        <w:t>1.4发现对方在业务活动中有违规、违纪、违法行为的，应及时提醒对方，情节严重的，应向其上级主管部门或纪检监察、司法等有关机关举报。</w:t>
      </w:r>
    </w:p>
    <w:p>
      <w:pPr>
        <w:ind w:firstLine="420"/>
        <w:rPr>
          <w:color w:val="auto"/>
          <w:sz w:val="24"/>
          <w:szCs w:val="24"/>
          <w:highlight w:val="none"/>
        </w:rPr>
      </w:pPr>
      <w:bookmarkStart w:id="180" w:name="_Toc387330947"/>
      <w:bookmarkStart w:id="181" w:name="_Toc372029545"/>
      <w:r>
        <w:rPr>
          <w:color w:val="auto"/>
          <w:sz w:val="24"/>
          <w:szCs w:val="24"/>
          <w:highlight w:val="none"/>
        </w:rPr>
        <w:t>二、发包人责任</w:t>
      </w:r>
      <w:bookmarkEnd w:id="180"/>
      <w:bookmarkEnd w:id="181"/>
    </w:p>
    <w:p>
      <w:pPr>
        <w:ind w:firstLine="420"/>
        <w:rPr>
          <w:color w:val="auto"/>
          <w:sz w:val="24"/>
          <w:szCs w:val="24"/>
          <w:highlight w:val="none"/>
        </w:rPr>
      </w:pPr>
      <w:r>
        <w:rPr>
          <w:color w:val="auto"/>
          <w:sz w:val="24"/>
          <w:szCs w:val="24"/>
          <w:highlight w:val="none"/>
        </w:rPr>
        <w:t>发包人的领导和从事该建设工程项目的工作人员，在工程建设的事前、事中、事后应遵守以下规定：</w:t>
      </w:r>
    </w:p>
    <w:p>
      <w:pPr>
        <w:ind w:firstLine="420"/>
        <w:rPr>
          <w:color w:val="auto"/>
          <w:sz w:val="24"/>
          <w:szCs w:val="24"/>
          <w:highlight w:val="none"/>
        </w:rPr>
      </w:pPr>
      <w:r>
        <w:rPr>
          <w:color w:val="auto"/>
          <w:sz w:val="24"/>
          <w:szCs w:val="24"/>
          <w:highlight w:val="none"/>
        </w:rPr>
        <w:t>2.1不得向承包人和相关单位索要或接受回扣、礼金、有价证券、贵重物品和好处费、感谢费等。</w:t>
      </w:r>
    </w:p>
    <w:p>
      <w:pPr>
        <w:ind w:firstLine="420"/>
        <w:rPr>
          <w:color w:val="auto"/>
          <w:sz w:val="24"/>
          <w:szCs w:val="24"/>
          <w:highlight w:val="none"/>
        </w:rPr>
      </w:pPr>
      <w:r>
        <w:rPr>
          <w:color w:val="auto"/>
          <w:sz w:val="24"/>
          <w:szCs w:val="24"/>
          <w:highlight w:val="none"/>
        </w:rPr>
        <w:t>2.2不得在承包人和相关单位报销任何应由发包人或个人支付的费用。</w:t>
      </w:r>
    </w:p>
    <w:p>
      <w:pPr>
        <w:ind w:firstLine="420"/>
        <w:rPr>
          <w:color w:val="auto"/>
          <w:sz w:val="24"/>
          <w:szCs w:val="24"/>
          <w:highlight w:val="none"/>
        </w:rPr>
      </w:pPr>
      <w:r>
        <w:rPr>
          <w:color w:val="auto"/>
          <w:sz w:val="24"/>
          <w:szCs w:val="24"/>
          <w:highlight w:val="none"/>
        </w:rPr>
        <w:t>2.3不得要求、暗示或接受承包人和相关单位为个人装修住房、婚丧嫁娶、配偶子女的工作安排以及出国（境）、旅游等提供方便。</w:t>
      </w:r>
    </w:p>
    <w:p>
      <w:pPr>
        <w:ind w:firstLine="420"/>
        <w:rPr>
          <w:color w:val="auto"/>
          <w:sz w:val="24"/>
          <w:szCs w:val="24"/>
          <w:highlight w:val="none"/>
        </w:rPr>
      </w:pPr>
      <w:r>
        <w:rPr>
          <w:color w:val="auto"/>
          <w:sz w:val="24"/>
          <w:szCs w:val="24"/>
          <w:highlight w:val="none"/>
        </w:rPr>
        <w:t>2.4不得参加有可能影响公正执行公务的承包人和相关单位的宴请、健身、娱乐等活动。</w:t>
      </w:r>
    </w:p>
    <w:p>
      <w:pPr>
        <w:ind w:firstLine="420"/>
        <w:rPr>
          <w:color w:val="auto"/>
          <w:sz w:val="24"/>
          <w:szCs w:val="24"/>
          <w:highlight w:val="none"/>
        </w:rPr>
      </w:pPr>
      <w:r>
        <w:rPr>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ind w:firstLine="420"/>
        <w:rPr>
          <w:color w:val="auto"/>
          <w:sz w:val="24"/>
          <w:szCs w:val="24"/>
          <w:highlight w:val="none"/>
        </w:rPr>
      </w:pPr>
      <w:bookmarkStart w:id="182" w:name="_Toc387330948"/>
      <w:bookmarkStart w:id="183" w:name="_Toc372029546"/>
      <w:r>
        <w:rPr>
          <w:color w:val="auto"/>
          <w:sz w:val="24"/>
          <w:szCs w:val="24"/>
          <w:highlight w:val="none"/>
        </w:rPr>
        <w:t>三、承包人责任</w:t>
      </w:r>
      <w:bookmarkEnd w:id="182"/>
      <w:bookmarkEnd w:id="183"/>
    </w:p>
    <w:p>
      <w:pPr>
        <w:ind w:firstLine="420"/>
        <w:rPr>
          <w:color w:val="auto"/>
          <w:sz w:val="24"/>
          <w:szCs w:val="24"/>
          <w:highlight w:val="none"/>
        </w:rPr>
      </w:pPr>
      <w:r>
        <w:rPr>
          <w:color w:val="auto"/>
          <w:sz w:val="24"/>
          <w:szCs w:val="24"/>
          <w:highlight w:val="none"/>
        </w:rPr>
        <w:t>应与发包人保持正常的业务交往，按照有关法律法规和程序开展业务工作，严格执行工程建设的有关方针、政策，执行工程建设强制性标准，并遵守以下规定：</w:t>
      </w:r>
    </w:p>
    <w:p>
      <w:pPr>
        <w:ind w:firstLine="420"/>
        <w:rPr>
          <w:color w:val="auto"/>
          <w:sz w:val="24"/>
          <w:szCs w:val="24"/>
          <w:highlight w:val="none"/>
        </w:rPr>
      </w:pPr>
      <w:r>
        <w:rPr>
          <w:color w:val="auto"/>
          <w:sz w:val="24"/>
          <w:szCs w:val="24"/>
          <w:highlight w:val="none"/>
        </w:rPr>
        <w:t>3.1不得以任何理由向发包人及其工作人员索要、接受或赠送礼金、有价证券、贵重物品及回扣、好处费、感谢费等。</w:t>
      </w:r>
    </w:p>
    <w:p>
      <w:pPr>
        <w:ind w:firstLine="420"/>
        <w:rPr>
          <w:color w:val="auto"/>
          <w:sz w:val="24"/>
          <w:szCs w:val="24"/>
          <w:highlight w:val="none"/>
        </w:rPr>
      </w:pPr>
      <w:r>
        <w:rPr>
          <w:color w:val="auto"/>
          <w:sz w:val="24"/>
          <w:szCs w:val="24"/>
          <w:highlight w:val="none"/>
        </w:rPr>
        <w:t>3.2不得以任何理由为发包人和相关单位报销应由对方或个人支付的费用。</w:t>
      </w:r>
    </w:p>
    <w:p>
      <w:pPr>
        <w:ind w:firstLine="420"/>
        <w:rPr>
          <w:color w:val="auto"/>
          <w:sz w:val="24"/>
          <w:szCs w:val="24"/>
          <w:highlight w:val="none"/>
        </w:rPr>
      </w:pPr>
      <w:r>
        <w:rPr>
          <w:color w:val="auto"/>
          <w:sz w:val="24"/>
          <w:szCs w:val="24"/>
          <w:highlight w:val="none"/>
        </w:rPr>
        <w:t>3.3不得接受或暗示为发包人、相关单位或个人装修住房、婚丧嫁娶、配偶子女的工作安排以及出国（境）、旅游等提供方便。</w:t>
      </w:r>
    </w:p>
    <w:p>
      <w:pPr>
        <w:ind w:firstLine="420"/>
        <w:rPr>
          <w:color w:val="auto"/>
          <w:sz w:val="24"/>
          <w:szCs w:val="24"/>
          <w:highlight w:val="none"/>
        </w:rPr>
      </w:pPr>
      <w:r>
        <w:rPr>
          <w:color w:val="auto"/>
          <w:sz w:val="24"/>
          <w:szCs w:val="24"/>
          <w:highlight w:val="none"/>
        </w:rPr>
        <w:t>3.4不得以任何理由为发包人、相关单位或个人组织有可能影响公正执行公务的宴请、健身、娱乐等活动。</w:t>
      </w:r>
    </w:p>
    <w:p>
      <w:pPr>
        <w:ind w:firstLine="420"/>
        <w:rPr>
          <w:color w:val="auto"/>
          <w:sz w:val="24"/>
          <w:szCs w:val="24"/>
          <w:highlight w:val="none"/>
        </w:rPr>
      </w:pPr>
      <w:bookmarkStart w:id="184" w:name="_Toc387330949"/>
      <w:bookmarkStart w:id="185" w:name="_Toc372029547"/>
      <w:r>
        <w:rPr>
          <w:color w:val="auto"/>
          <w:sz w:val="24"/>
          <w:szCs w:val="24"/>
          <w:highlight w:val="none"/>
        </w:rPr>
        <w:t>四、违约责任</w:t>
      </w:r>
      <w:bookmarkEnd w:id="184"/>
      <w:bookmarkEnd w:id="185"/>
    </w:p>
    <w:p>
      <w:pPr>
        <w:ind w:firstLine="420"/>
        <w:rPr>
          <w:color w:val="auto"/>
          <w:sz w:val="24"/>
          <w:szCs w:val="24"/>
          <w:highlight w:val="none"/>
        </w:rPr>
      </w:pPr>
      <w:r>
        <w:rPr>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ind w:firstLine="420"/>
        <w:rPr>
          <w:color w:val="auto"/>
          <w:sz w:val="24"/>
          <w:szCs w:val="24"/>
          <w:highlight w:val="none"/>
        </w:rPr>
      </w:pPr>
      <w:r>
        <w:rPr>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ind w:firstLine="420"/>
        <w:rPr>
          <w:color w:val="auto"/>
          <w:sz w:val="24"/>
          <w:szCs w:val="24"/>
          <w:highlight w:val="none"/>
        </w:rPr>
      </w:pPr>
      <w:r>
        <w:rPr>
          <w:color w:val="auto"/>
          <w:sz w:val="24"/>
          <w:szCs w:val="24"/>
          <w:highlight w:val="none"/>
        </w:rPr>
        <w:t>4.3本责任书作为建设工程合同的组成部分，与建设工程合同具有同等法律效力。经双方签署后立即生效。</w:t>
      </w:r>
    </w:p>
    <w:p>
      <w:pPr>
        <w:ind w:firstLine="420"/>
        <w:rPr>
          <w:color w:val="auto"/>
          <w:sz w:val="24"/>
          <w:szCs w:val="24"/>
          <w:highlight w:val="none"/>
        </w:rPr>
      </w:pPr>
      <w:bookmarkStart w:id="186" w:name="_Toc372029548"/>
      <w:bookmarkStart w:id="187" w:name="_Toc387330950"/>
      <w:r>
        <w:rPr>
          <w:color w:val="auto"/>
          <w:sz w:val="24"/>
          <w:szCs w:val="24"/>
          <w:highlight w:val="none"/>
        </w:rPr>
        <w:t>五、责任书有效期</w:t>
      </w:r>
      <w:bookmarkEnd w:id="186"/>
      <w:bookmarkEnd w:id="187"/>
    </w:p>
    <w:p>
      <w:pPr>
        <w:ind w:firstLine="420"/>
        <w:rPr>
          <w:color w:val="auto"/>
          <w:sz w:val="24"/>
          <w:szCs w:val="24"/>
          <w:highlight w:val="none"/>
        </w:rPr>
      </w:pPr>
      <w:r>
        <w:rPr>
          <w:color w:val="auto"/>
          <w:sz w:val="24"/>
          <w:szCs w:val="24"/>
          <w:highlight w:val="none"/>
        </w:rPr>
        <w:t>本责任书的有效期为双方签署之日起至该工程项目竣工验收合格时止。</w:t>
      </w:r>
    </w:p>
    <w:p>
      <w:pPr>
        <w:ind w:firstLine="420"/>
        <w:rPr>
          <w:color w:val="auto"/>
          <w:sz w:val="24"/>
          <w:szCs w:val="24"/>
          <w:highlight w:val="none"/>
        </w:rPr>
      </w:pPr>
      <w:r>
        <w:rPr>
          <w:color w:val="auto"/>
          <w:sz w:val="24"/>
          <w:szCs w:val="24"/>
          <w:highlight w:val="none"/>
        </w:rPr>
        <w:t>发包人：（公章）                           承包人：（公章）</w:t>
      </w:r>
    </w:p>
    <w:p>
      <w:pPr>
        <w:ind w:firstLine="420"/>
        <w:rPr>
          <w:color w:val="auto"/>
          <w:sz w:val="24"/>
          <w:szCs w:val="24"/>
          <w:highlight w:val="none"/>
        </w:rPr>
      </w:pPr>
      <w:r>
        <w:rPr>
          <w:color w:val="auto"/>
          <w:sz w:val="24"/>
          <w:szCs w:val="24"/>
          <w:highlight w:val="none"/>
        </w:rPr>
        <w:t>法定地址：                                 法定地址：</w:t>
      </w:r>
    </w:p>
    <w:p>
      <w:pPr>
        <w:ind w:firstLine="420"/>
        <w:rPr>
          <w:color w:val="auto"/>
          <w:sz w:val="24"/>
          <w:szCs w:val="24"/>
          <w:highlight w:val="none"/>
        </w:rPr>
      </w:pPr>
      <w:r>
        <w:rPr>
          <w:color w:val="auto"/>
          <w:sz w:val="24"/>
          <w:szCs w:val="24"/>
          <w:highlight w:val="none"/>
        </w:rPr>
        <w:t>法定代表人或其                             法定代表人或其</w:t>
      </w:r>
    </w:p>
    <w:p>
      <w:pPr>
        <w:ind w:firstLine="420"/>
        <w:rPr>
          <w:color w:val="auto"/>
          <w:sz w:val="24"/>
          <w:szCs w:val="24"/>
          <w:highlight w:val="none"/>
        </w:rPr>
      </w:pPr>
      <w:r>
        <w:rPr>
          <w:color w:val="auto"/>
          <w:sz w:val="24"/>
          <w:szCs w:val="24"/>
          <w:highlight w:val="none"/>
        </w:rPr>
        <w:t>委托代理人：（签字）                       委托代理人：（签字）</w:t>
      </w:r>
    </w:p>
    <w:p>
      <w:pPr>
        <w:ind w:firstLine="420"/>
        <w:rPr>
          <w:color w:val="auto"/>
          <w:sz w:val="24"/>
          <w:szCs w:val="24"/>
          <w:highlight w:val="none"/>
        </w:rPr>
      </w:pPr>
      <w:r>
        <w:rPr>
          <w:color w:val="auto"/>
          <w:sz w:val="24"/>
          <w:szCs w:val="24"/>
          <w:highlight w:val="none"/>
        </w:rPr>
        <w:t>电话：                                     电话：</w:t>
      </w:r>
    </w:p>
    <w:p>
      <w:pPr>
        <w:ind w:firstLine="420"/>
        <w:rPr>
          <w:color w:val="auto"/>
          <w:sz w:val="24"/>
          <w:szCs w:val="24"/>
          <w:highlight w:val="none"/>
        </w:rPr>
      </w:pPr>
      <w:r>
        <w:rPr>
          <w:color w:val="auto"/>
          <w:sz w:val="24"/>
          <w:szCs w:val="24"/>
          <w:highlight w:val="none"/>
        </w:rPr>
        <w:t>传真：                                     传真：</w:t>
      </w:r>
    </w:p>
    <w:p>
      <w:pPr>
        <w:ind w:firstLine="420"/>
        <w:rPr>
          <w:color w:val="auto"/>
          <w:sz w:val="24"/>
          <w:szCs w:val="24"/>
          <w:highlight w:val="none"/>
        </w:rPr>
      </w:pPr>
      <w:r>
        <w:rPr>
          <w:color w:val="auto"/>
          <w:sz w:val="24"/>
          <w:szCs w:val="24"/>
          <w:highlight w:val="none"/>
        </w:rPr>
        <w:t>电子邮箱：                                 电子邮箱：</w:t>
      </w:r>
    </w:p>
    <w:p>
      <w:pPr>
        <w:ind w:firstLine="420"/>
        <w:rPr>
          <w:color w:val="auto"/>
          <w:sz w:val="24"/>
          <w:szCs w:val="24"/>
          <w:highlight w:val="none"/>
        </w:rPr>
      </w:pPr>
      <w:r>
        <w:rPr>
          <w:color w:val="auto"/>
          <w:sz w:val="24"/>
          <w:szCs w:val="24"/>
          <w:highlight w:val="none"/>
        </w:rPr>
        <w:t>开户银行：                                 开户银行：</w:t>
      </w:r>
    </w:p>
    <w:p>
      <w:pPr>
        <w:ind w:firstLine="420"/>
        <w:rPr>
          <w:color w:val="auto"/>
          <w:sz w:val="24"/>
          <w:szCs w:val="24"/>
          <w:highlight w:val="none"/>
        </w:rPr>
      </w:pPr>
      <w:r>
        <w:rPr>
          <w:color w:val="auto"/>
          <w:sz w:val="24"/>
          <w:szCs w:val="24"/>
          <w:highlight w:val="none"/>
        </w:rPr>
        <w:t>帐号：                                     帐号：</w:t>
      </w:r>
    </w:p>
    <w:p>
      <w:pPr>
        <w:ind w:firstLine="420"/>
        <w:rPr>
          <w:color w:val="auto"/>
          <w:sz w:val="24"/>
          <w:szCs w:val="24"/>
          <w:highlight w:val="none"/>
        </w:rPr>
      </w:pPr>
      <w:r>
        <w:rPr>
          <w:color w:val="auto"/>
          <w:sz w:val="24"/>
          <w:szCs w:val="24"/>
          <w:highlight w:val="none"/>
        </w:rPr>
        <w:t>邮政编码：                                 邮政编码：</w:t>
      </w:r>
    </w:p>
    <w:p>
      <w:pPr>
        <w:pStyle w:val="3"/>
        <w:ind w:firstLine="562"/>
        <w:jc w:val="center"/>
        <w:rPr>
          <w:rFonts w:ascii="Times New Roman" w:hAnsi="Times New Roman"/>
          <w:color w:val="auto"/>
          <w:sz w:val="24"/>
          <w:szCs w:val="24"/>
          <w:highlight w:val="none"/>
        </w:rPr>
      </w:pPr>
      <w:r>
        <w:rPr>
          <w:color w:val="auto"/>
          <w:sz w:val="24"/>
          <w:szCs w:val="24"/>
          <w:highlight w:val="none"/>
        </w:rPr>
        <w:br w:type="page"/>
      </w:r>
      <w:bookmarkStart w:id="188" w:name="_Toc10009"/>
      <w:r>
        <w:rPr>
          <w:rFonts w:ascii="Times New Roman" w:hAnsi="Times New Roman"/>
          <w:color w:val="auto"/>
          <w:sz w:val="24"/>
          <w:szCs w:val="24"/>
          <w:highlight w:val="none"/>
        </w:rPr>
        <w:t>3．履约保函（</w:t>
      </w:r>
      <w:bookmarkEnd w:id="177"/>
      <w:r>
        <w:rPr>
          <w:rFonts w:ascii="Times New Roman" w:hAnsi="Times New Roman"/>
          <w:color w:val="auto"/>
          <w:sz w:val="24"/>
          <w:szCs w:val="24"/>
          <w:highlight w:val="none"/>
        </w:rPr>
        <w:t>参考格式）</w:t>
      </w:r>
      <w:bookmarkEnd w:id="188"/>
    </w:p>
    <w:p>
      <w:pPr>
        <w:spacing w:line="410" w:lineRule="exact"/>
        <w:rPr>
          <w:color w:val="auto"/>
          <w:sz w:val="24"/>
          <w:szCs w:val="24"/>
          <w:highlight w:val="none"/>
          <w:u w:val="single"/>
        </w:rPr>
      </w:pPr>
      <w:r>
        <w:rPr>
          <w:color w:val="auto"/>
          <w:sz w:val="24"/>
          <w:szCs w:val="24"/>
          <w:highlight w:val="none"/>
        </w:rPr>
        <w:t xml:space="preserve">                                              保函编号：</w:t>
      </w:r>
    </w:p>
    <w:p>
      <w:pPr>
        <w:ind w:firstLine="420"/>
        <w:rPr>
          <w:color w:val="auto"/>
          <w:sz w:val="24"/>
          <w:szCs w:val="24"/>
          <w:highlight w:val="none"/>
          <w:u w:val="single"/>
        </w:rPr>
      </w:pPr>
      <w:r>
        <w:rPr>
          <w:color w:val="auto"/>
          <w:sz w:val="24"/>
          <w:szCs w:val="24"/>
          <w:highlight w:val="none"/>
        </w:rPr>
        <w:t>致：</w:t>
      </w:r>
      <w:r>
        <w:rPr>
          <w:color w:val="auto"/>
          <w:sz w:val="24"/>
          <w:szCs w:val="24"/>
          <w:highlight w:val="none"/>
          <w:u w:val="single"/>
        </w:rPr>
        <w:t>许昌市建设投资有限责任公司</w:t>
      </w:r>
    </w:p>
    <w:p>
      <w:pPr>
        <w:ind w:firstLine="420"/>
        <w:rPr>
          <w:color w:val="auto"/>
          <w:sz w:val="24"/>
          <w:szCs w:val="24"/>
          <w:highlight w:val="none"/>
        </w:rPr>
      </w:pPr>
      <w:r>
        <w:rPr>
          <w:color w:val="auto"/>
          <w:sz w:val="24"/>
          <w:szCs w:val="24"/>
          <w:highlight w:val="none"/>
        </w:rPr>
        <w:t>鉴于（以下简称“***”）接受（以下签称“***”）于 年月 日参加</w:t>
      </w:r>
      <w:r>
        <w:rPr>
          <w:color w:val="auto"/>
          <w:sz w:val="24"/>
          <w:szCs w:val="24"/>
          <w:highlight w:val="none"/>
          <w:u w:val="single"/>
        </w:rPr>
        <w:t xml:space="preserve">   （项目名称）</w:t>
      </w:r>
      <w:r>
        <w:rPr>
          <w:rFonts w:hint="eastAsia"/>
          <w:color w:val="auto"/>
          <w:sz w:val="24"/>
          <w:szCs w:val="24"/>
          <w:highlight w:val="none"/>
          <w:u w:val="single"/>
        </w:rPr>
        <w:t>02标段</w:t>
      </w:r>
      <w:r>
        <w:rPr>
          <w:color w:val="auto"/>
          <w:sz w:val="24"/>
          <w:szCs w:val="24"/>
          <w:highlight w:val="none"/>
        </w:rPr>
        <w:t>的投标。</w:t>
      </w:r>
    </w:p>
    <w:p>
      <w:pPr>
        <w:ind w:firstLine="420"/>
        <w:rPr>
          <w:color w:val="auto"/>
          <w:sz w:val="24"/>
          <w:szCs w:val="24"/>
          <w:highlight w:val="none"/>
        </w:rPr>
      </w:pPr>
      <w:r>
        <w:rPr>
          <w:color w:val="auto"/>
          <w:sz w:val="24"/>
          <w:szCs w:val="24"/>
          <w:highlight w:val="none"/>
        </w:rPr>
        <w:t>我方受***委托，为***履行上述合同规定的义务作出如下不可撤销的保证：</w:t>
      </w:r>
    </w:p>
    <w:p>
      <w:pPr>
        <w:ind w:firstLine="420"/>
        <w:rPr>
          <w:color w:val="auto"/>
          <w:sz w:val="24"/>
          <w:szCs w:val="24"/>
          <w:highlight w:val="none"/>
        </w:rPr>
      </w:pPr>
      <w:r>
        <w:rPr>
          <w:color w:val="auto"/>
          <w:sz w:val="24"/>
          <w:szCs w:val="24"/>
          <w:highlight w:val="none"/>
        </w:rPr>
        <w:t>我方在收到你方的书面索赔通知及相关违约证明后，经核定在七个日历天内承担连带保证责任，向你方支付不超过人民币小写：元（大写：）的任何你方要求金额，并放弃任何向你方提出异议和追索的权利。</w:t>
      </w:r>
    </w:p>
    <w:p>
      <w:pPr>
        <w:ind w:firstLine="420"/>
        <w:rPr>
          <w:color w:val="auto"/>
          <w:sz w:val="24"/>
          <w:szCs w:val="24"/>
          <w:highlight w:val="none"/>
        </w:rPr>
      </w:pPr>
      <w:r>
        <w:rPr>
          <w:color w:val="auto"/>
          <w:sz w:val="24"/>
          <w:szCs w:val="24"/>
          <w:highlight w:val="none"/>
        </w:rPr>
        <w:t>我方特此确认并同意：我方受本保函制约的责任是连续的，合同的任何修改或变更、解除、终止或失效都不能削弱或影响我方受本保函制约的责任。</w:t>
      </w:r>
    </w:p>
    <w:p>
      <w:pPr>
        <w:ind w:firstLine="420"/>
        <w:rPr>
          <w:color w:val="auto"/>
          <w:sz w:val="24"/>
          <w:szCs w:val="24"/>
          <w:highlight w:val="none"/>
        </w:rPr>
      </w:pPr>
      <w:r>
        <w:rPr>
          <w:color w:val="auto"/>
          <w:sz w:val="24"/>
          <w:szCs w:val="24"/>
          <w:highlight w:val="none"/>
        </w:rPr>
        <w:t>本保函项下所有权利和义务均受中华人民共和国法律管辖和制约。</w:t>
      </w:r>
    </w:p>
    <w:p>
      <w:pPr>
        <w:ind w:firstLine="420"/>
        <w:rPr>
          <w:color w:val="auto"/>
          <w:sz w:val="24"/>
          <w:szCs w:val="24"/>
          <w:highlight w:val="none"/>
        </w:rPr>
      </w:pPr>
      <w:r>
        <w:rPr>
          <w:color w:val="auto"/>
          <w:sz w:val="24"/>
          <w:szCs w:val="24"/>
          <w:highlight w:val="none"/>
        </w:rPr>
        <w:t>本保函自之日起生效，至 失效，最晚不超过年月日，除非你方提前终止或解除本保函。保函失效后请将本保函退回我方注销。</w:t>
      </w:r>
    </w:p>
    <w:p>
      <w:pPr>
        <w:ind w:firstLine="420"/>
        <w:rPr>
          <w:color w:val="auto"/>
          <w:sz w:val="24"/>
          <w:szCs w:val="24"/>
          <w:highlight w:val="none"/>
        </w:rPr>
      </w:pPr>
    </w:p>
    <w:p>
      <w:pPr>
        <w:spacing w:before="120" w:after="120" w:line="440" w:lineRule="exact"/>
        <w:ind w:firstLine="420"/>
        <w:rPr>
          <w:color w:val="auto"/>
          <w:sz w:val="24"/>
          <w:szCs w:val="24"/>
          <w:highlight w:val="none"/>
        </w:rPr>
      </w:pPr>
      <w:r>
        <w:rPr>
          <w:color w:val="auto"/>
          <w:sz w:val="24"/>
          <w:szCs w:val="24"/>
          <w:highlight w:val="none"/>
        </w:rPr>
        <w:t>担保人：（盖单位章）</w:t>
      </w:r>
    </w:p>
    <w:p>
      <w:pPr>
        <w:spacing w:before="120" w:after="120" w:line="440" w:lineRule="exact"/>
        <w:ind w:firstLine="420"/>
        <w:rPr>
          <w:color w:val="auto"/>
          <w:sz w:val="24"/>
          <w:szCs w:val="24"/>
          <w:highlight w:val="none"/>
        </w:rPr>
      </w:pPr>
      <w:r>
        <w:rPr>
          <w:color w:val="auto"/>
          <w:sz w:val="24"/>
          <w:szCs w:val="24"/>
          <w:highlight w:val="none"/>
        </w:rPr>
        <w:t>法定代表人或有权签字人：（签字）</w:t>
      </w:r>
    </w:p>
    <w:p>
      <w:pPr>
        <w:spacing w:before="120" w:after="120" w:line="440" w:lineRule="exact"/>
        <w:ind w:firstLine="420"/>
        <w:rPr>
          <w:color w:val="auto"/>
          <w:sz w:val="24"/>
          <w:szCs w:val="24"/>
          <w:highlight w:val="none"/>
        </w:rPr>
      </w:pPr>
      <w:r>
        <w:rPr>
          <w:color w:val="auto"/>
          <w:sz w:val="24"/>
          <w:szCs w:val="24"/>
          <w:highlight w:val="none"/>
        </w:rPr>
        <w:t>地    址：</w:t>
      </w:r>
    </w:p>
    <w:p>
      <w:pPr>
        <w:spacing w:before="120" w:after="120" w:line="440" w:lineRule="exact"/>
        <w:ind w:firstLine="420"/>
        <w:rPr>
          <w:color w:val="auto"/>
          <w:sz w:val="24"/>
          <w:szCs w:val="24"/>
          <w:highlight w:val="none"/>
        </w:rPr>
      </w:pPr>
      <w:r>
        <w:rPr>
          <w:color w:val="auto"/>
          <w:sz w:val="24"/>
          <w:szCs w:val="24"/>
          <w:highlight w:val="none"/>
        </w:rPr>
        <w:t>邮政编码：</w:t>
      </w:r>
    </w:p>
    <w:p>
      <w:pPr>
        <w:spacing w:before="120" w:after="120" w:line="440" w:lineRule="exact"/>
        <w:ind w:firstLine="420"/>
        <w:rPr>
          <w:color w:val="auto"/>
          <w:sz w:val="24"/>
          <w:szCs w:val="24"/>
          <w:highlight w:val="none"/>
        </w:rPr>
      </w:pPr>
      <w:r>
        <w:rPr>
          <w:color w:val="auto"/>
          <w:sz w:val="24"/>
          <w:szCs w:val="24"/>
          <w:highlight w:val="none"/>
        </w:rPr>
        <w:t>电    话：</w:t>
      </w:r>
    </w:p>
    <w:p>
      <w:pPr>
        <w:spacing w:before="120" w:after="120" w:line="440" w:lineRule="exact"/>
        <w:ind w:firstLine="420"/>
        <w:rPr>
          <w:color w:val="auto"/>
          <w:sz w:val="24"/>
          <w:szCs w:val="24"/>
          <w:highlight w:val="none"/>
        </w:rPr>
      </w:pPr>
      <w:r>
        <w:rPr>
          <w:color w:val="auto"/>
          <w:sz w:val="24"/>
          <w:szCs w:val="24"/>
          <w:highlight w:val="none"/>
        </w:rPr>
        <w:t>传    真：</w:t>
      </w:r>
    </w:p>
    <w:p>
      <w:pPr>
        <w:spacing w:before="120" w:afterLines="50" w:line="410" w:lineRule="exact"/>
        <w:ind w:right="108" w:firstLine="420"/>
        <w:jc w:val="left"/>
        <w:rPr>
          <w:color w:val="auto"/>
          <w:sz w:val="24"/>
          <w:szCs w:val="24"/>
          <w:highlight w:val="none"/>
        </w:rPr>
      </w:pPr>
      <w:r>
        <w:rPr>
          <w:color w:val="auto"/>
          <w:sz w:val="24"/>
          <w:szCs w:val="24"/>
          <w:highlight w:val="none"/>
        </w:rPr>
        <w:t>日    期： 年月日</w:t>
      </w:r>
    </w:p>
    <w:p>
      <w:pPr>
        <w:spacing w:before="120" w:afterLines="50" w:line="410" w:lineRule="exact"/>
        <w:ind w:right="108" w:firstLine="420"/>
        <w:jc w:val="left"/>
        <w:rPr>
          <w:color w:val="auto"/>
          <w:sz w:val="24"/>
          <w:szCs w:val="24"/>
          <w:highlight w:val="none"/>
        </w:rPr>
      </w:pPr>
    </w:p>
    <w:p>
      <w:pPr>
        <w:tabs>
          <w:tab w:val="left" w:pos="5000"/>
        </w:tabs>
        <w:spacing w:line="360" w:lineRule="auto"/>
        <w:ind w:firstLine="490"/>
        <w:rPr>
          <w:rFonts w:hAnsi="宋体" w:cs="宋体"/>
          <w:b/>
          <w:color w:val="auto"/>
          <w:sz w:val="24"/>
          <w:szCs w:val="24"/>
          <w:highlight w:val="none"/>
        </w:rPr>
      </w:pPr>
      <w:r>
        <w:rPr>
          <w:color w:val="auto"/>
          <w:sz w:val="24"/>
          <w:szCs w:val="24"/>
          <w:highlight w:val="none"/>
        </w:rPr>
        <w:t>注：履约保函由银行出具的应可以在中国人民银行查询查付系统中查询。</w:t>
      </w:r>
    </w:p>
    <w:p>
      <w:pPr>
        <w:autoSpaceDE w:val="0"/>
        <w:autoSpaceDN w:val="0"/>
        <w:adjustRightInd w:val="0"/>
        <w:ind w:firstLine="885" w:firstLineChars="245"/>
        <w:outlineLvl w:val="0"/>
        <w:rPr>
          <w:rFonts w:hAnsi="宋体" w:cs="宋体"/>
          <w:b/>
          <w:color w:val="auto"/>
          <w:sz w:val="36"/>
          <w:szCs w:val="36"/>
          <w:highlight w:val="none"/>
        </w:rPr>
      </w:pPr>
    </w:p>
    <w:p>
      <w:pPr>
        <w:autoSpaceDE w:val="0"/>
        <w:autoSpaceDN w:val="0"/>
        <w:adjustRightInd w:val="0"/>
        <w:ind w:firstLine="885" w:firstLineChars="245"/>
        <w:outlineLvl w:val="0"/>
        <w:rPr>
          <w:rFonts w:hAnsi="宋体" w:cs="宋体"/>
          <w:b/>
          <w:color w:val="auto"/>
          <w:sz w:val="36"/>
          <w:szCs w:val="36"/>
          <w:highlight w:val="none"/>
        </w:rPr>
      </w:pPr>
      <w:r>
        <w:rPr>
          <w:rFonts w:hAnsi="宋体" w:cs="宋体"/>
          <w:b/>
          <w:color w:val="auto"/>
          <w:sz w:val="36"/>
          <w:szCs w:val="36"/>
          <w:highlight w:val="none"/>
        </w:rPr>
        <w:br w:type="page"/>
      </w:r>
    </w:p>
    <w:p>
      <w:pPr>
        <w:autoSpaceDE w:val="0"/>
        <w:autoSpaceDN w:val="0"/>
        <w:adjustRightInd w:val="0"/>
        <w:ind w:firstLine="885" w:firstLineChars="245"/>
        <w:outlineLvl w:val="0"/>
        <w:rPr>
          <w:rFonts w:hAnsi="宋体" w:cs="宋体"/>
          <w:b/>
          <w:color w:val="auto"/>
          <w:sz w:val="36"/>
          <w:szCs w:val="36"/>
          <w:highlight w:val="none"/>
        </w:rPr>
      </w:pPr>
    </w:p>
    <w:bookmarkEnd w:id="113"/>
    <w:p>
      <w:pPr>
        <w:autoSpaceDE w:val="0"/>
        <w:autoSpaceDN w:val="0"/>
        <w:adjustRightInd w:val="0"/>
        <w:jc w:val="center"/>
        <w:outlineLvl w:val="0"/>
        <w:rPr>
          <w:rFonts w:hAnsi="宋体" w:cs="宋体"/>
          <w:b/>
          <w:color w:val="auto"/>
          <w:sz w:val="24"/>
          <w:highlight w:val="none"/>
        </w:rPr>
      </w:pPr>
    </w:p>
    <w:p>
      <w:pPr>
        <w:autoSpaceDE w:val="0"/>
        <w:autoSpaceDN w:val="0"/>
        <w:adjustRightInd w:val="0"/>
        <w:jc w:val="center"/>
        <w:outlineLvl w:val="0"/>
        <w:rPr>
          <w:rFonts w:hAnsi="宋体" w:cs="宋体"/>
          <w:b/>
          <w:color w:val="auto"/>
          <w:sz w:val="36"/>
          <w:szCs w:val="36"/>
          <w:highlight w:val="none"/>
        </w:rPr>
      </w:pPr>
      <w:r>
        <w:rPr>
          <w:rFonts w:hint="eastAsia" w:hAnsi="宋体" w:cs="宋体"/>
          <w:b/>
          <w:color w:val="auto"/>
          <w:sz w:val="36"/>
          <w:szCs w:val="36"/>
          <w:highlight w:val="none"/>
        </w:rPr>
        <w:t>第五章 技术标准和要求</w:t>
      </w:r>
    </w:p>
    <w:p>
      <w:pPr>
        <w:spacing w:line="410" w:lineRule="exact"/>
        <w:ind w:firstLine="420"/>
        <w:rPr>
          <w:color w:val="auto"/>
          <w:sz w:val="24"/>
          <w:szCs w:val="24"/>
          <w:highlight w:val="none"/>
        </w:rPr>
      </w:pPr>
      <w:r>
        <w:rPr>
          <w:color w:val="auto"/>
          <w:sz w:val="24"/>
          <w:szCs w:val="24"/>
          <w:highlight w:val="none"/>
        </w:rPr>
        <w:t>1、编制依据</w:t>
      </w:r>
    </w:p>
    <w:p>
      <w:pPr>
        <w:spacing w:line="410" w:lineRule="exact"/>
        <w:ind w:firstLine="420"/>
        <w:rPr>
          <w:color w:val="auto"/>
          <w:sz w:val="24"/>
          <w:szCs w:val="24"/>
          <w:highlight w:val="none"/>
        </w:rPr>
      </w:pPr>
      <w:r>
        <w:rPr>
          <w:color w:val="auto"/>
          <w:sz w:val="24"/>
          <w:szCs w:val="24"/>
          <w:highlight w:val="none"/>
        </w:rPr>
        <w:t>1.1、最新使用的相关国家标准（规范）、行业标准（规范）、地方规程；</w:t>
      </w:r>
    </w:p>
    <w:p>
      <w:pPr>
        <w:spacing w:line="410" w:lineRule="exact"/>
        <w:ind w:firstLine="420"/>
        <w:rPr>
          <w:color w:val="auto"/>
          <w:sz w:val="24"/>
          <w:szCs w:val="24"/>
          <w:highlight w:val="none"/>
        </w:rPr>
      </w:pPr>
      <w:r>
        <w:rPr>
          <w:color w:val="auto"/>
          <w:sz w:val="24"/>
          <w:szCs w:val="24"/>
          <w:highlight w:val="none"/>
        </w:rPr>
        <w:t>1.2、本工程招标文件；</w:t>
      </w:r>
    </w:p>
    <w:p>
      <w:pPr>
        <w:spacing w:line="410" w:lineRule="exact"/>
        <w:ind w:firstLine="420"/>
        <w:rPr>
          <w:color w:val="auto"/>
          <w:sz w:val="24"/>
          <w:szCs w:val="24"/>
          <w:highlight w:val="none"/>
        </w:rPr>
      </w:pPr>
      <w:r>
        <w:rPr>
          <w:color w:val="auto"/>
          <w:sz w:val="24"/>
          <w:szCs w:val="24"/>
          <w:highlight w:val="none"/>
        </w:rPr>
        <w:t>1.3、招标答疑纪要（如有）。</w:t>
      </w:r>
    </w:p>
    <w:p>
      <w:pPr>
        <w:spacing w:line="410" w:lineRule="exact"/>
        <w:ind w:firstLine="420"/>
        <w:rPr>
          <w:color w:val="auto"/>
          <w:sz w:val="24"/>
          <w:szCs w:val="24"/>
          <w:highlight w:val="none"/>
        </w:rPr>
      </w:pPr>
      <w:r>
        <w:rPr>
          <w:color w:val="auto"/>
          <w:sz w:val="24"/>
          <w:szCs w:val="24"/>
          <w:highlight w:val="none"/>
        </w:rPr>
        <w:t>2、检测工作主要内容及要求</w:t>
      </w:r>
    </w:p>
    <w:p>
      <w:pPr>
        <w:widowControl/>
        <w:tabs>
          <w:tab w:val="left" w:pos="360"/>
        </w:tabs>
        <w:spacing w:line="410" w:lineRule="exact"/>
        <w:ind w:firstLine="540" w:firstLineChars="225"/>
        <w:jc w:val="left"/>
        <w:rPr>
          <w:color w:val="auto"/>
          <w:sz w:val="24"/>
          <w:szCs w:val="24"/>
          <w:highlight w:val="none"/>
        </w:rPr>
      </w:pPr>
      <w:r>
        <w:rPr>
          <w:color w:val="auto"/>
          <w:sz w:val="24"/>
          <w:szCs w:val="24"/>
          <w:highlight w:val="none"/>
        </w:rPr>
        <w:t>按提供的工程量报价清单，结合最新使用的相关国家标准（规范）进行试验。</w:t>
      </w:r>
    </w:p>
    <w:p>
      <w:pPr>
        <w:spacing w:line="500" w:lineRule="exact"/>
        <w:ind w:firstLine="480" w:firstLineChars="200"/>
        <w:jc w:val="left"/>
        <w:rPr>
          <w:rFonts w:hAnsi="宋体" w:cs="宋体"/>
          <w:color w:val="auto"/>
          <w:sz w:val="24"/>
          <w:highlight w:val="none"/>
        </w:rPr>
      </w:pPr>
    </w:p>
    <w:p>
      <w:pPr>
        <w:rPr>
          <w:color w:val="auto"/>
          <w:sz w:val="24"/>
          <w:szCs w:val="24"/>
          <w:highlight w:val="none"/>
        </w:rPr>
      </w:pPr>
      <w:r>
        <w:rPr>
          <w:color w:val="auto"/>
          <w:sz w:val="24"/>
          <w:szCs w:val="24"/>
          <w:highlight w:val="none"/>
        </w:rPr>
        <w:br w:type="page"/>
      </w:r>
    </w:p>
    <w:p>
      <w:pPr>
        <w:spacing w:line="410" w:lineRule="exact"/>
        <w:ind w:firstLine="420"/>
        <w:jc w:val="left"/>
        <w:rPr>
          <w:color w:val="auto"/>
          <w:sz w:val="24"/>
          <w:szCs w:val="24"/>
          <w:highlight w:val="none"/>
        </w:rPr>
      </w:pPr>
      <w:r>
        <w:rPr>
          <w:color w:val="auto"/>
          <w:sz w:val="24"/>
          <w:szCs w:val="24"/>
          <w:highlight w:val="none"/>
        </w:rPr>
        <w:t>附件1 有关技术规范</w:t>
      </w:r>
    </w:p>
    <w:tbl>
      <w:tblPr>
        <w:tblStyle w:val="20"/>
        <w:tblW w:w="84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9"/>
        <w:gridCol w:w="7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序号</w:t>
            </w:r>
          </w:p>
        </w:tc>
        <w:tc>
          <w:tcPr>
            <w:tcW w:w="7632" w:type="dxa"/>
          </w:tcPr>
          <w:p>
            <w:pPr>
              <w:spacing w:line="410" w:lineRule="exact"/>
              <w:ind w:firstLine="420"/>
              <w:jc w:val="center"/>
              <w:rPr>
                <w:rFonts w:ascii="Times New Roman"/>
                <w:color w:val="auto"/>
                <w:sz w:val="24"/>
                <w:szCs w:val="24"/>
                <w:highlight w:val="none"/>
              </w:rPr>
            </w:pPr>
            <w:r>
              <w:rPr>
                <w:rFonts w:ascii="Times New Roman"/>
                <w:color w:val="auto"/>
                <w:sz w:val="24"/>
                <w:szCs w:val="24"/>
                <w:highlight w:val="none"/>
              </w:rPr>
              <w:t>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5"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1</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《混凝土结构工程施工质量验收规范》GB50204－2015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2</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《建筑结构检测技术标准》GB／T50344－2004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3</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《混凝土结构试验方法标准》GB50152－2012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4</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《地下铁道工程施工及验收规范》GB50299－2003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5</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《砌体工程检测技术标准》GB/T 50315－2011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6</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《建筑结构检测技术标准》GB/T 50344－2004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7</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《建筑基桩检测技术规范》JGJ106－2014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8</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《钢筋机械连接通用技术规程》JGJ107－2010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9</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《砌筑砂浆配合比设计规程》JGJ/T98－2010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10</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《钢筋焊接及验收规程》JGJ18－2012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11</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《超声波检测混凝土缺陷技术规程》CECS21：2000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12</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《普通混凝土配合比设计规程》JGJ55-2011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13</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《地下防水工程质量验收规范》GB50208-2011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14</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《建筑地基基础工程施工质量验收规范》GB50202—2002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tcPr>
          <w:p>
            <w:pPr>
              <w:spacing w:line="410" w:lineRule="exact"/>
              <w:jc w:val="center"/>
              <w:rPr>
                <w:rFonts w:ascii="Times New Roman"/>
                <w:color w:val="auto"/>
                <w:sz w:val="24"/>
                <w:szCs w:val="24"/>
                <w:highlight w:val="none"/>
              </w:rPr>
            </w:pPr>
            <w:r>
              <w:rPr>
                <w:rFonts w:hint="eastAsia" w:ascii="Times New Roman"/>
                <w:color w:val="auto"/>
                <w:sz w:val="24"/>
                <w:szCs w:val="24"/>
                <w:highlight w:val="none"/>
              </w:rPr>
              <w:t>15</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《铁路混凝土工程施工质量验收标准》</w:t>
            </w:r>
            <w:r>
              <w:rPr>
                <w:rFonts w:hint="eastAsia" w:ascii="Times New Roman"/>
                <w:color w:val="auto"/>
                <w:sz w:val="24"/>
                <w:szCs w:val="24"/>
                <w:highlight w:val="none"/>
              </w:rPr>
              <w:t>TB10424-2018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tcPr>
          <w:p>
            <w:pPr>
              <w:spacing w:line="410" w:lineRule="exact"/>
              <w:jc w:val="center"/>
              <w:rPr>
                <w:rFonts w:ascii="Times New Roman"/>
                <w:color w:val="auto"/>
                <w:sz w:val="24"/>
                <w:szCs w:val="24"/>
                <w:highlight w:val="none"/>
              </w:rPr>
            </w:pPr>
            <w:r>
              <w:rPr>
                <w:rFonts w:hint="eastAsia" w:ascii="Times New Roman"/>
                <w:color w:val="auto"/>
                <w:sz w:val="24"/>
                <w:szCs w:val="24"/>
                <w:highlight w:val="none"/>
              </w:rPr>
              <w:t>16</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《铁路桥</w:t>
            </w:r>
            <w:r>
              <w:rPr>
                <w:rFonts w:hint="eastAsia" w:ascii="Times New Roman"/>
                <w:color w:val="auto"/>
                <w:sz w:val="24"/>
                <w:szCs w:val="24"/>
                <w:highlight w:val="none"/>
              </w:rPr>
              <w:t>涵工程施工质量验收标准》TB10415-2018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tcPr>
          <w:p>
            <w:pPr>
              <w:spacing w:line="410" w:lineRule="exact"/>
              <w:jc w:val="center"/>
              <w:rPr>
                <w:rFonts w:ascii="Times New Roman"/>
                <w:color w:val="auto"/>
                <w:sz w:val="24"/>
                <w:szCs w:val="24"/>
                <w:highlight w:val="none"/>
              </w:rPr>
            </w:pPr>
            <w:r>
              <w:rPr>
                <w:rFonts w:hint="eastAsia" w:ascii="Times New Roman"/>
                <w:color w:val="auto"/>
                <w:sz w:val="24"/>
                <w:szCs w:val="24"/>
                <w:highlight w:val="none"/>
              </w:rPr>
              <w:t>17</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《铁路</w:t>
            </w:r>
            <w:r>
              <w:rPr>
                <w:rFonts w:hint="eastAsia" w:ascii="Times New Roman"/>
                <w:color w:val="auto"/>
                <w:sz w:val="24"/>
                <w:szCs w:val="24"/>
                <w:highlight w:val="none"/>
              </w:rPr>
              <w:t>路基工程施工质量验收标准》TB10414-2018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789" w:type="dxa"/>
          </w:tcPr>
          <w:p>
            <w:pPr>
              <w:spacing w:line="410" w:lineRule="exact"/>
              <w:jc w:val="center"/>
              <w:rPr>
                <w:rFonts w:ascii="Times New Roman"/>
                <w:color w:val="auto"/>
                <w:sz w:val="24"/>
                <w:szCs w:val="24"/>
                <w:highlight w:val="none"/>
              </w:rPr>
            </w:pPr>
            <w:r>
              <w:rPr>
                <w:rFonts w:hint="eastAsia" w:ascii="Times New Roman"/>
                <w:color w:val="auto"/>
                <w:sz w:val="24"/>
                <w:szCs w:val="24"/>
                <w:highlight w:val="none"/>
              </w:rPr>
              <w:t>18</w:t>
            </w:r>
          </w:p>
        </w:tc>
        <w:tc>
          <w:tcPr>
            <w:tcW w:w="7632" w:type="dxa"/>
          </w:tcPr>
          <w:p>
            <w:pPr>
              <w:spacing w:line="410" w:lineRule="exact"/>
              <w:ind w:firstLine="420"/>
              <w:rPr>
                <w:rFonts w:ascii="Times New Roman"/>
                <w:color w:val="auto"/>
                <w:sz w:val="24"/>
                <w:szCs w:val="24"/>
                <w:highlight w:val="none"/>
              </w:rPr>
            </w:pPr>
            <w:r>
              <w:rPr>
                <w:rFonts w:ascii="Times New Roman"/>
                <w:color w:val="auto"/>
                <w:sz w:val="24"/>
                <w:szCs w:val="24"/>
                <w:highlight w:val="none"/>
              </w:rPr>
              <w:t>《铁路</w:t>
            </w:r>
            <w:r>
              <w:rPr>
                <w:rFonts w:hint="eastAsia" w:ascii="Times New Roman"/>
                <w:color w:val="auto"/>
                <w:sz w:val="24"/>
                <w:szCs w:val="24"/>
                <w:highlight w:val="none"/>
              </w:rPr>
              <w:t>轨</w:t>
            </w:r>
            <w:r>
              <w:rPr>
                <w:rFonts w:ascii="Times New Roman"/>
                <w:color w:val="auto"/>
                <w:sz w:val="24"/>
                <w:szCs w:val="24"/>
                <w:highlight w:val="none"/>
              </w:rPr>
              <w:t>道</w:t>
            </w:r>
            <w:r>
              <w:rPr>
                <w:rFonts w:hint="eastAsia" w:ascii="Times New Roman"/>
                <w:color w:val="auto"/>
                <w:sz w:val="24"/>
                <w:szCs w:val="24"/>
                <w:highlight w:val="none"/>
              </w:rPr>
              <w:t>工程施工质量验收标准》TB10413-2018</w:t>
            </w:r>
          </w:p>
        </w:tc>
      </w:tr>
    </w:tbl>
    <w:p>
      <w:pPr>
        <w:spacing w:line="410" w:lineRule="exact"/>
        <w:rPr>
          <w:color w:val="auto"/>
          <w:sz w:val="24"/>
          <w:szCs w:val="24"/>
          <w:highlight w:val="none"/>
        </w:rPr>
      </w:pPr>
      <w:r>
        <w:rPr>
          <w:color w:val="auto"/>
          <w:sz w:val="24"/>
          <w:szCs w:val="24"/>
          <w:highlight w:val="none"/>
        </w:rPr>
        <w:t xml:space="preserve">   注：1、具体规范以蓝图所列为准，所需的工程规范如有遗漏，检测单位应征得发包人同意，补充规范以满足合同要求。</w:t>
      </w:r>
    </w:p>
    <w:p>
      <w:pPr>
        <w:spacing w:line="410" w:lineRule="exact"/>
        <w:ind w:firstLine="420"/>
        <w:rPr>
          <w:color w:val="auto"/>
          <w:sz w:val="24"/>
          <w:szCs w:val="24"/>
          <w:highlight w:val="none"/>
        </w:rPr>
      </w:pPr>
      <w:r>
        <w:rPr>
          <w:color w:val="auto"/>
          <w:sz w:val="24"/>
          <w:szCs w:val="24"/>
          <w:highlight w:val="none"/>
        </w:rPr>
        <w:t>2、如遇设计或规范、标准对同一问题的处理出现相互矛盾的情况时，应通知发包人，检测单位应提出解决办法并征得发包人同意。</w:t>
      </w:r>
    </w:p>
    <w:p>
      <w:pPr>
        <w:spacing w:line="500" w:lineRule="exact"/>
        <w:ind w:firstLine="480" w:firstLineChars="200"/>
        <w:jc w:val="left"/>
        <w:rPr>
          <w:rFonts w:hAnsi="宋体" w:cs="宋体"/>
          <w:color w:val="auto"/>
          <w:sz w:val="24"/>
          <w:szCs w:val="24"/>
          <w:highlight w:val="none"/>
        </w:rPr>
      </w:pPr>
      <w:r>
        <w:rPr>
          <w:color w:val="auto"/>
          <w:sz w:val="24"/>
          <w:szCs w:val="24"/>
          <w:highlight w:val="none"/>
        </w:rPr>
        <w:t>3、所用规范及标准应采用最新版本，除非发包人另有规定。</w:t>
      </w:r>
    </w:p>
    <w:p>
      <w:pPr>
        <w:autoSpaceDE w:val="0"/>
        <w:autoSpaceDN w:val="0"/>
        <w:adjustRightInd w:val="0"/>
        <w:spacing w:line="420" w:lineRule="exact"/>
        <w:jc w:val="center"/>
        <w:rPr>
          <w:rFonts w:hAnsi="宋体" w:cs="宋体"/>
          <w:color w:val="auto"/>
          <w:sz w:val="32"/>
          <w:szCs w:val="32"/>
          <w:highlight w:val="none"/>
        </w:rPr>
      </w:pPr>
    </w:p>
    <w:p>
      <w:pPr>
        <w:widowControl/>
        <w:jc w:val="left"/>
        <w:rPr>
          <w:rFonts w:hAnsi="宋体" w:cs="宋体"/>
          <w:color w:val="auto"/>
          <w:sz w:val="32"/>
          <w:szCs w:val="32"/>
          <w:highlight w:val="none"/>
        </w:rPr>
      </w:pPr>
      <w:r>
        <w:rPr>
          <w:rFonts w:hAnsi="宋体" w:cs="宋体"/>
          <w:color w:val="auto"/>
          <w:sz w:val="32"/>
          <w:szCs w:val="32"/>
          <w:highlight w:val="none"/>
        </w:rPr>
        <w:br w:type="page"/>
      </w:r>
    </w:p>
    <w:p>
      <w:pPr>
        <w:autoSpaceDE w:val="0"/>
        <w:autoSpaceDN w:val="0"/>
        <w:adjustRightInd w:val="0"/>
        <w:spacing w:line="420" w:lineRule="exact"/>
        <w:rPr>
          <w:rFonts w:hAnsi="宋体" w:cs="宋体"/>
          <w:color w:val="auto"/>
          <w:sz w:val="32"/>
          <w:szCs w:val="32"/>
          <w:highlight w:val="none"/>
        </w:rPr>
      </w:pPr>
    </w:p>
    <w:p>
      <w:pPr>
        <w:autoSpaceDE w:val="0"/>
        <w:autoSpaceDN w:val="0"/>
        <w:adjustRightInd w:val="0"/>
        <w:spacing w:beforeLines="100" w:afterLines="100"/>
        <w:jc w:val="center"/>
        <w:outlineLvl w:val="0"/>
        <w:rPr>
          <w:rFonts w:hAnsi="宋体" w:cs="宋体"/>
          <w:b/>
          <w:color w:val="auto"/>
          <w:sz w:val="44"/>
          <w:szCs w:val="44"/>
          <w:highlight w:val="none"/>
        </w:rPr>
      </w:pPr>
      <w:r>
        <w:rPr>
          <w:rFonts w:hint="eastAsia" w:hAnsi="宋体" w:cs="宋体"/>
          <w:b/>
          <w:color w:val="auto"/>
          <w:sz w:val="44"/>
          <w:szCs w:val="44"/>
          <w:highlight w:val="none"/>
        </w:rPr>
        <w:t>第六章 投标文件格式</w:t>
      </w:r>
    </w:p>
    <w:p>
      <w:pPr>
        <w:pStyle w:val="3"/>
        <w:spacing w:line="410" w:lineRule="exact"/>
        <w:ind w:firstLine="562"/>
        <w:jc w:val="center"/>
        <w:rPr>
          <w:rFonts w:ascii="Times New Roman" w:hAnsi="Times New Roman"/>
          <w:color w:val="auto"/>
          <w:highlight w:val="none"/>
        </w:rPr>
      </w:pPr>
      <w:bookmarkStart w:id="189" w:name="_Toc30818"/>
      <w:bookmarkStart w:id="190" w:name="_Toc11838"/>
      <w:bookmarkStart w:id="191" w:name="_Toc293403510"/>
      <w:bookmarkStart w:id="192" w:name="_Toc291496829"/>
      <w:bookmarkStart w:id="193" w:name="_Toc297670249"/>
      <w:r>
        <w:rPr>
          <w:rFonts w:ascii="Times New Roman" w:hAnsi="Times New Roman"/>
          <w:color w:val="auto"/>
          <w:highlight w:val="none"/>
        </w:rPr>
        <w:t>第一册 商务文件</w:t>
      </w:r>
      <w:bookmarkEnd w:id="189"/>
      <w:bookmarkEnd w:id="190"/>
    </w:p>
    <w:p>
      <w:pPr>
        <w:ind w:firstLine="400"/>
        <w:jc w:val="left"/>
        <w:rPr>
          <w:rFonts w:eastAsia="黑体"/>
          <w:color w:val="auto"/>
          <w:sz w:val="20"/>
          <w:highlight w:val="none"/>
        </w:rPr>
      </w:pPr>
    </w:p>
    <w:p>
      <w:pPr>
        <w:ind w:firstLine="400"/>
        <w:jc w:val="left"/>
        <w:rPr>
          <w:rFonts w:eastAsia="黑体"/>
          <w:color w:val="auto"/>
          <w:sz w:val="20"/>
          <w:highlight w:val="none"/>
        </w:rPr>
      </w:pPr>
      <w:r>
        <w:rPr>
          <w:rFonts w:eastAsia="黑体"/>
          <w:color w:val="auto"/>
          <w:sz w:val="20"/>
          <w:highlight w:val="none"/>
        </w:rPr>
        <w:t>商务文件封面格式：</w:t>
      </w:r>
    </w:p>
    <w:p>
      <w:pPr>
        <w:ind w:firstLine="560"/>
        <w:jc w:val="right"/>
        <w:rPr>
          <w:rFonts w:eastAsia="黑体"/>
          <w:color w:val="auto"/>
          <w:sz w:val="28"/>
          <w:szCs w:val="28"/>
          <w:highlight w:val="none"/>
        </w:rPr>
      </w:pPr>
      <w:r>
        <w:rPr>
          <w:rFonts w:eastAsia="黑体"/>
          <w:color w:val="auto"/>
          <w:sz w:val="28"/>
          <w:szCs w:val="28"/>
          <w:highlight w:val="none"/>
        </w:rPr>
        <w:t>正本/副本</w:t>
      </w:r>
    </w:p>
    <w:p>
      <w:pPr>
        <w:jc w:val="left"/>
        <w:rPr>
          <w:color w:val="auto"/>
          <w:highlight w:val="none"/>
        </w:rPr>
      </w:pPr>
    </w:p>
    <w:p>
      <w:pPr>
        <w:ind w:firstLine="560"/>
        <w:jc w:val="center"/>
        <w:rPr>
          <w:rFonts w:eastAsia="黑体"/>
          <w:color w:val="auto"/>
          <w:sz w:val="28"/>
          <w:szCs w:val="28"/>
          <w:highlight w:val="none"/>
          <w:u w:val="single"/>
        </w:rPr>
      </w:pPr>
      <w:r>
        <w:rPr>
          <w:rFonts w:eastAsia="黑体"/>
          <w:color w:val="auto"/>
          <w:sz w:val="28"/>
          <w:szCs w:val="28"/>
          <w:highlight w:val="none"/>
          <w:u w:val="single"/>
        </w:rPr>
        <w:t xml:space="preserve">                               （项目名称）</w:t>
      </w:r>
      <w:r>
        <w:rPr>
          <w:rFonts w:hint="eastAsia" w:eastAsia="黑体"/>
          <w:color w:val="auto"/>
          <w:sz w:val="28"/>
          <w:szCs w:val="28"/>
          <w:highlight w:val="none"/>
          <w:u w:val="single"/>
        </w:rPr>
        <w:t xml:space="preserve">  标段</w:t>
      </w:r>
    </w:p>
    <w:p>
      <w:pPr>
        <w:ind w:firstLine="400"/>
        <w:rPr>
          <w:rFonts w:eastAsia="黑体"/>
          <w:color w:val="auto"/>
          <w:sz w:val="20"/>
          <w:highlight w:val="none"/>
        </w:rPr>
      </w:pPr>
    </w:p>
    <w:p>
      <w:pPr>
        <w:ind w:firstLine="1680"/>
        <w:jc w:val="center"/>
        <w:rPr>
          <w:rFonts w:eastAsia="黑体"/>
          <w:color w:val="auto"/>
          <w:sz w:val="84"/>
          <w:szCs w:val="84"/>
          <w:highlight w:val="none"/>
        </w:rPr>
      </w:pPr>
      <w:r>
        <w:rPr>
          <w:rFonts w:eastAsia="黑体"/>
          <w:color w:val="auto"/>
          <w:sz w:val="84"/>
          <w:szCs w:val="84"/>
          <w:highlight w:val="none"/>
        </w:rPr>
        <w:t>投  标  文  件</w:t>
      </w:r>
    </w:p>
    <w:p>
      <w:pPr>
        <w:spacing w:beforeLines="50" w:afterLines="50"/>
        <w:ind w:firstLine="1440"/>
        <w:jc w:val="center"/>
        <w:rPr>
          <w:rFonts w:eastAsia="黑体"/>
          <w:color w:val="auto"/>
          <w:sz w:val="72"/>
          <w:szCs w:val="72"/>
          <w:highlight w:val="none"/>
        </w:rPr>
      </w:pPr>
      <w:r>
        <w:rPr>
          <w:rFonts w:eastAsia="黑体"/>
          <w:color w:val="auto"/>
          <w:sz w:val="72"/>
          <w:szCs w:val="72"/>
          <w:highlight w:val="none"/>
        </w:rPr>
        <w:t>第一册 商务文件</w:t>
      </w:r>
    </w:p>
    <w:p>
      <w:pPr>
        <w:ind w:firstLine="560"/>
        <w:rPr>
          <w:rFonts w:eastAsia="黑体"/>
          <w:color w:val="auto"/>
          <w:sz w:val="28"/>
          <w:szCs w:val="28"/>
          <w:highlight w:val="none"/>
        </w:rPr>
      </w:pPr>
    </w:p>
    <w:p>
      <w:pPr>
        <w:ind w:firstLine="560"/>
        <w:rPr>
          <w:rFonts w:eastAsia="黑体"/>
          <w:color w:val="auto"/>
          <w:sz w:val="28"/>
          <w:szCs w:val="28"/>
          <w:highlight w:val="none"/>
        </w:rPr>
      </w:pPr>
    </w:p>
    <w:p>
      <w:pPr>
        <w:ind w:firstLine="560"/>
        <w:rPr>
          <w:rFonts w:eastAsia="黑体"/>
          <w:color w:val="auto"/>
          <w:sz w:val="28"/>
          <w:szCs w:val="28"/>
          <w:highlight w:val="none"/>
        </w:rPr>
      </w:pPr>
    </w:p>
    <w:p>
      <w:pPr>
        <w:ind w:firstLine="560"/>
        <w:rPr>
          <w:rFonts w:eastAsia="黑体"/>
          <w:color w:val="auto"/>
          <w:sz w:val="28"/>
          <w:szCs w:val="28"/>
          <w:highlight w:val="none"/>
        </w:rPr>
      </w:pPr>
    </w:p>
    <w:p>
      <w:pPr>
        <w:ind w:firstLine="560"/>
        <w:rPr>
          <w:rFonts w:eastAsia="黑体"/>
          <w:color w:val="auto"/>
          <w:sz w:val="28"/>
          <w:szCs w:val="28"/>
          <w:highlight w:val="none"/>
        </w:rPr>
      </w:pPr>
    </w:p>
    <w:p>
      <w:pPr>
        <w:ind w:firstLine="560"/>
        <w:rPr>
          <w:rFonts w:eastAsia="黑体"/>
          <w:color w:val="auto"/>
          <w:sz w:val="28"/>
          <w:szCs w:val="28"/>
          <w:highlight w:val="none"/>
        </w:rPr>
      </w:pPr>
    </w:p>
    <w:p>
      <w:pPr>
        <w:ind w:firstLine="560"/>
        <w:rPr>
          <w:rFonts w:eastAsia="黑体"/>
          <w:color w:val="auto"/>
          <w:sz w:val="28"/>
          <w:szCs w:val="28"/>
          <w:highlight w:val="none"/>
        </w:rPr>
      </w:pPr>
    </w:p>
    <w:p>
      <w:pPr>
        <w:ind w:firstLine="560"/>
        <w:jc w:val="center"/>
        <w:rPr>
          <w:rFonts w:eastAsia="黑体"/>
          <w:color w:val="auto"/>
          <w:sz w:val="28"/>
          <w:szCs w:val="28"/>
          <w:highlight w:val="none"/>
          <w:u w:val="single"/>
        </w:rPr>
      </w:pPr>
      <w:r>
        <w:rPr>
          <w:rFonts w:eastAsia="黑体"/>
          <w:color w:val="auto"/>
          <w:sz w:val="28"/>
          <w:szCs w:val="28"/>
          <w:highlight w:val="none"/>
        </w:rPr>
        <w:t>投标人：（盖单位公章）</w:t>
      </w:r>
    </w:p>
    <w:p>
      <w:pPr>
        <w:ind w:firstLine="560"/>
        <w:jc w:val="center"/>
        <w:rPr>
          <w:rFonts w:eastAsia="黑体"/>
          <w:color w:val="auto"/>
          <w:sz w:val="28"/>
          <w:szCs w:val="28"/>
          <w:highlight w:val="none"/>
        </w:rPr>
      </w:pPr>
      <w:r>
        <w:rPr>
          <w:rFonts w:eastAsia="黑体"/>
          <w:color w:val="auto"/>
          <w:sz w:val="28"/>
          <w:szCs w:val="28"/>
          <w:highlight w:val="none"/>
        </w:rPr>
        <w:t>法定代表人或其委托代理人：（签字或盖章）</w:t>
      </w:r>
    </w:p>
    <w:p>
      <w:pPr>
        <w:widowControl/>
        <w:jc w:val="center"/>
        <w:rPr>
          <w:color w:val="auto"/>
          <w:sz w:val="30"/>
          <w:szCs w:val="30"/>
          <w:highlight w:val="none"/>
        </w:rPr>
      </w:pPr>
      <w:r>
        <w:rPr>
          <w:rFonts w:eastAsia="黑体"/>
          <w:color w:val="auto"/>
          <w:sz w:val="28"/>
          <w:szCs w:val="28"/>
          <w:highlight w:val="none"/>
        </w:rPr>
        <w:t>年月日</w:t>
      </w:r>
      <w:r>
        <w:rPr>
          <w:color w:val="auto"/>
          <w:sz w:val="30"/>
          <w:szCs w:val="30"/>
          <w:highlight w:val="none"/>
        </w:rPr>
        <w:br w:type="page"/>
      </w:r>
    </w:p>
    <w:p>
      <w:pPr>
        <w:ind w:firstLine="600"/>
        <w:jc w:val="center"/>
        <w:rPr>
          <w:color w:val="auto"/>
          <w:sz w:val="30"/>
          <w:szCs w:val="30"/>
          <w:highlight w:val="none"/>
        </w:rPr>
      </w:pPr>
      <w:r>
        <w:rPr>
          <w:color w:val="auto"/>
          <w:sz w:val="30"/>
          <w:szCs w:val="30"/>
          <w:highlight w:val="none"/>
        </w:rPr>
        <w:t>目    录</w:t>
      </w:r>
    </w:p>
    <w:bookmarkEnd w:id="191"/>
    <w:bookmarkEnd w:id="192"/>
    <w:bookmarkEnd w:id="193"/>
    <w:p>
      <w:pPr>
        <w:numPr>
          <w:ilvl w:val="0"/>
          <w:numId w:val="5"/>
        </w:numPr>
        <w:spacing w:line="410" w:lineRule="exact"/>
        <w:rPr>
          <w:color w:val="auto"/>
          <w:sz w:val="21"/>
          <w:szCs w:val="21"/>
          <w:highlight w:val="none"/>
        </w:rPr>
      </w:pPr>
      <w:r>
        <w:rPr>
          <w:color w:val="auto"/>
          <w:sz w:val="21"/>
          <w:szCs w:val="21"/>
          <w:highlight w:val="none"/>
        </w:rPr>
        <w:t>投标函及投标函附录</w:t>
      </w:r>
      <w:r>
        <w:rPr>
          <w:rFonts w:hint="eastAsia"/>
          <w:color w:val="auto"/>
          <w:sz w:val="21"/>
          <w:szCs w:val="21"/>
          <w:highlight w:val="none"/>
        </w:rPr>
        <w:t>、</w:t>
      </w:r>
      <w:r>
        <w:rPr>
          <w:color w:val="auto"/>
          <w:sz w:val="21"/>
          <w:szCs w:val="21"/>
          <w:highlight w:val="none"/>
        </w:rPr>
        <w:t>投标人承诺书；</w:t>
      </w:r>
    </w:p>
    <w:p>
      <w:pPr>
        <w:numPr>
          <w:ilvl w:val="0"/>
          <w:numId w:val="5"/>
        </w:numPr>
        <w:spacing w:line="410" w:lineRule="exact"/>
        <w:rPr>
          <w:color w:val="auto"/>
          <w:sz w:val="21"/>
          <w:szCs w:val="21"/>
          <w:highlight w:val="none"/>
        </w:rPr>
      </w:pPr>
      <w:r>
        <w:rPr>
          <w:rFonts w:hint="eastAsia"/>
          <w:color w:val="auto"/>
          <w:sz w:val="21"/>
          <w:szCs w:val="21"/>
          <w:highlight w:val="none"/>
        </w:rPr>
        <w:t>法定代表人身份证明</w:t>
      </w:r>
      <w:r>
        <w:rPr>
          <w:rFonts w:hint="eastAsia"/>
          <w:color w:val="auto"/>
          <w:sz w:val="21"/>
          <w:szCs w:val="21"/>
          <w:highlight w:val="none"/>
          <w:lang w:eastAsia="zh-CN"/>
        </w:rPr>
        <w:t>、</w:t>
      </w:r>
      <w:r>
        <w:rPr>
          <w:rFonts w:hint="eastAsia"/>
          <w:color w:val="auto"/>
          <w:sz w:val="21"/>
          <w:szCs w:val="21"/>
          <w:highlight w:val="none"/>
        </w:rPr>
        <w:t>授权委托书</w:t>
      </w:r>
      <w:r>
        <w:rPr>
          <w:rFonts w:hint="eastAsia"/>
          <w:color w:val="auto"/>
          <w:sz w:val="21"/>
          <w:szCs w:val="21"/>
          <w:highlight w:val="none"/>
          <w:lang w:eastAsia="zh-CN"/>
        </w:rPr>
        <w:t>及联合体协议书（如有）</w:t>
      </w:r>
      <w:r>
        <w:rPr>
          <w:color w:val="auto"/>
          <w:sz w:val="21"/>
          <w:szCs w:val="21"/>
          <w:highlight w:val="none"/>
        </w:rPr>
        <w:t>；</w:t>
      </w:r>
    </w:p>
    <w:p>
      <w:pPr>
        <w:numPr>
          <w:ilvl w:val="0"/>
          <w:numId w:val="5"/>
        </w:numPr>
        <w:spacing w:line="410" w:lineRule="exact"/>
        <w:rPr>
          <w:color w:val="auto"/>
          <w:sz w:val="21"/>
          <w:szCs w:val="21"/>
          <w:highlight w:val="none"/>
        </w:rPr>
      </w:pPr>
      <w:r>
        <w:rPr>
          <w:color w:val="auto"/>
          <w:sz w:val="21"/>
          <w:szCs w:val="21"/>
          <w:highlight w:val="none"/>
        </w:rPr>
        <w:t>投标保证金；</w:t>
      </w:r>
    </w:p>
    <w:p>
      <w:pPr>
        <w:numPr>
          <w:ilvl w:val="0"/>
          <w:numId w:val="5"/>
        </w:numPr>
        <w:spacing w:line="410" w:lineRule="exact"/>
        <w:rPr>
          <w:color w:val="auto"/>
          <w:sz w:val="21"/>
          <w:szCs w:val="21"/>
          <w:highlight w:val="none"/>
        </w:rPr>
      </w:pPr>
      <w:r>
        <w:rPr>
          <w:color w:val="auto"/>
          <w:sz w:val="21"/>
          <w:szCs w:val="21"/>
          <w:highlight w:val="none"/>
        </w:rPr>
        <w:t>投标报价表；</w:t>
      </w:r>
    </w:p>
    <w:p>
      <w:pPr>
        <w:numPr>
          <w:ilvl w:val="0"/>
          <w:numId w:val="5"/>
        </w:numPr>
        <w:spacing w:line="410" w:lineRule="exact"/>
        <w:rPr>
          <w:color w:val="auto"/>
          <w:sz w:val="21"/>
          <w:szCs w:val="21"/>
          <w:highlight w:val="none"/>
        </w:rPr>
      </w:pPr>
      <w:r>
        <w:rPr>
          <w:color w:val="auto"/>
          <w:sz w:val="21"/>
          <w:szCs w:val="21"/>
          <w:highlight w:val="none"/>
        </w:rPr>
        <w:t>项目管理机构；</w:t>
      </w:r>
    </w:p>
    <w:p>
      <w:pPr>
        <w:numPr>
          <w:ilvl w:val="0"/>
          <w:numId w:val="5"/>
        </w:numPr>
        <w:spacing w:line="410" w:lineRule="exact"/>
        <w:rPr>
          <w:color w:val="auto"/>
          <w:sz w:val="21"/>
          <w:szCs w:val="21"/>
          <w:highlight w:val="none"/>
        </w:rPr>
      </w:pPr>
      <w:r>
        <w:rPr>
          <w:color w:val="auto"/>
          <w:sz w:val="21"/>
          <w:szCs w:val="21"/>
          <w:highlight w:val="none"/>
        </w:rPr>
        <w:t>资格审查资料；</w:t>
      </w:r>
    </w:p>
    <w:p>
      <w:pPr>
        <w:numPr>
          <w:ilvl w:val="0"/>
          <w:numId w:val="5"/>
        </w:numPr>
        <w:spacing w:line="410" w:lineRule="exact"/>
        <w:rPr>
          <w:color w:val="auto"/>
          <w:sz w:val="21"/>
          <w:szCs w:val="21"/>
          <w:highlight w:val="none"/>
        </w:rPr>
      </w:pPr>
      <w:r>
        <w:rPr>
          <w:color w:val="auto"/>
          <w:sz w:val="21"/>
          <w:szCs w:val="21"/>
          <w:highlight w:val="none"/>
        </w:rPr>
        <w:t>其他材料；</w:t>
      </w:r>
    </w:p>
    <w:p>
      <w:pPr>
        <w:spacing w:line="410" w:lineRule="exact"/>
        <w:rPr>
          <w:color w:val="auto"/>
          <w:sz w:val="21"/>
          <w:szCs w:val="21"/>
          <w:highlight w:val="none"/>
        </w:rPr>
      </w:pPr>
    </w:p>
    <w:p>
      <w:pPr>
        <w:spacing w:line="410" w:lineRule="exact"/>
        <w:ind w:firstLine="420"/>
        <w:rPr>
          <w:color w:val="auto"/>
          <w:sz w:val="21"/>
          <w:szCs w:val="21"/>
          <w:highlight w:val="none"/>
        </w:rPr>
      </w:pPr>
    </w:p>
    <w:p>
      <w:pPr>
        <w:spacing w:line="410" w:lineRule="exact"/>
        <w:ind w:firstLine="560"/>
        <w:rPr>
          <w:color w:val="auto"/>
          <w:sz w:val="28"/>
          <w:szCs w:val="28"/>
          <w:highlight w:val="none"/>
        </w:rPr>
      </w:pPr>
    </w:p>
    <w:p>
      <w:pPr>
        <w:spacing w:line="410" w:lineRule="exact"/>
        <w:ind w:firstLine="560"/>
        <w:rPr>
          <w:color w:val="auto"/>
          <w:sz w:val="28"/>
          <w:szCs w:val="28"/>
          <w:highlight w:val="none"/>
        </w:rPr>
      </w:pPr>
    </w:p>
    <w:p>
      <w:pPr>
        <w:spacing w:line="410" w:lineRule="exact"/>
        <w:ind w:firstLine="560"/>
        <w:rPr>
          <w:color w:val="auto"/>
          <w:sz w:val="28"/>
          <w:szCs w:val="28"/>
          <w:highlight w:val="none"/>
        </w:rPr>
      </w:pPr>
    </w:p>
    <w:p>
      <w:pPr>
        <w:spacing w:line="410" w:lineRule="exact"/>
        <w:ind w:firstLine="560"/>
        <w:rPr>
          <w:color w:val="auto"/>
          <w:sz w:val="28"/>
          <w:szCs w:val="28"/>
          <w:highlight w:val="none"/>
        </w:rPr>
      </w:pPr>
    </w:p>
    <w:p>
      <w:pPr>
        <w:spacing w:line="410" w:lineRule="exact"/>
        <w:ind w:firstLine="560"/>
        <w:rPr>
          <w:color w:val="auto"/>
          <w:sz w:val="28"/>
          <w:szCs w:val="28"/>
          <w:highlight w:val="none"/>
        </w:rPr>
      </w:pPr>
    </w:p>
    <w:p>
      <w:pPr>
        <w:spacing w:line="410" w:lineRule="exact"/>
        <w:ind w:firstLine="560"/>
        <w:rPr>
          <w:color w:val="auto"/>
          <w:sz w:val="28"/>
          <w:szCs w:val="28"/>
          <w:highlight w:val="none"/>
        </w:rPr>
      </w:pPr>
      <w:bookmarkStart w:id="194" w:name="_Toc266393418"/>
      <w:bookmarkStart w:id="195" w:name="_Toc273359045"/>
      <w:bookmarkStart w:id="196" w:name="_Toc226780939"/>
      <w:bookmarkStart w:id="197" w:name="_Toc269324870"/>
      <w:bookmarkStart w:id="198" w:name="_Toc281225373"/>
      <w:bookmarkStart w:id="199" w:name="_Toc30209"/>
    </w:p>
    <w:p>
      <w:pPr>
        <w:spacing w:line="410" w:lineRule="exact"/>
        <w:ind w:firstLine="560"/>
        <w:rPr>
          <w:color w:val="auto"/>
          <w:sz w:val="28"/>
          <w:szCs w:val="28"/>
          <w:highlight w:val="none"/>
        </w:rPr>
      </w:pPr>
    </w:p>
    <w:p>
      <w:pPr>
        <w:spacing w:line="410" w:lineRule="exact"/>
        <w:ind w:firstLine="560"/>
        <w:rPr>
          <w:color w:val="auto"/>
          <w:sz w:val="28"/>
          <w:szCs w:val="28"/>
          <w:highlight w:val="none"/>
        </w:rPr>
      </w:pPr>
    </w:p>
    <w:p>
      <w:pPr>
        <w:spacing w:line="410" w:lineRule="exact"/>
        <w:ind w:firstLine="560"/>
        <w:rPr>
          <w:color w:val="auto"/>
          <w:sz w:val="28"/>
          <w:szCs w:val="28"/>
          <w:highlight w:val="none"/>
        </w:rPr>
      </w:pPr>
    </w:p>
    <w:p>
      <w:pPr>
        <w:spacing w:line="410" w:lineRule="exact"/>
        <w:ind w:firstLine="560"/>
        <w:rPr>
          <w:color w:val="auto"/>
          <w:sz w:val="28"/>
          <w:szCs w:val="28"/>
          <w:highlight w:val="none"/>
        </w:rPr>
      </w:pPr>
    </w:p>
    <w:p>
      <w:pPr>
        <w:widowControl/>
        <w:spacing w:line="410" w:lineRule="exact"/>
        <w:ind w:firstLine="560"/>
        <w:jc w:val="left"/>
        <w:rPr>
          <w:color w:val="auto"/>
          <w:sz w:val="28"/>
          <w:szCs w:val="28"/>
          <w:highlight w:val="none"/>
        </w:rPr>
      </w:pPr>
    </w:p>
    <w:p>
      <w:pPr>
        <w:widowControl/>
        <w:spacing w:line="410" w:lineRule="exact"/>
        <w:ind w:firstLine="560"/>
        <w:jc w:val="left"/>
        <w:rPr>
          <w:color w:val="auto"/>
          <w:sz w:val="28"/>
          <w:szCs w:val="28"/>
          <w:highlight w:val="none"/>
        </w:rPr>
      </w:pPr>
    </w:p>
    <w:p>
      <w:pPr>
        <w:widowControl/>
        <w:spacing w:line="410" w:lineRule="exact"/>
        <w:ind w:firstLine="560"/>
        <w:jc w:val="left"/>
        <w:rPr>
          <w:color w:val="auto"/>
          <w:sz w:val="28"/>
          <w:szCs w:val="28"/>
          <w:highlight w:val="none"/>
        </w:rPr>
      </w:pPr>
    </w:p>
    <w:p>
      <w:pPr>
        <w:widowControl/>
        <w:spacing w:line="410" w:lineRule="exact"/>
        <w:ind w:firstLine="560"/>
        <w:jc w:val="left"/>
        <w:rPr>
          <w:color w:val="auto"/>
          <w:sz w:val="28"/>
          <w:szCs w:val="28"/>
          <w:highlight w:val="none"/>
        </w:rPr>
      </w:pPr>
    </w:p>
    <w:p>
      <w:pPr>
        <w:widowControl/>
        <w:spacing w:line="410" w:lineRule="exact"/>
        <w:ind w:firstLine="560"/>
        <w:jc w:val="left"/>
        <w:rPr>
          <w:color w:val="auto"/>
          <w:sz w:val="28"/>
          <w:szCs w:val="28"/>
          <w:highlight w:val="none"/>
        </w:rPr>
      </w:pPr>
    </w:p>
    <w:p>
      <w:pPr>
        <w:widowControl/>
        <w:spacing w:line="410" w:lineRule="exact"/>
        <w:ind w:firstLine="560"/>
        <w:jc w:val="left"/>
        <w:rPr>
          <w:color w:val="auto"/>
          <w:sz w:val="28"/>
          <w:szCs w:val="28"/>
          <w:highlight w:val="none"/>
        </w:rPr>
      </w:pPr>
    </w:p>
    <w:bookmarkEnd w:id="194"/>
    <w:bookmarkEnd w:id="195"/>
    <w:bookmarkEnd w:id="196"/>
    <w:bookmarkEnd w:id="197"/>
    <w:bookmarkEnd w:id="198"/>
    <w:p>
      <w:pPr>
        <w:spacing w:line="410" w:lineRule="exact"/>
        <w:jc w:val="left"/>
        <w:rPr>
          <w:color w:val="auto"/>
          <w:highlight w:val="none"/>
        </w:rPr>
      </w:pPr>
    </w:p>
    <w:p>
      <w:pPr>
        <w:spacing w:line="410" w:lineRule="exact"/>
        <w:jc w:val="left"/>
        <w:rPr>
          <w:color w:val="auto"/>
          <w:highlight w:val="none"/>
        </w:rPr>
      </w:pPr>
    </w:p>
    <w:p>
      <w:pPr>
        <w:spacing w:line="410" w:lineRule="exact"/>
        <w:jc w:val="left"/>
        <w:rPr>
          <w:color w:val="auto"/>
          <w:highlight w:val="none"/>
        </w:rPr>
      </w:pPr>
    </w:p>
    <w:p>
      <w:pPr>
        <w:spacing w:line="410" w:lineRule="exact"/>
        <w:jc w:val="left"/>
        <w:rPr>
          <w:color w:val="auto"/>
          <w:highlight w:val="none"/>
        </w:rPr>
      </w:pPr>
    </w:p>
    <w:p>
      <w:pPr>
        <w:spacing w:line="410" w:lineRule="exact"/>
        <w:jc w:val="left"/>
        <w:rPr>
          <w:color w:val="auto"/>
          <w:highlight w:val="none"/>
        </w:rPr>
      </w:pPr>
    </w:p>
    <w:p>
      <w:pPr>
        <w:pStyle w:val="3"/>
        <w:spacing w:line="410" w:lineRule="exact"/>
        <w:ind w:left="0" w:leftChars="0" w:firstLine="0" w:firstLineChars="0"/>
        <w:jc w:val="center"/>
        <w:rPr>
          <w:rFonts w:ascii="Times New Roman" w:hAnsi="Times New Roman"/>
          <w:color w:val="auto"/>
          <w:highlight w:val="none"/>
        </w:rPr>
      </w:pPr>
      <w:bookmarkStart w:id="200" w:name="_Toc3398"/>
      <w:bookmarkStart w:id="201" w:name="_Toc391119495"/>
      <w:bookmarkStart w:id="202" w:name="_Toc805"/>
      <w:r>
        <w:rPr>
          <w:rFonts w:ascii="Times New Roman" w:hAnsi="Times New Roman"/>
          <w:color w:val="auto"/>
          <w:highlight w:val="none"/>
        </w:rPr>
        <w:t>一、投标</w:t>
      </w:r>
      <w:bookmarkEnd w:id="199"/>
      <w:r>
        <w:rPr>
          <w:rFonts w:ascii="Times New Roman" w:hAnsi="Times New Roman"/>
          <w:color w:val="auto"/>
          <w:highlight w:val="none"/>
        </w:rPr>
        <w:t>函</w:t>
      </w:r>
      <w:bookmarkStart w:id="203" w:name="_Toc25207"/>
      <w:bookmarkStart w:id="204" w:name="_Toc295398985"/>
      <w:bookmarkStart w:id="205" w:name="_Toc152045789"/>
      <w:bookmarkStart w:id="206" w:name="_Toc144974858"/>
      <w:bookmarkStart w:id="207" w:name="_Toc152042578"/>
      <w:r>
        <w:rPr>
          <w:rFonts w:ascii="Times New Roman" w:hAnsi="Times New Roman"/>
          <w:color w:val="auto"/>
          <w:highlight w:val="none"/>
        </w:rPr>
        <w:t>及投标函附录</w:t>
      </w:r>
      <w:bookmarkEnd w:id="200"/>
      <w:bookmarkEnd w:id="201"/>
      <w:bookmarkEnd w:id="202"/>
      <w:r>
        <w:rPr>
          <w:rFonts w:hint="eastAsia" w:ascii="Times New Roman" w:hAnsi="Times New Roman"/>
          <w:color w:val="auto"/>
          <w:highlight w:val="none"/>
        </w:rPr>
        <w:t>、</w:t>
      </w:r>
      <w:r>
        <w:rPr>
          <w:rFonts w:ascii="Times New Roman" w:hAnsi="Times New Roman"/>
          <w:color w:val="auto"/>
          <w:highlight w:val="none"/>
        </w:rPr>
        <w:t>投标人承诺书</w:t>
      </w:r>
    </w:p>
    <w:bookmarkEnd w:id="203"/>
    <w:bookmarkEnd w:id="204"/>
    <w:bookmarkEnd w:id="205"/>
    <w:bookmarkEnd w:id="206"/>
    <w:bookmarkEnd w:id="207"/>
    <w:p>
      <w:pPr>
        <w:pStyle w:val="4"/>
        <w:spacing w:line="410" w:lineRule="exact"/>
        <w:ind w:left="0" w:leftChars="0" w:firstLine="0" w:firstLineChars="0"/>
        <w:jc w:val="center"/>
        <w:rPr>
          <w:rFonts w:ascii="Times New Roman"/>
          <w:color w:val="auto"/>
          <w:highlight w:val="none"/>
        </w:rPr>
      </w:pPr>
      <w:r>
        <w:rPr>
          <w:rFonts w:ascii="Times New Roman"/>
          <w:color w:val="auto"/>
          <w:highlight w:val="none"/>
        </w:rPr>
        <w:t>1.1投 标 函</w:t>
      </w:r>
    </w:p>
    <w:p>
      <w:pPr>
        <w:adjustRightInd w:val="0"/>
        <w:snapToGrid w:val="0"/>
        <w:spacing w:line="410" w:lineRule="exact"/>
        <w:rPr>
          <w:color w:val="auto"/>
          <w:sz w:val="24"/>
          <w:szCs w:val="24"/>
          <w:highlight w:val="none"/>
        </w:rPr>
      </w:pPr>
      <w:r>
        <w:rPr>
          <w:color w:val="auto"/>
          <w:sz w:val="24"/>
          <w:szCs w:val="24"/>
          <w:highlight w:val="none"/>
        </w:rPr>
        <w:t>致：许昌市建设投资有限责任公司</w:t>
      </w:r>
    </w:p>
    <w:p>
      <w:pPr>
        <w:adjustRightInd w:val="0"/>
        <w:snapToGrid w:val="0"/>
        <w:spacing w:line="410" w:lineRule="exact"/>
        <w:ind w:firstLine="424" w:firstLineChars="202"/>
        <w:jc w:val="left"/>
        <w:rPr>
          <w:color w:val="auto"/>
          <w:sz w:val="21"/>
          <w:szCs w:val="21"/>
          <w:highlight w:val="none"/>
        </w:rPr>
      </w:pPr>
      <w:r>
        <w:rPr>
          <w:color w:val="auto"/>
          <w:sz w:val="21"/>
          <w:szCs w:val="21"/>
          <w:highlight w:val="none"/>
        </w:rPr>
        <w:t>根据贵方</w:t>
      </w:r>
      <w:r>
        <w:rPr>
          <w:color w:val="auto"/>
          <w:sz w:val="21"/>
          <w:szCs w:val="21"/>
          <w:highlight w:val="none"/>
          <w:u w:val="single"/>
        </w:rPr>
        <w:t>（项目名称及标段）</w:t>
      </w:r>
      <w:r>
        <w:rPr>
          <w:color w:val="auto"/>
          <w:sz w:val="21"/>
          <w:szCs w:val="21"/>
          <w:highlight w:val="none"/>
        </w:rPr>
        <w:t>的招标文件及补充招标文件的全部内容，我方愿意以人民币（大写</w:t>
      </w:r>
      <w:r>
        <w:rPr>
          <w:rFonts w:hint="eastAsia"/>
          <w:color w:val="auto"/>
          <w:sz w:val="21"/>
          <w:szCs w:val="21"/>
          <w:highlight w:val="none"/>
          <w:u w:val="single"/>
        </w:rPr>
        <w:t xml:space="preserve">      </w:t>
      </w:r>
      <w:r>
        <w:rPr>
          <w:color w:val="auto"/>
          <w:sz w:val="21"/>
          <w:szCs w:val="21"/>
          <w:highlight w:val="none"/>
        </w:rPr>
        <w:t>）（RMB</w:t>
      </w:r>
      <w:r>
        <w:rPr>
          <w:rFonts w:hint="eastAsia"/>
          <w:color w:val="auto"/>
          <w:sz w:val="21"/>
          <w:szCs w:val="21"/>
          <w:highlight w:val="none"/>
          <w:u w:val="single"/>
        </w:rPr>
        <w:t xml:space="preserve">      </w:t>
      </w:r>
      <w:r>
        <w:rPr>
          <w:color w:val="auto"/>
          <w:sz w:val="21"/>
          <w:szCs w:val="21"/>
          <w:highlight w:val="none"/>
        </w:rPr>
        <w:t>元）的投标总报价，按合同约定实施和完成项目全部内容，并确保检测服务质量。</w:t>
      </w:r>
      <w:r>
        <w:rPr>
          <w:rFonts w:hint="eastAsia" w:hAnsi="宋体" w:cs="宋体"/>
          <w:color w:val="auto"/>
          <w:sz w:val="24"/>
          <w:szCs w:val="24"/>
          <w:highlight w:val="none"/>
        </w:rPr>
        <w:t>项目负责人：。</w:t>
      </w:r>
    </w:p>
    <w:p>
      <w:pPr>
        <w:adjustRightInd w:val="0"/>
        <w:snapToGrid w:val="0"/>
        <w:spacing w:line="410" w:lineRule="exact"/>
        <w:ind w:firstLine="420"/>
        <w:rPr>
          <w:color w:val="auto"/>
          <w:sz w:val="21"/>
          <w:szCs w:val="21"/>
          <w:highlight w:val="none"/>
        </w:rPr>
      </w:pPr>
      <w:r>
        <w:rPr>
          <w:color w:val="auto"/>
          <w:sz w:val="21"/>
          <w:szCs w:val="21"/>
          <w:highlight w:val="none"/>
        </w:rPr>
        <w:t>据此函，我方兹宣布同意如下：</w:t>
      </w:r>
    </w:p>
    <w:p>
      <w:pPr>
        <w:adjustRightInd w:val="0"/>
        <w:snapToGrid w:val="0"/>
        <w:spacing w:line="410" w:lineRule="exact"/>
        <w:ind w:firstLine="420"/>
        <w:rPr>
          <w:color w:val="auto"/>
          <w:sz w:val="21"/>
          <w:szCs w:val="21"/>
          <w:highlight w:val="none"/>
        </w:rPr>
      </w:pPr>
      <w:r>
        <w:rPr>
          <w:color w:val="auto"/>
          <w:sz w:val="21"/>
          <w:szCs w:val="21"/>
          <w:highlight w:val="none"/>
        </w:rPr>
        <w:t>1.我方已详细审核并确认全部招标文件，包括补充、修改文件（如有时）及有关附件。</w:t>
      </w:r>
    </w:p>
    <w:p>
      <w:pPr>
        <w:adjustRightInd w:val="0"/>
        <w:snapToGrid w:val="0"/>
        <w:spacing w:line="410" w:lineRule="exact"/>
        <w:ind w:firstLine="404"/>
        <w:rPr>
          <w:color w:val="auto"/>
          <w:spacing w:val="-4"/>
          <w:sz w:val="21"/>
          <w:szCs w:val="21"/>
          <w:highlight w:val="none"/>
        </w:rPr>
      </w:pPr>
      <w:r>
        <w:rPr>
          <w:color w:val="auto"/>
          <w:spacing w:val="-4"/>
          <w:sz w:val="21"/>
          <w:szCs w:val="21"/>
          <w:highlight w:val="none"/>
        </w:rPr>
        <w:t>2.一旦我方中标，我方将按照投标文件中的承诺组建项目组，由投标文件所承诺的</w:t>
      </w:r>
      <w:r>
        <w:rPr>
          <w:color w:val="auto"/>
          <w:sz w:val="21"/>
          <w:szCs w:val="21"/>
          <w:highlight w:val="none"/>
        </w:rPr>
        <w:t>质量检测人</w:t>
      </w:r>
      <w:r>
        <w:rPr>
          <w:color w:val="auto"/>
          <w:spacing w:val="-4"/>
          <w:sz w:val="21"/>
          <w:szCs w:val="21"/>
          <w:highlight w:val="none"/>
        </w:rPr>
        <w:t>员完成本项目的全部</w:t>
      </w:r>
      <w:r>
        <w:rPr>
          <w:color w:val="auto"/>
          <w:sz w:val="21"/>
          <w:szCs w:val="21"/>
          <w:highlight w:val="none"/>
        </w:rPr>
        <w:t>质量检测服务</w:t>
      </w:r>
      <w:r>
        <w:rPr>
          <w:color w:val="auto"/>
          <w:spacing w:val="-4"/>
          <w:sz w:val="21"/>
          <w:szCs w:val="21"/>
          <w:highlight w:val="none"/>
        </w:rPr>
        <w:t>工作，在该项目的实施过程中，全面履行招标文件中规定的质量检测单位的职责和义务，保证实现本合同服务周期、服务质量的目标要求。如违反以上承诺，我方接受合同附件中关于</w:t>
      </w:r>
      <w:r>
        <w:rPr>
          <w:color w:val="auto"/>
          <w:sz w:val="21"/>
          <w:szCs w:val="21"/>
          <w:highlight w:val="none"/>
        </w:rPr>
        <w:t>质量检测人</w:t>
      </w:r>
      <w:r>
        <w:rPr>
          <w:color w:val="auto"/>
          <w:spacing w:val="-4"/>
          <w:sz w:val="21"/>
          <w:szCs w:val="21"/>
          <w:highlight w:val="none"/>
        </w:rPr>
        <w:t>员管理要求中的相关规定进行处理。</w:t>
      </w:r>
    </w:p>
    <w:p>
      <w:pPr>
        <w:adjustRightInd w:val="0"/>
        <w:snapToGrid w:val="0"/>
        <w:spacing w:line="410" w:lineRule="exact"/>
        <w:ind w:firstLine="404"/>
        <w:rPr>
          <w:color w:val="auto"/>
          <w:spacing w:val="-4"/>
          <w:sz w:val="21"/>
          <w:szCs w:val="21"/>
          <w:highlight w:val="none"/>
        </w:rPr>
      </w:pPr>
      <w:r>
        <w:rPr>
          <w:color w:val="auto"/>
          <w:spacing w:val="-4"/>
          <w:sz w:val="21"/>
          <w:szCs w:val="21"/>
          <w:highlight w:val="none"/>
        </w:rPr>
        <w:t>3、我方了解：无论是否中标，我方将自行承担投标活动所需的一切费用。</w:t>
      </w:r>
    </w:p>
    <w:p>
      <w:pPr>
        <w:adjustRightInd w:val="0"/>
        <w:snapToGrid w:val="0"/>
        <w:spacing w:line="410" w:lineRule="exact"/>
        <w:ind w:firstLine="404"/>
        <w:rPr>
          <w:color w:val="auto"/>
          <w:spacing w:val="-4"/>
          <w:sz w:val="21"/>
          <w:szCs w:val="21"/>
          <w:highlight w:val="none"/>
        </w:rPr>
      </w:pPr>
      <w:r>
        <w:rPr>
          <w:color w:val="auto"/>
          <w:spacing w:val="-4"/>
          <w:sz w:val="21"/>
          <w:szCs w:val="21"/>
          <w:highlight w:val="none"/>
        </w:rPr>
        <w:t>4、一旦我方中标，我方保证按投标函附录中写明的金额提交履约担保。</w:t>
      </w:r>
    </w:p>
    <w:p>
      <w:pPr>
        <w:adjustRightInd w:val="0"/>
        <w:snapToGrid w:val="0"/>
        <w:spacing w:line="410" w:lineRule="exact"/>
        <w:ind w:firstLine="404"/>
        <w:rPr>
          <w:color w:val="auto"/>
          <w:spacing w:val="-4"/>
          <w:sz w:val="21"/>
          <w:szCs w:val="21"/>
          <w:highlight w:val="none"/>
        </w:rPr>
      </w:pPr>
      <w:r>
        <w:rPr>
          <w:color w:val="auto"/>
          <w:spacing w:val="-4"/>
          <w:sz w:val="21"/>
          <w:szCs w:val="21"/>
          <w:highlight w:val="none"/>
        </w:rPr>
        <w:t xml:space="preserve">5. </w:t>
      </w:r>
      <w:r>
        <w:rPr>
          <w:color w:val="auto"/>
          <w:sz w:val="21"/>
          <w:szCs w:val="21"/>
          <w:highlight w:val="none"/>
        </w:rPr>
        <w:t>我方同意所提交的投标文件在招标文件的投标人须知中第</w:t>
      </w:r>
      <w:r>
        <w:rPr>
          <w:color w:val="auto"/>
          <w:sz w:val="21"/>
          <w:szCs w:val="21"/>
          <w:highlight w:val="none"/>
          <w:u w:val="single"/>
        </w:rPr>
        <w:t>3.3.1</w:t>
      </w:r>
      <w:r>
        <w:rPr>
          <w:color w:val="auto"/>
          <w:sz w:val="21"/>
          <w:szCs w:val="21"/>
          <w:highlight w:val="none"/>
        </w:rPr>
        <w:t>条规定的投标有效期限内有效，在此期间内如果中标，我方将受此约束。</w:t>
      </w:r>
    </w:p>
    <w:p>
      <w:pPr>
        <w:adjustRightInd w:val="0"/>
        <w:snapToGrid w:val="0"/>
        <w:spacing w:line="410" w:lineRule="exact"/>
        <w:ind w:firstLine="420"/>
        <w:rPr>
          <w:color w:val="auto"/>
          <w:sz w:val="21"/>
          <w:szCs w:val="21"/>
          <w:highlight w:val="none"/>
        </w:rPr>
      </w:pPr>
      <w:r>
        <w:rPr>
          <w:color w:val="auto"/>
          <w:sz w:val="21"/>
          <w:szCs w:val="21"/>
          <w:highlight w:val="none"/>
        </w:rPr>
        <w:t>6. 随同本投标函提交投标保证金一份，金额为人民币（大写）元（RMB元）。</w:t>
      </w:r>
    </w:p>
    <w:p>
      <w:pPr>
        <w:adjustRightInd w:val="0"/>
        <w:snapToGrid w:val="0"/>
        <w:spacing w:line="410" w:lineRule="exact"/>
        <w:ind w:firstLine="420"/>
        <w:rPr>
          <w:color w:val="auto"/>
          <w:sz w:val="21"/>
          <w:szCs w:val="21"/>
          <w:highlight w:val="none"/>
        </w:rPr>
      </w:pPr>
      <w:r>
        <w:rPr>
          <w:color w:val="auto"/>
          <w:sz w:val="21"/>
          <w:szCs w:val="21"/>
          <w:highlight w:val="none"/>
        </w:rPr>
        <w:t>7. 除非另外达成协议并生效，贵方的中标通知书和本投标文件将成为约束双方的合同文件的组成部分。</w:t>
      </w:r>
    </w:p>
    <w:p>
      <w:pPr>
        <w:adjustRightInd w:val="0"/>
        <w:snapToGrid w:val="0"/>
        <w:spacing w:line="410" w:lineRule="exact"/>
        <w:ind w:firstLine="420"/>
        <w:rPr>
          <w:color w:val="auto"/>
          <w:sz w:val="21"/>
          <w:szCs w:val="21"/>
          <w:highlight w:val="none"/>
        </w:rPr>
      </w:pPr>
      <w:r>
        <w:rPr>
          <w:color w:val="auto"/>
          <w:sz w:val="21"/>
          <w:szCs w:val="21"/>
          <w:highlight w:val="none"/>
        </w:rPr>
        <w:t>8.我方在此声明，所递交的投标文件及有关资料内容完整、真实和准确，且不存在第二章“投标人须知”第1.4.3项规定的任何一种情形。</w:t>
      </w:r>
    </w:p>
    <w:p>
      <w:pPr>
        <w:adjustRightInd w:val="0"/>
        <w:snapToGrid w:val="0"/>
        <w:spacing w:line="410" w:lineRule="exact"/>
        <w:ind w:firstLine="420"/>
        <w:rPr>
          <w:color w:val="auto"/>
          <w:sz w:val="21"/>
          <w:szCs w:val="21"/>
          <w:highlight w:val="none"/>
        </w:rPr>
      </w:pPr>
    </w:p>
    <w:p>
      <w:pPr>
        <w:spacing w:line="410" w:lineRule="exact"/>
        <w:rPr>
          <w:color w:val="auto"/>
          <w:sz w:val="21"/>
          <w:szCs w:val="21"/>
          <w:highlight w:val="none"/>
        </w:rPr>
      </w:pPr>
      <w:r>
        <w:rPr>
          <w:color w:val="auto"/>
          <w:sz w:val="21"/>
          <w:szCs w:val="21"/>
          <w:highlight w:val="none"/>
        </w:rPr>
        <w:t xml:space="preserve">                                投 标 人：（盖单位公章）</w:t>
      </w:r>
    </w:p>
    <w:p>
      <w:pPr>
        <w:spacing w:line="410" w:lineRule="exact"/>
        <w:ind w:firstLine="420"/>
        <w:rPr>
          <w:color w:val="auto"/>
          <w:sz w:val="21"/>
          <w:szCs w:val="21"/>
          <w:highlight w:val="none"/>
        </w:rPr>
      </w:pPr>
      <w:r>
        <w:rPr>
          <w:color w:val="auto"/>
          <w:sz w:val="21"/>
          <w:szCs w:val="21"/>
          <w:highlight w:val="none"/>
        </w:rPr>
        <w:t xml:space="preserve">                            法定代表人或其委托代理人：（签字或盖章）</w:t>
      </w:r>
    </w:p>
    <w:p>
      <w:pPr>
        <w:spacing w:line="410" w:lineRule="exact"/>
        <w:ind w:firstLine="420"/>
        <w:rPr>
          <w:color w:val="auto"/>
          <w:szCs w:val="23"/>
          <w:highlight w:val="none"/>
        </w:rPr>
      </w:pPr>
      <w:bookmarkStart w:id="208" w:name="_Toc144974859"/>
      <w:bookmarkStart w:id="209" w:name="_Toc152042579"/>
      <w:bookmarkStart w:id="210" w:name="_Toc11950"/>
      <w:bookmarkStart w:id="211" w:name="_Toc152045790"/>
      <w:bookmarkStart w:id="212" w:name="_Toc295398986"/>
      <w:r>
        <w:rPr>
          <w:rFonts w:hint="eastAsia"/>
          <w:color w:val="auto"/>
          <w:sz w:val="21"/>
          <w:szCs w:val="21"/>
          <w:highlight w:val="none"/>
        </w:rPr>
        <w:t xml:space="preserve">日期：    </w:t>
      </w:r>
    </w:p>
    <w:p>
      <w:pPr>
        <w:spacing w:line="410" w:lineRule="exact"/>
        <w:rPr>
          <w:color w:val="auto"/>
          <w:szCs w:val="23"/>
          <w:highlight w:val="none"/>
        </w:rPr>
      </w:pPr>
      <w:r>
        <w:rPr>
          <w:color w:val="auto"/>
          <w:szCs w:val="23"/>
          <w:highlight w:val="none"/>
        </w:rPr>
        <w:br w:type="page"/>
      </w:r>
    </w:p>
    <w:bookmarkEnd w:id="208"/>
    <w:bookmarkEnd w:id="209"/>
    <w:bookmarkEnd w:id="210"/>
    <w:bookmarkEnd w:id="211"/>
    <w:bookmarkEnd w:id="212"/>
    <w:p>
      <w:pPr>
        <w:pStyle w:val="4"/>
        <w:spacing w:line="410" w:lineRule="exact"/>
        <w:ind w:left="0" w:leftChars="0" w:right="4" w:rightChars="0" w:firstLine="0" w:firstLineChars="0"/>
        <w:jc w:val="center"/>
        <w:rPr>
          <w:rFonts w:ascii="Times New Roman"/>
          <w:color w:val="auto"/>
          <w:szCs w:val="23"/>
          <w:highlight w:val="none"/>
        </w:rPr>
      </w:pPr>
      <w:r>
        <w:rPr>
          <w:rFonts w:ascii="Times New Roman"/>
          <w:color w:val="auto"/>
          <w:szCs w:val="23"/>
          <w:highlight w:val="none"/>
        </w:rPr>
        <w:t>1.2投标函附录</w:t>
      </w:r>
    </w:p>
    <w:p>
      <w:pPr>
        <w:spacing w:line="410" w:lineRule="exact"/>
        <w:ind w:firstLine="602"/>
        <w:jc w:val="center"/>
        <w:rPr>
          <w:b/>
          <w:bCs/>
          <w:color w:val="auto"/>
          <w:sz w:val="30"/>
          <w:highlight w:val="none"/>
        </w:rPr>
      </w:pPr>
    </w:p>
    <w:tbl>
      <w:tblPr>
        <w:tblStyle w:val="20"/>
        <w:tblW w:w="852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3257"/>
        <w:gridCol w:w="4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7" w:hRule="exact"/>
          <w:jc w:val="center"/>
        </w:trPr>
        <w:tc>
          <w:tcPr>
            <w:tcW w:w="1009" w:type="dxa"/>
            <w:vAlign w:val="center"/>
          </w:tcPr>
          <w:p>
            <w:pPr>
              <w:spacing w:line="410" w:lineRule="exact"/>
              <w:jc w:val="center"/>
              <w:rPr>
                <w:rFonts w:ascii="Times New Roman"/>
                <w:b/>
                <w:bCs/>
                <w:color w:val="auto"/>
                <w:sz w:val="21"/>
                <w:szCs w:val="21"/>
                <w:highlight w:val="none"/>
              </w:rPr>
            </w:pPr>
            <w:r>
              <w:rPr>
                <w:rFonts w:ascii="Times New Roman"/>
                <w:b/>
                <w:bCs/>
                <w:color w:val="auto"/>
                <w:sz w:val="21"/>
                <w:szCs w:val="21"/>
                <w:highlight w:val="none"/>
              </w:rPr>
              <w:t>序号</w:t>
            </w:r>
          </w:p>
        </w:tc>
        <w:tc>
          <w:tcPr>
            <w:tcW w:w="3257" w:type="dxa"/>
            <w:vAlign w:val="center"/>
          </w:tcPr>
          <w:p>
            <w:pPr>
              <w:spacing w:line="410" w:lineRule="exact"/>
              <w:jc w:val="center"/>
              <w:rPr>
                <w:rFonts w:ascii="Times New Roman"/>
                <w:b/>
                <w:bCs/>
                <w:color w:val="auto"/>
                <w:sz w:val="21"/>
                <w:szCs w:val="21"/>
                <w:highlight w:val="none"/>
              </w:rPr>
            </w:pPr>
            <w:r>
              <w:rPr>
                <w:rFonts w:ascii="Times New Roman"/>
                <w:b/>
                <w:bCs/>
                <w:color w:val="auto"/>
                <w:sz w:val="21"/>
                <w:szCs w:val="21"/>
                <w:highlight w:val="none"/>
              </w:rPr>
              <w:t>项  目</w:t>
            </w:r>
          </w:p>
        </w:tc>
        <w:tc>
          <w:tcPr>
            <w:tcW w:w="4263" w:type="dxa"/>
            <w:vAlign w:val="center"/>
          </w:tcPr>
          <w:p>
            <w:pPr>
              <w:spacing w:line="410" w:lineRule="exact"/>
              <w:jc w:val="center"/>
              <w:rPr>
                <w:rFonts w:ascii="Times New Roman"/>
                <w:b/>
                <w:bCs/>
                <w:color w:val="auto"/>
                <w:sz w:val="21"/>
                <w:szCs w:val="21"/>
                <w:highlight w:val="none"/>
              </w:rPr>
            </w:pPr>
            <w:r>
              <w:rPr>
                <w:rFonts w:ascii="Times New Roman"/>
                <w:b/>
                <w:bCs/>
                <w:color w:val="auto"/>
                <w:sz w:val="21"/>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1" w:hRule="atLeast"/>
          <w:jc w:val="center"/>
        </w:trPr>
        <w:tc>
          <w:tcPr>
            <w:tcW w:w="1009" w:type="dxa"/>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1</w:t>
            </w:r>
          </w:p>
        </w:tc>
        <w:tc>
          <w:tcPr>
            <w:tcW w:w="3257" w:type="dxa"/>
            <w:vAlign w:val="center"/>
          </w:tcPr>
          <w:p>
            <w:pPr>
              <w:spacing w:line="410" w:lineRule="exact"/>
              <w:jc w:val="center"/>
              <w:rPr>
                <w:rFonts w:ascii="Times New Roman"/>
                <w:bCs/>
                <w:color w:val="auto"/>
                <w:sz w:val="21"/>
                <w:szCs w:val="21"/>
                <w:highlight w:val="none"/>
              </w:rPr>
            </w:pPr>
            <w:r>
              <w:rPr>
                <w:rFonts w:hint="eastAsia" w:ascii="Times New Roman"/>
                <w:bCs/>
                <w:color w:val="auto"/>
                <w:sz w:val="21"/>
                <w:szCs w:val="21"/>
                <w:highlight w:val="none"/>
              </w:rPr>
              <w:t>投标总报价</w:t>
            </w:r>
          </w:p>
        </w:tc>
        <w:tc>
          <w:tcPr>
            <w:tcW w:w="4263" w:type="dxa"/>
            <w:vAlign w:val="center"/>
          </w:tcPr>
          <w:p>
            <w:pPr>
              <w:widowControl/>
              <w:spacing w:line="312" w:lineRule="auto"/>
              <w:ind w:firstLine="420" w:firstLineChars="200"/>
              <w:rPr>
                <w:rFonts w:ascii="Times New Roman"/>
                <w:color w:val="auto"/>
                <w:sz w:val="21"/>
                <w:szCs w:val="21"/>
                <w:highlight w:val="none"/>
              </w:rPr>
            </w:pPr>
            <w:r>
              <w:rPr>
                <w:rFonts w:hint="eastAsia" w:ascii="Times New Roman"/>
                <w:color w:val="auto"/>
                <w:sz w:val="21"/>
                <w:szCs w:val="21"/>
                <w:highlight w:val="none"/>
              </w:rPr>
              <w:t>大写：</w:t>
            </w:r>
            <w:r>
              <w:rPr>
                <w:rFonts w:hint="eastAsia" w:ascii="Times New Roman"/>
                <w:color w:val="auto"/>
                <w:sz w:val="21"/>
                <w:szCs w:val="21"/>
                <w:highlight w:val="none"/>
                <w:u w:val="single"/>
              </w:rPr>
              <w:t xml:space="preserve">       </w:t>
            </w:r>
            <w:r>
              <w:rPr>
                <w:rFonts w:hint="eastAsia" w:ascii="Times New Roman"/>
                <w:color w:val="auto"/>
                <w:sz w:val="21"/>
                <w:szCs w:val="21"/>
                <w:highlight w:val="none"/>
              </w:rPr>
              <w:t>元</w:t>
            </w:r>
          </w:p>
          <w:p>
            <w:pPr>
              <w:widowControl/>
              <w:spacing w:line="312" w:lineRule="auto"/>
              <w:ind w:firstLine="420" w:firstLineChars="200"/>
              <w:rPr>
                <w:color w:val="auto"/>
                <w:highlight w:val="none"/>
              </w:rPr>
            </w:pPr>
            <w:r>
              <w:rPr>
                <w:rFonts w:hint="eastAsia" w:ascii="Times New Roman"/>
                <w:color w:val="auto"/>
                <w:sz w:val="21"/>
                <w:szCs w:val="21"/>
                <w:highlight w:val="none"/>
              </w:rPr>
              <w:t>小写：</w:t>
            </w:r>
            <w:r>
              <w:rPr>
                <w:rFonts w:hint="eastAsia" w:ascii="Times New Roman"/>
                <w:color w:val="auto"/>
                <w:sz w:val="21"/>
                <w:szCs w:val="21"/>
                <w:highlight w:val="none"/>
                <w:u w:val="single"/>
              </w:rPr>
              <w:t xml:space="preserve">       </w:t>
            </w:r>
            <w:r>
              <w:rPr>
                <w:rFonts w:hint="eastAsia" w:ascii="Times New Roman"/>
                <w:color w:val="auto"/>
                <w:sz w:val="21"/>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1" w:hRule="atLeast"/>
          <w:jc w:val="center"/>
        </w:trPr>
        <w:tc>
          <w:tcPr>
            <w:tcW w:w="1009" w:type="dxa"/>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2</w:t>
            </w:r>
          </w:p>
        </w:tc>
        <w:tc>
          <w:tcPr>
            <w:tcW w:w="3257" w:type="dxa"/>
            <w:vAlign w:val="center"/>
          </w:tcPr>
          <w:p>
            <w:pPr>
              <w:spacing w:line="410" w:lineRule="exact"/>
              <w:jc w:val="center"/>
              <w:rPr>
                <w:rFonts w:ascii="Times New Roman"/>
                <w:bCs/>
                <w:color w:val="auto"/>
                <w:sz w:val="21"/>
                <w:szCs w:val="21"/>
                <w:highlight w:val="none"/>
              </w:rPr>
            </w:pPr>
            <w:r>
              <w:rPr>
                <w:rFonts w:ascii="Times New Roman"/>
                <w:bCs/>
                <w:color w:val="auto"/>
                <w:sz w:val="21"/>
                <w:szCs w:val="21"/>
                <w:highlight w:val="none"/>
              </w:rPr>
              <w:t>投标内容</w:t>
            </w:r>
          </w:p>
        </w:tc>
        <w:tc>
          <w:tcPr>
            <w:tcW w:w="4263" w:type="dxa"/>
            <w:vAlign w:val="center"/>
          </w:tcPr>
          <w:p>
            <w:pPr>
              <w:widowControl/>
              <w:spacing w:line="312" w:lineRule="auto"/>
              <w:ind w:firstLine="420" w:firstLineChars="200"/>
              <w:rPr>
                <w:rFonts w:ascii="Times New Roman"/>
                <w:color w:val="auto"/>
                <w:sz w:val="21"/>
                <w:szCs w:val="21"/>
                <w:highlight w:val="none"/>
              </w:rPr>
            </w:pPr>
            <w:r>
              <w:rPr>
                <w:rFonts w:hint="eastAsia" w:ascii="Times New Roman"/>
                <w:color w:val="auto"/>
                <w:sz w:val="21"/>
                <w:szCs w:val="21"/>
                <w:highlight w:val="none"/>
              </w:rPr>
              <w:t>包括但不限于工程竣工前的车站、梅庄停车场、桥梁、路基、隧道、道砟、装修装饰、“四电”设备及安装等检测工作及招标人要求的其他检测工作。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1" w:hRule="atLeast"/>
          <w:jc w:val="center"/>
        </w:trPr>
        <w:tc>
          <w:tcPr>
            <w:tcW w:w="1009" w:type="dxa"/>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3</w:t>
            </w:r>
          </w:p>
        </w:tc>
        <w:tc>
          <w:tcPr>
            <w:tcW w:w="3257" w:type="dxa"/>
            <w:vAlign w:val="center"/>
          </w:tcPr>
          <w:p>
            <w:pPr>
              <w:spacing w:line="410" w:lineRule="exact"/>
              <w:jc w:val="center"/>
              <w:rPr>
                <w:rFonts w:ascii="Times New Roman"/>
                <w:bCs/>
                <w:color w:val="auto"/>
                <w:sz w:val="21"/>
                <w:szCs w:val="21"/>
                <w:highlight w:val="none"/>
              </w:rPr>
            </w:pPr>
            <w:r>
              <w:rPr>
                <w:rFonts w:ascii="Times New Roman"/>
                <w:bCs/>
                <w:color w:val="auto"/>
                <w:sz w:val="21"/>
                <w:szCs w:val="21"/>
                <w:highlight w:val="none"/>
              </w:rPr>
              <w:t>履约担保</w:t>
            </w:r>
          </w:p>
        </w:tc>
        <w:tc>
          <w:tcPr>
            <w:tcW w:w="4263" w:type="dxa"/>
            <w:vAlign w:val="center"/>
          </w:tcPr>
          <w:p>
            <w:pPr>
              <w:spacing w:line="410" w:lineRule="exact"/>
              <w:jc w:val="center"/>
              <w:rPr>
                <w:rFonts w:ascii="Times New Roman"/>
                <w:bCs/>
                <w:color w:val="auto"/>
                <w:sz w:val="21"/>
                <w:szCs w:val="21"/>
                <w:highlight w:val="none"/>
              </w:rPr>
            </w:pPr>
            <w:r>
              <w:rPr>
                <w:rFonts w:ascii="Times New Roman"/>
                <w:bCs/>
                <w:color w:val="auto"/>
                <w:sz w:val="21"/>
                <w:szCs w:val="21"/>
                <w:highlight w:val="none"/>
              </w:rPr>
              <w:t>签约合同价</w:t>
            </w:r>
            <w:r>
              <w:rPr>
                <w:rFonts w:ascii="Times New Roman"/>
                <w:color w:val="auto"/>
                <w:sz w:val="21"/>
                <w:szCs w:val="21"/>
                <w:highlight w:val="none"/>
              </w:rPr>
              <w:t>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1" w:hRule="atLeast"/>
          <w:jc w:val="center"/>
        </w:trPr>
        <w:tc>
          <w:tcPr>
            <w:tcW w:w="1009" w:type="dxa"/>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4</w:t>
            </w:r>
          </w:p>
        </w:tc>
        <w:tc>
          <w:tcPr>
            <w:tcW w:w="3257" w:type="dxa"/>
            <w:vAlign w:val="center"/>
          </w:tcPr>
          <w:p>
            <w:pPr>
              <w:spacing w:line="410" w:lineRule="exact"/>
              <w:jc w:val="center"/>
              <w:rPr>
                <w:rFonts w:ascii="Times New Roman"/>
                <w:bCs/>
                <w:color w:val="auto"/>
                <w:sz w:val="21"/>
                <w:szCs w:val="21"/>
                <w:highlight w:val="none"/>
              </w:rPr>
            </w:pPr>
            <w:r>
              <w:rPr>
                <w:rFonts w:ascii="Times New Roman"/>
                <w:bCs/>
                <w:color w:val="auto"/>
                <w:sz w:val="21"/>
                <w:szCs w:val="21"/>
                <w:highlight w:val="none"/>
              </w:rPr>
              <w:t>服务周期</w:t>
            </w:r>
          </w:p>
        </w:tc>
        <w:tc>
          <w:tcPr>
            <w:tcW w:w="4263" w:type="dxa"/>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质量检测工作完成及提交报告时间满足发包人对本工程进度的要求，至通车试运营开始之日止。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1" w:hRule="atLeast"/>
          <w:jc w:val="center"/>
        </w:trPr>
        <w:tc>
          <w:tcPr>
            <w:tcW w:w="1009" w:type="dxa"/>
            <w:vAlign w:val="center"/>
          </w:tcPr>
          <w:p>
            <w:pPr>
              <w:spacing w:line="410" w:lineRule="exact"/>
              <w:jc w:val="center"/>
              <w:rPr>
                <w:rFonts w:ascii="Times New Roman"/>
                <w:color w:val="auto"/>
                <w:sz w:val="21"/>
                <w:szCs w:val="21"/>
                <w:highlight w:val="none"/>
              </w:rPr>
            </w:pPr>
            <w:r>
              <w:rPr>
                <w:rFonts w:ascii="Times New Roman"/>
                <w:color w:val="auto"/>
                <w:sz w:val="21"/>
                <w:szCs w:val="21"/>
                <w:highlight w:val="none"/>
              </w:rPr>
              <w:t>5</w:t>
            </w:r>
          </w:p>
        </w:tc>
        <w:tc>
          <w:tcPr>
            <w:tcW w:w="3257" w:type="dxa"/>
            <w:vAlign w:val="center"/>
          </w:tcPr>
          <w:p>
            <w:pPr>
              <w:spacing w:line="410" w:lineRule="exact"/>
              <w:jc w:val="center"/>
              <w:rPr>
                <w:rFonts w:ascii="Times New Roman"/>
                <w:bCs/>
                <w:color w:val="auto"/>
                <w:sz w:val="21"/>
                <w:szCs w:val="21"/>
                <w:highlight w:val="none"/>
              </w:rPr>
            </w:pPr>
            <w:r>
              <w:rPr>
                <w:rFonts w:ascii="Times New Roman"/>
                <w:bCs/>
                <w:color w:val="auto"/>
                <w:sz w:val="21"/>
                <w:szCs w:val="21"/>
                <w:highlight w:val="none"/>
              </w:rPr>
              <w:t>质量</w:t>
            </w:r>
          </w:p>
        </w:tc>
        <w:tc>
          <w:tcPr>
            <w:tcW w:w="4263" w:type="dxa"/>
            <w:vAlign w:val="center"/>
          </w:tcPr>
          <w:p>
            <w:pPr>
              <w:spacing w:line="410" w:lineRule="exact"/>
              <w:jc w:val="center"/>
              <w:rPr>
                <w:rFonts w:ascii="Times New Roman" w:eastAsia="宋体"/>
                <w:color w:val="auto"/>
                <w:sz w:val="21"/>
                <w:szCs w:val="21"/>
                <w:highlight w:val="none"/>
              </w:rPr>
            </w:pPr>
            <w:r>
              <w:rPr>
                <w:rFonts w:hint="eastAsia" w:ascii="Times New Roman"/>
                <w:color w:val="auto"/>
                <w:sz w:val="21"/>
                <w:szCs w:val="21"/>
                <w:highlight w:val="none"/>
              </w:rPr>
              <w:t>合格（符合国家规定要求）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1" w:hRule="atLeast"/>
          <w:jc w:val="center"/>
        </w:trPr>
        <w:tc>
          <w:tcPr>
            <w:tcW w:w="1009" w:type="dxa"/>
            <w:vAlign w:val="center"/>
          </w:tcPr>
          <w:p>
            <w:pPr>
              <w:spacing w:line="410" w:lineRule="exact"/>
              <w:jc w:val="center"/>
              <w:rPr>
                <w:rFonts w:ascii="Times New Roman"/>
                <w:color w:val="auto"/>
                <w:sz w:val="21"/>
                <w:szCs w:val="21"/>
                <w:highlight w:val="none"/>
              </w:rPr>
            </w:pPr>
            <w:r>
              <w:rPr>
                <w:rFonts w:hint="eastAsia" w:ascii="Times New Roman"/>
                <w:color w:val="auto"/>
                <w:sz w:val="21"/>
                <w:szCs w:val="21"/>
                <w:highlight w:val="none"/>
              </w:rPr>
              <w:t>6</w:t>
            </w:r>
          </w:p>
        </w:tc>
        <w:tc>
          <w:tcPr>
            <w:tcW w:w="3257" w:type="dxa"/>
            <w:vAlign w:val="center"/>
          </w:tcPr>
          <w:p>
            <w:pPr>
              <w:spacing w:line="410" w:lineRule="exact"/>
              <w:jc w:val="center"/>
              <w:rPr>
                <w:rFonts w:ascii="Times New Roman"/>
                <w:bCs/>
                <w:color w:val="auto"/>
                <w:sz w:val="21"/>
                <w:szCs w:val="21"/>
                <w:highlight w:val="none"/>
              </w:rPr>
            </w:pPr>
            <w:r>
              <w:rPr>
                <w:rFonts w:ascii="Times New Roman"/>
                <w:bCs/>
                <w:color w:val="auto"/>
                <w:sz w:val="21"/>
                <w:szCs w:val="21"/>
                <w:highlight w:val="none"/>
              </w:rPr>
              <w:t>项目负责人</w:t>
            </w:r>
          </w:p>
        </w:tc>
        <w:tc>
          <w:tcPr>
            <w:tcW w:w="4263" w:type="dxa"/>
            <w:vAlign w:val="center"/>
          </w:tcPr>
          <w:p>
            <w:pPr>
              <w:spacing w:line="410" w:lineRule="exact"/>
              <w:ind w:firstLine="1155" w:firstLineChars="550"/>
              <w:rPr>
                <w:rFonts w:ascii="Times New Roman"/>
                <w:color w:val="auto"/>
                <w:sz w:val="21"/>
                <w:szCs w:val="21"/>
                <w:highlight w:val="none"/>
              </w:rPr>
            </w:pPr>
            <w:r>
              <w:rPr>
                <w:rFonts w:hint="eastAsia" w:ascii="Times New Roman"/>
                <w:color w:val="auto"/>
                <w:sz w:val="21"/>
                <w:szCs w:val="21"/>
                <w:highlight w:val="none"/>
              </w:rPr>
              <w:t>姓名</w:t>
            </w:r>
            <w:r>
              <w:rPr>
                <w:rFonts w:ascii="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1" w:hRule="atLeast"/>
          <w:jc w:val="center"/>
        </w:trPr>
        <w:tc>
          <w:tcPr>
            <w:tcW w:w="1009" w:type="dxa"/>
            <w:vAlign w:val="center"/>
          </w:tcPr>
          <w:p>
            <w:pPr>
              <w:spacing w:line="410" w:lineRule="exact"/>
              <w:jc w:val="center"/>
              <w:rPr>
                <w:rFonts w:ascii="Times New Roman"/>
                <w:color w:val="auto"/>
                <w:sz w:val="21"/>
                <w:szCs w:val="21"/>
                <w:highlight w:val="none"/>
              </w:rPr>
            </w:pPr>
            <w:r>
              <w:rPr>
                <w:rFonts w:hint="eastAsia" w:ascii="Times New Roman"/>
                <w:color w:val="auto"/>
                <w:sz w:val="21"/>
                <w:szCs w:val="21"/>
                <w:highlight w:val="none"/>
              </w:rPr>
              <w:t>7</w:t>
            </w:r>
          </w:p>
        </w:tc>
        <w:tc>
          <w:tcPr>
            <w:tcW w:w="3257" w:type="dxa"/>
            <w:vAlign w:val="center"/>
          </w:tcPr>
          <w:p>
            <w:pPr>
              <w:spacing w:line="410" w:lineRule="exact"/>
              <w:jc w:val="center"/>
              <w:rPr>
                <w:rFonts w:ascii="Times New Roman"/>
                <w:bCs/>
                <w:color w:val="auto"/>
                <w:sz w:val="21"/>
                <w:szCs w:val="21"/>
                <w:highlight w:val="none"/>
              </w:rPr>
            </w:pPr>
            <w:r>
              <w:rPr>
                <w:rFonts w:hint="eastAsia" w:ascii="Times New Roman"/>
                <w:bCs/>
                <w:color w:val="auto"/>
                <w:sz w:val="21"/>
                <w:szCs w:val="21"/>
                <w:highlight w:val="none"/>
              </w:rPr>
              <w:t>技术负责人</w:t>
            </w:r>
          </w:p>
        </w:tc>
        <w:tc>
          <w:tcPr>
            <w:tcW w:w="4263" w:type="dxa"/>
            <w:vAlign w:val="center"/>
          </w:tcPr>
          <w:p>
            <w:pPr>
              <w:spacing w:line="410" w:lineRule="exact"/>
              <w:ind w:firstLine="1155" w:firstLineChars="550"/>
              <w:rPr>
                <w:rFonts w:ascii="Times New Roman"/>
                <w:color w:val="auto"/>
                <w:sz w:val="21"/>
                <w:szCs w:val="21"/>
                <w:highlight w:val="none"/>
              </w:rPr>
            </w:pPr>
            <w:r>
              <w:rPr>
                <w:rFonts w:hint="eastAsia" w:ascii="Times New Roman"/>
                <w:color w:val="auto"/>
                <w:sz w:val="21"/>
                <w:szCs w:val="21"/>
                <w:highlight w:val="none"/>
              </w:rPr>
              <w:t>姓名：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3" w:hRule="atLeast"/>
          <w:jc w:val="center"/>
        </w:trPr>
        <w:tc>
          <w:tcPr>
            <w:tcW w:w="1009" w:type="dxa"/>
            <w:vAlign w:val="center"/>
          </w:tcPr>
          <w:p>
            <w:pPr>
              <w:spacing w:line="410" w:lineRule="exact"/>
              <w:jc w:val="center"/>
              <w:rPr>
                <w:rFonts w:ascii="Times New Roman"/>
                <w:color w:val="auto"/>
                <w:sz w:val="21"/>
                <w:szCs w:val="21"/>
                <w:highlight w:val="none"/>
              </w:rPr>
            </w:pPr>
            <w:r>
              <w:rPr>
                <w:rFonts w:hint="eastAsia" w:ascii="Times New Roman"/>
                <w:color w:val="auto"/>
                <w:sz w:val="21"/>
                <w:szCs w:val="21"/>
                <w:highlight w:val="none"/>
              </w:rPr>
              <w:t>8</w:t>
            </w:r>
          </w:p>
        </w:tc>
        <w:tc>
          <w:tcPr>
            <w:tcW w:w="3257" w:type="dxa"/>
            <w:vAlign w:val="center"/>
          </w:tcPr>
          <w:p>
            <w:pPr>
              <w:spacing w:line="410" w:lineRule="exact"/>
              <w:jc w:val="center"/>
              <w:rPr>
                <w:rFonts w:ascii="Times New Roman"/>
                <w:bCs/>
                <w:color w:val="auto"/>
                <w:sz w:val="21"/>
                <w:szCs w:val="21"/>
                <w:highlight w:val="none"/>
              </w:rPr>
            </w:pPr>
            <w:r>
              <w:rPr>
                <w:rFonts w:ascii="Times New Roman"/>
                <w:bCs/>
                <w:color w:val="auto"/>
                <w:sz w:val="21"/>
                <w:szCs w:val="21"/>
                <w:highlight w:val="none"/>
              </w:rPr>
              <w:t>服务期满结算的约定</w:t>
            </w:r>
          </w:p>
        </w:tc>
        <w:tc>
          <w:tcPr>
            <w:tcW w:w="4263" w:type="dxa"/>
            <w:vAlign w:val="center"/>
          </w:tcPr>
          <w:p>
            <w:pPr>
              <w:spacing w:line="410" w:lineRule="exact"/>
              <w:jc w:val="center"/>
              <w:rPr>
                <w:rFonts w:ascii="Times New Roman"/>
                <w:bCs/>
                <w:color w:val="auto"/>
                <w:sz w:val="21"/>
                <w:szCs w:val="21"/>
                <w:highlight w:val="none"/>
              </w:rPr>
            </w:pPr>
            <w:r>
              <w:rPr>
                <w:rFonts w:ascii="Times New Roman"/>
                <w:color w:val="auto"/>
                <w:sz w:val="21"/>
                <w:szCs w:val="21"/>
                <w:highlight w:val="none"/>
              </w:rPr>
              <w:t>检测工作完成，所提交的检测成果资料经发包人验收通过，且本检测合同范围内的土建工程竣工验收后60日历天内，发包人一次性支付质量检测费用的剩余款项。</w:t>
            </w:r>
          </w:p>
        </w:tc>
      </w:tr>
    </w:tbl>
    <w:p>
      <w:pPr>
        <w:spacing w:line="410" w:lineRule="exact"/>
        <w:rPr>
          <w:color w:val="auto"/>
          <w:spacing w:val="-8"/>
          <w:sz w:val="21"/>
          <w:szCs w:val="21"/>
          <w:highlight w:val="none"/>
        </w:rPr>
      </w:pPr>
      <w:r>
        <w:rPr>
          <w:color w:val="auto"/>
          <w:spacing w:val="-8"/>
          <w:sz w:val="21"/>
          <w:szCs w:val="21"/>
          <w:highlight w:val="none"/>
        </w:rPr>
        <w:t>说明：上表中所有数据应由投标人签署确认，并随投标函一起报送。</w:t>
      </w:r>
    </w:p>
    <w:p>
      <w:pPr>
        <w:spacing w:line="410" w:lineRule="exact"/>
        <w:ind w:firstLine="420"/>
        <w:rPr>
          <w:color w:val="auto"/>
          <w:spacing w:val="-8"/>
          <w:sz w:val="21"/>
          <w:szCs w:val="21"/>
          <w:highlight w:val="none"/>
        </w:rPr>
      </w:pPr>
      <w:r>
        <w:rPr>
          <w:color w:val="auto"/>
          <w:sz w:val="21"/>
          <w:szCs w:val="21"/>
          <w:highlight w:val="none"/>
        </w:rPr>
        <w:t xml:space="preserve">                                     投标人:（盖章）   　</w:t>
      </w:r>
    </w:p>
    <w:p>
      <w:pPr>
        <w:spacing w:line="410" w:lineRule="exact"/>
        <w:ind w:right="105" w:firstLine="420"/>
        <w:jc w:val="center"/>
        <w:rPr>
          <w:color w:val="auto"/>
          <w:sz w:val="21"/>
          <w:szCs w:val="21"/>
          <w:highlight w:val="none"/>
        </w:rPr>
      </w:pPr>
      <w:r>
        <w:rPr>
          <w:color w:val="auto"/>
          <w:sz w:val="21"/>
          <w:szCs w:val="21"/>
          <w:highlight w:val="none"/>
        </w:rPr>
        <w:t xml:space="preserve">                                    法定代表人或授权代理人:（签字或盖章）   </w:t>
      </w:r>
    </w:p>
    <w:p>
      <w:pPr>
        <w:spacing w:line="410" w:lineRule="exact"/>
        <w:ind w:right="210" w:firstLine="420"/>
        <w:jc w:val="center"/>
        <w:rPr>
          <w:rFonts w:eastAsia="黑体"/>
          <w:color w:val="auto"/>
          <w:sz w:val="20"/>
          <w:highlight w:val="none"/>
        </w:rPr>
      </w:pPr>
      <w:r>
        <w:rPr>
          <w:color w:val="auto"/>
          <w:sz w:val="21"/>
          <w:szCs w:val="21"/>
          <w:highlight w:val="none"/>
        </w:rPr>
        <w:t xml:space="preserve">                   日 期:   年  月  日</w:t>
      </w:r>
    </w:p>
    <w:p>
      <w:pPr>
        <w:widowControl/>
        <w:spacing w:line="410" w:lineRule="exact"/>
        <w:jc w:val="left"/>
        <w:rPr>
          <w:color w:val="auto"/>
          <w:szCs w:val="21"/>
          <w:highlight w:val="none"/>
        </w:rPr>
      </w:pPr>
      <w:r>
        <w:rPr>
          <w:color w:val="auto"/>
          <w:szCs w:val="21"/>
          <w:highlight w:val="none"/>
        </w:rPr>
        <w:br w:type="page"/>
      </w:r>
    </w:p>
    <w:p>
      <w:pPr>
        <w:pStyle w:val="4"/>
        <w:spacing w:line="410" w:lineRule="exact"/>
        <w:ind w:left="0" w:leftChars="0" w:firstLine="0" w:firstLineChars="0"/>
        <w:jc w:val="center"/>
        <w:rPr>
          <w:rFonts w:ascii="Times New Roman"/>
          <w:b w:val="0"/>
          <w:color w:val="auto"/>
          <w:szCs w:val="21"/>
          <w:highlight w:val="none"/>
        </w:rPr>
      </w:pPr>
      <w:r>
        <w:rPr>
          <w:rFonts w:ascii="Times New Roman"/>
          <w:color w:val="auto"/>
          <w:szCs w:val="23"/>
          <w:highlight w:val="none"/>
        </w:rPr>
        <w:t>1.3投标人承诺书</w:t>
      </w:r>
    </w:p>
    <w:p>
      <w:pPr>
        <w:spacing w:line="410" w:lineRule="exact"/>
        <w:rPr>
          <w:color w:val="auto"/>
          <w:sz w:val="21"/>
          <w:szCs w:val="21"/>
          <w:highlight w:val="none"/>
        </w:rPr>
      </w:pPr>
      <w:r>
        <w:rPr>
          <w:color w:val="auto"/>
          <w:sz w:val="21"/>
          <w:szCs w:val="21"/>
          <w:highlight w:val="none"/>
        </w:rPr>
        <w:t>致：</w:t>
      </w:r>
      <w:r>
        <w:rPr>
          <w:color w:val="auto"/>
          <w:sz w:val="21"/>
          <w:szCs w:val="21"/>
          <w:highlight w:val="none"/>
          <w:u w:val="single"/>
        </w:rPr>
        <w:t>（招标人名称）</w:t>
      </w:r>
    </w:p>
    <w:p>
      <w:pPr>
        <w:spacing w:line="410" w:lineRule="exact"/>
        <w:ind w:firstLine="420"/>
        <w:rPr>
          <w:color w:val="auto"/>
          <w:sz w:val="21"/>
          <w:szCs w:val="21"/>
          <w:highlight w:val="none"/>
        </w:rPr>
      </w:pPr>
      <w:r>
        <w:rPr>
          <w:color w:val="auto"/>
          <w:sz w:val="21"/>
          <w:szCs w:val="21"/>
          <w:highlight w:val="none"/>
        </w:rPr>
        <w:t>我方在此声明，我方以下事项进行承诺：</w:t>
      </w:r>
    </w:p>
    <w:p>
      <w:pPr>
        <w:spacing w:line="410" w:lineRule="exact"/>
        <w:ind w:firstLine="420"/>
        <w:rPr>
          <w:color w:val="auto"/>
          <w:sz w:val="21"/>
          <w:szCs w:val="21"/>
          <w:highlight w:val="none"/>
        </w:rPr>
      </w:pPr>
      <w:r>
        <w:rPr>
          <w:color w:val="auto"/>
          <w:sz w:val="21"/>
          <w:szCs w:val="21"/>
          <w:highlight w:val="none"/>
        </w:rPr>
        <w:t>（1）在本次投标中我方无与其他投标人相互串通投标，或与招标人串通投标的行为；</w:t>
      </w:r>
    </w:p>
    <w:p>
      <w:pPr>
        <w:spacing w:line="410" w:lineRule="exact"/>
        <w:ind w:firstLine="420"/>
        <w:rPr>
          <w:color w:val="auto"/>
          <w:sz w:val="21"/>
          <w:szCs w:val="21"/>
          <w:highlight w:val="none"/>
        </w:rPr>
      </w:pPr>
      <w:r>
        <w:rPr>
          <w:color w:val="auto"/>
          <w:sz w:val="21"/>
          <w:szCs w:val="21"/>
          <w:highlight w:val="none"/>
        </w:rPr>
        <w:t>（2）</w:t>
      </w:r>
      <w:r>
        <w:rPr>
          <w:rFonts w:hint="eastAsia" w:hAnsi="宋体"/>
          <w:color w:val="auto"/>
          <w:sz w:val="24"/>
          <w:szCs w:val="24"/>
          <w:highlight w:val="none"/>
        </w:rPr>
        <w:t>在本次投标中我方无向招标人或评标委员会成员行贿的手段谋取中标的行为；</w:t>
      </w:r>
    </w:p>
    <w:p>
      <w:pPr>
        <w:spacing w:line="410" w:lineRule="exact"/>
        <w:ind w:firstLine="420"/>
        <w:rPr>
          <w:color w:val="auto"/>
          <w:sz w:val="21"/>
          <w:szCs w:val="21"/>
          <w:highlight w:val="none"/>
        </w:rPr>
      </w:pPr>
      <w:r>
        <w:rPr>
          <w:color w:val="auto"/>
          <w:sz w:val="21"/>
          <w:szCs w:val="21"/>
          <w:highlight w:val="none"/>
        </w:rPr>
        <w:t>（3）在本次投标中我方无出借或借用资质行为、在投标文件中所附资料（资质、业绩、人员资料等）无弄虚作假；</w:t>
      </w:r>
    </w:p>
    <w:p>
      <w:pPr>
        <w:spacing w:line="410" w:lineRule="exact"/>
        <w:ind w:firstLine="420"/>
        <w:rPr>
          <w:color w:val="auto"/>
          <w:sz w:val="21"/>
          <w:szCs w:val="21"/>
          <w:highlight w:val="none"/>
        </w:rPr>
      </w:pPr>
      <w:r>
        <w:rPr>
          <w:color w:val="auto"/>
          <w:sz w:val="21"/>
          <w:szCs w:val="21"/>
          <w:highlight w:val="none"/>
        </w:rPr>
        <w:t>（4）针对本次招标的项目，我方在人员、设备、资金等方面具有相应的能力；</w:t>
      </w:r>
    </w:p>
    <w:p>
      <w:pPr>
        <w:spacing w:line="410" w:lineRule="exact"/>
        <w:ind w:firstLine="420"/>
        <w:rPr>
          <w:color w:val="auto"/>
          <w:sz w:val="21"/>
          <w:szCs w:val="21"/>
          <w:highlight w:val="none"/>
        </w:rPr>
      </w:pPr>
      <w:r>
        <w:rPr>
          <w:color w:val="auto"/>
          <w:sz w:val="21"/>
          <w:szCs w:val="21"/>
          <w:highlight w:val="none"/>
        </w:rPr>
        <w:t>（5）我方没有处于破产、被责令停产、停业、投标资格被限制状态；</w:t>
      </w:r>
    </w:p>
    <w:p>
      <w:pPr>
        <w:spacing w:line="410" w:lineRule="exact"/>
        <w:ind w:firstLine="420"/>
        <w:rPr>
          <w:color w:val="auto"/>
          <w:sz w:val="21"/>
          <w:szCs w:val="21"/>
          <w:highlight w:val="none"/>
        </w:rPr>
      </w:pPr>
      <w:r>
        <w:rPr>
          <w:color w:val="auto"/>
          <w:sz w:val="21"/>
          <w:szCs w:val="21"/>
          <w:highlight w:val="none"/>
        </w:rPr>
        <w:t>（6）我方不采用捏造事实、伪造材料或者以非法手段取得证明材料进行投诉，在投诉处理过程中不提供虚假情况；</w:t>
      </w:r>
    </w:p>
    <w:p>
      <w:pPr>
        <w:spacing w:line="410" w:lineRule="exact"/>
        <w:ind w:firstLine="420"/>
        <w:rPr>
          <w:color w:val="auto"/>
          <w:sz w:val="21"/>
          <w:szCs w:val="21"/>
          <w:highlight w:val="none"/>
        </w:rPr>
      </w:pPr>
      <w:r>
        <w:rPr>
          <w:color w:val="auto"/>
          <w:sz w:val="21"/>
          <w:szCs w:val="21"/>
          <w:highlight w:val="none"/>
        </w:rPr>
        <w:t>（7）我方无因弄虚作假被取消中标候选人资格等事项或者截止报告期末，公司及所属分支机构不存在因诉讼、仲裁等累计涉诉金额超过经审计的上一年度净资产金额20%的负债及或有负债；</w:t>
      </w:r>
    </w:p>
    <w:p>
      <w:pPr>
        <w:spacing w:line="410" w:lineRule="exact"/>
        <w:ind w:firstLine="420"/>
        <w:rPr>
          <w:color w:val="auto"/>
          <w:sz w:val="21"/>
          <w:szCs w:val="21"/>
          <w:highlight w:val="none"/>
        </w:rPr>
      </w:pPr>
      <w:r>
        <w:rPr>
          <w:color w:val="auto"/>
          <w:sz w:val="21"/>
          <w:szCs w:val="21"/>
          <w:highlight w:val="none"/>
        </w:rPr>
        <w:t>（8）我方在招标文件规定的业绩或类似业绩中，无因严重违约被解除或终止合同、重大安全责任事故以及影响工程验收运营等事项；</w:t>
      </w:r>
    </w:p>
    <w:p>
      <w:pPr>
        <w:spacing w:line="410" w:lineRule="exact"/>
        <w:ind w:firstLine="420"/>
        <w:rPr>
          <w:color w:val="auto"/>
          <w:sz w:val="21"/>
          <w:szCs w:val="21"/>
          <w:highlight w:val="none"/>
        </w:rPr>
      </w:pPr>
      <w:r>
        <w:rPr>
          <w:color w:val="auto"/>
          <w:sz w:val="21"/>
          <w:szCs w:val="21"/>
          <w:highlight w:val="none"/>
        </w:rPr>
        <w:t>（9）我方单位负责人为同一人或者存在控股、管理关系的不同单位，未参加本项目同一标段投标。</w:t>
      </w:r>
    </w:p>
    <w:p>
      <w:pPr>
        <w:spacing w:line="410" w:lineRule="exact"/>
        <w:ind w:firstLine="420"/>
        <w:rPr>
          <w:color w:val="auto"/>
          <w:sz w:val="21"/>
          <w:szCs w:val="21"/>
          <w:highlight w:val="none"/>
        </w:rPr>
      </w:pPr>
    </w:p>
    <w:p>
      <w:pPr>
        <w:spacing w:line="410" w:lineRule="exact"/>
        <w:ind w:firstLine="420"/>
        <w:rPr>
          <w:color w:val="auto"/>
          <w:sz w:val="21"/>
          <w:szCs w:val="21"/>
          <w:highlight w:val="none"/>
        </w:rPr>
      </w:pPr>
      <w:r>
        <w:rPr>
          <w:color w:val="auto"/>
          <w:sz w:val="21"/>
          <w:szCs w:val="21"/>
          <w:highlight w:val="none"/>
        </w:rPr>
        <w:t>上述承诺内容如有不实或违反上述承诺，我方愿意自动放弃中标候选人资格，承担由此造成的一切法律责任，并以投标保证金作为违约金支付给招标人。</w:t>
      </w:r>
    </w:p>
    <w:p>
      <w:pPr>
        <w:spacing w:line="410" w:lineRule="exact"/>
        <w:rPr>
          <w:color w:val="auto"/>
          <w:sz w:val="21"/>
          <w:szCs w:val="21"/>
          <w:highlight w:val="none"/>
        </w:rPr>
      </w:pPr>
    </w:p>
    <w:p>
      <w:pPr>
        <w:spacing w:line="410" w:lineRule="exact"/>
        <w:ind w:firstLine="420"/>
        <w:rPr>
          <w:color w:val="auto"/>
          <w:sz w:val="21"/>
          <w:szCs w:val="21"/>
          <w:highlight w:val="none"/>
        </w:rPr>
      </w:pPr>
      <w:r>
        <w:rPr>
          <w:color w:val="auto"/>
          <w:sz w:val="21"/>
          <w:szCs w:val="21"/>
          <w:highlight w:val="none"/>
        </w:rPr>
        <w:t>特此承诺</w:t>
      </w:r>
    </w:p>
    <w:p>
      <w:pPr>
        <w:spacing w:line="410" w:lineRule="exact"/>
        <w:ind w:firstLine="420"/>
        <w:rPr>
          <w:color w:val="auto"/>
          <w:sz w:val="21"/>
          <w:szCs w:val="21"/>
          <w:highlight w:val="none"/>
        </w:rPr>
      </w:pPr>
    </w:p>
    <w:p>
      <w:pPr>
        <w:spacing w:line="410" w:lineRule="exact"/>
        <w:ind w:right="120" w:firstLine="420"/>
        <w:jc w:val="center"/>
        <w:rPr>
          <w:color w:val="auto"/>
          <w:sz w:val="21"/>
          <w:szCs w:val="21"/>
          <w:highlight w:val="none"/>
        </w:rPr>
      </w:pPr>
      <w:r>
        <w:rPr>
          <w:color w:val="auto"/>
          <w:sz w:val="21"/>
          <w:szCs w:val="21"/>
          <w:highlight w:val="none"/>
        </w:rPr>
        <w:t xml:space="preserve">                              投标人：（盖章）</w:t>
      </w:r>
    </w:p>
    <w:p>
      <w:pPr>
        <w:spacing w:line="410" w:lineRule="exact"/>
        <w:ind w:right="360" w:firstLine="420"/>
        <w:jc w:val="right"/>
        <w:rPr>
          <w:color w:val="auto"/>
          <w:sz w:val="21"/>
          <w:szCs w:val="21"/>
          <w:highlight w:val="none"/>
        </w:rPr>
      </w:pPr>
      <w:r>
        <w:rPr>
          <w:color w:val="auto"/>
          <w:sz w:val="21"/>
          <w:szCs w:val="21"/>
          <w:highlight w:val="none"/>
        </w:rPr>
        <w:t xml:space="preserve">      法定代表人或其委托代理人：（签字或盖章）</w:t>
      </w:r>
    </w:p>
    <w:p>
      <w:pPr>
        <w:ind w:right="600" w:firstLine="420"/>
        <w:jc w:val="right"/>
        <w:rPr>
          <w:b/>
          <w:bCs/>
          <w:color w:val="auto"/>
          <w:sz w:val="28"/>
          <w:szCs w:val="32"/>
          <w:highlight w:val="none"/>
        </w:rPr>
        <w:sectPr>
          <w:footerReference r:id="rId8" w:type="default"/>
          <w:pgSz w:w="11906" w:h="16838"/>
          <w:pgMar w:top="1588" w:right="1701" w:bottom="1361" w:left="1701" w:header="851" w:footer="797" w:gutter="0"/>
          <w:cols w:space="720" w:num="1"/>
          <w:titlePg/>
          <w:docGrid w:linePitch="462" w:charSpace="0"/>
        </w:sectPr>
      </w:pPr>
      <w:r>
        <w:rPr>
          <w:color w:val="auto"/>
          <w:sz w:val="21"/>
          <w:szCs w:val="21"/>
          <w:highlight w:val="none"/>
        </w:rPr>
        <w:t>日  期：年月日</w:t>
      </w:r>
      <w:r>
        <w:rPr>
          <w:color w:val="auto"/>
          <w:sz w:val="21"/>
          <w:szCs w:val="21"/>
          <w:highlight w:val="none"/>
        </w:rPr>
        <w:br w:type="textWrapping"/>
      </w:r>
      <w:bookmarkStart w:id="213" w:name="_Toc32351"/>
      <w:bookmarkStart w:id="214" w:name="_Toc391119496"/>
      <w:bookmarkStart w:id="215" w:name="_Toc23515"/>
      <w:bookmarkStart w:id="216" w:name="_Toc152042580"/>
      <w:bookmarkStart w:id="217" w:name="_Toc295398987"/>
      <w:bookmarkStart w:id="218" w:name="_Toc152045791"/>
      <w:bookmarkStart w:id="219" w:name="_Toc144974860"/>
    </w:p>
    <w:p>
      <w:pPr>
        <w:ind w:left="0" w:leftChars="0" w:right="4" w:rightChars="0" w:firstLine="0" w:firstLineChars="0"/>
        <w:jc w:val="center"/>
        <w:outlineLvl w:val="1"/>
        <w:rPr>
          <w:rFonts w:hint="eastAsia" w:eastAsiaTheme="minorEastAsia"/>
          <w:color w:val="auto"/>
          <w:highlight w:val="none"/>
          <w:lang w:eastAsia="zh-CN"/>
        </w:rPr>
      </w:pPr>
      <w:bookmarkStart w:id="220" w:name="_Toc18641"/>
      <w:r>
        <w:rPr>
          <w:b/>
          <w:bCs/>
          <w:color w:val="auto"/>
          <w:sz w:val="28"/>
          <w:szCs w:val="32"/>
          <w:highlight w:val="none"/>
        </w:rPr>
        <w:t>二、法定代表人身份证</w:t>
      </w:r>
      <w:bookmarkEnd w:id="213"/>
      <w:r>
        <w:rPr>
          <w:b/>
          <w:bCs/>
          <w:color w:val="auto"/>
          <w:sz w:val="28"/>
          <w:szCs w:val="32"/>
          <w:highlight w:val="none"/>
        </w:rPr>
        <w:t>明</w:t>
      </w:r>
      <w:bookmarkStart w:id="221" w:name="_Toc32154"/>
      <w:r>
        <w:rPr>
          <w:rFonts w:hint="eastAsia"/>
          <w:b/>
          <w:bCs/>
          <w:color w:val="auto"/>
          <w:sz w:val="28"/>
          <w:szCs w:val="32"/>
          <w:highlight w:val="none"/>
          <w:lang w:eastAsia="zh-CN"/>
        </w:rPr>
        <w:t>、</w:t>
      </w:r>
      <w:r>
        <w:rPr>
          <w:b/>
          <w:bCs/>
          <w:color w:val="auto"/>
          <w:sz w:val="28"/>
          <w:szCs w:val="32"/>
          <w:highlight w:val="none"/>
        </w:rPr>
        <w:t>授权委托书</w:t>
      </w:r>
      <w:bookmarkEnd w:id="214"/>
      <w:bookmarkEnd w:id="215"/>
      <w:bookmarkEnd w:id="220"/>
      <w:r>
        <w:rPr>
          <w:rFonts w:hint="eastAsia"/>
          <w:b/>
          <w:bCs/>
          <w:color w:val="auto"/>
          <w:sz w:val="28"/>
          <w:szCs w:val="32"/>
          <w:highlight w:val="none"/>
          <w:lang w:eastAsia="zh-CN"/>
        </w:rPr>
        <w:t>及联合体协议书（如有）</w:t>
      </w:r>
    </w:p>
    <w:p>
      <w:pPr>
        <w:pStyle w:val="4"/>
        <w:spacing w:line="410" w:lineRule="exact"/>
        <w:ind w:firstLine="482"/>
        <w:jc w:val="center"/>
        <w:rPr>
          <w:rFonts w:ascii="Times New Roman"/>
          <w:color w:val="auto"/>
          <w:highlight w:val="none"/>
        </w:rPr>
      </w:pPr>
      <w:r>
        <w:rPr>
          <w:rFonts w:ascii="Times New Roman"/>
          <w:color w:val="auto"/>
          <w:highlight w:val="none"/>
        </w:rPr>
        <w:t>2.1法定</w:t>
      </w:r>
      <w:bookmarkEnd w:id="216"/>
      <w:bookmarkEnd w:id="217"/>
      <w:bookmarkEnd w:id="218"/>
      <w:bookmarkEnd w:id="219"/>
      <w:bookmarkEnd w:id="221"/>
      <w:r>
        <w:rPr>
          <w:rFonts w:ascii="Times New Roman"/>
          <w:color w:val="auto"/>
          <w:highlight w:val="none"/>
        </w:rPr>
        <w:t>代表人身份证明</w:t>
      </w:r>
    </w:p>
    <w:p>
      <w:pPr>
        <w:spacing w:line="410" w:lineRule="exact"/>
        <w:ind w:firstLine="400"/>
        <w:rPr>
          <w:color w:val="auto"/>
          <w:sz w:val="20"/>
          <w:highlight w:val="none"/>
        </w:rPr>
      </w:pPr>
    </w:p>
    <w:p>
      <w:pPr>
        <w:spacing w:line="410" w:lineRule="exact"/>
        <w:ind w:firstLine="420"/>
        <w:rPr>
          <w:color w:val="auto"/>
          <w:sz w:val="21"/>
          <w:szCs w:val="21"/>
          <w:highlight w:val="none"/>
        </w:rPr>
      </w:pPr>
      <w:r>
        <w:rPr>
          <w:color w:val="auto"/>
          <w:sz w:val="21"/>
          <w:szCs w:val="21"/>
          <w:highlight w:val="none"/>
        </w:rPr>
        <w:t>投标人名称：</w:t>
      </w:r>
    </w:p>
    <w:p>
      <w:pPr>
        <w:spacing w:line="410" w:lineRule="exact"/>
        <w:ind w:firstLine="420"/>
        <w:rPr>
          <w:color w:val="auto"/>
          <w:sz w:val="21"/>
          <w:szCs w:val="21"/>
          <w:highlight w:val="none"/>
        </w:rPr>
      </w:pPr>
      <w:r>
        <w:rPr>
          <w:color w:val="auto"/>
          <w:sz w:val="21"/>
          <w:szCs w:val="21"/>
          <w:highlight w:val="none"/>
        </w:rPr>
        <w:t>单位性质：</w:t>
      </w:r>
    </w:p>
    <w:p>
      <w:pPr>
        <w:spacing w:line="410" w:lineRule="exact"/>
        <w:ind w:firstLine="420"/>
        <w:rPr>
          <w:color w:val="auto"/>
          <w:sz w:val="21"/>
          <w:szCs w:val="21"/>
          <w:highlight w:val="none"/>
        </w:rPr>
      </w:pPr>
      <w:r>
        <w:rPr>
          <w:color w:val="auto"/>
          <w:sz w:val="21"/>
          <w:szCs w:val="21"/>
          <w:highlight w:val="none"/>
        </w:rPr>
        <w:t>地址：</w:t>
      </w:r>
    </w:p>
    <w:p>
      <w:pPr>
        <w:spacing w:line="410" w:lineRule="exact"/>
        <w:ind w:firstLine="420"/>
        <w:rPr>
          <w:color w:val="auto"/>
          <w:sz w:val="21"/>
          <w:szCs w:val="21"/>
          <w:highlight w:val="none"/>
        </w:rPr>
      </w:pPr>
      <w:r>
        <w:rPr>
          <w:color w:val="auto"/>
          <w:sz w:val="21"/>
          <w:szCs w:val="21"/>
          <w:highlight w:val="none"/>
        </w:rPr>
        <w:t>成立时间： 年 月 日</w:t>
      </w:r>
    </w:p>
    <w:p>
      <w:pPr>
        <w:spacing w:line="410" w:lineRule="exact"/>
        <w:ind w:firstLine="420"/>
        <w:rPr>
          <w:color w:val="auto"/>
          <w:sz w:val="21"/>
          <w:szCs w:val="21"/>
          <w:highlight w:val="none"/>
        </w:rPr>
      </w:pPr>
      <w:r>
        <w:rPr>
          <w:color w:val="auto"/>
          <w:sz w:val="21"/>
          <w:szCs w:val="21"/>
          <w:highlight w:val="none"/>
        </w:rPr>
        <w:t>经营期限：</w:t>
      </w:r>
    </w:p>
    <w:p>
      <w:pPr>
        <w:spacing w:line="410" w:lineRule="exact"/>
        <w:ind w:firstLine="420"/>
        <w:rPr>
          <w:color w:val="auto"/>
          <w:sz w:val="21"/>
          <w:szCs w:val="21"/>
          <w:highlight w:val="none"/>
        </w:rPr>
      </w:pPr>
      <w:r>
        <w:rPr>
          <w:color w:val="auto"/>
          <w:sz w:val="21"/>
          <w:szCs w:val="21"/>
          <w:highlight w:val="none"/>
        </w:rPr>
        <w:t>姓名： 性别： 年龄：职务：</w:t>
      </w:r>
    </w:p>
    <w:p>
      <w:pPr>
        <w:spacing w:line="410" w:lineRule="exact"/>
        <w:ind w:firstLine="420"/>
        <w:rPr>
          <w:color w:val="auto"/>
          <w:sz w:val="21"/>
          <w:szCs w:val="21"/>
          <w:highlight w:val="none"/>
        </w:rPr>
      </w:pPr>
      <w:r>
        <w:rPr>
          <w:color w:val="auto"/>
          <w:sz w:val="21"/>
          <w:szCs w:val="21"/>
          <w:highlight w:val="none"/>
        </w:rPr>
        <w:t>系 （投标人名称）的法定代表人。</w:t>
      </w:r>
    </w:p>
    <w:p>
      <w:pPr>
        <w:spacing w:line="410" w:lineRule="exact"/>
        <w:ind w:firstLine="420"/>
        <w:rPr>
          <w:color w:val="auto"/>
          <w:sz w:val="21"/>
          <w:szCs w:val="21"/>
          <w:highlight w:val="none"/>
        </w:rPr>
      </w:pPr>
      <w:r>
        <w:rPr>
          <w:color w:val="auto"/>
          <w:sz w:val="21"/>
          <w:szCs w:val="21"/>
          <w:highlight w:val="none"/>
        </w:rPr>
        <w:t>特此证明。</w:t>
      </w:r>
    </w:p>
    <w:p>
      <w:pPr>
        <w:spacing w:line="410" w:lineRule="exact"/>
        <w:ind w:firstLine="420"/>
        <w:rPr>
          <w:color w:val="auto"/>
          <w:sz w:val="21"/>
          <w:szCs w:val="21"/>
          <w:highlight w:val="none"/>
        </w:rPr>
      </w:pPr>
    </w:p>
    <w:p>
      <w:pPr>
        <w:tabs>
          <w:tab w:val="left" w:pos="4799"/>
        </w:tabs>
        <w:spacing w:line="410" w:lineRule="exact"/>
        <w:ind w:firstLine="420"/>
        <w:rPr>
          <w:color w:val="auto"/>
          <w:sz w:val="21"/>
          <w:szCs w:val="21"/>
          <w:highlight w:val="none"/>
        </w:rPr>
      </w:pPr>
      <w:r>
        <w:rPr>
          <w:color w:val="auto"/>
          <w:sz w:val="21"/>
          <w:szCs w:val="21"/>
          <w:highlight w:val="none"/>
        </w:rPr>
        <w:tab/>
      </w:r>
    </w:p>
    <w:p>
      <w:pPr>
        <w:spacing w:line="410" w:lineRule="exact"/>
        <w:ind w:firstLine="420"/>
        <w:rPr>
          <w:color w:val="auto"/>
          <w:sz w:val="21"/>
          <w:szCs w:val="21"/>
          <w:highlight w:val="none"/>
        </w:rPr>
      </w:pPr>
    </w:p>
    <w:p>
      <w:pPr>
        <w:spacing w:line="410" w:lineRule="exact"/>
        <w:ind w:firstLine="420"/>
        <w:rPr>
          <w:color w:val="auto"/>
          <w:sz w:val="21"/>
          <w:szCs w:val="21"/>
          <w:highlight w:val="none"/>
        </w:rPr>
      </w:pPr>
    </w:p>
    <w:p>
      <w:pPr>
        <w:wordWrap w:val="0"/>
        <w:spacing w:line="410" w:lineRule="exact"/>
        <w:ind w:firstLine="420"/>
        <w:jc w:val="right"/>
        <w:rPr>
          <w:color w:val="auto"/>
          <w:sz w:val="21"/>
          <w:szCs w:val="21"/>
          <w:highlight w:val="none"/>
        </w:rPr>
      </w:pPr>
      <w:r>
        <w:rPr>
          <w:color w:val="auto"/>
          <w:sz w:val="21"/>
          <w:szCs w:val="21"/>
          <w:highlight w:val="none"/>
        </w:rPr>
        <w:t xml:space="preserve">                          投标人（盖单位公章）</w:t>
      </w:r>
    </w:p>
    <w:p>
      <w:pPr>
        <w:spacing w:line="410" w:lineRule="exact"/>
        <w:ind w:firstLine="420"/>
        <w:jc w:val="right"/>
        <w:rPr>
          <w:color w:val="auto"/>
          <w:sz w:val="21"/>
          <w:szCs w:val="21"/>
          <w:highlight w:val="none"/>
        </w:rPr>
      </w:pPr>
      <w:r>
        <w:rPr>
          <w:color w:val="auto"/>
          <w:sz w:val="21"/>
          <w:szCs w:val="21"/>
          <w:highlight w:val="none"/>
        </w:rPr>
        <w:t>年月日</w:t>
      </w:r>
    </w:p>
    <w:p>
      <w:pPr>
        <w:spacing w:line="410" w:lineRule="exact"/>
        <w:ind w:firstLine="420"/>
        <w:rPr>
          <w:color w:val="auto"/>
          <w:sz w:val="21"/>
          <w:szCs w:val="21"/>
          <w:highlight w:val="none"/>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9" w:hRule="atLeast"/>
        </w:trPr>
        <w:tc>
          <w:tcPr>
            <w:tcW w:w="8528" w:type="dxa"/>
            <w:vAlign w:val="center"/>
          </w:tcPr>
          <w:p>
            <w:pPr>
              <w:spacing w:line="410" w:lineRule="exact"/>
              <w:ind w:firstLine="560"/>
              <w:jc w:val="center"/>
              <w:rPr>
                <w:rFonts w:ascii="Times New Roman" w:eastAsia="黑体"/>
                <w:color w:val="auto"/>
                <w:sz w:val="28"/>
                <w:szCs w:val="28"/>
                <w:highlight w:val="none"/>
              </w:rPr>
            </w:pPr>
            <w:r>
              <w:rPr>
                <w:rFonts w:ascii="Times New Roman" w:eastAsia="黑体"/>
                <w:color w:val="auto"/>
                <w:sz w:val="28"/>
                <w:szCs w:val="28"/>
                <w:highlight w:val="none"/>
              </w:rPr>
              <w:t>法定代表人身份证扫描件</w:t>
            </w:r>
          </w:p>
          <w:p>
            <w:pPr>
              <w:spacing w:line="410" w:lineRule="exact"/>
              <w:ind w:firstLine="420"/>
              <w:jc w:val="center"/>
              <w:rPr>
                <w:rFonts w:ascii="Times New Roman"/>
                <w:color w:val="auto"/>
                <w:sz w:val="21"/>
                <w:szCs w:val="21"/>
                <w:highlight w:val="none"/>
              </w:rPr>
            </w:pPr>
            <w:bookmarkStart w:id="222" w:name="_Toc23768"/>
            <w:bookmarkStart w:id="223" w:name="_Toc152045792"/>
            <w:bookmarkStart w:id="224" w:name="_Toc144974861"/>
            <w:bookmarkStart w:id="225" w:name="_Toc295398988"/>
            <w:bookmarkStart w:id="226" w:name="_Toc152042581"/>
            <w:r>
              <w:rPr>
                <w:rFonts w:ascii="Times New Roman"/>
                <w:color w:val="auto"/>
                <w:sz w:val="21"/>
                <w:szCs w:val="21"/>
                <w:highlight w:val="none"/>
              </w:rPr>
              <w:t>本处应为证件扫描件（正、反面），不允许另行粘贴，相关信息应清晰可辩。</w:t>
            </w:r>
          </w:p>
        </w:tc>
      </w:tr>
    </w:tbl>
    <w:p>
      <w:pPr>
        <w:spacing w:line="410" w:lineRule="exact"/>
        <w:rPr>
          <w:color w:val="auto"/>
          <w:szCs w:val="21"/>
          <w:highlight w:val="none"/>
        </w:rPr>
      </w:pPr>
    </w:p>
    <w:p>
      <w:pPr>
        <w:spacing w:line="410" w:lineRule="exact"/>
        <w:rPr>
          <w:rFonts w:eastAsia="黑体"/>
          <w:color w:val="auto"/>
          <w:sz w:val="20"/>
          <w:highlight w:val="none"/>
        </w:rPr>
      </w:pPr>
    </w:p>
    <w:p>
      <w:pPr>
        <w:spacing w:line="410" w:lineRule="exact"/>
        <w:rPr>
          <w:rFonts w:eastAsia="黑体"/>
          <w:color w:val="auto"/>
          <w:sz w:val="20"/>
          <w:highlight w:val="none"/>
        </w:rPr>
      </w:pPr>
    </w:p>
    <w:p>
      <w:pPr>
        <w:widowControl/>
        <w:jc w:val="left"/>
        <w:rPr>
          <w:rFonts w:eastAsia="黑体"/>
          <w:color w:val="auto"/>
          <w:sz w:val="20"/>
          <w:highlight w:val="none"/>
        </w:rPr>
      </w:pPr>
      <w:r>
        <w:rPr>
          <w:rFonts w:eastAsia="黑体"/>
          <w:color w:val="auto"/>
          <w:sz w:val="20"/>
          <w:highlight w:val="none"/>
        </w:rPr>
        <w:br w:type="page"/>
      </w:r>
    </w:p>
    <w:p>
      <w:pPr>
        <w:spacing w:line="410" w:lineRule="exact"/>
        <w:rPr>
          <w:rFonts w:eastAsia="黑体"/>
          <w:color w:val="auto"/>
          <w:sz w:val="20"/>
          <w:highlight w:val="none"/>
        </w:rPr>
      </w:pPr>
    </w:p>
    <w:bookmarkEnd w:id="222"/>
    <w:bookmarkEnd w:id="223"/>
    <w:bookmarkEnd w:id="224"/>
    <w:bookmarkEnd w:id="225"/>
    <w:bookmarkEnd w:id="226"/>
    <w:p>
      <w:pPr>
        <w:pStyle w:val="4"/>
        <w:spacing w:line="410" w:lineRule="exact"/>
        <w:ind w:firstLine="482"/>
        <w:jc w:val="center"/>
        <w:rPr>
          <w:rFonts w:ascii="Times New Roman"/>
          <w:color w:val="auto"/>
          <w:highlight w:val="none"/>
        </w:rPr>
      </w:pPr>
      <w:r>
        <w:rPr>
          <w:rFonts w:ascii="Times New Roman"/>
          <w:color w:val="auto"/>
          <w:highlight w:val="none"/>
        </w:rPr>
        <w:t>2.2授权委托书</w:t>
      </w:r>
    </w:p>
    <w:p>
      <w:pPr>
        <w:spacing w:line="410" w:lineRule="exact"/>
        <w:rPr>
          <w:rFonts w:eastAsia="黑体"/>
          <w:color w:val="auto"/>
          <w:szCs w:val="21"/>
          <w:highlight w:val="none"/>
        </w:rPr>
      </w:pPr>
    </w:p>
    <w:p>
      <w:pPr>
        <w:topLinePunct/>
        <w:spacing w:line="410" w:lineRule="exact"/>
        <w:ind w:firstLine="420"/>
        <w:rPr>
          <w:color w:val="auto"/>
          <w:sz w:val="21"/>
          <w:szCs w:val="21"/>
          <w:highlight w:val="none"/>
        </w:rPr>
      </w:pPr>
      <w:r>
        <w:rPr>
          <w:color w:val="auto"/>
          <w:sz w:val="21"/>
          <w:szCs w:val="21"/>
          <w:highlight w:val="none"/>
        </w:rPr>
        <w:t>本人（姓名）系（投标人名称）的法定代表人，现委托（姓名）为我方代理人。代理人根据授权，以我方名义签署、澄清、说明、补正、递交、撤回、修改（项目名称及标段）投标文件、签订合同和处理有关事宜，其法律后果由我方承担。</w:t>
      </w:r>
    </w:p>
    <w:p>
      <w:pPr>
        <w:spacing w:line="410" w:lineRule="exact"/>
        <w:ind w:firstLine="420"/>
        <w:rPr>
          <w:color w:val="auto"/>
          <w:sz w:val="21"/>
          <w:szCs w:val="21"/>
          <w:highlight w:val="none"/>
        </w:rPr>
      </w:pPr>
      <w:r>
        <w:rPr>
          <w:color w:val="auto"/>
          <w:sz w:val="21"/>
          <w:szCs w:val="21"/>
          <w:highlight w:val="none"/>
        </w:rPr>
        <w:t>委托期限：。</w:t>
      </w:r>
    </w:p>
    <w:p>
      <w:pPr>
        <w:spacing w:line="410" w:lineRule="exact"/>
        <w:ind w:firstLine="420"/>
        <w:rPr>
          <w:color w:val="auto"/>
          <w:sz w:val="21"/>
          <w:szCs w:val="21"/>
          <w:highlight w:val="none"/>
        </w:rPr>
      </w:pPr>
      <w:r>
        <w:rPr>
          <w:color w:val="auto"/>
          <w:sz w:val="21"/>
          <w:szCs w:val="21"/>
          <w:highlight w:val="none"/>
        </w:rPr>
        <w:t>代理人无转委托权。</w:t>
      </w:r>
    </w:p>
    <w:p>
      <w:pPr>
        <w:spacing w:line="410" w:lineRule="exact"/>
        <w:ind w:firstLine="420"/>
        <w:rPr>
          <w:color w:val="auto"/>
          <w:sz w:val="21"/>
          <w:szCs w:val="21"/>
          <w:highlight w:val="none"/>
        </w:rPr>
      </w:pPr>
      <w:r>
        <w:rPr>
          <w:color w:val="auto"/>
          <w:sz w:val="21"/>
          <w:szCs w:val="21"/>
          <w:highlight w:val="none"/>
        </w:rPr>
        <w:t>附：法定代表人身份证明</w:t>
      </w:r>
    </w:p>
    <w:p>
      <w:pPr>
        <w:spacing w:line="410" w:lineRule="exact"/>
        <w:ind w:firstLine="420"/>
        <w:rPr>
          <w:color w:val="auto"/>
          <w:sz w:val="21"/>
          <w:szCs w:val="21"/>
          <w:highlight w:val="none"/>
        </w:rPr>
      </w:pPr>
    </w:p>
    <w:p>
      <w:pPr>
        <w:spacing w:line="410" w:lineRule="exact"/>
        <w:ind w:firstLine="420"/>
        <w:rPr>
          <w:color w:val="auto"/>
          <w:sz w:val="21"/>
          <w:szCs w:val="21"/>
          <w:highlight w:val="none"/>
        </w:rPr>
      </w:pPr>
    </w:p>
    <w:p>
      <w:pPr>
        <w:spacing w:line="410" w:lineRule="exact"/>
        <w:ind w:firstLine="420"/>
        <w:rPr>
          <w:color w:val="auto"/>
          <w:sz w:val="21"/>
          <w:szCs w:val="21"/>
          <w:highlight w:val="none"/>
        </w:rPr>
      </w:pPr>
    </w:p>
    <w:p>
      <w:pPr>
        <w:autoSpaceDE w:val="0"/>
        <w:autoSpaceDN w:val="0"/>
        <w:adjustRightInd w:val="0"/>
        <w:spacing w:line="440" w:lineRule="exact"/>
        <w:ind w:firstLine="3238" w:firstLineChars="1542"/>
        <w:jc w:val="left"/>
        <w:rPr>
          <w:rFonts w:ascii="宋体" w:hAnsi="宋体" w:cs="宋体"/>
          <w:sz w:val="21"/>
          <w:szCs w:val="21"/>
        </w:rPr>
      </w:pPr>
      <w:r>
        <w:rPr>
          <w:rFonts w:hint="eastAsia" w:ascii="宋体" w:hAnsi="宋体" w:cs="宋体"/>
          <w:sz w:val="21"/>
          <w:szCs w:val="21"/>
        </w:rPr>
        <w:t>投标人：（盖单位章）</w:t>
      </w:r>
    </w:p>
    <w:p>
      <w:pPr>
        <w:autoSpaceDE w:val="0"/>
        <w:autoSpaceDN w:val="0"/>
        <w:adjustRightInd w:val="0"/>
        <w:spacing w:line="440" w:lineRule="exact"/>
        <w:ind w:firstLine="3238" w:firstLineChars="1542"/>
        <w:jc w:val="left"/>
        <w:rPr>
          <w:rFonts w:ascii="宋体" w:hAnsi="宋体" w:cs="宋体"/>
          <w:sz w:val="21"/>
          <w:szCs w:val="21"/>
        </w:rPr>
      </w:pPr>
      <w:r>
        <w:rPr>
          <w:rFonts w:hint="eastAsia" w:ascii="宋体" w:hAnsi="宋体" w:cs="宋体"/>
          <w:sz w:val="21"/>
          <w:szCs w:val="21"/>
        </w:rPr>
        <w:t>法定代表人： （签字）</w:t>
      </w:r>
    </w:p>
    <w:p>
      <w:pPr>
        <w:autoSpaceDE w:val="0"/>
        <w:autoSpaceDN w:val="0"/>
        <w:adjustRightInd w:val="0"/>
        <w:spacing w:line="440" w:lineRule="exact"/>
        <w:ind w:firstLine="3238" w:firstLineChars="1542"/>
        <w:jc w:val="left"/>
        <w:rPr>
          <w:rFonts w:ascii="宋体" w:hAnsi="宋体" w:cs="宋体"/>
          <w:sz w:val="21"/>
          <w:szCs w:val="21"/>
        </w:rPr>
      </w:pPr>
      <w:r>
        <w:rPr>
          <w:rFonts w:hint="eastAsia" w:ascii="宋体" w:hAnsi="宋体" w:cs="宋体"/>
          <w:sz w:val="21"/>
          <w:szCs w:val="21"/>
        </w:rPr>
        <w:t>身份证号码：</w:t>
      </w:r>
    </w:p>
    <w:p>
      <w:pPr>
        <w:autoSpaceDE w:val="0"/>
        <w:autoSpaceDN w:val="0"/>
        <w:adjustRightInd w:val="0"/>
        <w:spacing w:line="440" w:lineRule="exact"/>
        <w:ind w:firstLine="3238" w:firstLineChars="1542"/>
        <w:jc w:val="left"/>
        <w:rPr>
          <w:rFonts w:ascii="宋体" w:hAnsi="宋体" w:cs="宋体"/>
          <w:sz w:val="21"/>
          <w:szCs w:val="21"/>
        </w:rPr>
      </w:pPr>
      <w:r>
        <w:rPr>
          <w:rFonts w:hint="eastAsia" w:ascii="宋体" w:hAnsi="宋体" w:cs="宋体"/>
          <w:sz w:val="21"/>
          <w:szCs w:val="21"/>
        </w:rPr>
        <w:t>委托代理人： （签字）</w:t>
      </w:r>
    </w:p>
    <w:p>
      <w:pPr>
        <w:autoSpaceDE w:val="0"/>
        <w:autoSpaceDN w:val="0"/>
        <w:adjustRightInd w:val="0"/>
        <w:spacing w:line="440" w:lineRule="exact"/>
        <w:ind w:firstLine="3238" w:firstLineChars="1542"/>
        <w:jc w:val="left"/>
        <w:rPr>
          <w:rFonts w:hint="eastAsia" w:ascii="宋体" w:hAnsi="宋体" w:cs="宋体"/>
          <w:sz w:val="21"/>
          <w:szCs w:val="21"/>
        </w:rPr>
      </w:pPr>
      <w:r>
        <w:rPr>
          <w:rFonts w:hint="eastAsia" w:ascii="宋体" w:hAnsi="宋体" w:cs="宋体"/>
          <w:sz w:val="21"/>
          <w:szCs w:val="21"/>
        </w:rPr>
        <w:t>身份证号码：</w:t>
      </w:r>
    </w:p>
    <w:p>
      <w:pPr>
        <w:autoSpaceDE w:val="0"/>
        <w:autoSpaceDN w:val="0"/>
        <w:adjustRightInd w:val="0"/>
        <w:spacing w:line="440" w:lineRule="exact"/>
        <w:ind w:firstLine="3238" w:firstLineChars="1542"/>
        <w:jc w:val="left"/>
        <w:rPr>
          <w:sz w:val="21"/>
          <w:szCs w:val="21"/>
        </w:rPr>
      </w:pPr>
      <w:r>
        <w:rPr>
          <w:rFonts w:hint="eastAsia" w:hAnsi="宋体" w:cs="宋体"/>
          <w:sz w:val="21"/>
          <w:szCs w:val="21"/>
        </w:rPr>
        <w:t>联系电话:</w:t>
      </w:r>
    </w:p>
    <w:p>
      <w:pPr>
        <w:wordWrap w:val="0"/>
        <w:spacing w:line="360" w:lineRule="auto"/>
        <w:ind w:right="1110"/>
        <w:jc w:val="right"/>
        <w:rPr>
          <w:rFonts w:ascii="宋体" w:hAnsi="宋体" w:cs="宋体"/>
          <w:sz w:val="21"/>
          <w:szCs w:val="21"/>
        </w:rPr>
      </w:pPr>
      <w:r>
        <w:rPr>
          <w:rFonts w:hint="eastAsia" w:ascii="宋体" w:hAnsi="宋体" w:cs="宋体"/>
          <w:sz w:val="21"/>
          <w:szCs w:val="21"/>
        </w:rPr>
        <w:t>年   月    日</w:t>
      </w:r>
    </w:p>
    <w:p>
      <w:pPr>
        <w:spacing w:line="410" w:lineRule="exact"/>
        <w:rPr>
          <w:color w:val="auto"/>
          <w:szCs w:val="21"/>
          <w:highlight w:val="none"/>
        </w:rPr>
      </w:pPr>
    </w:p>
    <w:tbl>
      <w:tblPr>
        <w:tblStyle w:val="20"/>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jc w:val="center"/>
        </w:trPr>
        <w:tc>
          <w:tcPr>
            <w:tcW w:w="8364" w:type="dxa"/>
          </w:tcPr>
          <w:p>
            <w:pPr>
              <w:spacing w:line="410" w:lineRule="exact"/>
              <w:ind w:firstLine="640"/>
              <w:jc w:val="center"/>
              <w:rPr>
                <w:rFonts w:ascii="Times New Roman" w:eastAsia="黑体"/>
                <w:color w:val="auto"/>
                <w:sz w:val="32"/>
                <w:szCs w:val="32"/>
                <w:highlight w:val="none"/>
              </w:rPr>
            </w:pPr>
            <w:r>
              <w:rPr>
                <w:rFonts w:ascii="Times New Roman" w:eastAsia="黑体"/>
                <w:color w:val="auto"/>
                <w:sz w:val="32"/>
                <w:szCs w:val="32"/>
                <w:highlight w:val="none"/>
              </w:rPr>
              <w:t>委托代理人身份证扫描件</w:t>
            </w:r>
          </w:p>
          <w:p>
            <w:pPr>
              <w:autoSpaceDN w:val="0"/>
              <w:spacing w:beforeAutospacing="1" w:afterAutospacing="1" w:line="410" w:lineRule="exact"/>
              <w:ind w:firstLine="420"/>
              <w:rPr>
                <w:rFonts w:ascii="Times New Roman"/>
                <w:color w:val="auto"/>
                <w:sz w:val="21"/>
                <w:szCs w:val="21"/>
                <w:highlight w:val="none"/>
              </w:rPr>
            </w:pPr>
            <w:bookmarkStart w:id="227" w:name="_Toc3967"/>
            <w:r>
              <w:rPr>
                <w:rFonts w:ascii="Times New Roman"/>
                <w:color w:val="auto"/>
                <w:sz w:val="21"/>
                <w:szCs w:val="21"/>
                <w:highlight w:val="none"/>
              </w:rPr>
              <w:t>本处应为证件扫描件（正、反面），不允许另行粘贴，相关信息应清晰可辩。</w:t>
            </w:r>
          </w:p>
          <w:p>
            <w:pPr>
              <w:spacing w:line="410" w:lineRule="exact"/>
              <w:jc w:val="center"/>
              <w:rPr>
                <w:rFonts w:ascii="Times New Roman"/>
                <w:color w:val="auto"/>
                <w:szCs w:val="21"/>
                <w:highlight w:val="none"/>
              </w:rPr>
            </w:pPr>
          </w:p>
        </w:tc>
      </w:tr>
    </w:tbl>
    <w:p>
      <w:pPr>
        <w:spacing w:line="410" w:lineRule="exact"/>
        <w:rPr>
          <w:color w:val="auto"/>
          <w:szCs w:val="21"/>
          <w:highlight w:val="none"/>
        </w:rPr>
      </w:pPr>
    </w:p>
    <w:p>
      <w:pPr>
        <w:spacing w:line="410" w:lineRule="exact"/>
        <w:rPr>
          <w:color w:val="auto"/>
          <w:szCs w:val="21"/>
          <w:highlight w:val="none"/>
        </w:rPr>
      </w:pPr>
    </w:p>
    <w:p>
      <w:pPr>
        <w:spacing w:line="410" w:lineRule="exact"/>
        <w:rPr>
          <w:color w:val="auto"/>
          <w:szCs w:val="21"/>
          <w:highlight w:val="none"/>
        </w:rPr>
      </w:pPr>
    </w:p>
    <w:p>
      <w:pPr>
        <w:rPr>
          <w:color w:val="auto"/>
          <w:szCs w:val="21"/>
          <w:highlight w:val="none"/>
        </w:rPr>
      </w:pPr>
      <w:r>
        <w:rPr>
          <w:color w:val="auto"/>
          <w:szCs w:val="21"/>
          <w:highlight w:val="none"/>
        </w:rPr>
        <w:br w:type="page"/>
      </w:r>
    </w:p>
    <w:p>
      <w:pPr>
        <w:autoSpaceDE w:val="0"/>
        <w:autoSpaceDN w:val="0"/>
        <w:adjustRightInd w:val="0"/>
        <w:spacing w:line="360" w:lineRule="auto"/>
        <w:ind w:firstLine="748" w:firstLineChars="266"/>
        <w:jc w:val="left"/>
        <w:rPr>
          <w:rFonts w:hint="eastAsia" w:hAnsi="宋体" w:cs="TimesNewRomanPSMT"/>
          <w:color w:val="auto"/>
          <w:sz w:val="24"/>
          <w:szCs w:val="24"/>
          <w:highlight w:val="none"/>
        </w:rPr>
      </w:pPr>
      <w:r>
        <w:rPr>
          <w:rFonts w:hint="eastAsia" w:hAnsi="宋体" w:cs="宋体"/>
          <w:b/>
          <w:bCs/>
          <w:color w:val="auto"/>
          <w:sz w:val="28"/>
          <w:szCs w:val="28"/>
          <w:highlight w:val="none"/>
          <w:lang w:val="en-US" w:eastAsia="zh-CN"/>
        </w:rPr>
        <w:t xml:space="preserve">2.3 </w:t>
      </w:r>
      <w:r>
        <w:rPr>
          <w:rFonts w:hint="eastAsia" w:hAnsi="宋体" w:cs="宋体"/>
          <w:b/>
          <w:bCs/>
          <w:color w:val="auto"/>
          <w:sz w:val="28"/>
          <w:szCs w:val="28"/>
          <w:highlight w:val="none"/>
        </w:rPr>
        <w:t>联合体协议书</w:t>
      </w:r>
      <w:r>
        <w:rPr>
          <w:rFonts w:hint="eastAsia" w:hAnsi="宋体" w:cs="宋体"/>
          <w:bCs/>
          <w:color w:val="auto"/>
          <w:sz w:val="28"/>
          <w:szCs w:val="28"/>
          <w:highlight w:val="none"/>
        </w:rPr>
        <w:t>（若为联合体投标的，须附联合体协议书）</w:t>
      </w:r>
    </w:p>
    <w:p>
      <w:pPr>
        <w:pStyle w:val="3"/>
        <w:jc w:val="center"/>
        <w:rPr>
          <w:rFonts w:hint="eastAsia" w:ascii="Times New Roman" w:hAnsi="Times New Roman" w:eastAsia="宋体"/>
          <w:bCs w:val="0"/>
          <w:color w:val="auto"/>
          <w:highlight w:val="none"/>
        </w:rPr>
      </w:pPr>
    </w:p>
    <w:p>
      <w:pPr>
        <w:topLinePunct/>
        <w:spacing w:line="440" w:lineRule="exact"/>
        <w:ind w:firstLine="480" w:firstLineChars="200"/>
        <w:rPr>
          <w:color w:val="auto"/>
          <w:sz w:val="24"/>
          <w:szCs w:val="24"/>
          <w:highlight w:val="none"/>
        </w:rPr>
      </w:pPr>
      <w:r>
        <w:rPr>
          <w:color w:val="auto"/>
          <w:sz w:val="24"/>
          <w:szCs w:val="24"/>
          <w:highlight w:val="none"/>
          <w:u w:val="single"/>
        </w:rPr>
        <w:t xml:space="preserve">          </w:t>
      </w:r>
      <w:r>
        <w:rPr>
          <w:color w:val="auto"/>
          <w:sz w:val="24"/>
          <w:szCs w:val="24"/>
          <w:highlight w:val="none"/>
        </w:rPr>
        <w:t>（所有成员单位名称）自愿组成</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（联合体名称）</w:t>
      </w:r>
      <w:r>
        <w:rPr>
          <w:rFonts w:hint="eastAsia"/>
          <w:color w:val="auto"/>
          <w:sz w:val="24"/>
          <w:szCs w:val="24"/>
          <w:highlight w:val="none"/>
        </w:rPr>
        <w:t>联合体</w:t>
      </w:r>
      <w:r>
        <w:rPr>
          <w:color w:val="auto"/>
          <w:sz w:val="24"/>
          <w:szCs w:val="24"/>
          <w:highlight w:val="none"/>
        </w:rPr>
        <w:t>，共同参加</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（项目名称）</w:t>
      </w:r>
      <w:r>
        <w:rPr>
          <w:rFonts w:hint="eastAsia"/>
          <w:color w:val="auto"/>
          <w:sz w:val="24"/>
          <w:szCs w:val="24"/>
          <w:highlight w:val="none"/>
        </w:rPr>
        <w:t>设计</w:t>
      </w:r>
      <w:r>
        <w:rPr>
          <w:color w:val="auto"/>
          <w:sz w:val="24"/>
          <w:szCs w:val="24"/>
          <w:highlight w:val="none"/>
        </w:rPr>
        <w:t>投标。现就联合体投标事宜订立如下协议。</w:t>
      </w:r>
    </w:p>
    <w:p>
      <w:pPr>
        <w:topLinePunct/>
        <w:spacing w:line="44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u w:val="single"/>
        </w:rPr>
        <w:t xml:space="preserve">       </w:t>
      </w:r>
      <w:r>
        <w:rPr>
          <w:color w:val="auto"/>
          <w:sz w:val="24"/>
          <w:szCs w:val="24"/>
          <w:highlight w:val="none"/>
        </w:rPr>
        <w:t>（某成员单位名称）为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（联合体名称）牵头人。</w:t>
      </w:r>
    </w:p>
    <w:p>
      <w:pPr>
        <w:topLinePunct/>
        <w:spacing w:line="440" w:lineRule="exact"/>
        <w:ind w:firstLine="480" w:firstLineChars="200"/>
        <w:rPr>
          <w:color w:val="auto"/>
          <w:sz w:val="24"/>
          <w:szCs w:val="24"/>
          <w:highlight w:val="none"/>
        </w:rPr>
      </w:pPr>
      <w:r>
        <w:rPr>
          <w:color w:val="auto"/>
          <w:sz w:val="24"/>
          <w:szCs w:val="24"/>
          <w:highlight w:val="none"/>
        </w:rPr>
        <w:t>2、联合体牵头人</w:t>
      </w:r>
      <w:r>
        <w:rPr>
          <w:rFonts w:hint="eastAsia"/>
          <w:color w:val="auto"/>
          <w:sz w:val="24"/>
          <w:szCs w:val="24"/>
          <w:highlight w:val="none"/>
        </w:rPr>
        <w:t>合法代表联合体各成员负责本招标项目投标文件编制和合同谈判活动，并代表联合体提交和接收相关的资料、信息及指示，并处理与之有关的一切事务，</w:t>
      </w:r>
      <w:r>
        <w:rPr>
          <w:color w:val="auto"/>
          <w:sz w:val="24"/>
          <w:szCs w:val="24"/>
          <w:highlight w:val="none"/>
        </w:rPr>
        <w:t>负责合同实施阶段的主办、组织和协调工作。</w:t>
      </w:r>
    </w:p>
    <w:p>
      <w:pPr>
        <w:topLinePunct/>
        <w:spacing w:line="440" w:lineRule="exact"/>
        <w:ind w:firstLine="480" w:firstLineChars="200"/>
        <w:rPr>
          <w:color w:val="auto"/>
          <w:sz w:val="24"/>
          <w:szCs w:val="24"/>
          <w:highlight w:val="none"/>
        </w:rPr>
      </w:pPr>
      <w:r>
        <w:rPr>
          <w:color w:val="auto"/>
          <w:sz w:val="24"/>
          <w:szCs w:val="24"/>
          <w:highlight w:val="none"/>
        </w:rPr>
        <w:t>3、联合体将严格按照招标文件的各项要求，递交投标文件，履行合同，并对外承担连带责任。</w:t>
      </w:r>
    </w:p>
    <w:p>
      <w:pPr>
        <w:topLinePunct/>
        <w:spacing w:line="440" w:lineRule="exact"/>
        <w:ind w:firstLine="480" w:firstLineChars="200"/>
        <w:rPr>
          <w:color w:val="auto"/>
          <w:sz w:val="24"/>
          <w:szCs w:val="24"/>
          <w:highlight w:val="none"/>
        </w:rPr>
      </w:pPr>
      <w:r>
        <w:rPr>
          <w:color w:val="auto"/>
          <w:sz w:val="24"/>
          <w:szCs w:val="24"/>
          <w:highlight w:val="none"/>
        </w:rPr>
        <w:t>4、联合体各成员单位内部的职责分工如下：</w:t>
      </w:r>
      <w:r>
        <w:rPr>
          <w:color w:val="auto"/>
          <w:sz w:val="24"/>
          <w:szCs w:val="24"/>
          <w:highlight w:val="none"/>
          <w:u w:val="single"/>
        </w:rPr>
        <w:t xml:space="preserve">                 </w:t>
      </w:r>
      <w:r>
        <w:rPr>
          <w:color w:val="auto"/>
          <w:sz w:val="24"/>
          <w:szCs w:val="24"/>
          <w:highlight w:val="none"/>
        </w:rPr>
        <w:t xml:space="preserve"> 。</w:t>
      </w:r>
    </w:p>
    <w:p>
      <w:pPr>
        <w:topLinePunct/>
        <w:spacing w:line="440" w:lineRule="exact"/>
        <w:ind w:firstLine="480" w:firstLineChars="200"/>
        <w:rPr>
          <w:color w:val="auto"/>
          <w:sz w:val="24"/>
          <w:szCs w:val="24"/>
          <w:highlight w:val="none"/>
        </w:rPr>
      </w:pPr>
      <w:r>
        <w:rPr>
          <w:color w:val="auto"/>
          <w:sz w:val="24"/>
          <w:szCs w:val="24"/>
          <w:highlight w:val="none"/>
        </w:rPr>
        <w:t xml:space="preserve">5、本协议书自签署之日起生效，合同履行完毕后自动失效。 </w:t>
      </w:r>
    </w:p>
    <w:p>
      <w:pPr>
        <w:topLinePunct/>
        <w:spacing w:line="440" w:lineRule="exact"/>
        <w:ind w:firstLine="480" w:firstLineChars="200"/>
        <w:rPr>
          <w:color w:val="auto"/>
          <w:sz w:val="24"/>
          <w:szCs w:val="24"/>
          <w:highlight w:val="none"/>
        </w:rPr>
      </w:pPr>
      <w:r>
        <w:rPr>
          <w:color w:val="auto"/>
          <w:sz w:val="24"/>
          <w:szCs w:val="24"/>
          <w:highlight w:val="none"/>
        </w:rPr>
        <w:t>6、本协议书一式</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份，联合体成员和招标人各执一份。</w:t>
      </w:r>
    </w:p>
    <w:p>
      <w:pPr>
        <w:topLinePunct/>
        <w:spacing w:line="440" w:lineRule="exact"/>
        <w:rPr>
          <w:color w:val="auto"/>
          <w:sz w:val="24"/>
          <w:szCs w:val="24"/>
          <w:highlight w:val="none"/>
        </w:rPr>
      </w:pPr>
    </w:p>
    <w:p>
      <w:pPr>
        <w:topLinePunct/>
        <w:spacing w:line="440" w:lineRule="exact"/>
        <w:ind w:firstLine="480" w:firstLineChars="200"/>
        <w:rPr>
          <w:color w:val="auto"/>
          <w:sz w:val="24"/>
          <w:szCs w:val="24"/>
          <w:highlight w:val="none"/>
        </w:rPr>
      </w:pPr>
      <w:r>
        <w:rPr>
          <w:rFonts w:hint="eastAsia"/>
          <w:color w:val="auto"/>
          <w:sz w:val="24"/>
          <w:szCs w:val="24"/>
          <w:highlight w:val="none"/>
        </w:rPr>
        <w:t>注：本协议书由委托代理人签字的，应附法定代表人签字的授权委托书。</w:t>
      </w:r>
    </w:p>
    <w:p>
      <w:pPr>
        <w:topLinePunct/>
        <w:spacing w:line="440" w:lineRule="exact"/>
        <w:rPr>
          <w:color w:val="auto"/>
          <w:sz w:val="24"/>
          <w:szCs w:val="24"/>
          <w:highlight w:val="none"/>
        </w:rPr>
      </w:pPr>
    </w:p>
    <w:p>
      <w:pPr>
        <w:topLinePunct/>
        <w:spacing w:line="440" w:lineRule="exact"/>
        <w:rPr>
          <w:color w:val="auto"/>
          <w:sz w:val="24"/>
          <w:szCs w:val="24"/>
          <w:highlight w:val="none"/>
        </w:rPr>
      </w:pPr>
      <w:r>
        <w:rPr>
          <w:color w:val="auto"/>
          <w:sz w:val="24"/>
          <w:szCs w:val="24"/>
          <w:highlight w:val="none"/>
        </w:rPr>
        <w:t>牵头人名称：</w:t>
      </w:r>
      <w:r>
        <w:rPr>
          <w:color w:val="auto"/>
          <w:sz w:val="24"/>
          <w:szCs w:val="24"/>
          <w:highlight w:val="none"/>
          <w:u w:val="single"/>
        </w:rPr>
        <w:t xml:space="preserve">                                 </w:t>
      </w:r>
      <w:r>
        <w:rPr>
          <w:color w:val="auto"/>
          <w:sz w:val="24"/>
          <w:szCs w:val="24"/>
          <w:highlight w:val="none"/>
        </w:rPr>
        <w:t>（盖单位章）</w:t>
      </w:r>
    </w:p>
    <w:p>
      <w:pPr>
        <w:topLinePunct/>
        <w:spacing w:line="440" w:lineRule="exact"/>
        <w:rPr>
          <w:color w:val="auto"/>
          <w:sz w:val="24"/>
          <w:szCs w:val="24"/>
          <w:highlight w:val="none"/>
        </w:rPr>
      </w:pPr>
      <w:r>
        <w:rPr>
          <w:color w:val="auto"/>
          <w:sz w:val="24"/>
          <w:szCs w:val="24"/>
          <w:highlight w:val="none"/>
        </w:rPr>
        <w:t>法定代表人或其委托代理人：</w:t>
      </w:r>
      <w:r>
        <w:rPr>
          <w:color w:val="auto"/>
          <w:sz w:val="24"/>
          <w:szCs w:val="24"/>
          <w:highlight w:val="none"/>
          <w:u w:val="single"/>
        </w:rPr>
        <w:t xml:space="preserve">                       </w:t>
      </w:r>
      <w:r>
        <w:rPr>
          <w:color w:val="auto"/>
          <w:sz w:val="24"/>
          <w:szCs w:val="24"/>
          <w:highlight w:val="none"/>
        </w:rPr>
        <w:t>（签字）</w:t>
      </w:r>
    </w:p>
    <w:p>
      <w:pPr>
        <w:topLinePunct/>
        <w:spacing w:line="440" w:lineRule="exact"/>
        <w:rPr>
          <w:color w:val="auto"/>
          <w:sz w:val="24"/>
          <w:szCs w:val="24"/>
          <w:highlight w:val="none"/>
        </w:rPr>
      </w:pPr>
    </w:p>
    <w:p>
      <w:pPr>
        <w:topLinePunct/>
        <w:spacing w:line="440" w:lineRule="exact"/>
        <w:rPr>
          <w:color w:val="auto"/>
          <w:sz w:val="24"/>
          <w:szCs w:val="24"/>
          <w:highlight w:val="none"/>
        </w:rPr>
      </w:pPr>
      <w:r>
        <w:rPr>
          <w:color w:val="auto"/>
          <w:sz w:val="24"/>
          <w:szCs w:val="24"/>
          <w:highlight w:val="none"/>
        </w:rPr>
        <w:t>成员一名称：</w:t>
      </w:r>
      <w:r>
        <w:rPr>
          <w:color w:val="auto"/>
          <w:sz w:val="24"/>
          <w:szCs w:val="24"/>
          <w:highlight w:val="none"/>
          <w:u w:val="single"/>
        </w:rPr>
        <w:t xml:space="preserve">                                 </w:t>
      </w:r>
      <w:r>
        <w:rPr>
          <w:color w:val="auto"/>
          <w:sz w:val="24"/>
          <w:szCs w:val="24"/>
          <w:highlight w:val="none"/>
        </w:rPr>
        <w:t>（盖单位章）</w:t>
      </w:r>
    </w:p>
    <w:p>
      <w:pPr>
        <w:topLinePunct/>
        <w:spacing w:line="440" w:lineRule="exact"/>
        <w:rPr>
          <w:color w:val="auto"/>
          <w:sz w:val="24"/>
          <w:szCs w:val="24"/>
          <w:highlight w:val="none"/>
        </w:rPr>
      </w:pPr>
      <w:r>
        <w:rPr>
          <w:color w:val="auto"/>
          <w:sz w:val="24"/>
          <w:szCs w:val="24"/>
          <w:highlight w:val="none"/>
        </w:rPr>
        <w:t>法定代表人或其委托代理人：</w:t>
      </w:r>
      <w:r>
        <w:rPr>
          <w:color w:val="auto"/>
          <w:sz w:val="24"/>
          <w:szCs w:val="24"/>
          <w:highlight w:val="none"/>
          <w:u w:val="single"/>
        </w:rPr>
        <w:t xml:space="preserve">                       </w:t>
      </w:r>
      <w:r>
        <w:rPr>
          <w:color w:val="auto"/>
          <w:sz w:val="24"/>
          <w:szCs w:val="24"/>
          <w:highlight w:val="none"/>
        </w:rPr>
        <w:t>（签字）</w:t>
      </w:r>
    </w:p>
    <w:p>
      <w:pPr>
        <w:topLinePunct/>
        <w:spacing w:line="440" w:lineRule="exact"/>
        <w:rPr>
          <w:color w:val="auto"/>
          <w:sz w:val="24"/>
          <w:szCs w:val="24"/>
          <w:highlight w:val="none"/>
        </w:rPr>
      </w:pPr>
      <w:r>
        <w:rPr>
          <w:color w:val="auto"/>
          <w:sz w:val="24"/>
          <w:szCs w:val="24"/>
          <w:highlight w:val="none"/>
        </w:rPr>
        <w:t xml:space="preserve"> </w:t>
      </w:r>
    </w:p>
    <w:p>
      <w:pPr>
        <w:topLinePunct/>
        <w:spacing w:line="440" w:lineRule="exact"/>
        <w:rPr>
          <w:color w:val="auto"/>
          <w:sz w:val="24"/>
          <w:szCs w:val="24"/>
          <w:highlight w:val="none"/>
        </w:rPr>
      </w:pPr>
      <w:r>
        <w:rPr>
          <w:color w:val="auto"/>
          <w:sz w:val="24"/>
          <w:szCs w:val="24"/>
          <w:highlight w:val="none"/>
        </w:rPr>
        <w:t>成员二名称：</w:t>
      </w:r>
      <w:r>
        <w:rPr>
          <w:color w:val="auto"/>
          <w:sz w:val="24"/>
          <w:szCs w:val="24"/>
          <w:highlight w:val="none"/>
          <w:u w:val="single"/>
        </w:rPr>
        <w:t xml:space="preserve">                                 </w:t>
      </w:r>
      <w:r>
        <w:rPr>
          <w:color w:val="auto"/>
          <w:sz w:val="24"/>
          <w:szCs w:val="24"/>
          <w:highlight w:val="none"/>
        </w:rPr>
        <w:t>（盖单位章）</w:t>
      </w:r>
    </w:p>
    <w:p>
      <w:pPr>
        <w:topLinePunct/>
        <w:spacing w:line="440" w:lineRule="exact"/>
        <w:rPr>
          <w:color w:val="auto"/>
          <w:sz w:val="24"/>
          <w:szCs w:val="24"/>
          <w:highlight w:val="none"/>
        </w:rPr>
      </w:pPr>
      <w:r>
        <w:rPr>
          <w:color w:val="auto"/>
          <w:sz w:val="24"/>
          <w:szCs w:val="24"/>
          <w:highlight w:val="none"/>
        </w:rPr>
        <w:t>法定代表人或其委托代理人：</w:t>
      </w:r>
      <w:r>
        <w:rPr>
          <w:color w:val="auto"/>
          <w:sz w:val="24"/>
          <w:szCs w:val="24"/>
          <w:highlight w:val="none"/>
          <w:u w:val="single"/>
        </w:rPr>
        <w:t xml:space="preserve">                       </w:t>
      </w:r>
      <w:r>
        <w:rPr>
          <w:color w:val="auto"/>
          <w:sz w:val="24"/>
          <w:szCs w:val="24"/>
          <w:highlight w:val="none"/>
        </w:rPr>
        <w:t>（签字）</w:t>
      </w:r>
    </w:p>
    <w:p>
      <w:pPr>
        <w:topLinePunct/>
        <w:spacing w:line="440" w:lineRule="exact"/>
        <w:rPr>
          <w:color w:val="auto"/>
          <w:sz w:val="24"/>
          <w:szCs w:val="24"/>
          <w:highlight w:val="none"/>
        </w:rPr>
      </w:pPr>
      <w:r>
        <w:rPr>
          <w:color w:val="auto"/>
          <w:sz w:val="24"/>
          <w:szCs w:val="24"/>
          <w:highlight w:val="none"/>
        </w:rPr>
        <w:t xml:space="preserve">…… </w:t>
      </w:r>
    </w:p>
    <w:p>
      <w:pPr>
        <w:topLinePunct/>
        <w:spacing w:line="440" w:lineRule="exact"/>
        <w:rPr>
          <w:color w:val="auto"/>
          <w:sz w:val="24"/>
          <w:szCs w:val="24"/>
          <w:highlight w:val="none"/>
        </w:rPr>
      </w:pPr>
    </w:p>
    <w:p>
      <w:pPr>
        <w:ind w:firstLine="3290" w:firstLineChars="1371"/>
        <w:rPr>
          <w:color w:val="auto"/>
          <w:sz w:val="24"/>
          <w:szCs w:val="24"/>
          <w:highlight w:val="none"/>
        </w:rPr>
      </w:pP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日</w:t>
      </w:r>
    </w:p>
    <w:p>
      <w:pPr>
        <w:pStyle w:val="5"/>
        <w:rPr>
          <w:color w:val="auto"/>
          <w:highlight w:val="none"/>
        </w:rPr>
      </w:pPr>
    </w:p>
    <w:p>
      <w:pPr>
        <w:spacing w:line="410" w:lineRule="exact"/>
        <w:rPr>
          <w:color w:val="auto"/>
          <w:szCs w:val="21"/>
          <w:highlight w:val="none"/>
        </w:rPr>
      </w:pPr>
    </w:p>
    <w:p>
      <w:pPr>
        <w:spacing w:line="410" w:lineRule="exact"/>
        <w:rPr>
          <w:color w:val="auto"/>
          <w:szCs w:val="21"/>
          <w:highlight w:val="none"/>
        </w:rPr>
      </w:pPr>
    </w:p>
    <w:bookmarkEnd w:id="227"/>
    <w:p>
      <w:pPr>
        <w:pStyle w:val="3"/>
        <w:spacing w:line="410" w:lineRule="exact"/>
        <w:ind w:left="0" w:leftChars="0" w:firstLine="0" w:firstLineChars="0"/>
        <w:jc w:val="center"/>
        <w:rPr>
          <w:rFonts w:ascii="Times New Roman" w:hAnsi="Times New Roman"/>
          <w:color w:val="auto"/>
          <w:highlight w:val="none"/>
        </w:rPr>
      </w:pPr>
      <w:bookmarkStart w:id="228" w:name="_Toc391119497"/>
      <w:bookmarkStart w:id="229" w:name="_Toc15932"/>
      <w:bookmarkStart w:id="230" w:name="_Toc30249"/>
      <w:r>
        <w:rPr>
          <w:rFonts w:ascii="Times New Roman" w:hAnsi="Times New Roman"/>
          <w:color w:val="auto"/>
          <w:highlight w:val="none"/>
        </w:rPr>
        <w:t>三、投标保证金</w:t>
      </w:r>
      <w:bookmarkEnd w:id="228"/>
      <w:bookmarkEnd w:id="229"/>
      <w:bookmarkEnd w:id="230"/>
    </w:p>
    <w:p>
      <w:pPr>
        <w:autoSpaceDE w:val="0"/>
        <w:autoSpaceDN w:val="0"/>
        <w:adjustRightInd w:val="0"/>
        <w:spacing w:line="340" w:lineRule="exact"/>
        <w:rPr>
          <w:rFonts w:hAnsi="宋体" w:cs="宋体"/>
          <w:sz w:val="24"/>
        </w:rPr>
      </w:pPr>
      <w:bookmarkStart w:id="231" w:name="_Toc24969"/>
      <w:r>
        <w:rPr>
          <w:rFonts w:hint="eastAsia" w:hAnsi="宋体" w:cs="宋体"/>
          <w:sz w:val="24"/>
        </w:rPr>
        <w:t>附提交凭证：</w:t>
      </w:r>
    </w:p>
    <w:p>
      <w:pPr>
        <w:numPr>
          <w:ilvl w:val="0"/>
          <w:numId w:val="6"/>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w:t>
      </w:r>
      <w:r>
        <w:rPr>
          <w:rFonts w:hint="eastAsia" w:hAnsi="宋体" w:cs="宋体"/>
          <w:sz w:val="24"/>
          <w:lang w:eastAsia="zh-CN"/>
        </w:rPr>
        <w:t>银行转帐凭证</w:t>
      </w:r>
      <w:r>
        <w:rPr>
          <w:rFonts w:hint="eastAsia" w:hAnsi="宋体" w:cs="宋体"/>
          <w:sz w:val="24"/>
          <w:lang w:val="zh-CN"/>
        </w:rPr>
        <w:t>的扫描件</w:t>
      </w:r>
      <w:r>
        <w:rPr>
          <w:rFonts w:hint="eastAsia" w:hAnsi="宋体" w:cs="宋体"/>
          <w:sz w:val="24"/>
          <w:lang w:val="zh-CN" w:eastAsia="zh-CN"/>
        </w:rPr>
        <w:t>、</w:t>
      </w:r>
      <w:r>
        <w:rPr>
          <w:rFonts w:hint="eastAsia" w:hAnsi="宋体" w:cs="宋体"/>
          <w:sz w:val="24"/>
          <w:lang w:val="zh-CN"/>
        </w:rPr>
        <w:t>基本帐户的“银行开户许可证”的扫描件</w:t>
      </w:r>
      <w:r>
        <w:rPr>
          <w:rFonts w:hint="eastAsia" w:hAnsi="宋体" w:cs="宋体"/>
          <w:sz w:val="24"/>
          <w:lang w:val="zh-CN" w:eastAsia="zh-CN"/>
        </w:rPr>
        <w:t>及</w:t>
      </w:r>
      <w:r>
        <w:rPr>
          <w:rFonts w:hint="eastAsia" w:hAnsi="宋体" w:cs="宋体"/>
          <w:sz w:val="24"/>
          <w:lang w:val="zh-CN"/>
        </w:rPr>
        <w:t>本项目本标段“许昌</w:t>
      </w:r>
      <w:r>
        <w:rPr>
          <w:rFonts w:hint="eastAsia" w:hAnsi="宋体" w:cs="宋体"/>
          <w:sz w:val="24"/>
          <w:szCs w:val="22"/>
          <w:lang w:val="zh-CN"/>
        </w:rPr>
        <w:t>公共资源交易中心保证金缴纳回执”。</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tabs>
          <w:tab w:val="left" w:pos="8306"/>
        </w:tabs>
        <w:spacing w:line="410" w:lineRule="exact"/>
        <w:ind w:right="-58" w:firstLine="686" w:firstLineChars="202"/>
        <w:jc w:val="both"/>
        <w:rPr>
          <w:rFonts w:ascii="Times New Roman" w:hAnsi="Times New Roman"/>
          <w:color w:val="auto"/>
          <w:szCs w:val="21"/>
          <w:highlight w:val="none"/>
        </w:rPr>
        <w:sectPr>
          <w:pgSz w:w="11906" w:h="16838"/>
          <w:pgMar w:top="1588" w:right="1701" w:bottom="1361" w:left="1701" w:header="851" w:footer="797" w:gutter="0"/>
          <w:cols w:space="720" w:num="1"/>
          <w:docGrid w:linePitch="312" w:charSpace="0"/>
        </w:sectPr>
      </w:pPr>
    </w:p>
    <w:bookmarkEnd w:id="231"/>
    <w:p>
      <w:pPr>
        <w:pStyle w:val="3"/>
        <w:spacing w:afterLines="100" w:line="410" w:lineRule="exact"/>
        <w:jc w:val="center"/>
        <w:rPr>
          <w:rFonts w:ascii="Times New Roman" w:hAnsi="Times New Roman"/>
          <w:color w:val="auto"/>
          <w:highlight w:val="none"/>
        </w:rPr>
      </w:pPr>
      <w:bookmarkStart w:id="232" w:name="_Toc391119498"/>
      <w:bookmarkStart w:id="233" w:name="_Toc31199"/>
      <w:bookmarkStart w:id="234" w:name="_Toc25025"/>
      <w:bookmarkStart w:id="235" w:name="_Toc273359052"/>
      <w:bookmarkStart w:id="236" w:name="_Toc266393424"/>
      <w:bookmarkStart w:id="237" w:name="_Toc269324880"/>
      <w:bookmarkStart w:id="238" w:name="_Toc281225380"/>
      <w:bookmarkStart w:id="239" w:name="_Toc226780950"/>
      <w:r>
        <w:rPr>
          <w:rFonts w:ascii="Times New Roman" w:hAnsi="Times New Roman"/>
          <w:color w:val="auto"/>
          <w:highlight w:val="none"/>
        </w:rPr>
        <w:t>四、投标报价表</w:t>
      </w:r>
      <w:bookmarkEnd w:id="232"/>
      <w:bookmarkEnd w:id="233"/>
      <w:bookmarkEnd w:id="234"/>
    </w:p>
    <w:tbl>
      <w:tblPr>
        <w:tblStyle w:val="20"/>
        <w:tblW w:w="8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932"/>
        <w:gridCol w:w="369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2800" w:type="dxa"/>
            <w:vAlign w:val="center"/>
          </w:tcPr>
          <w:p>
            <w:pPr>
              <w:jc w:val="center"/>
              <w:rPr>
                <w:color w:val="auto"/>
                <w:sz w:val="21"/>
                <w:szCs w:val="21"/>
                <w:highlight w:val="none"/>
              </w:rPr>
            </w:pPr>
            <w:r>
              <w:rPr>
                <w:color w:val="auto"/>
                <w:sz w:val="21"/>
                <w:szCs w:val="21"/>
                <w:highlight w:val="none"/>
              </w:rPr>
              <w:t>监测项目</w:t>
            </w:r>
          </w:p>
        </w:tc>
        <w:tc>
          <w:tcPr>
            <w:tcW w:w="932" w:type="dxa"/>
            <w:vAlign w:val="center"/>
          </w:tcPr>
          <w:p>
            <w:pPr>
              <w:jc w:val="center"/>
              <w:rPr>
                <w:color w:val="auto"/>
                <w:sz w:val="21"/>
                <w:szCs w:val="21"/>
                <w:highlight w:val="none"/>
              </w:rPr>
            </w:pPr>
            <w:r>
              <w:rPr>
                <w:color w:val="auto"/>
                <w:sz w:val="21"/>
                <w:szCs w:val="21"/>
                <w:highlight w:val="none"/>
              </w:rPr>
              <w:t>单位</w:t>
            </w:r>
          </w:p>
        </w:tc>
        <w:tc>
          <w:tcPr>
            <w:tcW w:w="3690" w:type="dxa"/>
            <w:vAlign w:val="center"/>
          </w:tcPr>
          <w:p>
            <w:pPr>
              <w:jc w:val="center"/>
              <w:rPr>
                <w:color w:val="auto"/>
                <w:sz w:val="21"/>
                <w:szCs w:val="21"/>
                <w:highlight w:val="none"/>
              </w:rPr>
            </w:pPr>
            <w:r>
              <w:rPr>
                <w:color w:val="auto"/>
                <w:sz w:val="21"/>
                <w:szCs w:val="21"/>
                <w:highlight w:val="none"/>
              </w:rPr>
              <w:t>投标总报价（人民币）</w:t>
            </w:r>
          </w:p>
        </w:tc>
        <w:tc>
          <w:tcPr>
            <w:tcW w:w="1555" w:type="dxa"/>
            <w:vAlign w:val="center"/>
          </w:tcPr>
          <w:p>
            <w:pPr>
              <w:jc w:val="center"/>
              <w:rPr>
                <w:color w:val="auto"/>
                <w:sz w:val="21"/>
                <w:szCs w:val="21"/>
                <w:highlight w:val="none"/>
              </w:rPr>
            </w:pPr>
            <w:r>
              <w:rPr>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2800" w:type="dxa"/>
            <w:vAlign w:val="center"/>
          </w:tcPr>
          <w:p>
            <w:pPr>
              <w:jc w:val="center"/>
              <w:rPr>
                <w:color w:val="auto"/>
                <w:sz w:val="21"/>
                <w:szCs w:val="21"/>
                <w:highlight w:val="none"/>
              </w:rPr>
            </w:pPr>
            <w:r>
              <w:rPr>
                <w:rFonts w:hint="eastAsia"/>
                <w:color w:val="auto"/>
                <w:sz w:val="21"/>
                <w:szCs w:val="21"/>
                <w:highlight w:val="none"/>
              </w:rPr>
              <w:t>第三方质量检测费</w:t>
            </w:r>
          </w:p>
        </w:tc>
        <w:tc>
          <w:tcPr>
            <w:tcW w:w="932" w:type="dxa"/>
            <w:vAlign w:val="center"/>
          </w:tcPr>
          <w:p>
            <w:pPr>
              <w:jc w:val="center"/>
              <w:rPr>
                <w:color w:val="auto"/>
                <w:sz w:val="21"/>
                <w:szCs w:val="21"/>
                <w:highlight w:val="none"/>
              </w:rPr>
            </w:pPr>
            <w:r>
              <w:rPr>
                <w:color w:val="auto"/>
                <w:sz w:val="21"/>
                <w:szCs w:val="21"/>
                <w:highlight w:val="none"/>
              </w:rPr>
              <w:t>元</w:t>
            </w:r>
          </w:p>
        </w:tc>
        <w:tc>
          <w:tcPr>
            <w:tcW w:w="3690" w:type="dxa"/>
            <w:vAlign w:val="center"/>
          </w:tcPr>
          <w:p>
            <w:pPr>
              <w:pStyle w:val="5"/>
              <w:ind w:firstLine="210"/>
              <w:rPr>
                <w:color w:val="auto"/>
                <w:sz w:val="21"/>
                <w:szCs w:val="21"/>
                <w:highlight w:val="none"/>
              </w:rPr>
            </w:pPr>
            <w:r>
              <w:rPr>
                <w:rFonts w:hint="eastAsia"/>
                <w:color w:val="auto"/>
                <w:sz w:val="21"/>
                <w:szCs w:val="21"/>
                <w:highlight w:val="none"/>
              </w:rPr>
              <w:t>大写：</w:t>
            </w:r>
          </w:p>
          <w:p>
            <w:pPr>
              <w:pStyle w:val="5"/>
              <w:ind w:firstLine="210"/>
              <w:rPr>
                <w:color w:val="auto"/>
                <w:highlight w:val="none"/>
              </w:rPr>
            </w:pPr>
            <w:r>
              <w:rPr>
                <w:rFonts w:hint="eastAsia"/>
                <w:color w:val="auto"/>
                <w:sz w:val="21"/>
                <w:szCs w:val="21"/>
                <w:highlight w:val="none"/>
              </w:rPr>
              <w:t>小写：</w:t>
            </w:r>
          </w:p>
        </w:tc>
        <w:tc>
          <w:tcPr>
            <w:tcW w:w="1555" w:type="dxa"/>
            <w:vAlign w:val="center"/>
          </w:tcPr>
          <w:p>
            <w:pPr>
              <w:jc w:val="center"/>
              <w:rPr>
                <w:color w:val="auto"/>
                <w:sz w:val="21"/>
                <w:szCs w:val="21"/>
                <w:highlight w:val="none"/>
              </w:rPr>
            </w:pPr>
          </w:p>
        </w:tc>
      </w:tr>
    </w:tbl>
    <w:p>
      <w:pPr>
        <w:rPr>
          <w:color w:val="auto"/>
          <w:sz w:val="24"/>
          <w:szCs w:val="24"/>
          <w:highlight w:val="none"/>
        </w:rPr>
      </w:pPr>
    </w:p>
    <w:p>
      <w:pPr>
        <w:rPr>
          <w:color w:val="auto"/>
          <w:sz w:val="24"/>
          <w:szCs w:val="24"/>
          <w:highlight w:val="none"/>
        </w:rPr>
      </w:pPr>
      <w:r>
        <w:rPr>
          <w:rFonts w:hint="eastAsia"/>
          <w:color w:val="auto"/>
          <w:sz w:val="24"/>
          <w:szCs w:val="24"/>
          <w:highlight w:val="none"/>
        </w:rPr>
        <w:t>备注：1、第三方材料检测清单中钢筋原材力学性能检验区分抗震、非抗震钢筋；三级钢除地下站围护结构内的钢筋为非抗震钢筋外（占比30%），其余均为抗震钢筋，一级钢均为非抗震钢筋。</w:t>
      </w:r>
    </w:p>
    <w:p>
      <w:pPr>
        <w:numPr>
          <w:ilvl w:val="0"/>
          <w:numId w:val="7"/>
        </w:numPr>
        <w:ind w:firstLine="720" w:firstLineChars="300"/>
        <w:rPr>
          <w:color w:val="auto"/>
          <w:sz w:val="24"/>
          <w:szCs w:val="24"/>
          <w:highlight w:val="none"/>
        </w:rPr>
      </w:pPr>
      <w:r>
        <w:rPr>
          <w:rFonts w:hint="eastAsia"/>
          <w:color w:val="auto"/>
          <w:sz w:val="24"/>
          <w:szCs w:val="24"/>
          <w:highlight w:val="none"/>
        </w:rPr>
        <w:t>第三方材料检测清单中钢筋焊接力学性能检验和钢筋机械连接接头检验中常规中包含工艺试验和型式检验。</w:t>
      </w:r>
    </w:p>
    <w:p>
      <w:pPr>
        <w:numPr>
          <w:ilvl w:val="0"/>
          <w:numId w:val="7"/>
        </w:numPr>
        <w:ind w:firstLine="720" w:firstLineChars="300"/>
        <w:rPr>
          <w:color w:val="auto"/>
          <w:sz w:val="24"/>
          <w:szCs w:val="24"/>
          <w:highlight w:val="none"/>
        </w:rPr>
      </w:pPr>
      <w:r>
        <w:rPr>
          <w:rFonts w:hint="eastAsia"/>
          <w:color w:val="auto"/>
          <w:sz w:val="24"/>
          <w:szCs w:val="24"/>
          <w:highlight w:val="none"/>
        </w:rPr>
        <w:t>第三方检测中高架车站声波透射法桩长30~40m；地下车站止水帷幕搅拌桩实搅段长度约20m；附属围护搅拌桩取芯检测中桩长约12m；临时立柱桩超声波检测桩长约8m；临时立柱桩静载试验检测设计承载力1000KN是特征值；土钉用于局部放坡段，抗拔检测承载力较小1~5kN。</w:t>
      </w:r>
    </w:p>
    <w:p>
      <w:pPr>
        <w:numPr>
          <w:ilvl w:val="0"/>
          <w:numId w:val="7"/>
        </w:numPr>
        <w:ind w:firstLine="720" w:firstLineChars="300"/>
        <w:rPr>
          <w:color w:val="auto"/>
          <w:sz w:val="24"/>
          <w:szCs w:val="24"/>
          <w:highlight w:val="none"/>
        </w:rPr>
      </w:pPr>
      <w:r>
        <w:rPr>
          <w:rFonts w:hint="eastAsia"/>
          <w:color w:val="auto"/>
          <w:sz w:val="24"/>
          <w:szCs w:val="24"/>
          <w:highlight w:val="none"/>
        </w:rPr>
        <w:t>第三方检测中桥梁桩长大于40m时需要做超声波检测；正线桥梁桩基静载试验设计承载力是4000 KN；是特征值；桥梁(数量1片) 动载试验及静载试验均需要做；路基荷载试验根据桩径和桩长不同设计值选取如下：0.6m桩径，20~24m桩长1000kPa，26m桩长1100 kPa，28m桩长1300 kPa；1m桩径，28m桩长2500 kPa；旋喷桩用于盾构端头加固处，桩长1</w:t>
      </w:r>
      <w:r>
        <w:rPr>
          <w:color w:val="auto"/>
          <w:sz w:val="24"/>
          <w:szCs w:val="24"/>
          <w:highlight w:val="none"/>
        </w:rPr>
        <w:t>2.2m</w:t>
      </w:r>
      <w:r>
        <w:rPr>
          <w:rFonts w:hint="eastAsia"/>
          <w:color w:val="auto"/>
          <w:sz w:val="24"/>
          <w:szCs w:val="24"/>
          <w:highlight w:val="none"/>
        </w:rPr>
        <w:t>；搅拌桩用于盾构端头加固处，实桩长度1</w:t>
      </w:r>
      <w:r>
        <w:rPr>
          <w:color w:val="auto"/>
          <w:sz w:val="24"/>
          <w:szCs w:val="24"/>
          <w:highlight w:val="none"/>
        </w:rPr>
        <w:t>2.2m</w:t>
      </w:r>
      <w:r>
        <w:rPr>
          <w:rFonts w:hint="eastAsia"/>
          <w:color w:val="auto"/>
          <w:sz w:val="24"/>
          <w:szCs w:val="24"/>
          <w:highlight w:val="none"/>
        </w:rPr>
        <w:t>；搅拌桩用于基坑止水帷幕处，长度为</w:t>
      </w:r>
      <w:r>
        <w:rPr>
          <w:color w:val="auto"/>
          <w:sz w:val="24"/>
          <w:szCs w:val="24"/>
          <w:highlight w:val="none"/>
        </w:rPr>
        <w:t>12</w:t>
      </w:r>
      <w:r>
        <w:rPr>
          <w:rFonts w:hint="eastAsia"/>
          <w:color w:val="auto"/>
          <w:sz w:val="24"/>
          <w:szCs w:val="24"/>
          <w:highlight w:val="none"/>
        </w:rPr>
        <w:t>~</w:t>
      </w:r>
      <w:r>
        <w:rPr>
          <w:color w:val="auto"/>
          <w:sz w:val="24"/>
          <w:szCs w:val="24"/>
          <w:highlight w:val="none"/>
        </w:rPr>
        <w:t>18m</w:t>
      </w:r>
      <w:r>
        <w:rPr>
          <w:rFonts w:hint="eastAsia"/>
          <w:color w:val="auto"/>
          <w:sz w:val="24"/>
          <w:szCs w:val="24"/>
          <w:highlight w:val="none"/>
        </w:rPr>
        <w:t>；土钉用于局部放坡段，抗拔检测承载力约1~5kN。</w:t>
      </w:r>
    </w:p>
    <w:p>
      <w:pPr>
        <w:pStyle w:val="5"/>
        <w:ind w:left="1020" w:leftChars="300" w:firstLine="0" w:firstLineChars="0"/>
        <w:jc w:val="right"/>
        <w:rPr>
          <w:color w:val="auto"/>
          <w:highlight w:val="none"/>
        </w:rPr>
      </w:pPr>
    </w:p>
    <w:p>
      <w:pPr>
        <w:widowControl/>
        <w:jc w:val="left"/>
        <w:rPr>
          <w:rFonts w:ascii="Times New Roman" w:hAnsi="Times New Roman"/>
          <w:color w:val="auto"/>
          <w:highlight w:val="none"/>
        </w:rPr>
      </w:pPr>
      <w:r>
        <w:rPr>
          <w:rFonts w:ascii="Times New Roman" w:hAnsi="Times New Roman"/>
          <w:color w:val="auto"/>
          <w:highlight w:val="none"/>
        </w:rPr>
        <w:br w:type="page"/>
      </w:r>
    </w:p>
    <w:p>
      <w:pPr>
        <w:pStyle w:val="5"/>
        <w:ind w:firstLine="340"/>
        <w:rPr>
          <w:color w:val="auto"/>
          <w:highlight w:val="none"/>
        </w:rPr>
      </w:pPr>
    </w:p>
    <w:p>
      <w:pPr>
        <w:pStyle w:val="3"/>
        <w:spacing w:afterLines="100" w:line="410" w:lineRule="exact"/>
        <w:jc w:val="center"/>
        <w:rPr>
          <w:rFonts w:ascii="Times New Roman" w:hAnsi="Times New Roman"/>
          <w:color w:val="auto"/>
          <w:highlight w:val="none"/>
        </w:rPr>
      </w:pPr>
      <w:r>
        <w:rPr>
          <w:rFonts w:hint="eastAsia" w:ascii="Times New Roman" w:hAnsi="Times New Roman"/>
          <w:color w:val="auto"/>
          <w:highlight w:val="none"/>
        </w:rPr>
        <w:t>分项报价表</w:t>
      </w:r>
    </w:p>
    <w:tbl>
      <w:tblPr>
        <w:tblStyle w:val="20"/>
        <w:tblW w:w="9300" w:type="dxa"/>
        <w:tblInd w:w="93" w:type="dxa"/>
        <w:tblLayout w:type="fixed"/>
        <w:tblCellMar>
          <w:top w:w="0" w:type="dxa"/>
          <w:left w:w="108" w:type="dxa"/>
          <w:bottom w:w="0" w:type="dxa"/>
          <w:right w:w="108" w:type="dxa"/>
        </w:tblCellMar>
      </w:tblPr>
      <w:tblGrid>
        <w:gridCol w:w="612"/>
        <w:gridCol w:w="1616"/>
        <w:gridCol w:w="3880"/>
        <w:gridCol w:w="940"/>
        <w:gridCol w:w="940"/>
        <w:gridCol w:w="1312"/>
      </w:tblGrid>
      <w:tr>
        <w:tblPrEx>
          <w:tblLayout w:type="fixed"/>
          <w:tblCellMar>
            <w:top w:w="0" w:type="dxa"/>
            <w:left w:w="108" w:type="dxa"/>
            <w:bottom w:w="0" w:type="dxa"/>
            <w:right w:w="108" w:type="dxa"/>
          </w:tblCellMar>
        </w:tblPrEx>
        <w:trPr>
          <w:trHeight w:val="312"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序号</w:t>
            </w:r>
          </w:p>
        </w:tc>
        <w:tc>
          <w:tcPr>
            <w:tcW w:w="1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检测项目</w:t>
            </w:r>
          </w:p>
        </w:tc>
        <w:tc>
          <w:tcPr>
            <w:tcW w:w="3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检测参数</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预估量（次、组）</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单价（元）</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合价</w:t>
            </w:r>
          </w:p>
        </w:tc>
      </w:tr>
      <w:tr>
        <w:tblPrEx>
          <w:tblLayout w:type="fixed"/>
          <w:tblCellMar>
            <w:top w:w="0" w:type="dxa"/>
            <w:left w:w="108" w:type="dxa"/>
            <w:bottom w:w="0" w:type="dxa"/>
            <w:right w:w="108" w:type="dxa"/>
          </w:tblCellMar>
        </w:tblPrEx>
        <w:trPr>
          <w:trHeight w:val="420" w:hRule="atLeast"/>
        </w:trPr>
        <w:tc>
          <w:tcPr>
            <w:tcW w:w="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宋体" w:cs="宋体"/>
                <w:b/>
                <w:bCs/>
                <w:color w:val="auto"/>
                <w:sz w:val="24"/>
                <w:szCs w:val="24"/>
                <w:highlight w:val="none"/>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宋体" w:cs="宋体"/>
                <w:b/>
                <w:bCs/>
                <w:color w:val="auto"/>
                <w:sz w:val="24"/>
                <w:szCs w:val="24"/>
                <w:highlight w:val="none"/>
              </w:rPr>
            </w:pPr>
          </w:p>
        </w:tc>
        <w:tc>
          <w:tcPr>
            <w:tcW w:w="3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宋体" w:cs="宋体"/>
                <w:b/>
                <w:bCs/>
                <w:color w:val="auto"/>
                <w:sz w:val="24"/>
                <w:szCs w:val="24"/>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eastAsia="宋体" w:cs="宋体"/>
                <w:b/>
                <w:bCs/>
                <w:color w:val="auto"/>
                <w:sz w:val="24"/>
                <w:szCs w:val="24"/>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eastAsia="宋体" w:cs="宋体"/>
                <w:b/>
                <w:bCs/>
                <w:color w:val="auto"/>
                <w:sz w:val="24"/>
                <w:szCs w:val="24"/>
                <w:highlight w:val="none"/>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宋体" w:cs="宋体"/>
                <w:b/>
                <w:bCs/>
                <w:color w:val="auto"/>
                <w:sz w:val="24"/>
                <w:szCs w:val="24"/>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砂常规</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含颗粒级配、含泥量、泥块含量、吸水率、含水率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1022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石常规</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颗粒级配、含泥量、表观密度、吸水率、级配、堆积密度、含水率、吸水率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1042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3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水泥物理</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细度、标准稠度需水量、凝结时间、安定性、强度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543</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钢筋原材力学性能</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抗拉、冷弯、重量偏差、屈服强度、伸长率、屈强比</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3276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钢筋焊接力学性能</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抗拉、冷弯、工艺试验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5430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钢筋机械连接接头</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抗拉、冷弯、工艺试验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2539</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混凝土抗压强度</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32000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混凝土抗渗</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混凝土抗渗</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737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w:t>
            </w:r>
          </w:p>
        </w:tc>
        <w:tc>
          <w:tcPr>
            <w:tcW w:w="1616"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混凝土配合比</w:t>
            </w:r>
          </w:p>
        </w:tc>
        <w:tc>
          <w:tcPr>
            <w:tcW w:w="388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混凝土配合比验证</w:t>
            </w:r>
          </w:p>
        </w:tc>
        <w:tc>
          <w:tcPr>
            <w:tcW w:w="94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354</w:t>
            </w:r>
          </w:p>
        </w:tc>
        <w:tc>
          <w:tcPr>
            <w:tcW w:w="94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混凝土抗折</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混凝土抗折</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341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混凝土总碱含量</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混凝土总碱含量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354</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69"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粉煤灰性能</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细度、需水量比、烧矢量、三氧化硫含量、含水量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636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47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粉煤灰</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烧失量、氯离子含量、含水量、三氧化硫含量、氧化钙含量、游离氧化钙含量、碱含量、细度、需水量比</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外加剂</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减水率、抗压强度比、对钢筋有无锈蚀</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189</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钢边止水带</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硬度、拉伸强度、拉断伸长率热空气老化、压缩永久变形、撕裂强度、橡胶与金属粘合</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高分子自粘胶膜防水卷材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断裂拉伸强度、断裂伸长率、不透水性低温弯折、剪切状态下粘合性、与混凝土粘结强度、粘结玻璃强度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单组分聚氨酯防水涂料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可操作时间、表干时间、实干时间</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管片连接件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硬度、抗拉、保证荷载、盐雾试验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124</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地基加固</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水泥土抗压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184</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外贴式PVC止水带</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硬度、拉伸强度、拉断伸长率、100%定伸强度、脆性温度、吸水率、挥发损失、加速耐碱实验、耐氯化钠溶液后</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高强螺栓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抗拉、扭矩系数、抗滑移系数、尺寸偏差、硬度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土工</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含水率、湿密度、干密度、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2604</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砂浆类</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砂浆配合比、砂浆抗压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预应力钢绞线及锚固件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力学性能、锚固性能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2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钢绞线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松弛、每米钢绞线重量、钢绞线直径、表面质量、整根钢绞线最大力、0.2%屈服力、0.2%屈服力与整根钢绞线实际最大力的比值、最大力总伸长率、弹性模量、同批次弹性模量差值</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电通量</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电通量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低应变</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低应变</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487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回弹法测砼强度</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回弹法测砼强度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2106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桩基超声波</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桩基超声波检测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4207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正线桥梁桩基静载试验</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正线桥梁桩基静载试验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54</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土钉</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抗拔</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石灰</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有效氧化钙、有效氧化镁</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矿渣粉性能</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密度、比表面积、含水量、流动度比、烧失量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地基承载力（轻型触探）</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地基承载力（轻型触探）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35</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土工</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无机结合料灰剂量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水泥土标准曲线</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土壤液塑限</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颗粒级配</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孔道压浆液</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凝结时间、流动度、抗折强度、抗压强度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灌浆料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流动度、30min流动度、抗折强度、抗压强度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灌浆料试块</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抗折强度、抗压强度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孔道压浆液试块</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抗折强度、抗压强度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852"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孔道压浆料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氯离子含量、碱含量、充盈度、对钢筋的锈蚀作用、含气量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抗拔</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抗拔承载力</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原土（平板）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平板载荷</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2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混凝土膨胀剂</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氧化镁、碱含量、氯离子含量、三氧化硫含量、比表面积、细度（1.18mm筛筛余）、凝结时间（初凝、终凝）、限制膨胀率（水中7d）、限制膨胀率（空气中21d）、抗压强度（7d、28d）</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锚具常规</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锚具</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硬度、锚板强度、静载锚固性能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8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预应力筋-挤压锚组</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静载锚固性能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2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环氧树脂胶粘剂</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可施胶时间、可粘接时间、触变指数、吸水率、水中溶解率、热变形温度、抗压强度、抗拉弯强度、抗剪强度、钢对钢拉伸抗剪强度、钢对混凝土的拉粘结强度、不挥发物含量、耐湿热老化能力</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地脚螺栓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屈服强度、抗拉强度、断后伸长率、冷弯性能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9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水泥</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氧化镁、三氧化硫、烧失量、氯离子、游离氧化钙含量、安定性、比表面积、凝结时间（初凝、终凝）、抗压强度（3d、28d）抗折强度（3d、28d）</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速凝剂</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凝结时间、密度、pH值、氯离子含量、总碱量、含固量、硫酸钠含量、1d抗压强度、28d抗压强度比</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2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减水剂</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甲醛含量、硫酸钠含量、氯离子含量、碱含量、含固量、pH值、密度、减水率、泌水率比、含气量、压力泌水率比、凝结时间差（初凝、终凝）、抗压强度比（1d、3d、7d、29d）、收缩率比</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矿粉</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密度、烧失量、氯离子含量、MgO含量、SO3含量、含水量、比表面积、流动度比、7d活性指数、29d活性指数</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9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细骨料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有机物含量、硫化物及硫酸盐含量、云母含量、轻物质含量、氯离子含量、坚固性、颗粒级配、含泥量、泥块含量、吸水率、碱活性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块石</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吸水率、岩石抗压强度、氯离子含量、硫化物及硫酸盐含量、碱活性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9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粗骨料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硫化物及硫酸盐含量、氯离子含量、坚固性、颗粒级配、压碎指标值、针片状颗粒总含量、含泥量、泥块含量、吸水率、紧密空隙率、碱活性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拌合用水</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pH值、不溶物含量、可溶物含量、氯化物含量、硫酸盐含量、碱含量、凝结时间差（初凝、终凝）、抗压强度比（29d）</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60</w:t>
            </w:r>
          </w:p>
        </w:tc>
        <w:tc>
          <w:tcPr>
            <w:tcW w:w="1616"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热轧带肋钢筋</w:t>
            </w:r>
          </w:p>
        </w:tc>
        <w:tc>
          <w:tcPr>
            <w:tcW w:w="388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抗拉强度、屈服强度、断后伸长率、最大力下总伸长率</w:t>
            </w:r>
          </w:p>
        </w:tc>
        <w:tc>
          <w:tcPr>
            <w:tcW w:w="94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塑料波纹管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外观、尺寸、环刚度、局部横向荷载、柔韧性、抗冲击性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金属波纹管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尺寸、集中荷载下劲向刚度、均布荷载下劲向刚度、集中荷载作用后抗渗漏、弯曲后抗渗漏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预埋钢板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外观、渗层厚度、耐中性盐雾性能（500h）、渗层中金属元素、渗层表面硬度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接地端子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材质分析、接触面积</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泄水管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聚氯乙烯树脂含量、二氯甲烷浸渍、外观、颜色、平均外径、壁厚、连接密封性试验、落锤冲击、环刚度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砼弹性模量</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弹性模量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38</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67</w:t>
            </w:r>
          </w:p>
        </w:tc>
        <w:tc>
          <w:tcPr>
            <w:tcW w:w="1616"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砼配合比</w:t>
            </w:r>
          </w:p>
        </w:tc>
        <w:tc>
          <w:tcPr>
            <w:tcW w:w="388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配合比设计</w:t>
            </w:r>
          </w:p>
        </w:tc>
        <w:tc>
          <w:tcPr>
            <w:tcW w:w="94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9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脚手架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外观、连接盘单侧抗剪强度、连接盘双侧抗剪强度、连接盘抗拉强度试验、连接盘内测环焊缝抗剪强度、可调托撑抗压强度、可调底座抗压强度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拉线基础钢板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锌层平均厚度、锌层局部厚度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支座预埋板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渗层厚度、耐中性盐雾性能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U型螺栓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锌层平均厚度、锌层局部厚度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接触网螺栓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锌层局部厚度、锌层平均厚度、锌层平均附着量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接触网立柱预埋板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渗层厚度、耐中性盐雾性能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74</w:t>
            </w:r>
          </w:p>
        </w:tc>
        <w:tc>
          <w:tcPr>
            <w:tcW w:w="1616"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精轧螺纹钢</w:t>
            </w:r>
          </w:p>
        </w:tc>
        <w:tc>
          <w:tcPr>
            <w:tcW w:w="388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抗拉强度、屈服强度、断后伸长率、最大力下总伸长率</w:t>
            </w:r>
          </w:p>
        </w:tc>
        <w:tc>
          <w:tcPr>
            <w:tcW w:w="94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000000" w:fill="D9D9D9"/>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PVC排水管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颜色、外观、外径、壁厚、密度、落锤冲击、纵向回缩率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盾构螺栓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拉力载荷、硬度、镀层厚度、盐雾</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铜管、铜片</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Cu、电阻率、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膨润土</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吸水率、吸蓝率、膨胀指数、过筛率、水分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环氧树脂</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初始粘度、抗压强度、抗拉强度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盾构525水泥</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凝结时间、抗折强度、抗压强度、安定性、比表面积、标准稠度用水量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沥青聚氨酯胎预铺防水卷材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面积、厚度、单位面积质量、外观质量、可溶物含量、拉伸能力、低温柔性、耐热性、渗油性、不透水性、尺寸变化率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三元乙丙橡胶弹性密封垫 33*16mm</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 xml:space="preserve">硬度、拉伸强度、 拉断伸长率、压缩永久变形、硬度变化量、拉伸强度降低率、拉断伸长率降低率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螺栓孔密封圈 Ф44*Ф30*10MM</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硬度、拉伸硬度、拉断伸长率、体积膨胀倍率、低温折弯</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丁腈软木衬垫 环缝</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硬度、拉伸强度、拉断伸长率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丁腈软木衬垫 变形缝</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硬度、拉伸强度、拉断伸长率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3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遇水膨胀止水条 36*3mm</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硬度、拉伸硬度、拉断伸长率、体积膨胀倍率、低温折弯</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自粘性橡胶薄片 1.5*50*150mm</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剪切粘结强度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盾构管片密封垫专用胶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橡胶与水泥粘接面剪切强度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丁腈软木衬垫 纵缝</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硬度、拉伸强度、拉断伸长率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51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威固单组份湿固化聚氨酯防水涂料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1.固体含量，2.吸水率，3.表干时间，4.实干时间，5.不透水性，</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6.粘结强度，7.撕裂强度，8.加热伸缩率，9.拉伸强度，10.断裂伸长率，11.低温弯折性；</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热处理：12.拉伸强度保持率，13.断裂伸长率，14.低温弯折性；</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碱处理：15.拉伸强度保持率，16.断裂伸长率，17.低温弯折性；</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酸处理：18.拉伸强度保持率，19.断裂伸长率，20.低温弯折性；</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21.定伸时老化：加热老化。</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1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EVA防水板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强度、断裂伸长率、热处理尺寸变化率、不透水性、抗穿刺性、低温弯折、剪力状态下的粘合性、热老化处理（拉伸强度变化率、断裂伸长率变化率、低温弯折）、耐化学腐蚀后（拉伸强度变化率、断裂伸长率变化率、低温弯折）</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5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聚硫密封胶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密度、适用期、表干时间、渗出性系数、下垂度、低温柔性、拉伸粘结性、恢复率、拉伸压缩循环性能、加热失重、热空气老化后（拉伸强度变化率、扯断伸长率）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98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土工布</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单位面积质量偏差、厚度、幅宽偏差、断裂强度、断裂伸长率、CBR顶破强度、等效孔径、垂直渗透系数、撕破强力</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23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中置式高分子止水带</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硬度、拉伸强度、扯断伸长率、压缩永久变形、撕裂强度、脆性温度、热空气老化后（硬度变化、拉伸强度、扯断伸长率）橡胶与金水粘合、臭氧老化</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水泥基渗透结晶型防水材料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抗折强度、湿基面粘结强度、抗渗压力、第二次抗渗压力</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单组分聚氨酯防水涂料（反应型）</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可操作时间、表干时间、实干时间、浸水168h后拉伸强度、浸水168h后断裂伸长率、潮湿基面粘结强度、抗渗性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砖砌件类</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烧结多孔砖、砼普通砖</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47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可重复注浆管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断裂拉伸强度、扯断伸长率、撕裂强度、抗渗透性、低温弯折、加热伸缩率、热空气老化后（断裂拉伸强度保持率、扯断伸长率保持率、100%伸长率）、耐碱性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82"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电线、电缆、电器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常规（电阻、电压耐压试验）；实测截面积；阻燃性能；绝缘性能；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型钢（钢管）原材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力学性能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型钢（钢管）焊接</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焊缝探伤(一级焊缝：总焊缝100%二级焊缝：总焊缝20%)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桥梁支座</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力学性能、抗老化</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预埋件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喷涂橡胶</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沥青防水材料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聚丙烯腈纤维</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聚氨酯建筑密封胶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硫铝酸盐快硬水泥</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钢结构探伤</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镀锌型钢</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氯丁胶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夹具及连接器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支座灌浆料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盘扣</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直接用于防水层 聚氨酯防水涂料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聚氨酯防水涂料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改性沥青弹性防水卷材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M10膨胀螺栓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针刺无纺土工布</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掺3-5%级配碎石</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pvc塑料排水管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门 窗</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土工格栅</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15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直流电机、中频发电机、交流电动机、电力变压器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互感器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断路器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熔断器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组合电器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热缩套管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绝缘子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电力电（光）缆线路</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2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电容器、电抗器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电除尘器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1KV及以下电压等级配电装置和馈电线路</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87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1KV以上架空电力线路</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接地装置</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3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低压线路</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同步发电机及调相机</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避雷器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139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变电装置</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被控端（RTU）测试</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信号机构及新号变压器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92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取锁试验及其他设备信号试验</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常规检查项目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143</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绝缘轨距块（8mm、白色）</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密度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144</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压缩残余变形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145</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绝缘电阻</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洛氏硬度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冲击韧性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内部空隙</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149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边耳拉伸剪切试验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150</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绝缘轨距块（10mm、黑色）</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密度</w:t>
            </w:r>
          </w:p>
        </w:tc>
        <w:tc>
          <w:tcPr>
            <w:tcW w:w="940" w:type="dxa"/>
            <w:tcBorders>
              <w:top w:val="nil"/>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压缩残余变形</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152</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绝缘电阻</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洛氏硬度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154</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冲击韧性</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155</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内部空隙</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边耳拉伸剪切试验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157</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弹条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裂纹</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159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金相组织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160</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总脱碳层</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残余变形</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162</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扣压力</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疲劳性能</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164</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防锈性能</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165</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上铁垫板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机械性能（拉伸，硬度）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金相组织（球化级别）</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盐雾试验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168</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锚固螺栓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拉力载荷</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169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盐雾试验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170</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T型螺栓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拉力载荷</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盐雾试验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172</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重型弹簧垫圈</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盐雾试验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防松螺母</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盐雾试验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平垫圈</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盐雾试验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176</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橡胶胶垫（轨下垫板）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邵尔 A 型硬度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扯断伸长率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高温压缩永久变形（70℃，22h）</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180</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体积电阻率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热空气老化（70℃，72h 后）：拉伸强度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182</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热空气老化（70℃，72h 后）：拉断伸长率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耐臭氧试验（40℃*50pphm*100h）</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184</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橡胶胶垫（中间垫板）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邵尔 A 型硬度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185</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扯断伸长率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高温压缩永久变形（70℃，22h）</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体积电阻率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3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189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热空气老化（70℃，72h 后）：拉伸强度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190</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热空气老化（70℃，72h 后）：拉断伸长率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耐臭氧试验（40℃*50pphm*100h）</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192</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绝缘缓冲垫板（绝缘耦合垫板）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硬度（邵氏 D）</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194</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断裂伸长率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195</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体积电阻率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196</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扣件组装件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钢轨纵向阻力</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组装扣压力</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组装静刚度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组装疲劳性能</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200</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绝缘电阻</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恶劣环境条件的影响（300h盐雾）</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202</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预埋件（预埋套管）抗拔力</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203</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焊接钢轨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钢轨焊接接头平直度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204</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钢轨焊接接头表面质量</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205</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接头探伤</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落锤试验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静弯</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疲劳试验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210</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冲击试验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硬度试验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212</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宏观检验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显微组织及晶粒度检验</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214</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断口</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215</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混凝土枕</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外观质量</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尺寸</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总碱含量</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氯离子含量</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219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三氧化硫含量</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220</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抗压强度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弹性模量</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222</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抗冻等级</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电通量</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224</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氯离子扩散系数</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225</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扣件预埋件抗拔力</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表面裂纹</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静载抗裂强度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疲劳强度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229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疲劳后破坏强度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230</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道砟</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洛杉矶磨耗率LAA</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标准集料冲击韧度IP</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232</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石料耐磨硬度系数K干磨</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标准集料压碎率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234</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道砟集料压碎率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235</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渗透系数</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236</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石料试模件抗压强度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237</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石粉液限</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238</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石粉塑限</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239</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硫酸钠溶液浸泡损失率</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240</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石料密度</w:t>
            </w:r>
          </w:p>
        </w:tc>
        <w:tc>
          <w:tcPr>
            <w:tcW w:w="940" w:type="dxa"/>
            <w:tcBorders>
              <w:top w:val="single" w:color="auto" w:sz="4" w:space="0"/>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241</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石料容重</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w:t>
            </w: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4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钢轨焊接</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探伤</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6400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9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钢结构大六角头螺栓连接副</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扭矩系数</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79"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防火涂装（厚涂型）</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粘结强度、抗压强度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8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钢材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屈服点、抗拉强度、伸长率、冷弯、冲击功、厚度方向性能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扭剪型高强度螺栓连接副</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预拉力</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螺栓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实物小荷载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防火涂料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除锈等级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249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防火涂装（底漆）</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涂层厚度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103</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86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防火涂装（薄涂、厚涂）</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涂层厚度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104</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86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防火涂装（薄涂型）</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粘结强度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工字钢、角钢、槽钢</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拉伸试验、冷弯试验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镀锌型钢</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拉伸试验、冷弯试验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70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风机盘管</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供热量、供冷量</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、风量、功率、噪声</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玻璃棉</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密度、导热系数、</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质量吸湿率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119</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岩棉</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密度、导热系数、</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质量吸湿率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交联聚乙烯管材（PE-X）</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静液压试验、交联度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99</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硬聚氯乙烯给水管材（PVC-U）</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液压实验、落锤冲</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击试验、密度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89</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259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硬聚氯乙烯排水管材（PVC-U）</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拉伸屈服强度、落锤冲</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击试验、密度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89</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烧结普通砖</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烧结多孔砖</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蒸压加气混凝土砌块</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立方体抗压强度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125</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263</w:t>
            </w:r>
          </w:p>
        </w:tc>
        <w:tc>
          <w:tcPr>
            <w:tcW w:w="1616" w:type="dxa"/>
            <w:tcBorders>
              <w:top w:val="nil"/>
              <w:left w:val="nil"/>
              <w:bottom w:val="nil"/>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砂浆</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抗压强度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310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264</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建筑外窗</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气密性、水密性、</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抗风压性能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190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98"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建筑幕墙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气密性、水密性、</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抗风压性能、平面内变形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2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硅酮耐候密封胶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污染性、相容性、拉伸模量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铝塑复合板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剥离强度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69</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2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幕墙干挂石材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干燥弯曲强度、水饱和弯曲强度、</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吸水率、抗冻性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86</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269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人造板及其制品</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甲醛</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天然花岗岩</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放射性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饰面用瓷砖</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放射性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100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内墙涂料</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全项</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8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纸面石膏板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断裂荷载、受潮挠度、表面吸水量、吸水率、遇火稳定性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93</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8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装饰石膏板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断裂荷载、受潮挠度、表面吸水量、吸水率、遇火稳定性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93</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7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纤维增强硅酸钙板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断裂荷载、受潮挠度、表面吸水量、吸水率、遇火稳定性</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93</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276</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铝单板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涂层厚度、耐化学腐蚀</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277</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水嘴、阀门</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耐盐雾、流量、阀体</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强度、密封性能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119</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278</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建筑锚栓</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拉拔试验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170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279</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植筋胶</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抗剪强度、粘结强度、</w:t>
            </w:r>
            <w:r>
              <w:rPr>
                <w:rFonts w:hint="eastAsia" w:hAnsi="宋体" w:eastAsia="宋体" w:cs="宋体"/>
                <w:color w:val="auto"/>
                <w:sz w:val="20"/>
                <w:szCs w:val="20"/>
                <w:highlight w:val="none"/>
              </w:rPr>
              <w:br w:type="textWrapping"/>
            </w:r>
            <w:r>
              <w:rPr>
                <w:rFonts w:hint="eastAsia" w:hAnsi="宋体" w:eastAsia="宋体" w:cs="宋体"/>
                <w:color w:val="auto"/>
                <w:sz w:val="20"/>
                <w:szCs w:val="20"/>
                <w:highlight w:val="none"/>
              </w:rPr>
              <w:t>耐湿热老化性能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122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280</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保温板</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物理性能，燃烧性能</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6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281</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耐碱网布</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断裂强力，耐碱断裂强力、强力保留率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503"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282</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保温钉</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抗拉承载力标准值</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60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283</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粘结砂浆、抹面砂浆</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拉伸粘结强度（与水泥砂浆、与保温材料）原强度、耐水强度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284</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水泥土无侧限</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无侧限强度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450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r>
        <w:tblPrEx>
          <w:tblLayout w:type="fixed"/>
          <w:tblCellMar>
            <w:top w:w="0" w:type="dxa"/>
            <w:left w:w="108" w:type="dxa"/>
            <w:bottom w:w="0" w:type="dxa"/>
            <w:right w:w="108" w:type="dxa"/>
          </w:tblCellMar>
        </w:tblPrEx>
        <w:trPr>
          <w:trHeight w:val="420" w:hRule="atLeast"/>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285</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桥梁静载</w:t>
            </w:r>
          </w:p>
        </w:tc>
        <w:tc>
          <w:tcPr>
            <w:tcW w:w="388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简支梁静载试验</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r>
              <w:rPr>
                <w:rFonts w:hint="eastAsia" w:hAnsi="宋体" w:eastAsia="宋体" w:cs="宋体"/>
                <w:color w:val="auto"/>
                <w:sz w:val="20"/>
                <w:szCs w:val="20"/>
                <w:highlight w:val="none"/>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hAnsi="宋体" w:eastAsia="宋体" w:cs="宋体"/>
                <w:color w:val="auto"/>
                <w:sz w:val="20"/>
                <w:szCs w:val="20"/>
                <w:highlight w:val="none"/>
              </w:rPr>
            </w:pPr>
          </w:p>
        </w:tc>
      </w:tr>
    </w:tbl>
    <w:p>
      <w:pPr>
        <w:spacing w:line="410" w:lineRule="exact"/>
        <w:rPr>
          <w:color w:val="auto"/>
          <w:highlight w:val="none"/>
        </w:rPr>
      </w:pPr>
    </w:p>
    <w:p>
      <w:pPr>
        <w:spacing w:line="410" w:lineRule="exact"/>
        <w:rPr>
          <w:color w:val="auto"/>
          <w:sz w:val="21"/>
          <w:szCs w:val="21"/>
          <w:highlight w:val="none"/>
        </w:rPr>
      </w:pPr>
      <w:r>
        <w:rPr>
          <w:color w:val="auto"/>
          <w:sz w:val="21"/>
          <w:szCs w:val="21"/>
          <w:highlight w:val="none"/>
        </w:rPr>
        <w:t>备注：</w:t>
      </w:r>
    </w:p>
    <w:p>
      <w:pPr>
        <w:spacing w:line="410" w:lineRule="exact"/>
        <w:ind w:firstLine="420"/>
        <w:rPr>
          <w:b/>
          <w:color w:val="auto"/>
          <w:sz w:val="21"/>
          <w:szCs w:val="21"/>
          <w:highlight w:val="none"/>
        </w:rPr>
      </w:pPr>
      <w:r>
        <w:rPr>
          <w:color w:val="auto"/>
          <w:sz w:val="21"/>
          <w:szCs w:val="21"/>
          <w:highlight w:val="none"/>
        </w:rPr>
        <w:t>1、</w:t>
      </w:r>
      <w:r>
        <w:rPr>
          <w:b/>
          <w:bCs/>
          <w:color w:val="auto"/>
          <w:sz w:val="21"/>
          <w:szCs w:val="21"/>
          <w:highlight w:val="none"/>
        </w:rPr>
        <w:t>投标人应毫无例外的按上表格式报价，投标报价表中的单价及合价均为含税价。擅自修改《投标报价表》中内容的投标人，其投标文件将按无效投标处理；</w:t>
      </w:r>
    </w:p>
    <w:p>
      <w:pPr>
        <w:spacing w:line="41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以上试验检测项目依据同类型工程项目内容进行添加，最终本工程试验检测项目应根据本项目工程图纸设计和适用规范要求进行检测。</w:t>
      </w:r>
    </w:p>
    <w:p>
      <w:pPr>
        <w:spacing w:line="410" w:lineRule="exact"/>
        <w:ind w:firstLine="420"/>
        <w:rPr>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如果存在清单以外的检测工作，承包人应无条件按照发包人指令开展检测工作，此部分费用已包含在合同价中，不再单独计量支付。</w:t>
      </w:r>
    </w:p>
    <w:p>
      <w:pPr>
        <w:spacing w:line="410" w:lineRule="exact"/>
        <w:ind w:firstLine="420"/>
        <w:rPr>
          <w:color w:val="auto"/>
          <w:sz w:val="21"/>
          <w:szCs w:val="21"/>
          <w:highlight w:val="none"/>
        </w:rPr>
      </w:pPr>
      <w:r>
        <w:rPr>
          <w:rFonts w:hint="eastAsia"/>
          <w:color w:val="auto"/>
          <w:sz w:val="21"/>
          <w:szCs w:val="21"/>
          <w:highlight w:val="none"/>
        </w:rPr>
        <w:t>4、</w:t>
      </w:r>
      <w:r>
        <w:rPr>
          <w:color w:val="auto"/>
          <w:sz w:val="21"/>
          <w:szCs w:val="21"/>
          <w:highlight w:val="none"/>
        </w:rPr>
        <w:t>投标人应附各项目价格的详细计算依据；</w:t>
      </w:r>
    </w:p>
    <w:p>
      <w:pPr>
        <w:spacing w:line="410" w:lineRule="exact"/>
        <w:ind w:firstLine="420"/>
        <w:rPr>
          <w:b/>
          <w:color w:val="auto"/>
          <w:sz w:val="21"/>
          <w:szCs w:val="21"/>
          <w:highlight w:val="none"/>
        </w:rPr>
      </w:pPr>
      <w:r>
        <w:rPr>
          <w:rFonts w:hint="eastAsia"/>
          <w:color w:val="auto"/>
          <w:sz w:val="21"/>
          <w:szCs w:val="21"/>
          <w:highlight w:val="none"/>
        </w:rPr>
        <w:t>5</w:t>
      </w:r>
      <w:r>
        <w:rPr>
          <w:color w:val="auto"/>
          <w:sz w:val="21"/>
          <w:szCs w:val="21"/>
          <w:highlight w:val="none"/>
        </w:rPr>
        <w:t>、本表不够时，投标人可按同样格式进行拓展。</w:t>
      </w:r>
    </w:p>
    <w:p>
      <w:pPr>
        <w:spacing w:line="410" w:lineRule="exact"/>
        <w:ind w:firstLine="420"/>
        <w:jc w:val="right"/>
        <w:rPr>
          <w:color w:val="auto"/>
          <w:sz w:val="21"/>
          <w:szCs w:val="21"/>
          <w:highlight w:val="none"/>
        </w:rPr>
      </w:pPr>
      <w:r>
        <w:rPr>
          <w:color w:val="auto"/>
          <w:sz w:val="21"/>
          <w:szCs w:val="21"/>
          <w:highlight w:val="none"/>
        </w:rPr>
        <w:t xml:space="preserve">                    投 标 人：（盖单位公章）</w:t>
      </w:r>
    </w:p>
    <w:p>
      <w:pPr>
        <w:spacing w:line="410" w:lineRule="exact"/>
        <w:ind w:firstLine="420"/>
        <w:jc w:val="right"/>
        <w:rPr>
          <w:color w:val="auto"/>
          <w:sz w:val="21"/>
          <w:szCs w:val="21"/>
          <w:highlight w:val="none"/>
        </w:rPr>
      </w:pPr>
      <w:r>
        <w:rPr>
          <w:color w:val="auto"/>
          <w:sz w:val="21"/>
          <w:szCs w:val="21"/>
          <w:highlight w:val="none"/>
        </w:rPr>
        <w:t xml:space="preserve">                    法定代表人或其委托代理人：（签字或盖章）</w:t>
      </w:r>
    </w:p>
    <w:p>
      <w:pPr>
        <w:pStyle w:val="9"/>
        <w:spacing w:line="410" w:lineRule="exact"/>
        <w:ind w:firstLine="420"/>
        <w:jc w:val="center"/>
        <w:rPr>
          <w:b/>
          <w:color w:val="auto"/>
          <w:sz w:val="24"/>
          <w:highlight w:val="none"/>
        </w:rPr>
      </w:pPr>
      <w:r>
        <w:rPr>
          <w:color w:val="auto"/>
          <w:sz w:val="21"/>
          <w:szCs w:val="21"/>
          <w:highlight w:val="none"/>
        </w:rPr>
        <w:t>年月日</w:t>
      </w:r>
    </w:p>
    <w:p>
      <w:pPr>
        <w:pStyle w:val="9"/>
        <w:spacing w:line="410" w:lineRule="exact"/>
        <w:ind w:firstLine="482"/>
        <w:jc w:val="center"/>
        <w:rPr>
          <w:b/>
          <w:color w:val="auto"/>
          <w:sz w:val="24"/>
          <w:highlight w:val="none"/>
        </w:rPr>
      </w:pPr>
    </w:p>
    <w:p>
      <w:pPr>
        <w:pStyle w:val="9"/>
        <w:spacing w:line="410" w:lineRule="exact"/>
        <w:ind w:firstLine="0" w:firstLineChars="0"/>
        <w:rPr>
          <w:color w:val="auto"/>
          <w:sz w:val="21"/>
          <w:szCs w:val="21"/>
          <w:highlight w:val="none"/>
        </w:rPr>
      </w:pPr>
      <w:r>
        <w:rPr>
          <w:color w:val="auto"/>
          <w:sz w:val="21"/>
          <w:szCs w:val="21"/>
          <w:highlight w:val="none"/>
        </w:rPr>
        <w:br w:type="page"/>
      </w:r>
    </w:p>
    <w:p>
      <w:pPr>
        <w:pStyle w:val="9"/>
        <w:spacing w:line="410" w:lineRule="exact"/>
        <w:ind w:firstLine="482"/>
        <w:jc w:val="center"/>
        <w:rPr>
          <w:b/>
          <w:color w:val="auto"/>
          <w:sz w:val="24"/>
          <w:highlight w:val="none"/>
        </w:rPr>
      </w:pPr>
      <w:r>
        <w:rPr>
          <w:b/>
          <w:color w:val="auto"/>
          <w:sz w:val="24"/>
          <w:highlight w:val="none"/>
        </w:rPr>
        <w:t>投标报价单价分析表</w:t>
      </w:r>
    </w:p>
    <w:p>
      <w:pPr>
        <w:spacing w:line="410" w:lineRule="exact"/>
        <w:rPr>
          <w:color w:val="auto"/>
          <w:sz w:val="24"/>
          <w:szCs w:val="24"/>
          <w:highlight w:val="none"/>
          <w:lang w:val="zh-CN"/>
        </w:rPr>
      </w:pPr>
      <w:r>
        <w:rPr>
          <w:color w:val="auto"/>
          <w:sz w:val="24"/>
          <w:szCs w:val="24"/>
          <w:highlight w:val="none"/>
          <w:lang w:val="zh-CN"/>
        </w:rPr>
        <w:t>工程名称：</w:t>
      </w:r>
    </w:p>
    <w:p>
      <w:pPr>
        <w:spacing w:line="410" w:lineRule="exact"/>
        <w:jc w:val="right"/>
        <w:rPr>
          <w:color w:val="auto"/>
          <w:sz w:val="24"/>
          <w:szCs w:val="24"/>
          <w:highlight w:val="none"/>
          <w:lang w:val="zh-CN"/>
        </w:rPr>
      </w:pPr>
      <w:r>
        <w:rPr>
          <w:color w:val="auto"/>
          <w:sz w:val="24"/>
          <w:szCs w:val="24"/>
          <w:highlight w:val="none"/>
          <w:lang w:val="zh-CN"/>
        </w:rPr>
        <w:t>第   页 共  页</w:t>
      </w:r>
    </w:p>
    <w:tbl>
      <w:tblPr>
        <w:tblStyle w:val="20"/>
        <w:tblW w:w="87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465"/>
        <w:gridCol w:w="1136"/>
        <w:gridCol w:w="923"/>
        <w:gridCol w:w="1432"/>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204" w:type="dxa"/>
            <w:vAlign w:val="center"/>
          </w:tcPr>
          <w:p>
            <w:pPr>
              <w:spacing w:line="410" w:lineRule="exact"/>
              <w:rPr>
                <w:rFonts w:ascii="Times New Roman"/>
                <w:color w:val="auto"/>
                <w:sz w:val="24"/>
                <w:szCs w:val="24"/>
                <w:highlight w:val="none"/>
              </w:rPr>
            </w:pPr>
            <w:r>
              <w:rPr>
                <w:rFonts w:ascii="Times New Roman"/>
                <w:color w:val="auto"/>
                <w:sz w:val="24"/>
                <w:szCs w:val="24"/>
                <w:highlight w:val="none"/>
              </w:rPr>
              <w:t xml:space="preserve">   序号</w:t>
            </w:r>
          </w:p>
        </w:tc>
        <w:tc>
          <w:tcPr>
            <w:tcW w:w="2465"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检测项目及内容</w:t>
            </w:r>
          </w:p>
        </w:tc>
        <w:tc>
          <w:tcPr>
            <w:tcW w:w="1136" w:type="dxa"/>
            <w:vAlign w:val="center"/>
          </w:tcPr>
          <w:p>
            <w:pPr>
              <w:spacing w:line="410" w:lineRule="exact"/>
              <w:rPr>
                <w:rFonts w:ascii="Times New Roman"/>
                <w:color w:val="auto"/>
                <w:sz w:val="24"/>
                <w:szCs w:val="24"/>
                <w:highlight w:val="none"/>
              </w:rPr>
            </w:pPr>
            <w:r>
              <w:rPr>
                <w:rFonts w:ascii="Times New Roman"/>
                <w:color w:val="auto"/>
                <w:sz w:val="24"/>
                <w:szCs w:val="24"/>
                <w:highlight w:val="none"/>
              </w:rPr>
              <w:t>单位</w:t>
            </w:r>
          </w:p>
        </w:tc>
        <w:tc>
          <w:tcPr>
            <w:tcW w:w="923" w:type="dxa"/>
            <w:vAlign w:val="center"/>
          </w:tcPr>
          <w:p>
            <w:pPr>
              <w:spacing w:line="410" w:lineRule="exact"/>
              <w:rPr>
                <w:rFonts w:ascii="Times New Roman"/>
                <w:color w:val="auto"/>
                <w:sz w:val="24"/>
                <w:szCs w:val="24"/>
                <w:highlight w:val="none"/>
              </w:rPr>
            </w:pPr>
            <w:r>
              <w:rPr>
                <w:rFonts w:ascii="Times New Roman"/>
                <w:color w:val="auto"/>
                <w:sz w:val="24"/>
                <w:szCs w:val="24"/>
                <w:highlight w:val="none"/>
              </w:rPr>
              <w:t>单价</w:t>
            </w:r>
          </w:p>
        </w:tc>
        <w:tc>
          <w:tcPr>
            <w:tcW w:w="1432"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数量</w:t>
            </w:r>
          </w:p>
        </w:tc>
        <w:tc>
          <w:tcPr>
            <w:tcW w:w="1541"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1</w:t>
            </w:r>
          </w:p>
        </w:tc>
        <w:tc>
          <w:tcPr>
            <w:tcW w:w="2465" w:type="dxa"/>
            <w:vAlign w:val="center"/>
          </w:tcPr>
          <w:p>
            <w:pPr>
              <w:spacing w:line="410" w:lineRule="exact"/>
              <w:jc w:val="center"/>
              <w:rPr>
                <w:rFonts w:ascii="Times New Roman"/>
                <w:color w:val="auto"/>
                <w:sz w:val="24"/>
                <w:szCs w:val="24"/>
                <w:highlight w:val="none"/>
              </w:rPr>
            </w:pPr>
          </w:p>
        </w:tc>
        <w:tc>
          <w:tcPr>
            <w:tcW w:w="1136" w:type="dxa"/>
            <w:vAlign w:val="center"/>
          </w:tcPr>
          <w:p>
            <w:pPr>
              <w:spacing w:line="410" w:lineRule="exact"/>
              <w:jc w:val="center"/>
              <w:rPr>
                <w:rFonts w:ascii="Times New Roman"/>
                <w:color w:val="auto"/>
                <w:sz w:val="24"/>
                <w:szCs w:val="24"/>
                <w:highlight w:val="none"/>
              </w:rPr>
            </w:pPr>
          </w:p>
        </w:tc>
        <w:tc>
          <w:tcPr>
            <w:tcW w:w="923" w:type="dxa"/>
            <w:vAlign w:val="center"/>
          </w:tcPr>
          <w:p>
            <w:pPr>
              <w:spacing w:line="410" w:lineRule="exact"/>
              <w:jc w:val="center"/>
              <w:rPr>
                <w:rFonts w:ascii="Times New Roman"/>
                <w:color w:val="auto"/>
                <w:sz w:val="24"/>
                <w:szCs w:val="24"/>
                <w:highlight w:val="none"/>
              </w:rPr>
            </w:pPr>
          </w:p>
        </w:tc>
        <w:tc>
          <w:tcPr>
            <w:tcW w:w="1432" w:type="dxa"/>
            <w:vAlign w:val="center"/>
          </w:tcPr>
          <w:p>
            <w:pPr>
              <w:spacing w:line="410" w:lineRule="exact"/>
              <w:jc w:val="center"/>
              <w:rPr>
                <w:rFonts w:ascii="Times New Roman"/>
                <w:color w:val="auto"/>
                <w:sz w:val="24"/>
                <w:szCs w:val="24"/>
                <w:highlight w:val="none"/>
              </w:rPr>
            </w:pP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2</w:t>
            </w:r>
          </w:p>
        </w:tc>
        <w:tc>
          <w:tcPr>
            <w:tcW w:w="2465" w:type="dxa"/>
            <w:vAlign w:val="center"/>
          </w:tcPr>
          <w:p>
            <w:pPr>
              <w:spacing w:line="410" w:lineRule="exact"/>
              <w:jc w:val="center"/>
              <w:rPr>
                <w:rFonts w:ascii="Times New Roman"/>
                <w:color w:val="auto"/>
                <w:sz w:val="24"/>
                <w:szCs w:val="24"/>
                <w:highlight w:val="none"/>
              </w:rPr>
            </w:pPr>
          </w:p>
        </w:tc>
        <w:tc>
          <w:tcPr>
            <w:tcW w:w="1136" w:type="dxa"/>
            <w:vAlign w:val="center"/>
          </w:tcPr>
          <w:p>
            <w:pPr>
              <w:spacing w:line="410" w:lineRule="exact"/>
              <w:jc w:val="center"/>
              <w:rPr>
                <w:rFonts w:ascii="Times New Roman"/>
                <w:color w:val="auto"/>
                <w:sz w:val="24"/>
                <w:szCs w:val="24"/>
                <w:highlight w:val="none"/>
              </w:rPr>
            </w:pPr>
          </w:p>
        </w:tc>
        <w:tc>
          <w:tcPr>
            <w:tcW w:w="923" w:type="dxa"/>
            <w:vAlign w:val="center"/>
          </w:tcPr>
          <w:p>
            <w:pPr>
              <w:spacing w:line="410" w:lineRule="exact"/>
              <w:jc w:val="center"/>
              <w:rPr>
                <w:rFonts w:ascii="Times New Roman"/>
                <w:color w:val="auto"/>
                <w:sz w:val="24"/>
                <w:szCs w:val="24"/>
                <w:highlight w:val="none"/>
              </w:rPr>
            </w:pPr>
          </w:p>
        </w:tc>
        <w:tc>
          <w:tcPr>
            <w:tcW w:w="1432" w:type="dxa"/>
            <w:vAlign w:val="center"/>
          </w:tcPr>
          <w:p>
            <w:pPr>
              <w:spacing w:line="410" w:lineRule="exact"/>
              <w:jc w:val="center"/>
              <w:rPr>
                <w:rFonts w:ascii="Times New Roman"/>
                <w:color w:val="auto"/>
                <w:sz w:val="24"/>
                <w:szCs w:val="24"/>
                <w:highlight w:val="none"/>
              </w:rPr>
            </w:pP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3</w:t>
            </w:r>
          </w:p>
        </w:tc>
        <w:tc>
          <w:tcPr>
            <w:tcW w:w="2465" w:type="dxa"/>
            <w:vAlign w:val="center"/>
          </w:tcPr>
          <w:p>
            <w:pPr>
              <w:spacing w:line="410" w:lineRule="exact"/>
              <w:jc w:val="center"/>
              <w:rPr>
                <w:rFonts w:ascii="Times New Roman"/>
                <w:color w:val="auto"/>
                <w:sz w:val="24"/>
                <w:szCs w:val="24"/>
                <w:highlight w:val="none"/>
              </w:rPr>
            </w:pPr>
          </w:p>
        </w:tc>
        <w:tc>
          <w:tcPr>
            <w:tcW w:w="1136" w:type="dxa"/>
            <w:vAlign w:val="center"/>
          </w:tcPr>
          <w:p>
            <w:pPr>
              <w:spacing w:line="410" w:lineRule="exact"/>
              <w:jc w:val="center"/>
              <w:rPr>
                <w:rFonts w:ascii="Times New Roman"/>
                <w:color w:val="auto"/>
                <w:sz w:val="24"/>
                <w:szCs w:val="24"/>
                <w:highlight w:val="none"/>
              </w:rPr>
            </w:pPr>
          </w:p>
        </w:tc>
        <w:tc>
          <w:tcPr>
            <w:tcW w:w="923" w:type="dxa"/>
            <w:vAlign w:val="center"/>
          </w:tcPr>
          <w:p>
            <w:pPr>
              <w:spacing w:line="410" w:lineRule="exact"/>
              <w:jc w:val="center"/>
              <w:rPr>
                <w:rFonts w:ascii="Times New Roman"/>
                <w:color w:val="auto"/>
                <w:sz w:val="24"/>
                <w:szCs w:val="24"/>
                <w:highlight w:val="none"/>
              </w:rPr>
            </w:pPr>
          </w:p>
        </w:tc>
        <w:tc>
          <w:tcPr>
            <w:tcW w:w="1432" w:type="dxa"/>
            <w:vAlign w:val="center"/>
          </w:tcPr>
          <w:p>
            <w:pPr>
              <w:spacing w:line="410" w:lineRule="exact"/>
              <w:jc w:val="center"/>
              <w:rPr>
                <w:rFonts w:ascii="Times New Roman"/>
                <w:color w:val="auto"/>
                <w:sz w:val="24"/>
                <w:szCs w:val="24"/>
                <w:highlight w:val="none"/>
              </w:rPr>
            </w:pP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4</w:t>
            </w:r>
          </w:p>
        </w:tc>
        <w:tc>
          <w:tcPr>
            <w:tcW w:w="2465" w:type="dxa"/>
            <w:vAlign w:val="center"/>
          </w:tcPr>
          <w:p>
            <w:pPr>
              <w:spacing w:line="410" w:lineRule="exact"/>
              <w:jc w:val="center"/>
              <w:rPr>
                <w:rFonts w:ascii="Times New Roman"/>
                <w:color w:val="auto"/>
                <w:sz w:val="24"/>
                <w:szCs w:val="24"/>
                <w:highlight w:val="none"/>
              </w:rPr>
            </w:pPr>
          </w:p>
        </w:tc>
        <w:tc>
          <w:tcPr>
            <w:tcW w:w="1136" w:type="dxa"/>
            <w:vAlign w:val="center"/>
          </w:tcPr>
          <w:p>
            <w:pPr>
              <w:spacing w:line="410" w:lineRule="exact"/>
              <w:jc w:val="center"/>
              <w:rPr>
                <w:rFonts w:ascii="Times New Roman"/>
                <w:color w:val="auto"/>
                <w:sz w:val="24"/>
                <w:szCs w:val="24"/>
                <w:highlight w:val="none"/>
              </w:rPr>
            </w:pPr>
          </w:p>
        </w:tc>
        <w:tc>
          <w:tcPr>
            <w:tcW w:w="923" w:type="dxa"/>
            <w:vAlign w:val="center"/>
          </w:tcPr>
          <w:p>
            <w:pPr>
              <w:spacing w:line="410" w:lineRule="exact"/>
              <w:jc w:val="center"/>
              <w:rPr>
                <w:rFonts w:ascii="Times New Roman"/>
                <w:color w:val="auto"/>
                <w:sz w:val="24"/>
                <w:szCs w:val="24"/>
                <w:highlight w:val="none"/>
              </w:rPr>
            </w:pPr>
          </w:p>
        </w:tc>
        <w:tc>
          <w:tcPr>
            <w:tcW w:w="1432" w:type="dxa"/>
            <w:vAlign w:val="center"/>
          </w:tcPr>
          <w:p>
            <w:pPr>
              <w:spacing w:line="410" w:lineRule="exact"/>
              <w:jc w:val="center"/>
              <w:rPr>
                <w:rFonts w:ascii="Times New Roman"/>
                <w:color w:val="auto"/>
                <w:sz w:val="24"/>
                <w:szCs w:val="24"/>
                <w:highlight w:val="none"/>
              </w:rPr>
            </w:pP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5</w:t>
            </w:r>
          </w:p>
        </w:tc>
        <w:tc>
          <w:tcPr>
            <w:tcW w:w="2465" w:type="dxa"/>
            <w:vAlign w:val="center"/>
          </w:tcPr>
          <w:p>
            <w:pPr>
              <w:spacing w:line="410" w:lineRule="exact"/>
              <w:jc w:val="center"/>
              <w:rPr>
                <w:rFonts w:ascii="Times New Roman"/>
                <w:color w:val="auto"/>
                <w:sz w:val="24"/>
                <w:szCs w:val="24"/>
                <w:highlight w:val="none"/>
              </w:rPr>
            </w:pPr>
          </w:p>
        </w:tc>
        <w:tc>
          <w:tcPr>
            <w:tcW w:w="1136" w:type="dxa"/>
            <w:vAlign w:val="center"/>
          </w:tcPr>
          <w:p>
            <w:pPr>
              <w:spacing w:line="410" w:lineRule="exact"/>
              <w:jc w:val="center"/>
              <w:rPr>
                <w:rFonts w:ascii="Times New Roman"/>
                <w:color w:val="auto"/>
                <w:sz w:val="24"/>
                <w:szCs w:val="24"/>
                <w:highlight w:val="none"/>
              </w:rPr>
            </w:pPr>
          </w:p>
        </w:tc>
        <w:tc>
          <w:tcPr>
            <w:tcW w:w="923" w:type="dxa"/>
            <w:vAlign w:val="center"/>
          </w:tcPr>
          <w:p>
            <w:pPr>
              <w:spacing w:line="410" w:lineRule="exact"/>
              <w:jc w:val="center"/>
              <w:rPr>
                <w:rFonts w:ascii="Times New Roman"/>
                <w:color w:val="auto"/>
                <w:sz w:val="24"/>
                <w:szCs w:val="24"/>
                <w:highlight w:val="none"/>
              </w:rPr>
            </w:pPr>
          </w:p>
        </w:tc>
        <w:tc>
          <w:tcPr>
            <w:tcW w:w="1432" w:type="dxa"/>
            <w:vAlign w:val="center"/>
          </w:tcPr>
          <w:p>
            <w:pPr>
              <w:spacing w:line="410" w:lineRule="exact"/>
              <w:jc w:val="center"/>
              <w:rPr>
                <w:rFonts w:ascii="Times New Roman"/>
                <w:color w:val="auto"/>
                <w:sz w:val="24"/>
                <w:szCs w:val="24"/>
                <w:highlight w:val="none"/>
              </w:rPr>
            </w:pP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w:t>
            </w:r>
          </w:p>
        </w:tc>
        <w:tc>
          <w:tcPr>
            <w:tcW w:w="2465" w:type="dxa"/>
            <w:vAlign w:val="center"/>
          </w:tcPr>
          <w:p>
            <w:pPr>
              <w:spacing w:line="410" w:lineRule="exact"/>
              <w:jc w:val="center"/>
              <w:rPr>
                <w:rFonts w:ascii="Times New Roman"/>
                <w:color w:val="auto"/>
                <w:sz w:val="24"/>
                <w:szCs w:val="24"/>
                <w:highlight w:val="none"/>
              </w:rPr>
            </w:pPr>
          </w:p>
        </w:tc>
        <w:tc>
          <w:tcPr>
            <w:tcW w:w="1136" w:type="dxa"/>
            <w:vAlign w:val="center"/>
          </w:tcPr>
          <w:p>
            <w:pPr>
              <w:spacing w:line="410" w:lineRule="exact"/>
              <w:jc w:val="center"/>
              <w:rPr>
                <w:rFonts w:ascii="Times New Roman"/>
                <w:color w:val="auto"/>
                <w:sz w:val="24"/>
                <w:szCs w:val="24"/>
                <w:highlight w:val="none"/>
              </w:rPr>
            </w:pPr>
          </w:p>
        </w:tc>
        <w:tc>
          <w:tcPr>
            <w:tcW w:w="923" w:type="dxa"/>
            <w:vAlign w:val="center"/>
          </w:tcPr>
          <w:p>
            <w:pPr>
              <w:spacing w:line="410" w:lineRule="exact"/>
              <w:jc w:val="center"/>
              <w:rPr>
                <w:rFonts w:ascii="Times New Roman"/>
                <w:color w:val="auto"/>
                <w:sz w:val="24"/>
                <w:szCs w:val="24"/>
                <w:highlight w:val="none"/>
              </w:rPr>
            </w:pPr>
          </w:p>
        </w:tc>
        <w:tc>
          <w:tcPr>
            <w:tcW w:w="1432" w:type="dxa"/>
            <w:vAlign w:val="center"/>
          </w:tcPr>
          <w:p>
            <w:pPr>
              <w:spacing w:line="410" w:lineRule="exact"/>
              <w:jc w:val="center"/>
              <w:rPr>
                <w:rFonts w:ascii="Times New Roman"/>
                <w:color w:val="auto"/>
                <w:sz w:val="24"/>
                <w:szCs w:val="24"/>
                <w:highlight w:val="none"/>
              </w:rPr>
            </w:pP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w:t>
            </w:r>
          </w:p>
        </w:tc>
        <w:tc>
          <w:tcPr>
            <w:tcW w:w="2465" w:type="dxa"/>
            <w:vAlign w:val="center"/>
          </w:tcPr>
          <w:p>
            <w:pPr>
              <w:spacing w:line="410" w:lineRule="exact"/>
              <w:jc w:val="center"/>
              <w:rPr>
                <w:rFonts w:ascii="Times New Roman"/>
                <w:color w:val="auto"/>
                <w:sz w:val="24"/>
                <w:szCs w:val="24"/>
                <w:highlight w:val="none"/>
              </w:rPr>
            </w:pPr>
          </w:p>
        </w:tc>
        <w:tc>
          <w:tcPr>
            <w:tcW w:w="1136" w:type="dxa"/>
            <w:vAlign w:val="center"/>
          </w:tcPr>
          <w:p>
            <w:pPr>
              <w:spacing w:line="410" w:lineRule="exact"/>
              <w:jc w:val="center"/>
              <w:rPr>
                <w:rFonts w:ascii="Times New Roman"/>
                <w:color w:val="auto"/>
                <w:sz w:val="24"/>
                <w:szCs w:val="24"/>
                <w:highlight w:val="none"/>
              </w:rPr>
            </w:pPr>
          </w:p>
        </w:tc>
        <w:tc>
          <w:tcPr>
            <w:tcW w:w="923" w:type="dxa"/>
            <w:vAlign w:val="center"/>
          </w:tcPr>
          <w:p>
            <w:pPr>
              <w:spacing w:line="410" w:lineRule="exact"/>
              <w:jc w:val="center"/>
              <w:rPr>
                <w:rFonts w:ascii="Times New Roman"/>
                <w:color w:val="auto"/>
                <w:sz w:val="24"/>
                <w:szCs w:val="24"/>
                <w:highlight w:val="none"/>
              </w:rPr>
            </w:pPr>
          </w:p>
        </w:tc>
        <w:tc>
          <w:tcPr>
            <w:tcW w:w="1432" w:type="dxa"/>
            <w:vAlign w:val="center"/>
          </w:tcPr>
          <w:p>
            <w:pPr>
              <w:spacing w:line="410" w:lineRule="exact"/>
              <w:jc w:val="center"/>
              <w:rPr>
                <w:rFonts w:ascii="Times New Roman"/>
                <w:color w:val="auto"/>
                <w:sz w:val="24"/>
                <w:szCs w:val="24"/>
                <w:highlight w:val="none"/>
              </w:rPr>
            </w:pP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1204" w:type="dxa"/>
            <w:vAlign w:val="center"/>
          </w:tcPr>
          <w:p>
            <w:pPr>
              <w:spacing w:line="410" w:lineRule="exact"/>
              <w:jc w:val="center"/>
              <w:rPr>
                <w:rFonts w:ascii="Times New Roman"/>
                <w:color w:val="auto"/>
                <w:sz w:val="24"/>
                <w:szCs w:val="24"/>
                <w:highlight w:val="none"/>
              </w:rPr>
            </w:pPr>
          </w:p>
        </w:tc>
        <w:tc>
          <w:tcPr>
            <w:tcW w:w="2465"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费用组成</w:t>
            </w:r>
          </w:p>
        </w:tc>
        <w:tc>
          <w:tcPr>
            <w:tcW w:w="3491" w:type="dxa"/>
            <w:gridSpan w:val="3"/>
            <w:vAlign w:val="center"/>
          </w:tcPr>
          <w:p>
            <w:pPr>
              <w:spacing w:line="410" w:lineRule="exact"/>
              <w:jc w:val="center"/>
              <w:rPr>
                <w:rFonts w:ascii="Times New Roman"/>
                <w:color w:val="auto"/>
                <w:sz w:val="24"/>
                <w:szCs w:val="24"/>
                <w:highlight w:val="none"/>
              </w:rPr>
            </w:pP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a</w:t>
            </w:r>
          </w:p>
        </w:tc>
        <w:tc>
          <w:tcPr>
            <w:tcW w:w="2465" w:type="dxa"/>
            <w:vAlign w:val="center"/>
          </w:tcPr>
          <w:p>
            <w:pPr>
              <w:spacing w:line="410" w:lineRule="exact"/>
              <w:jc w:val="center"/>
              <w:rPr>
                <w:rFonts w:ascii="Times New Roman"/>
                <w:color w:val="auto"/>
                <w:sz w:val="24"/>
                <w:szCs w:val="24"/>
                <w:highlight w:val="none"/>
              </w:rPr>
            </w:pPr>
          </w:p>
        </w:tc>
        <w:tc>
          <w:tcPr>
            <w:tcW w:w="3491" w:type="dxa"/>
            <w:gridSpan w:val="3"/>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(计算式)</w:t>
            </w: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b</w:t>
            </w:r>
          </w:p>
        </w:tc>
        <w:tc>
          <w:tcPr>
            <w:tcW w:w="2465" w:type="dxa"/>
            <w:vAlign w:val="center"/>
          </w:tcPr>
          <w:p>
            <w:pPr>
              <w:spacing w:line="410" w:lineRule="exact"/>
              <w:jc w:val="center"/>
              <w:rPr>
                <w:rFonts w:ascii="Times New Roman"/>
                <w:color w:val="auto"/>
                <w:sz w:val="24"/>
                <w:szCs w:val="24"/>
                <w:highlight w:val="none"/>
              </w:rPr>
            </w:pPr>
          </w:p>
        </w:tc>
        <w:tc>
          <w:tcPr>
            <w:tcW w:w="3491" w:type="dxa"/>
            <w:gridSpan w:val="3"/>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(计算式)</w:t>
            </w: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c</w:t>
            </w:r>
          </w:p>
        </w:tc>
        <w:tc>
          <w:tcPr>
            <w:tcW w:w="2465" w:type="dxa"/>
            <w:vAlign w:val="center"/>
          </w:tcPr>
          <w:p>
            <w:pPr>
              <w:spacing w:line="410" w:lineRule="exact"/>
              <w:jc w:val="center"/>
              <w:rPr>
                <w:rFonts w:ascii="Times New Roman"/>
                <w:color w:val="auto"/>
                <w:sz w:val="24"/>
                <w:szCs w:val="24"/>
                <w:highlight w:val="none"/>
              </w:rPr>
            </w:pPr>
          </w:p>
        </w:tc>
        <w:tc>
          <w:tcPr>
            <w:tcW w:w="3491" w:type="dxa"/>
            <w:gridSpan w:val="3"/>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(计算式)</w:t>
            </w: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d</w:t>
            </w:r>
          </w:p>
        </w:tc>
        <w:tc>
          <w:tcPr>
            <w:tcW w:w="2465" w:type="dxa"/>
            <w:vAlign w:val="center"/>
          </w:tcPr>
          <w:p>
            <w:pPr>
              <w:spacing w:line="410" w:lineRule="exact"/>
              <w:jc w:val="center"/>
              <w:rPr>
                <w:rFonts w:ascii="Times New Roman"/>
                <w:color w:val="auto"/>
                <w:sz w:val="24"/>
                <w:szCs w:val="24"/>
                <w:highlight w:val="none"/>
              </w:rPr>
            </w:pPr>
          </w:p>
        </w:tc>
        <w:tc>
          <w:tcPr>
            <w:tcW w:w="3491" w:type="dxa"/>
            <w:gridSpan w:val="3"/>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(计算式)</w:t>
            </w: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e</w:t>
            </w:r>
          </w:p>
        </w:tc>
        <w:tc>
          <w:tcPr>
            <w:tcW w:w="2465" w:type="dxa"/>
            <w:vAlign w:val="center"/>
          </w:tcPr>
          <w:p>
            <w:pPr>
              <w:spacing w:line="410" w:lineRule="exact"/>
              <w:jc w:val="center"/>
              <w:rPr>
                <w:rFonts w:ascii="Times New Roman"/>
                <w:color w:val="auto"/>
                <w:sz w:val="24"/>
                <w:szCs w:val="24"/>
                <w:highlight w:val="none"/>
              </w:rPr>
            </w:pPr>
          </w:p>
        </w:tc>
        <w:tc>
          <w:tcPr>
            <w:tcW w:w="3491" w:type="dxa"/>
            <w:gridSpan w:val="3"/>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(计算式)</w:t>
            </w:r>
          </w:p>
        </w:tc>
        <w:tc>
          <w:tcPr>
            <w:tcW w:w="1541" w:type="dxa"/>
            <w:vAlign w:val="center"/>
          </w:tcPr>
          <w:p>
            <w:pPr>
              <w:spacing w:line="410" w:lineRule="exact"/>
              <w:jc w:val="center"/>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20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w:t>
            </w:r>
          </w:p>
        </w:tc>
        <w:tc>
          <w:tcPr>
            <w:tcW w:w="2465" w:type="dxa"/>
            <w:vAlign w:val="center"/>
          </w:tcPr>
          <w:p>
            <w:pPr>
              <w:spacing w:line="410" w:lineRule="exact"/>
              <w:jc w:val="center"/>
              <w:rPr>
                <w:rFonts w:ascii="Times New Roman"/>
                <w:color w:val="auto"/>
                <w:sz w:val="24"/>
                <w:szCs w:val="24"/>
                <w:highlight w:val="none"/>
              </w:rPr>
            </w:pPr>
          </w:p>
        </w:tc>
        <w:tc>
          <w:tcPr>
            <w:tcW w:w="3491" w:type="dxa"/>
            <w:gridSpan w:val="3"/>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w:t>
            </w:r>
          </w:p>
        </w:tc>
        <w:tc>
          <w:tcPr>
            <w:tcW w:w="1541" w:type="dxa"/>
            <w:vAlign w:val="center"/>
          </w:tcPr>
          <w:p>
            <w:pPr>
              <w:spacing w:line="410" w:lineRule="exact"/>
              <w:jc w:val="center"/>
              <w:rPr>
                <w:rFonts w:ascii="Times New Roman"/>
                <w:color w:val="auto"/>
                <w:sz w:val="24"/>
                <w:szCs w:val="24"/>
                <w:highlight w:val="none"/>
              </w:rPr>
            </w:pPr>
          </w:p>
        </w:tc>
      </w:tr>
    </w:tbl>
    <w:p>
      <w:pPr>
        <w:spacing w:line="410" w:lineRule="exact"/>
        <w:rPr>
          <w:color w:val="auto"/>
          <w:sz w:val="24"/>
          <w:szCs w:val="24"/>
          <w:highlight w:val="none"/>
        </w:rPr>
      </w:pPr>
      <w:r>
        <w:rPr>
          <w:color w:val="auto"/>
          <w:sz w:val="24"/>
          <w:szCs w:val="24"/>
          <w:highlight w:val="none"/>
        </w:rPr>
        <w:t>注：此表填写组成项目细目的各子项的单位、单价、数量和金额</w:t>
      </w:r>
    </w:p>
    <w:p>
      <w:pPr>
        <w:spacing w:line="410" w:lineRule="exact"/>
        <w:ind w:firstLine="420"/>
        <w:jc w:val="right"/>
        <w:rPr>
          <w:bCs/>
          <w:color w:val="auto"/>
          <w:sz w:val="24"/>
          <w:szCs w:val="24"/>
          <w:highlight w:val="none"/>
        </w:rPr>
      </w:pPr>
      <w:r>
        <w:rPr>
          <w:bCs/>
          <w:color w:val="auto"/>
          <w:sz w:val="24"/>
          <w:szCs w:val="24"/>
          <w:highlight w:val="none"/>
        </w:rPr>
        <w:t>投标人（盖章）：</w:t>
      </w:r>
    </w:p>
    <w:p>
      <w:pPr>
        <w:spacing w:line="410" w:lineRule="exact"/>
        <w:ind w:firstLine="420"/>
        <w:jc w:val="right"/>
        <w:rPr>
          <w:bCs/>
          <w:color w:val="auto"/>
          <w:sz w:val="24"/>
          <w:szCs w:val="24"/>
          <w:highlight w:val="none"/>
        </w:rPr>
      </w:pPr>
      <w:r>
        <w:rPr>
          <w:bCs/>
          <w:color w:val="auto"/>
          <w:sz w:val="24"/>
          <w:szCs w:val="24"/>
          <w:highlight w:val="none"/>
        </w:rPr>
        <w:t>法定代表人或授权委托人（签字</w:t>
      </w:r>
      <w:r>
        <w:rPr>
          <w:color w:val="auto"/>
          <w:sz w:val="24"/>
          <w:szCs w:val="24"/>
          <w:highlight w:val="none"/>
        </w:rPr>
        <w:t>或盖章</w:t>
      </w:r>
      <w:r>
        <w:rPr>
          <w:bCs/>
          <w:color w:val="auto"/>
          <w:sz w:val="24"/>
          <w:szCs w:val="24"/>
          <w:highlight w:val="none"/>
        </w:rPr>
        <w:t>）：</w:t>
      </w:r>
    </w:p>
    <w:p>
      <w:pPr>
        <w:spacing w:line="410" w:lineRule="exact"/>
        <w:ind w:firstLine="600" w:firstLineChars="250"/>
        <w:jc w:val="right"/>
        <w:rPr>
          <w:color w:val="auto"/>
          <w:sz w:val="24"/>
          <w:szCs w:val="24"/>
          <w:highlight w:val="none"/>
        </w:rPr>
      </w:pPr>
      <w:r>
        <w:rPr>
          <w:bCs/>
          <w:color w:val="auto"/>
          <w:sz w:val="24"/>
          <w:szCs w:val="24"/>
          <w:highlight w:val="none"/>
        </w:rPr>
        <w:t>年     月     日</w:t>
      </w:r>
    </w:p>
    <w:p>
      <w:pPr>
        <w:pStyle w:val="3"/>
        <w:spacing w:line="410" w:lineRule="exact"/>
        <w:ind w:left="0" w:leftChars="0" w:firstLine="0" w:firstLineChars="0"/>
        <w:jc w:val="center"/>
        <w:rPr>
          <w:rFonts w:ascii="Times New Roman" w:hAnsi="Times New Roman"/>
          <w:color w:val="auto"/>
          <w:sz w:val="24"/>
          <w:szCs w:val="24"/>
          <w:highlight w:val="none"/>
        </w:rPr>
      </w:pPr>
      <w:bookmarkStart w:id="240" w:name="_Toc391119499"/>
      <w:bookmarkStart w:id="241" w:name="_Toc30471"/>
      <w:bookmarkStart w:id="242" w:name="_Toc14354"/>
      <w:r>
        <w:rPr>
          <w:rFonts w:ascii="Times New Roman" w:hAnsi="Times New Roman"/>
          <w:color w:val="auto"/>
          <w:sz w:val="24"/>
          <w:szCs w:val="24"/>
          <w:highlight w:val="none"/>
        </w:rPr>
        <w:t>五、</w:t>
      </w:r>
      <w:bookmarkEnd w:id="240"/>
      <w:bookmarkEnd w:id="241"/>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管理机构</w:t>
      </w:r>
      <w:bookmarkEnd w:id="242"/>
    </w:p>
    <w:p>
      <w:pPr>
        <w:pStyle w:val="4"/>
        <w:spacing w:line="410" w:lineRule="exact"/>
        <w:ind w:firstLine="482"/>
        <w:rPr>
          <w:rFonts w:ascii="Times New Roman"/>
          <w:color w:val="auto"/>
          <w:sz w:val="24"/>
          <w:szCs w:val="24"/>
          <w:highlight w:val="none"/>
        </w:rPr>
      </w:pPr>
      <w:r>
        <w:rPr>
          <w:rFonts w:ascii="Times New Roman"/>
          <w:color w:val="auto"/>
          <w:sz w:val="24"/>
          <w:szCs w:val="24"/>
          <w:highlight w:val="none"/>
        </w:rPr>
        <w:t>5.1拟投入主要人员汇总表</w:t>
      </w:r>
    </w:p>
    <w:tbl>
      <w:tblPr>
        <w:tblStyle w:val="20"/>
        <w:tblpPr w:leftFromText="180" w:rightFromText="180" w:vertAnchor="text" w:horzAnchor="margin" w:tblpY="61"/>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60"/>
        <w:gridCol w:w="690"/>
        <w:gridCol w:w="641"/>
        <w:gridCol w:w="982"/>
        <w:gridCol w:w="924"/>
        <w:gridCol w:w="845"/>
        <w:gridCol w:w="1310"/>
        <w:gridCol w:w="1275"/>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719"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序号</w:t>
            </w:r>
          </w:p>
        </w:tc>
        <w:tc>
          <w:tcPr>
            <w:tcW w:w="660"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姓名</w:t>
            </w:r>
          </w:p>
        </w:tc>
        <w:tc>
          <w:tcPr>
            <w:tcW w:w="690"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性别</w:t>
            </w:r>
          </w:p>
        </w:tc>
        <w:tc>
          <w:tcPr>
            <w:tcW w:w="641"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年龄</w:t>
            </w:r>
          </w:p>
        </w:tc>
        <w:tc>
          <w:tcPr>
            <w:tcW w:w="982"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毕业院校及专业</w:t>
            </w:r>
          </w:p>
        </w:tc>
        <w:tc>
          <w:tcPr>
            <w:tcW w:w="924"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学历</w:t>
            </w:r>
          </w:p>
        </w:tc>
        <w:tc>
          <w:tcPr>
            <w:tcW w:w="845"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现职务</w:t>
            </w:r>
          </w:p>
        </w:tc>
        <w:tc>
          <w:tcPr>
            <w:tcW w:w="1310"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职称</w:t>
            </w:r>
          </w:p>
        </w:tc>
        <w:tc>
          <w:tcPr>
            <w:tcW w:w="1275"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拟在本工程中担任职务</w:t>
            </w:r>
          </w:p>
        </w:tc>
        <w:tc>
          <w:tcPr>
            <w:tcW w:w="1418"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从事相关工作年限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19" w:type="dxa"/>
            <w:vAlign w:val="center"/>
          </w:tcPr>
          <w:p>
            <w:pPr>
              <w:spacing w:line="410" w:lineRule="exact"/>
              <w:ind w:firstLine="480"/>
              <w:rPr>
                <w:rFonts w:ascii="Times New Roman"/>
                <w:color w:val="auto"/>
                <w:sz w:val="24"/>
                <w:szCs w:val="24"/>
                <w:highlight w:val="none"/>
              </w:rPr>
            </w:pPr>
          </w:p>
        </w:tc>
        <w:tc>
          <w:tcPr>
            <w:tcW w:w="660" w:type="dxa"/>
            <w:vAlign w:val="center"/>
          </w:tcPr>
          <w:p>
            <w:pPr>
              <w:spacing w:line="410" w:lineRule="exact"/>
              <w:ind w:firstLine="480"/>
              <w:rPr>
                <w:rFonts w:ascii="Times New Roman"/>
                <w:color w:val="auto"/>
                <w:sz w:val="24"/>
                <w:szCs w:val="24"/>
                <w:highlight w:val="none"/>
              </w:rPr>
            </w:pPr>
          </w:p>
        </w:tc>
        <w:tc>
          <w:tcPr>
            <w:tcW w:w="690" w:type="dxa"/>
            <w:vAlign w:val="center"/>
          </w:tcPr>
          <w:p>
            <w:pPr>
              <w:spacing w:line="410" w:lineRule="exact"/>
              <w:ind w:firstLine="480"/>
              <w:rPr>
                <w:rFonts w:ascii="Times New Roman"/>
                <w:color w:val="auto"/>
                <w:sz w:val="24"/>
                <w:szCs w:val="24"/>
                <w:highlight w:val="none"/>
              </w:rPr>
            </w:pPr>
          </w:p>
        </w:tc>
        <w:tc>
          <w:tcPr>
            <w:tcW w:w="641" w:type="dxa"/>
            <w:vAlign w:val="center"/>
          </w:tcPr>
          <w:p>
            <w:pPr>
              <w:spacing w:line="410" w:lineRule="exact"/>
              <w:ind w:firstLine="480"/>
              <w:rPr>
                <w:rFonts w:ascii="Times New Roman"/>
                <w:color w:val="auto"/>
                <w:sz w:val="24"/>
                <w:szCs w:val="24"/>
                <w:highlight w:val="none"/>
              </w:rPr>
            </w:pPr>
          </w:p>
        </w:tc>
        <w:tc>
          <w:tcPr>
            <w:tcW w:w="982" w:type="dxa"/>
            <w:vAlign w:val="center"/>
          </w:tcPr>
          <w:p>
            <w:pPr>
              <w:spacing w:line="410" w:lineRule="exact"/>
              <w:ind w:firstLine="480"/>
              <w:rPr>
                <w:rFonts w:ascii="Times New Roman"/>
                <w:color w:val="auto"/>
                <w:sz w:val="24"/>
                <w:szCs w:val="24"/>
                <w:highlight w:val="none"/>
              </w:rPr>
            </w:pPr>
          </w:p>
        </w:tc>
        <w:tc>
          <w:tcPr>
            <w:tcW w:w="924" w:type="dxa"/>
            <w:vAlign w:val="center"/>
          </w:tcPr>
          <w:p>
            <w:pPr>
              <w:spacing w:line="410" w:lineRule="exact"/>
              <w:ind w:firstLine="480"/>
              <w:rPr>
                <w:rFonts w:ascii="Times New Roman"/>
                <w:color w:val="auto"/>
                <w:sz w:val="24"/>
                <w:szCs w:val="24"/>
                <w:highlight w:val="none"/>
              </w:rPr>
            </w:pPr>
          </w:p>
        </w:tc>
        <w:tc>
          <w:tcPr>
            <w:tcW w:w="845" w:type="dxa"/>
            <w:vAlign w:val="center"/>
          </w:tcPr>
          <w:p>
            <w:pPr>
              <w:spacing w:line="410" w:lineRule="exact"/>
              <w:ind w:firstLine="480"/>
              <w:rPr>
                <w:rFonts w:ascii="Times New Roman"/>
                <w:color w:val="auto"/>
                <w:sz w:val="24"/>
                <w:szCs w:val="24"/>
                <w:highlight w:val="none"/>
              </w:rPr>
            </w:pPr>
          </w:p>
        </w:tc>
        <w:tc>
          <w:tcPr>
            <w:tcW w:w="1310" w:type="dxa"/>
            <w:vAlign w:val="center"/>
          </w:tcPr>
          <w:p>
            <w:pPr>
              <w:spacing w:line="410" w:lineRule="exact"/>
              <w:ind w:firstLine="480"/>
              <w:rPr>
                <w:rFonts w:ascii="Times New Roman"/>
                <w:color w:val="auto"/>
                <w:sz w:val="24"/>
                <w:szCs w:val="24"/>
                <w:highlight w:val="none"/>
              </w:rPr>
            </w:pPr>
          </w:p>
        </w:tc>
        <w:tc>
          <w:tcPr>
            <w:tcW w:w="1275" w:type="dxa"/>
            <w:vAlign w:val="center"/>
          </w:tcPr>
          <w:p>
            <w:pPr>
              <w:spacing w:line="410" w:lineRule="exact"/>
              <w:ind w:firstLine="480"/>
              <w:rPr>
                <w:rFonts w:ascii="Times New Roman"/>
                <w:color w:val="auto"/>
                <w:sz w:val="24"/>
                <w:szCs w:val="24"/>
                <w:highlight w:val="none"/>
              </w:rPr>
            </w:pPr>
          </w:p>
        </w:tc>
        <w:tc>
          <w:tcPr>
            <w:tcW w:w="1418" w:type="dxa"/>
            <w:vAlign w:val="center"/>
          </w:tcPr>
          <w:p>
            <w:pPr>
              <w:spacing w:line="410" w:lineRule="exact"/>
              <w:ind w:firstLine="480"/>
              <w:rPr>
                <w:rFonts w:ascii="Times New Roman"/>
                <w:color w:val="auto"/>
                <w:sz w:val="24"/>
                <w:szCs w:val="24"/>
                <w:highlight w:val="none"/>
              </w:rPr>
            </w:pPr>
          </w:p>
        </w:tc>
      </w:tr>
    </w:tbl>
    <w:p>
      <w:pPr>
        <w:spacing w:line="410" w:lineRule="exact"/>
        <w:rPr>
          <w:color w:val="auto"/>
          <w:sz w:val="24"/>
          <w:szCs w:val="24"/>
          <w:highlight w:val="none"/>
        </w:rPr>
      </w:pPr>
      <w:r>
        <w:rPr>
          <w:color w:val="auto"/>
          <w:sz w:val="24"/>
          <w:szCs w:val="24"/>
          <w:highlight w:val="none"/>
        </w:rPr>
        <w:t>注：1、本页不够请续表。</w:t>
      </w:r>
    </w:p>
    <w:p>
      <w:pPr>
        <w:spacing w:line="410" w:lineRule="exact"/>
        <w:rPr>
          <w:color w:val="auto"/>
          <w:sz w:val="24"/>
          <w:szCs w:val="24"/>
          <w:highlight w:val="none"/>
        </w:rPr>
      </w:pPr>
      <w:r>
        <w:rPr>
          <w:color w:val="auto"/>
          <w:sz w:val="24"/>
          <w:szCs w:val="24"/>
          <w:highlight w:val="none"/>
        </w:rPr>
        <w:t>投标人： （盖章）   　</w:t>
      </w:r>
    </w:p>
    <w:p>
      <w:pPr>
        <w:spacing w:line="410" w:lineRule="exact"/>
        <w:rPr>
          <w:color w:val="auto"/>
          <w:sz w:val="24"/>
          <w:szCs w:val="24"/>
          <w:highlight w:val="none"/>
        </w:rPr>
      </w:pPr>
      <w:r>
        <w:rPr>
          <w:color w:val="auto"/>
          <w:sz w:val="24"/>
          <w:szCs w:val="24"/>
          <w:highlight w:val="none"/>
        </w:rPr>
        <w:t xml:space="preserve">法定代表人或授权代理人：（签字或盖章）    </w:t>
      </w:r>
    </w:p>
    <w:p>
      <w:pPr>
        <w:spacing w:line="410" w:lineRule="exact"/>
        <w:rPr>
          <w:rFonts w:eastAsia="黑体"/>
          <w:color w:val="auto"/>
          <w:sz w:val="24"/>
          <w:szCs w:val="24"/>
          <w:highlight w:val="none"/>
        </w:rPr>
      </w:pPr>
      <w:r>
        <w:rPr>
          <w:color w:val="auto"/>
          <w:sz w:val="24"/>
          <w:szCs w:val="24"/>
          <w:highlight w:val="none"/>
        </w:rPr>
        <w:t xml:space="preserve">日期：   年 </w:t>
      </w:r>
      <w:bookmarkStart w:id="243" w:name="_Toc16636"/>
      <w:bookmarkStart w:id="244" w:name="_Toc297800230"/>
      <w:bookmarkStart w:id="245" w:name="_Toc20348"/>
      <w:r>
        <w:rPr>
          <w:color w:val="auto"/>
          <w:sz w:val="24"/>
          <w:szCs w:val="24"/>
          <w:highlight w:val="none"/>
        </w:rPr>
        <w:t xml:space="preserve"> 月 </w:t>
      </w:r>
      <w:bookmarkEnd w:id="243"/>
      <w:bookmarkEnd w:id="244"/>
      <w:r>
        <w:rPr>
          <w:color w:val="auto"/>
          <w:sz w:val="24"/>
          <w:szCs w:val="24"/>
          <w:highlight w:val="none"/>
        </w:rPr>
        <w:t xml:space="preserve"> 日</w:t>
      </w:r>
    </w:p>
    <w:p>
      <w:pPr>
        <w:pStyle w:val="4"/>
        <w:spacing w:line="410" w:lineRule="exact"/>
        <w:ind w:firstLine="482"/>
        <w:rPr>
          <w:rFonts w:ascii="Times New Roman"/>
          <w:color w:val="auto"/>
          <w:sz w:val="24"/>
          <w:szCs w:val="24"/>
          <w:highlight w:val="none"/>
        </w:rPr>
      </w:pPr>
      <w:r>
        <w:rPr>
          <w:rFonts w:ascii="Times New Roman"/>
          <w:color w:val="auto"/>
          <w:sz w:val="24"/>
          <w:szCs w:val="24"/>
          <w:highlight w:val="none"/>
        </w:rPr>
        <w:br w:type="page"/>
      </w:r>
      <w:r>
        <w:rPr>
          <w:rFonts w:ascii="Times New Roman"/>
          <w:color w:val="auto"/>
          <w:sz w:val="24"/>
          <w:szCs w:val="24"/>
          <w:highlight w:val="none"/>
        </w:rPr>
        <w:t>5.2拟投入主要人员</w:t>
      </w:r>
      <w:bookmarkEnd w:id="245"/>
      <w:r>
        <w:rPr>
          <w:rFonts w:ascii="Times New Roman"/>
          <w:color w:val="auto"/>
          <w:sz w:val="24"/>
          <w:szCs w:val="24"/>
          <w:highlight w:val="none"/>
        </w:rPr>
        <w:t>简历表(格式)</w:t>
      </w:r>
    </w:p>
    <w:p>
      <w:pPr>
        <w:spacing w:line="410" w:lineRule="exact"/>
        <w:ind w:firstLine="482"/>
        <w:jc w:val="center"/>
        <w:rPr>
          <w:b/>
          <w:color w:val="auto"/>
          <w:sz w:val="24"/>
          <w:szCs w:val="24"/>
          <w:highlight w:val="none"/>
        </w:rPr>
      </w:pPr>
      <w:r>
        <w:rPr>
          <w:b/>
          <w:color w:val="auto"/>
          <w:sz w:val="24"/>
          <w:szCs w:val="24"/>
          <w:highlight w:val="none"/>
        </w:rPr>
        <w:t>拟投入主要人员简历表</w:t>
      </w:r>
    </w:p>
    <w:tbl>
      <w:tblPr>
        <w:tblStyle w:val="20"/>
        <w:tblW w:w="8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045"/>
        <w:gridCol w:w="209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500" w:type="dxa"/>
            <w:tcBorders>
              <w:top w:val="single" w:color="auto" w:sz="12" w:space="0"/>
              <w:left w:val="single" w:color="auto" w:sz="12" w:space="0"/>
            </w:tcBorders>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姓  名</w:t>
            </w:r>
          </w:p>
        </w:tc>
        <w:tc>
          <w:tcPr>
            <w:tcW w:w="3045" w:type="dxa"/>
            <w:tcBorders>
              <w:top w:val="single" w:color="auto" w:sz="12" w:space="0"/>
            </w:tcBorders>
            <w:vAlign w:val="center"/>
          </w:tcPr>
          <w:p>
            <w:pPr>
              <w:spacing w:line="410" w:lineRule="exact"/>
              <w:ind w:firstLine="420"/>
              <w:rPr>
                <w:rFonts w:ascii="Times New Roman"/>
                <w:color w:val="auto"/>
                <w:sz w:val="24"/>
                <w:szCs w:val="24"/>
                <w:highlight w:val="none"/>
              </w:rPr>
            </w:pPr>
          </w:p>
        </w:tc>
        <w:tc>
          <w:tcPr>
            <w:tcW w:w="2097" w:type="dxa"/>
            <w:tcBorders>
              <w:top w:val="single" w:color="auto" w:sz="12" w:space="0"/>
            </w:tcBorders>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年  　龄</w:t>
            </w:r>
          </w:p>
        </w:tc>
        <w:tc>
          <w:tcPr>
            <w:tcW w:w="1640" w:type="dxa"/>
            <w:tcBorders>
              <w:top w:val="single" w:color="auto" w:sz="12" w:space="0"/>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500" w:type="dxa"/>
            <w:tcBorders>
              <w:left w:val="single" w:color="auto" w:sz="12" w:space="0"/>
            </w:tcBorders>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性  别</w:t>
            </w:r>
          </w:p>
        </w:tc>
        <w:tc>
          <w:tcPr>
            <w:tcW w:w="3045" w:type="dxa"/>
            <w:vAlign w:val="center"/>
          </w:tcPr>
          <w:p>
            <w:pPr>
              <w:spacing w:line="410" w:lineRule="exact"/>
              <w:ind w:firstLine="420"/>
              <w:rPr>
                <w:rFonts w:ascii="Times New Roman"/>
                <w:color w:val="auto"/>
                <w:sz w:val="24"/>
                <w:szCs w:val="24"/>
                <w:highlight w:val="none"/>
              </w:rPr>
            </w:pPr>
          </w:p>
        </w:tc>
        <w:tc>
          <w:tcPr>
            <w:tcW w:w="2097" w:type="dxa"/>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工程师职称</w:t>
            </w:r>
          </w:p>
        </w:tc>
        <w:tc>
          <w:tcPr>
            <w:tcW w:w="164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500" w:type="dxa"/>
            <w:tcBorders>
              <w:left w:val="single" w:color="auto" w:sz="12" w:space="0"/>
            </w:tcBorders>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毕业时间</w:t>
            </w:r>
          </w:p>
        </w:tc>
        <w:tc>
          <w:tcPr>
            <w:tcW w:w="3045" w:type="dxa"/>
            <w:vAlign w:val="center"/>
          </w:tcPr>
          <w:p>
            <w:pPr>
              <w:spacing w:line="410" w:lineRule="exact"/>
              <w:ind w:firstLine="420"/>
              <w:rPr>
                <w:rFonts w:ascii="Times New Roman"/>
                <w:color w:val="auto"/>
                <w:sz w:val="24"/>
                <w:szCs w:val="24"/>
                <w:highlight w:val="none"/>
              </w:rPr>
            </w:pPr>
          </w:p>
        </w:tc>
        <w:tc>
          <w:tcPr>
            <w:tcW w:w="2097" w:type="dxa"/>
            <w:vAlign w:val="center"/>
          </w:tcPr>
          <w:p>
            <w:pPr>
              <w:spacing w:line="410" w:lineRule="exact"/>
              <w:rPr>
                <w:rFonts w:ascii="Times New Roman"/>
                <w:color w:val="auto"/>
                <w:sz w:val="24"/>
                <w:szCs w:val="24"/>
                <w:highlight w:val="none"/>
              </w:rPr>
            </w:pPr>
            <w:r>
              <w:rPr>
                <w:rFonts w:ascii="Times New Roman"/>
                <w:color w:val="auto"/>
                <w:sz w:val="24"/>
                <w:szCs w:val="24"/>
                <w:highlight w:val="none"/>
              </w:rPr>
              <w:t xml:space="preserve">   毕业学院及专业</w:t>
            </w:r>
          </w:p>
        </w:tc>
        <w:tc>
          <w:tcPr>
            <w:tcW w:w="164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00" w:type="dxa"/>
            <w:tcBorders>
              <w:left w:val="single" w:color="auto" w:sz="12" w:space="0"/>
            </w:tcBorders>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拟任职务</w:t>
            </w:r>
          </w:p>
        </w:tc>
        <w:tc>
          <w:tcPr>
            <w:tcW w:w="3045" w:type="dxa"/>
            <w:vAlign w:val="center"/>
          </w:tcPr>
          <w:p>
            <w:pPr>
              <w:spacing w:line="410" w:lineRule="exact"/>
              <w:ind w:firstLine="420"/>
              <w:rPr>
                <w:rFonts w:ascii="Times New Roman"/>
                <w:color w:val="auto"/>
                <w:sz w:val="24"/>
                <w:szCs w:val="24"/>
                <w:highlight w:val="none"/>
              </w:rPr>
            </w:pPr>
          </w:p>
        </w:tc>
        <w:tc>
          <w:tcPr>
            <w:tcW w:w="2097" w:type="dxa"/>
            <w:vAlign w:val="center"/>
          </w:tcPr>
          <w:p>
            <w:pPr>
              <w:spacing w:line="410" w:lineRule="exact"/>
              <w:ind w:firstLine="340"/>
              <w:rPr>
                <w:rFonts w:ascii="Times New Roman"/>
                <w:color w:val="auto"/>
                <w:sz w:val="24"/>
                <w:szCs w:val="24"/>
                <w:highlight w:val="none"/>
              </w:rPr>
            </w:pPr>
            <w:r>
              <w:rPr>
                <w:rFonts w:ascii="Times New Roman"/>
                <w:color w:val="auto"/>
                <w:spacing w:val="-20"/>
                <w:sz w:val="24"/>
                <w:szCs w:val="24"/>
                <w:highlight w:val="none"/>
              </w:rPr>
              <w:t>为申请人服务时间</w:t>
            </w:r>
          </w:p>
        </w:tc>
        <w:tc>
          <w:tcPr>
            <w:tcW w:w="164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8282" w:type="dxa"/>
            <w:gridSpan w:val="4"/>
            <w:tcBorders>
              <w:left w:val="single" w:color="auto" w:sz="12" w:space="0"/>
              <w:right w:val="single" w:color="auto" w:sz="12" w:space="0"/>
            </w:tcBorders>
            <w:vAlign w:val="center"/>
          </w:tcPr>
          <w:p>
            <w:pPr>
              <w:spacing w:line="410" w:lineRule="exact"/>
              <w:ind w:firstLine="422"/>
              <w:jc w:val="center"/>
              <w:rPr>
                <w:rFonts w:ascii="Times New Roman"/>
                <w:b/>
                <w:color w:val="auto"/>
                <w:sz w:val="24"/>
                <w:szCs w:val="24"/>
                <w:highlight w:val="none"/>
              </w:rPr>
            </w:pPr>
            <w:r>
              <w:rPr>
                <w:rFonts w:ascii="Times New Roman"/>
                <w:b/>
                <w:color w:val="auto"/>
                <w:sz w:val="24"/>
                <w:szCs w:val="24"/>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1500" w:type="dxa"/>
            <w:tcBorders>
              <w:left w:val="single" w:color="auto" w:sz="12" w:space="0"/>
              <w:right w:val="single" w:color="auto" w:sz="6" w:space="0"/>
            </w:tcBorders>
            <w:vAlign w:val="center"/>
          </w:tcPr>
          <w:p>
            <w:pPr>
              <w:spacing w:line="410" w:lineRule="exact"/>
              <w:ind w:firstLine="420"/>
              <w:jc w:val="center"/>
              <w:rPr>
                <w:rFonts w:ascii="Times New Roman"/>
                <w:color w:val="auto"/>
                <w:sz w:val="24"/>
                <w:szCs w:val="24"/>
                <w:highlight w:val="none"/>
              </w:rPr>
            </w:pPr>
            <w:r>
              <w:rPr>
                <w:rFonts w:ascii="Times New Roman"/>
                <w:color w:val="auto"/>
                <w:sz w:val="24"/>
                <w:szCs w:val="24"/>
                <w:highlight w:val="none"/>
              </w:rPr>
              <w:t xml:space="preserve"> 年- 年</w:t>
            </w:r>
          </w:p>
        </w:tc>
        <w:tc>
          <w:tcPr>
            <w:tcW w:w="5142" w:type="dxa"/>
            <w:gridSpan w:val="2"/>
            <w:tcBorders>
              <w:left w:val="single" w:color="auto" w:sz="6" w:space="0"/>
              <w:right w:val="single" w:color="auto" w:sz="6" w:space="0"/>
            </w:tcBorders>
            <w:vAlign w:val="center"/>
          </w:tcPr>
          <w:p>
            <w:pPr>
              <w:spacing w:line="410" w:lineRule="exact"/>
              <w:ind w:firstLine="420"/>
              <w:jc w:val="center"/>
              <w:rPr>
                <w:rFonts w:ascii="Times New Roman"/>
                <w:color w:val="auto"/>
                <w:sz w:val="24"/>
                <w:szCs w:val="24"/>
                <w:highlight w:val="none"/>
              </w:rPr>
            </w:pPr>
            <w:r>
              <w:rPr>
                <w:rFonts w:ascii="Times New Roman"/>
                <w:color w:val="auto"/>
                <w:sz w:val="24"/>
                <w:szCs w:val="24"/>
                <w:highlight w:val="none"/>
              </w:rPr>
              <w:t>参加过质量检测的工程项目名称（类型和金额）</w:t>
            </w:r>
          </w:p>
        </w:tc>
        <w:tc>
          <w:tcPr>
            <w:tcW w:w="1640" w:type="dxa"/>
            <w:tcBorders>
              <w:left w:val="single" w:color="auto" w:sz="6" w:space="0"/>
              <w:right w:val="single" w:color="auto" w:sz="12" w:space="0"/>
            </w:tcBorders>
            <w:vAlign w:val="center"/>
          </w:tcPr>
          <w:p>
            <w:pPr>
              <w:spacing w:line="410" w:lineRule="exact"/>
              <w:ind w:firstLine="420"/>
              <w:jc w:val="center"/>
              <w:rPr>
                <w:rFonts w:ascii="Times New Roman"/>
                <w:color w:val="auto"/>
                <w:sz w:val="24"/>
                <w:szCs w:val="24"/>
                <w:highlight w:val="none"/>
              </w:rPr>
            </w:pPr>
            <w:r>
              <w:rPr>
                <w:rFonts w:ascii="Times New Roman"/>
                <w:color w:val="auto"/>
                <w:sz w:val="24"/>
                <w:szCs w:val="24"/>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4" w:hRule="atLeast"/>
          <w:jc w:val="center"/>
        </w:trPr>
        <w:tc>
          <w:tcPr>
            <w:tcW w:w="1500" w:type="dxa"/>
            <w:tcBorders>
              <w:left w:val="single" w:color="auto" w:sz="12" w:space="0"/>
              <w:bottom w:val="single" w:color="auto" w:sz="12" w:space="0"/>
              <w:right w:val="single" w:color="auto" w:sz="6" w:space="0"/>
            </w:tcBorders>
            <w:vAlign w:val="center"/>
          </w:tcPr>
          <w:p>
            <w:pPr>
              <w:spacing w:line="410" w:lineRule="exact"/>
              <w:ind w:firstLine="420"/>
              <w:rPr>
                <w:rFonts w:ascii="Times New Roman"/>
                <w:color w:val="auto"/>
                <w:sz w:val="24"/>
                <w:szCs w:val="24"/>
                <w:highlight w:val="none"/>
              </w:rPr>
            </w:pPr>
          </w:p>
        </w:tc>
        <w:tc>
          <w:tcPr>
            <w:tcW w:w="5142" w:type="dxa"/>
            <w:gridSpan w:val="2"/>
            <w:tcBorders>
              <w:left w:val="single" w:color="auto" w:sz="6" w:space="0"/>
              <w:bottom w:val="single" w:color="auto" w:sz="12" w:space="0"/>
              <w:right w:val="single" w:color="auto" w:sz="6" w:space="0"/>
            </w:tcBorders>
            <w:vAlign w:val="center"/>
          </w:tcPr>
          <w:p>
            <w:pPr>
              <w:spacing w:line="410" w:lineRule="exact"/>
              <w:ind w:firstLine="420"/>
              <w:rPr>
                <w:rFonts w:ascii="Times New Roman"/>
                <w:color w:val="auto"/>
                <w:sz w:val="24"/>
                <w:szCs w:val="24"/>
                <w:highlight w:val="none"/>
              </w:rPr>
            </w:pPr>
          </w:p>
        </w:tc>
        <w:tc>
          <w:tcPr>
            <w:tcW w:w="1640" w:type="dxa"/>
            <w:tcBorders>
              <w:left w:val="single" w:color="auto" w:sz="6" w:space="0"/>
              <w:bottom w:val="single" w:color="auto" w:sz="12" w:space="0"/>
              <w:right w:val="single" w:color="auto" w:sz="12" w:space="0"/>
            </w:tcBorders>
            <w:vAlign w:val="center"/>
          </w:tcPr>
          <w:p>
            <w:pPr>
              <w:spacing w:line="410" w:lineRule="exact"/>
              <w:ind w:firstLine="420"/>
              <w:rPr>
                <w:rFonts w:ascii="Times New Roman"/>
                <w:color w:val="auto"/>
                <w:sz w:val="24"/>
                <w:szCs w:val="24"/>
                <w:highlight w:val="none"/>
              </w:rPr>
            </w:pPr>
          </w:p>
        </w:tc>
      </w:tr>
    </w:tbl>
    <w:p>
      <w:pPr>
        <w:pStyle w:val="9"/>
        <w:adjustRightInd w:val="0"/>
        <w:spacing w:line="410" w:lineRule="exact"/>
        <w:ind w:firstLine="0" w:firstLineChars="0"/>
        <w:rPr>
          <w:color w:val="auto"/>
          <w:sz w:val="24"/>
          <w:highlight w:val="none"/>
        </w:rPr>
      </w:pPr>
      <w:bookmarkStart w:id="246" w:name="_Toc19161"/>
      <w:r>
        <w:rPr>
          <w:color w:val="auto"/>
          <w:sz w:val="24"/>
          <w:highlight w:val="none"/>
        </w:rPr>
        <w:t>注：1、本表格只需要填写表5.1中人员的相关信息；2、本页不够请续表；3、附有效的学历证明、身份证明、职称证书、资格证书、劳动合同、社会保险证明（以社保机构开具并加盖社保机构章的为准）等证明材料；4、项目负责人、技术负责人的类似工程质量检测服务业绩需提供证明材料【合同协议书及完工证明（工程接收证书或竣工验收备案表或竣工验收记录或竣工验收报告或业主证明文件）】。（项目负责人必需提供无在建承诺书并加盖单位公章，否则按无效投标处理）。</w:t>
      </w:r>
    </w:p>
    <w:p>
      <w:pPr>
        <w:spacing w:line="410" w:lineRule="exact"/>
        <w:ind w:right="525" w:firstLine="3067" w:firstLineChars="1278"/>
        <w:rPr>
          <w:bCs/>
          <w:color w:val="auto"/>
          <w:sz w:val="24"/>
          <w:szCs w:val="24"/>
          <w:highlight w:val="none"/>
        </w:rPr>
      </w:pPr>
      <w:r>
        <w:rPr>
          <w:bCs/>
          <w:color w:val="auto"/>
          <w:sz w:val="24"/>
          <w:szCs w:val="24"/>
          <w:highlight w:val="none"/>
        </w:rPr>
        <w:t>投标人（盖章）：</w:t>
      </w:r>
    </w:p>
    <w:p>
      <w:pPr>
        <w:spacing w:line="410" w:lineRule="exact"/>
        <w:ind w:right="420" w:firstLine="3067" w:firstLineChars="1278"/>
        <w:rPr>
          <w:bCs/>
          <w:color w:val="auto"/>
          <w:sz w:val="24"/>
          <w:szCs w:val="24"/>
          <w:highlight w:val="none"/>
        </w:rPr>
      </w:pPr>
      <w:r>
        <w:rPr>
          <w:bCs/>
          <w:color w:val="auto"/>
          <w:sz w:val="24"/>
          <w:szCs w:val="24"/>
          <w:highlight w:val="none"/>
        </w:rPr>
        <w:t>法定代表人或授权委托人（签字或盖章）：</w:t>
      </w:r>
    </w:p>
    <w:p>
      <w:pPr>
        <w:spacing w:line="410" w:lineRule="exact"/>
        <w:ind w:firstLine="3840" w:firstLineChars="1600"/>
        <w:rPr>
          <w:rFonts w:eastAsia="黑体"/>
          <w:color w:val="auto"/>
          <w:sz w:val="24"/>
          <w:szCs w:val="24"/>
          <w:highlight w:val="none"/>
        </w:rPr>
      </w:pPr>
      <w:r>
        <w:rPr>
          <w:bCs/>
          <w:color w:val="auto"/>
          <w:sz w:val="24"/>
          <w:szCs w:val="24"/>
          <w:highlight w:val="none"/>
        </w:rPr>
        <w:t>日期：      年     月     日</w:t>
      </w:r>
    </w:p>
    <w:p>
      <w:pPr>
        <w:pStyle w:val="4"/>
        <w:ind w:firstLine="482"/>
        <w:rPr>
          <w:rFonts w:ascii="Times New Roman" w:eastAsia="黑体"/>
          <w:color w:val="auto"/>
          <w:sz w:val="24"/>
          <w:szCs w:val="24"/>
          <w:highlight w:val="none"/>
        </w:rPr>
      </w:pPr>
      <w:r>
        <w:rPr>
          <w:rFonts w:ascii="Times New Roman"/>
          <w:color w:val="auto"/>
          <w:sz w:val="24"/>
          <w:szCs w:val="24"/>
          <w:highlight w:val="none"/>
        </w:rPr>
        <w:br w:type="page"/>
      </w:r>
      <w:r>
        <w:rPr>
          <w:rStyle w:val="16"/>
          <w:rFonts w:ascii="Times New Roman"/>
          <w:color w:val="auto"/>
          <w:sz w:val="24"/>
          <w:szCs w:val="24"/>
          <w:highlight w:val="none"/>
        </w:rPr>
        <w:t>5.3无在建承诺书</w:t>
      </w:r>
    </w:p>
    <w:p>
      <w:pPr>
        <w:spacing w:line="410" w:lineRule="exact"/>
        <w:ind w:firstLine="400"/>
        <w:jc w:val="right"/>
        <w:rPr>
          <w:rFonts w:eastAsia="黑体"/>
          <w:color w:val="auto"/>
          <w:sz w:val="24"/>
          <w:szCs w:val="24"/>
          <w:highlight w:val="none"/>
        </w:rPr>
      </w:pPr>
    </w:p>
    <w:p>
      <w:pPr>
        <w:spacing w:line="410" w:lineRule="exact"/>
        <w:ind w:firstLine="420"/>
        <w:jc w:val="left"/>
        <w:rPr>
          <w:color w:val="auto"/>
          <w:sz w:val="24"/>
          <w:szCs w:val="24"/>
          <w:highlight w:val="none"/>
        </w:rPr>
      </w:pPr>
      <w:bookmarkStart w:id="247" w:name="_Toc391119500"/>
      <w:bookmarkStart w:id="248" w:name="_Toc9765"/>
      <w:r>
        <w:rPr>
          <w:color w:val="auto"/>
          <w:sz w:val="24"/>
          <w:szCs w:val="24"/>
          <w:highlight w:val="none"/>
        </w:rPr>
        <w:t>（招标人名称）：</w:t>
      </w:r>
    </w:p>
    <w:p>
      <w:pPr>
        <w:spacing w:line="410" w:lineRule="exact"/>
        <w:ind w:firstLine="420"/>
        <w:rPr>
          <w:color w:val="auto"/>
          <w:sz w:val="24"/>
          <w:szCs w:val="24"/>
          <w:highlight w:val="none"/>
        </w:rPr>
      </w:pPr>
      <w:r>
        <w:rPr>
          <w:color w:val="auto"/>
          <w:sz w:val="24"/>
          <w:szCs w:val="24"/>
          <w:highlight w:val="none"/>
        </w:rPr>
        <w:t>我方在此声明：</w:t>
      </w:r>
    </w:p>
    <w:p>
      <w:pPr>
        <w:spacing w:line="410" w:lineRule="exact"/>
        <w:ind w:firstLine="420"/>
        <w:rPr>
          <w:color w:val="auto"/>
          <w:sz w:val="24"/>
          <w:szCs w:val="24"/>
          <w:highlight w:val="none"/>
        </w:rPr>
      </w:pPr>
      <w:r>
        <w:rPr>
          <w:color w:val="auto"/>
          <w:sz w:val="24"/>
          <w:szCs w:val="24"/>
          <w:highlight w:val="none"/>
        </w:rPr>
        <w:t>我方拟派往</w:t>
      </w:r>
      <w:r>
        <w:rPr>
          <w:color w:val="auto"/>
          <w:sz w:val="24"/>
          <w:szCs w:val="24"/>
          <w:highlight w:val="none"/>
          <w:u w:val="single"/>
        </w:rPr>
        <w:t>（项目名称及标段）</w:t>
      </w:r>
      <w:r>
        <w:rPr>
          <w:color w:val="auto"/>
          <w:sz w:val="24"/>
          <w:szCs w:val="24"/>
          <w:highlight w:val="none"/>
        </w:rPr>
        <w:t>（以下简称“本工程”）的项目负责人（项目负责人姓名）没有担任其他在建项目的项目负责人。</w:t>
      </w:r>
    </w:p>
    <w:p>
      <w:pPr>
        <w:spacing w:line="410" w:lineRule="exact"/>
        <w:ind w:firstLine="420"/>
        <w:rPr>
          <w:color w:val="auto"/>
          <w:sz w:val="24"/>
          <w:szCs w:val="24"/>
          <w:highlight w:val="none"/>
        </w:rPr>
      </w:pPr>
      <w:r>
        <w:rPr>
          <w:color w:val="auto"/>
          <w:sz w:val="24"/>
          <w:szCs w:val="24"/>
          <w:highlight w:val="none"/>
        </w:rPr>
        <w:t>我方保证上述信息的真实和准确，并愿意承担因我方就此弄虚作假所引起的一切法律后果。</w:t>
      </w:r>
    </w:p>
    <w:p>
      <w:pPr>
        <w:spacing w:line="410" w:lineRule="exact"/>
        <w:ind w:firstLine="420"/>
        <w:rPr>
          <w:color w:val="auto"/>
          <w:sz w:val="24"/>
          <w:szCs w:val="24"/>
          <w:highlight w:val="none"/>
        </w:rPr>
      </w:pPr>
    </w:p>
    <w:p>
      <w:pPr>
        <w:spacing w:line="410" w:lineRule="exact"/>
        <w:ind w:firstLine="420"/>
        <w:rPr>
          <w:color w:val="auto"/>
          <w:sz w:val="24"/>
          <w:szCs w:val="24"/>
          <w:highlight w:val="none"/>
        </w:rPr>
      </w:pPr>
    </w:p>
    <w:p>
      <w:pPr>
        <w:spacing w:line="410" w:lineRule="exact"/>
        <w:ind w:firstLine="420"/>
        <w:rPr>
          <w:color w:val="auto"/>
          <w:sz w:val="24"/>
          <w:szCs w:val="24"/>
          <w:highlight w:val="none"/>
        </w:rPr>
      </w:pPr>
      <w:r>
        <w:rPr>
          <w:color w:val="auto"/>
          <w:sz w:val="24"/>
          <w:szCs w:val="24"/>
          <w:highlight w:val="none"/>
        </w:rPr>
        <w:t>特此承诺</w:t>
      </w:r>
    </w:p>
    <w:p>
      <w:pPr>
        <w:spacing w:line="410" w:lineRule="exact"/>
        <w:ind w:firstLine="420"/>
        <w:rPr>
          <w:color w:val="auto"/>
          <w:sz w:val="24"/>
          <w:szCs w:val="24"/>
          <w:highlight w:val="none"/>
        </w:rPr>
      </w:pPr>
    </w:p>
    <w:p>
      <w:pPr>
        <w:spacing w:line="410" w:lineRule="exact"/>
        <w:ind w:firstLine="420"/>
        <w:rPr>
          <w:color w:val="auto"/>
          <w:sz w:val="24"/>
          <w:szCs w:val="24"/>
          <w:highlight w:val="none"/>
        </w:rPr>
      </w:pPr>
    </w:p>
    <w:p>
      <w:pPr>
        <w:spacing w:line="410" w:lineRule="exact"/>
        <w:jc w:val="right"/>
        <w:rPr>
          <w:color w:val="auto"/>
          <w:sz w:val="24"/>
          <w:szCs w:val="24"/>
          <w:highlight w:val="none"/>
        </w:rPr>
      </w:pPr>
      <w:r>
        <w:rPr>
          <w:color w:val="auto"/>
          <w:sz w:val="24"/>
          <w:szCs w:val="24"/>
          <w:highlight w:val="none"/>
        </w:rPr>
        <w:t>投 标 人：（盖单位公章）</w:t>
      </w:r>
    </w:p>
    <w:p>
      <w:pPr>
        <w:spacing w:line="410" w:lineRule="exact"/>
        <w:jc w:val="right"/>
        <w:rPr>
          <w:color w:val="auto"/>
          <w:sz w:val="24"/>
          <w:szCs w:val="24"/>
          <w:highlight w:val="none"/>
        </w:rPr>
      </w:pPr>
      <w:r>
        <w:rPr>
          <w:color w:val="auto"/>
          <w:sz w:val="24"/>
          <w:szCs w:val="24"/>
          <w:highlight w:val="none"/>
        </w:rPr>
        <w:t>法定代表人或其委托代理人：（签字或盖章）</w:t>
      </w:r>
    </w:p>
    <w:p>
      <w:pPr>
        <w:spacing w:line="410" w:lineRule="exact"/>
        <w:jc w:val="right"/>
        <w:rPr>
          <w:color w:val="auto"/>
          <w:sz w:val="24"/>
          <w:szCs w:val="24"/>
          <w:highlight w:val="none"/>
        </w:rPr>
      </w:pPr>
      <w:r>
        <w:rPr>
          <w:color w:val="auto"/>
          <w:sz w:val="24"/>
          <w:szCs w:val="24"/>
          <w:highlight w:val="none"/>
        </w:rPr>
        <w:t>年月日</w:t>
      </w:r>
    </w:p>
    <w:p>
      <w:pPr>
        <w:rPr>
          <w:rFonts w:ascii="Times New Roman" w:hAnsi="Times New Roman"/>
          <w:color w:val="auto"/>
          <w:sz w:val="24"/>
          <w:szCs w:val="24"/>
          <w:highlight w:val="none"/>
        </w:rPr>
      </w:pPr>
      <w:r>
        <w:rPr>
          <w:rFonts w:ascii="Times New Roman" w:hAnsi="Times New Roman"/>
          <w:color w:val="auto"/>
          <w:sz w:val="24"/>
          <w:szCs w:val="24"/>
          <w:highlight w:val="none"/>
        </w:rPr>
        <w:br w:type="page"/>
      </w:r>
    </w:p>
    <w:p>
      <w:pPr>
        <w:pStyle w:val="3"/>
        <w:spacing w:line="410" w:lineRule="exact"/>
        <w:ind w:left="0" w:leftChars="0" w:firstLine="0" w:firstLineChars="0"/>
        <w:jc w:val="center"/>
        <w:rPr>
          <w:rFonts w:ascii="Times New Roman" w:hAnsi="Times New Roman"/>
          <w:color w:val="auto"/>
          <w:sz w:val="24"/>
          <w:szCs w:val="24"/>
          <w:highlight w:val="none"/>
        </w:rPr>
      </w:pPr>
      <w:bookmarkStart w:id="249" w:name="_Toc19952"/>
      <w:r>
        <w:rPr>
          <w:rFonts w:ascii="Times New Roman" w:hAnsi="Times New Roman"/>
          <w:color w:val="auto"/>
          <w:sz w:val="24"/>
          <w:szCs w:val="24"/>
          <w:highlight w:val="none"/>
        </w:rPr>
        <w:t>六</w:t>
      </w:r>
      <w:bookmarkEnd w:id="246"/>
      <w:r>
        <w:rPr>
          <w:rFonts w:ascii="Times New Roman" w:hAnsi="Times New Roman"/>
          <w:color w:val="auto"/>
          <w:sz w:val="24"/>
          <w:szCs w:val="24"/>
          <w:highlight w:val="none"/>
        </w:rPr>
        <w:t>、</w:t>
      </w:r>
      <w:bookmarkStart w:id="250" w:name="_Toc144974876"/>
      <w:bookmarkStart w:id="251" w:name="_Toc152045808"/>
      <w:bookmarkStart w:id="252" w:name="_Toc152042597"/>
      <w:bookmarkStart w:id="253" w:name="_Toc16262"/>
      <w:bookmarkStart w:id="254" w:name="_Toc297800232"/>
      <w:bookmarkStart w:id="255" w:name="_Toc295399000"/>
      <w:r>
        <w:rPr>
          <w:rFonts w:ascii="Times New Roman" w:hAnsi="Times New Roman"/>
          <w:color w:val="auto"/>
          <w:sz w:val="24"/>
          <w:szCs w:val="24"/>
          <w:highlight w:val="none"/>
        </w:rPr>
        <w:t>资格审查资料</w:t>
      </w:r>
      <w:bookmarkEnd w:id="247"/>
      <w:bookmarkEnd w:id="248"/>
      <w:bookmarkEnd w:id="249"/>
    </w:p>
    <w:p>
      <w:pPr>
        <w:pStyle w:val="4"/>
        <w:spacing w:line="410" w:lineRule="exact"/>
        <w:ind w:firstLine="482"/>
        <w:rPr>
          <w:rFonts w:ascii="Times New Roman"/>
          <w:color w:val="auto"/>
          <w:sz w:val="24"/>
          <w:szCs w:val="24"/>
          <w:highlight w:val="none"/>
        </w:rPr>
      </w:pPr>
      <w:r>
        <w:rPr>
          <w:rFonts w:ascii="Times New Roman"/>
          <w:color w:val="auto"/>
          <w:sz w:val="24"/>
          <w:szCs w:val="24"/>
          <w:highlight w:val="none"/>
        </w:rPr>
        <w:t>6.1投</w:t>
      </w:r>
      <w:bookmarkEnd w:id="250"/>
      <w:bookmarkEnd w:id="251"/>
      <w:bookmarkEnd w:id="252"/>
      <w:bookmarkEnd w:id="253"/>
      <w:bookmarkEnd w:id="254"/>
      <w:bookmarkEnd w:id="255"/>
      <w:r>
        <w:rPr>
          <w:rFonts w:ascii="Times New Roman"/>
          <w:color w:val="auto"/>
          <w:sz w:val="24"/>
          <w:szCs w:val="24"/>
          <w:highlight w:val="none"/>
        </w:rPr>
        <w:t>标人基本情况表</w:t>
      </w:r>
    </w:p>
    <w:tbl>
      <w:tblPr>
        <w:tblStyle w:val="20"/>
        <w:tblW w:w="89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2582"/>
        <w:gridCol w:w="1548"/>
        <w:gridCol w:w="17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982" w:type="dxa"/>
            <w:gridSpan w:val="4"/>
            <w:vAlign w:val="center"/>
          </w:tcPr>
          <w:p>
            <w:pPr>
              <w:spacing w:line="410" w:lineRule="exact"/>
              <w:ind w:firstLine="420"/>
              <w:jc w:val="center"/>
              <w:rPr>
                <w:rFonts w:ascii="Times New Roman"/>
                <w:color w:val="auto"/>
                <w:sz w:val="24"/>
                <w:szCs w:val="24"/>
                <w:highlight w:val="none"/>
              </w:rPr>
            </w:pPr>
            <w:r>
              <w:rPr>
                <w:rFonts w:ascii="Times New Roman"/>
                <w:color w:val="auto"/>
                <w:sz w:val="24"/>
                <w:szCs w:val="24"/>
                <w:highlight w:val="none"/>
              </w:rPr>
              <w:t>企业营业执照（扫描件）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133" w:type="dxa"/>
            <w:vAlign w:val="center"/>
          </w:tcPr>
          <w:p>
            <w:pPr>
              <w:spacing w:line="410" w:lineRule="exact"/>
              <w:ind w:firstLine="780"/>
              <w:rPr>
                <w:rFonts w:ascii="Times New Roman"/>
                <w:color w:val="auto"/>
                <w:spacing w:val="71"/>
                <w:sz w:val="24"/>
                <w:szCs w:val="24"/>
                <w:highlight w:val="none"/>
              </w:rPr>
            </w:pPr>
            <w:r>
              <w:rPr>
                <w:rFonts w:ascii="Times New Roman"/>
                <w:color w:val="auto"/>
                <w:spacing w:val="90"/>
                <w:sz w:val="24"/>
                <w:szCs w:val="24"/>
                <w:highlight w:val="none"/>
              </w:rPr>
              <w:t>投标人全</w:t>
            </w:r>
            <w:r>
              <w:rPr>
                <w:rFonts w:ascii="Times New Roman"/>
                <w:color w:val="auto"/>
                <w:spacing w:val="15"/>
                <w:sz w:val="24"/>
                <w:szCs w:val="24"/>
                <w:highlight w:val="none"/>
              </w:rPr>
              <w:t>称</w:t>
            </w:r>
          </w:p>
        </w:tc>
        <w:tc>
          <w:tcPr>
            <w:tcW w:w="5849" w:type="dxa"/>
            <w:gridSpan w:val="3"/>
            <w:vAlign w:val="center"/>
          </w:tcPr>
          <w:p>
            <w:pPr>
              <w:spacing w:line="410" w:lineRule="exact"/>
              <w:ind w:firstLine="42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133" w:type="dxa"/>
            <w:vAlign w:val="center"/>
          </w:tcPr>
          <w:p>
            <w:pPr>
              <w:spacing w:line="410" w:lineRule="exact"/>
              <w:ind w:firstLine="600"/>
              <w:rPr>
                <w:rFonts w:ascii="Times New Roman"/>
                <w:color w:val="auto"/>
                <w:sz w:val="24"/>
                <w:szCs w:val="24"/>
                <w:highlight w:val="none"/>
              </w:rPr>
            </w:pPr>
            <w:r>
              <w:rPr>
                <w:rFonts w:ascii="Times New Roman"/>
                <w:color w:val="auto"/>
                <w:spacing w:val="45"/>
                <w:sz w:val="24"/>
                <w:szCs w:val="24"/>
                <w:highlight w:val="none"/>
              </w:rPr>
              <w:t>主要业务范围</w:t>
            </w:r>
          </w:p>
        </w:tc>
        <w:tc>
          <w:tcPr>
            <w:tcW w:w="5849" w:type="dxa"/>
            <w:gridSpan w:val="3"/>
            <w:vAlign w:val="center"/>
          </w:tcPr>
          <w:p>
            <w:pPr>
              <w:spacing w:line="410" w:lineRule="exact"/>
              <w:ind w:firstLine="42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133" w:type="dxa"/>
            <w:vAlign w:val="center"/>
          </w:tcPr>
          <w:p>
            <w:pPr>
              <w:spacing w:line="410" w:lineRule="exact"/>
              <w:ind w:firstLine="780"/>
              <w:rPr>
                <w:rFonts w:ascii="Times New Roman"/>
                <w:color w:val="auto"/>
                <w:spacing w:val="5"/>
                <w:sz w:val="24"/>
                <w:szCs w:val="24"/>
                <w:highlight w:val="none"/>
              </w:rPr>
            </w:pPr>
            <w:r>
              <w:rPr>
                <w:rFonts w:ascii="Times New Roman"/>
                <w:color w:val="auto"/>
                <w:spacing w:val="90"/>
                <w:sz w:val="24"/>
                <w:szCs w:val="24"/>
                <w:highlight w:val="none"/>
              </w:rPr>
              <w:t>投标人地</w:t>
            </w:r>
            <w:r>
              <w:rPr>
                <w:rFonts w:ascii="Times New Roman"/>
                <w:color w:val="auto"/>
                <w:spacing w:val="15"/>
                <w:sz w:val="24"/>
                <w:szCs w:val="24"/>
                <w:highlight w:val="none"/>
              </w:rPr>
              <w:t>址</w:t>
            </w:r>
          </w:p>
        </w:tc>
        <w:tc>
          <w:tcPr>
            <w:tcW w:w="2582" w:type="dxa"/>
            <w:vAlign w:val="center"/>
          </w:tcPr>
          <w:p>
            <w:pPr>
              <w:spacing w:line="410" w:lineRule="exact"/>
              <w:ind w:firstLine="420"/>
              <w:rPr>
                <w:rFonts w:ascii="Times New Roman"/>
                <w:color w:val="auto"/>
                <w:sz w:val="24"/>
                <w:szCs w:val="24"/>
                <w:highlight w:val="none"/>
              </w:rPr>
            </w:pPr>
          </w:p>
        </w:tc>
        <w:tc>
          <w:tcPr>
            <w:tcW w:w="1548" w:type="dxa"/>
            <w:vAlign w:val="center"/>
          </w:tcPr>
          <w:p>
            <w:pPr>
              <w:spacing w:line="410" w:lineRule="exact"/>
              <w:jc w:val="center"/>
              <w:rPr>
                <w:rFonts w:ascii="Times New Roman"/>
                <w:color w:val="auto"/>
                <w:sz w:val="24"/>
                <w:szCs w:val="24"/>
                <w:highlight w:val="none"/>
              </w:rPr>
            </w:pPr>
            <w:r>
              <w:rPr>
                <w:rFonts w:ascii="Times New Roman"/>
                <w:color w:val="auto"/>
                <w:spacing w:val="60"/>
                <w:sz w:val="24"/>
                <w:szCs w:val="24"/>
                <w:highlight w:val="none"/>
              </w:rPr>
              <w:t>邮政编</w:t>
            </w:r>
            <w:r>
              <w:rPr>
                <w:rFonts w:ascii="Times New Roman"/>
                <w:color w:val="auto"/>
                <w:sz w:val="24"/>
                <w:szCs w:val="24"/>
                <w:highlight w:val="none"/>
              </w:rPr>
              <w:t>码</w:t>
            </w:r>
          </w:p>
        </w:tc>
        <w:tc>
          <w:tcPr>
            <w:tcW w:w="1719" w:type="dxa"/>
            <w:vAlign w:val="center"/>
          </w:tcPr>
          <w:p>
            <w:pPr>
              <w:spacing w:line="410" w:lineRule="exact"/>
              <w:ind w:firstLine="42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3133" w:type="dxa"/>
            <w:vAlign w:val="center"/>
          </w:tcPr>
          <w:p>
            <w:pPr>
              <w:spacing w:line="410" w:lineRule="exact"/>
              <w:ind w:firstLine="540"/>
              <w:rPr>
                <w:rFonts w:ascii="Times New Roman"/>
                <w:color w:val="auto"/>
                <w:spacing w:val="5"/>
                <w:sz w:val="24"/>
                <w:szCs w:val="24"/>
                <w:highlight w:val="none"/>
              </w:rPr>
            </w:pPr>
            <w:r>
              <w:rPr>
                <w:rFonts w:ascii="Times New Roman"/>
                <w:color w:val="auto"/>
                <w:spacing w:val="30"/>
                <w:sz w:val="24"/>
                <w:szCs w:val="24"/>
                <w:highlight w:val="none"/>
              </w:rPr>
              <w:t xml:space="preserve">电       </w:t>
            </w:r>
            <w:r>
              <w:rPr>
                <w:rFonts w:ascii="Times New Roman"/>
                <w:color w:val="auto"/>
                <w:spacing w:val="82"/>
                <w:sz w:val="24"/>
                <w:szCs w:val="24"/>
                <w:highlight w:val="none"/>
              </w:rPr>
              <w:t>话</w:t>
            </w:r>
          </w:p>
        </w:tc>
        <w:tc>
          <w:tcPr>
            <w:tcW w:w="2582" w:type="dxa"/>
            <w:vAlign w:val="center"/>
          </w:tcPr>
          <w:p>
            <w:pPr>
              <w:spacing w:line="410" w:lineRule="exact"/>
              <w:ind w:firstLine="420"/>
              <w:rPr>
                <w:rFonts w:ascii="Times New Roman"/>
                <w:color w:val="auto"/>
                <w:sz w:val="24"/>
                <w:szCs w:val="24"/>
                <w:highlight w:val="none"/>
              </w:rPr>
            </w:pPr>
          </w:p>
        </w:tc>
        <w:tc>
          <w:tcPr>
            <w:tcW w:w="1548" w:type="dxa"/>
            <w:vAlign w:val="center"/>
          </w:tcPr>
          <w:p>
            <w:pPr>
              <w:spacing w:line="410" w:lineRule="exact"/>
              <w:rPr>
                <w:rFonts w:ascii="Times New Roman"/>
                <w:color w:val="auto"/>
                <w:sz w:val="24"/>
                <w:szCs w:val="24"/>
                <w:highlight w:val="none"/>
              </w:rPr>
            </w:pPr>
            <w:r>
              <w:rPr>
                <w:rFonts w:ascii="Times New Roman"/>
                <w:color w:val="auto"/>
                <w:sz w:val="24"/>
                <w:szCs w:val="24"/>
                <w:highlight w:val="none"/>
              </w:rPr>
              <w:t xml:space="preserve">    传 真</w:t>
            </w:r>
          </w:p>
        </w:tc>
        <w:tc>
          <w:tcPr>
            <w:tcW w:w="1719" w:type="dxa"/>
            <w:vAlign w:val="center"/>
          </w:tcPr>
          <w:p>
            <w:pPr>
              <w:spacing w:line="410" w:lineRule="exact"/>
              <w:ind w:firstLine="42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133" w:type="dxa"/>
            <w:vAlign w:val="center"/>
          </w:tcPr>
          <w:p>
            <w:pPr>
              <w:spacing w:line="410" w:lineRule="exact"/>
              <w:ind w:firstLine="636"/>
              <w:rPr>
                <w:rFonts w:ascii="Times New Roman"/>
                <w:color w:val="auto"/>
                <w:spacing w:val="5"/>
                <w:sz w:val="24"/>
                <w:szCs w:val="24"/>
                <w:highlight w:val="none"/>
              </w:rPr>
            </w:pPr>
            <w:r>
              <w:rPr>
                <w:rFonts w:ascii="Times New Roman"/>
                <w:color w:val="auto"/>
                <w:spacing w:val="54"/>
                <w:sz w:val="24"/>
                <w:szCs w:val="24"/>
                <w:highlight w:val="none"/>
              </w:rPr>
              <w:t xml:space="preserve">建 立 日 </w:t>
            </w:r>
            <w:r>
              <w:rPr>
                <w:rFonts w:ascii="Times New Roman"/>
                <w:color w:val="auto"/>
                <w:spacing w:val="-1"/>
                <w:sz w:val="24"/>
                <w:szCs w:val="24"/>
                <w:highlight w:val="none"/>
              </w:rPr>
              <w:t>期</w:t>
            </w:r>
          </w:p>
        </w:tc>
        <w:tc>
          <w:tcPr>
            <w:tcW w:w="2582" w:type="dxa"/>
            <w:vAlign w:val="center"/>
          </w:tcPr>
          <w:p>
            <w:pPr>
              <w:spacing w:line="410" w:lineRule="exact"/>
              <w:ind w:firstLine="420"/>
              <w:rPr>
                <w:rFonts w:ascii="Times New Roman"/>
                <w:color w:val="auto"/>
                <w:sz w:val="24"/>
                <w:szCs w:val="24"/>
                <w:highlight w:val="none"/>
              </w:rPr>
            </w:pPr>
          </w:p>
        </w:tc>
        <w:tc>
          <w:tcPr>
            <w:tcW w:w="1548" w:type="dxa"/>
            <w:vAlign w:val="center"/>
          </w:tcPr>
          <w:p>
            <w:pPr>
              <w:spacing w:line="410" w:lineRule="exact"/>
              <w:jc w:val="center"/>
              <w:rPr>
                <w:rFonts w:ascii="Times New Roman"/>
                <w:color w:val="auto"/>
                <w:sz w:val="24"/>
                <w:szCs w:val="24"/>
                <w:highlight w:val="none"/>
              </w:rPr>
            </w:pPr>
            <w:r>
              <w:rPr>
                <w:rFonts w:ascii="Times New Roman"/>
                <w:color w:val="auto"/>
                <w:spacing w:val="15"/>
                <w:sz w:val="24"/>
                <w:szCs w:val="24"/>
                <w:highlight w:val="none"/>
              </w:rPr>
              <w:t>现有职工总</w:t>
            </w:r>
            <w:r>
              <w:rPr>
                <w:rFonts w:ascii="Times New Roman"/>
                <w:color w:val="auto"/>
                <w:sz w:val="24"/>
                <w:szCs w:val="24"/>
                <w:highlight w:val="none"/>
              </w:rPr>
              <w:t>人数(人)</w:t>
            </w:r>
          </w:p>
        </w:tc>
        <w:tc>
          <w:tcPr>
            <w:tcW w:w="1719" w:type="dxa"/>
            <w:vAlign w:val="center"/>
          </w:tcPr>
          <w:p>
            <w:pPr>
              <w:spacing w:line="410" w:lineRule="exact"/>
              <w:ind w:firstLine="420"/>
              <w:rPr>
                <w:rFonts w:ascii="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133" w:type="dxa"/>
            <w:vAlign w:val="center"/>
          </w:tcPr>
          <w:p>
            <w:pPr>
              <w:spacing w:line="410" w:lineRule="exact"/>
              <w:ind w:firstLine="600"/>
              <w:rPr>
                <w:rFonts w:ascii="Times New Roman"/>
                <w:color w:val="auto"/>
                <w:sz w:val="24"/>
                <w:szCs w:val="24"/>
                <w:highlight w:val="none"/>
              </w:rPr>
            </w:pPr>
            <w:r>
              <w:rPr>
                <w:rFonts w:ascii="Times New Roman"/>
                <w:color w:val="auto"/>
                <w:spacing w:val="45"/>
                <w:sz w:val="24"/>
                <w:szCs w:val="24"/>
                <w:highlight w:val="none"/>
              </w:rPr>
              <w:t>资质等级证书</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 xml:space="preserve">1.等级或范围：            2.证书号：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3133" w:type="dxa"/>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计量认证（CMA）证书</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认证范围：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3133" w:type="dxa"/>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实验室认证</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3133" w:type="dxa"/>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ISO质量管理体系证书</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1.是                2.否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133" w:type="dxa"/>
            <w:vAlign w:val="center"/>
          </w:tcPr>
          <w:p>
            <w:pPr>
              <w:spacing w:line="410" w:lineRule="exact"/>
              <w:rPr>
                <w:rFonts w:ascii="Times New Roman"/>
                <w:color w:val="auto"/>
                <w:spacing w:val="5"/>
                <w:sz w:val="24"/>
                <w:szCs w:val="24"/>
                <w:highlight w:val="none"/>
              </w:rPr>
            </w:pPr>
            <w:r>
              <w:rPr>
                <w:rFonts w:ascii="Times New Roman"/>
                <w:color w:val="auto"/>
                <w:spacing w:val="150"/>
                <w:sz w:val="24"/>
                <w:szCs w:val="24"/>
                <w:highlight w:val="none"/>
              </w:rPr>
              <w:t xml:space="preserve">  开户银</w:t>
            </w:r>
            <w:r>
              <w:rPr>
                <w:rFonts w:ascii="Times New Roman"/>
                <w:color w:val="auto"/>
                <w:spacing w:val="30"/>
                <w:sz w:val="24"/>
                <w:szCs w:val="24"/>
                <w:highlight w:val="none"/>
              </w:rPr>
              <w:t>行</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 xml:space="preserve">名称：            </w:t>
            </w:r>
          </w:p>
          <w:p>
            <w:pPr>
              <w:spacing w:line="410" w:lineRule="exact"/>
              <w:ind w:firstLine="420"/>
              <w:rPr>
                <w:rFonts w:ascii="Times New Roman"/>
                <w:color w:val="auto"/>
                <w:sz w:val="24"/>
                <w:szCs w:val="24"/>
                <w:highlight w:val="none"/>
              </w:rPr>
            </w:pPr>
            <w:r>
              <w:rPr>
                <w:rFonts w:ascii="Times New Roman"/>
                <w:color w:val="auto"/>
                <w:sz w:val="24"/>
                <w:szCs w:val="24"/>
                <w:highlight w:val="none"/>
              </w:rPr>
              <w:t>帐号：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133" w:type="dxa"/>
            <w:vAlign w:val="center"/>
          </w:tcPr>
          <w:p>
            <w:pPr>
              <w:spacing w:line="410" w:lineRule="exact"/>
              <w:ind w:firstLine="780"/>
              <w:rPr>
                <w:rFonts w:ascii="Times New Roman"/>
                <w:color w:val="auto"/>
                <w:sz w:val="24"/>
                <w:szCs w:val="24"/>
                <w:highlight w:val="none"/>
              </w:rPr>
            </w:pPr>
            <w:r>
              <w:rPr>
                <w:rFonts w:ascii="Times New Roman"/>
                <w:color w:val="auto"/>
                <w:spacing w:val="90"/>
                <w:sz w:val="24"/>
                <w:szCs w:val="24"/>
                <w:highlight w:val="none"/>
              </w:rPr>
              <w:t>法定代表</w:t>
            </w:r>
            <w:r>
              <w:rPr>
                <w:rFonts w:ascii="Times New Roman"/>
                <w:color w:val="auto"/>
                <w:spacing w:val="15"/>
                <w:sz w:val="24"/>
                <w:szCs w:val="24"/>
                <w:highlight w:val="none"/>
              </w:rPr>
              <w:t>人</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1.姓名：            2.职称：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3133" w:type="dxa"/>
            <w:vAlign w:val="center"/>
          </w:tcPr>
          <w:p>
            <w:pPr>
              <w:spacing w:line="410" w:lineRule="exact"/>
              <w:rPr>
                <w:rFonts w:ascii="Times New Roman"/>
                <w:color w:val="auto"/>
                <w:sz w:val="24"/>
                <w:szCs w:val="24"/>
                <w:highlight w:val="none"/>
              </w:rPr>
            </w:pPr>
            <w:r>
              <w:rPr>
                <w:rFonts w:ascii="Times New Roman"/>
                <w:color w:val="auto"/>
                <w:spacing w:val="150"/>
                <w:sz w:val="24"/>
                <w:szCs w:val="24"/>
                <w:highlight w:val="none"/>
              </w:rPr>
              <w:t xml:space="preserve">  总工程</w:t>
            </w:r>
            <w:r>
              <w:rPr>
                <w:rFonts w:ascii="Times New Roman"/>
                <w:color w:val="auto"/>
                <w:spacing w:val="30"/>
                <w:sz w:val="24"/>
                <w:szCs w:val="24"/>
                <w:highlight w:val="none"/>
              </w:rPr>
              <w:t>师</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1.姓名：            2.职称：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982" w:type="dxa"/>
            <w:gridSpan w:val="4"/>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 xml:space="preserve">固定资产净值        万元，其中：仪器设备     万元。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3133" w:type="dxa"/>
            <w:vAlign w:val="center"/>
          </w:tcPr>
          <w:p>
            <w:pPr>
              <w:spacing w:line="410" w:lineRule="exact"/>
              <w:rPr>
                <w:rFonts w:ascii="Times New Roman"/>
                <w:color w:val="auto"/>
                <w:sz w:val="24"/>
                <w:szCs w:val="24"/>
                <w:highlight w:val="none"/>
              </w:rPr>
            </w:pPr>
            <w:r>
              <w:rPr>
                <w:rFonts w:ascii="Times New Roman"/>
                <w:color w:val="auto"/>
                <w:sz w:val="24"/>
                <w:szCs w:val="24"/>
                <w:highlight w:val="none"/>
              </w:rPr>
              <w:t xml:space="preserve">  质量检测单位组织机构简介</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（部室划分，各部室人员数，中高级职称人员数）</w:t>
            </w:r>
          </w:p>
          <w:p>
            <w:pPr>
              <w:spacing w:line="410" w:lineRule="exact"/>
              <w:ind w:firstLine="2160" w:firstLineChars="900"/>
              <w:rPr>
                <w:rFonts w:ascii="Times New Roman"/>
                <w:color w:val="auto"/>
                <w:sz w:val="24"/>
                <w:szCs w:val="24"/>
                <w:highlight w:val="none"/>
              </w:rPr>
            </w:pPr>
            <w:r>
              <w:rPr>
                <w:rFonts w:ascii="Times New Roman"/>
                <w:color w:val="auto"/>
                <w:sz w:val="24"/>
                <w:szCs w:val="24"/>
                <w:highlight w:val="none"/>
              </w:rPr>
              <w:t>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3133" w:type="dxa"/>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实验室情况简述</w:t>
            </w:r>
          </w:p>
        </w:tc>
        <w:tc>
          <w:tcPr>
            <w:tcW w:w="5849" w:type="dxa"/>
            <w:gridSpan w:val="3"/>
            <w:vAlign w:val="center"/>
          </w:tcPr>
          <w:p>
            <w:pPr>
              <w:spacing w:line="410" w:lineRule="exact"/>
              <w:ind w:firstLine="420"/>
              <w:rPr>
                <w:rFonts w:ascii="Times New Roman"/>
                <w:color w:val="auto"/>
                <w:sz w:val="24"/>
                <w:szCs w:val="24"/>
                <w:highlight w:val="none"/>
              </w:rPr>
            </w:pPr>
            <w:r>
              <w:rPr>
                <w:rFonts w:ascii="Times New Roman"/>
                <w:color w:val="auto"/>
                <w:sz w:val="24"/>
                <w:szCs w:val="24"/>
                <w:highlight w:val="none"/>
              </w:rPr>
              <w:t>（附相关证明或承诺书）</w:t>
            </w:r>
          </w:p>
        </w:tc>
      </w:tr>
    </w:tbl>
    <w:p>
      <w:pPr>
        <w:spacing w:line="410" w:lineRule="exact"/>
        <w:rPr>
          <w:color w:val="auto"/>
          <w:sz w:val="24"/>
          <w:szCs w:val="24"/>
          <w:highlight w:val="none"/>
        </w:rPr>
      </w:pPr>
      <w:r>
        <w:rPr>
          <w:color w:val="auto"/>
          <w:sz w:val="24"/>
          <w:szCs w:val="24"/>
          <w:highlight w:val="none"/>
        </w:rPr>
        <w:t>注：1、营业执照、资质证书、认证证书等所有证书及相关资料的。</w:t>
      </w:r>
    </w:p>
    <w:p>
      <w:pPr>
        <w:spacing w:line="410" w:lineRule="exact"/>
        <w:rPr>
          <w:color w:val="auto"/>
          <w:sz w:val="24"/>
          <w:szCs w:val="24"/>
          <w:highlight w:val="none"/>
        </w:rPr>
      </w:pPr>
      <w:r>
        <w:rPr>
          <w:rFonts w:hint="eastAsia"/>
          <w:color w:val="auto"/>
          <w:sz w:val="24"/>
          <w:szCs w:val="24"/>
          <w:highlight w:val="none"/>
        </w:rPr>
        <w:t>2</w:t>
      </w:r>
      <w:r>
        <w:rPr>
          <w:color w:val="auto"/>
          <w:sz w:val="24"/>
          <w:szCs w:val="24"/>
          <w:highlight w:val="none"/>
        </w:rPr>
        <w:t>、</w:t>
      </w:r>
      <w:r>
        <w:rPr>
          <w:bCs/>
          <w:color w:val="auto"/>
          <w:kern w:val="18"/>
          <w:sz w:val="24"/>
          <w:szCs w:val="24"/>
          <w:highlight w:val="none"/>
        </w:rPr>
        <w:t>投标人</w:t>
      </w:r>
      <w:r>
        <w:rPr>
          <w:rFonts w:hint="eastAsia"/>
          <w:bCs/>
          <w:color w:val="auto"/>
          <w:kern w:val="18"/>
          <w:sz w:val="24"/>
          <w:szCs w:val="24"/>
          <w:highlight w:val="none"/>
        </w:rPr>
        <w:t>具有或承诺设立</w:t>
      </w:r>
      <w:r>
        <w:rPr>
          <w:bCs/>
          <w:color w:val="auto"/>
          <w:kern w:val="18"/>
          <w:sz w:val="24"/>
          <w:szCs w:val="24"/>
          <w:highlight w:val="none"/>
        </w:rPr>
        <w:t>满足本工程检测需要的实验室。</w:t>
      </w:r>
      <w:r>
        <w:rPr>
          <w:color w:val="auto"/>
          <w:sz w:val="24"/>
          <w:szCs w:val="24"/>
          <w:highlight w:val="none"/>
        </w:rPr>
        <w:t>（附相关证明或承诺书）</w:t>
      </w:r>
      <w:r>
        <w:rPr>
          <w:bCs/>
          <w:color w:val="auto"/>
          <w:kern w:val="18"/>
          <w:sz w:val="24"/>
          <w:szCs w:val="24"/>
          <w:highlight w:val="none"/>
        </w:rPr>
        <w:t>。</w:t>
      </w:r>
    </w:p>
    <w:bookmarkEnd w:id="235"/>
    <w:bookmarkEnd w:id="236"/>
    <w:bookmarkEnd w:id="237"/>
    <w:bookmarkEnd w:id="238"/>
    <w:bookmarkEnd w:id="239"/>
    <w:p>
      <w:pPr>
        <w:spacing w:line="410" w:lineRule="exact"/>
        <w:ind w:right="525" w:firstLine="3067" w:firstLineChars="1278"/>
        <w:rPr>
          <w:bCs/>
          <w:color w:val="auto"/>
          <w:sz w:val="24"/>
          <w:szCs w:val="24"/>
          <w:highlight w:val="none"/>
        </w:rPr>
      </w:pPr>
      <w:bookmarkStart w:id="256" w:name="_Toc11041"/>
      <w:bookmarkStart w:id="257" w:name="_Toc152045809"/>
      <w:bookmarkStart w:id="258" w:name="_Toc297800233"/>
      <w:bookmarkStart w:id="259" w:name="_Toc152042598"/>
      <w:bookmarkStart w:id="260" w:name="_Toc144974877"/>
      <w:bookmarkStart w:id="261" w:name="_Toc290475720"/>
      <w:bookmarkStart w:id="262" w:name="_Toc226780951"/>
      <w:r>
        <w:rPr>
          <w:bCs/>
          <w:color w:val="auto"/>
          <w:sz w:val="24"/>
          <w:szCs w:val="24"/>
          <w:highlight w:val="none"/>
        </w:rPr>
        <w:t>投标人（盖章）：</w:t>
      </w:r>
    </w:p>
    <w:p>
      <w:pPr>
        <w:spacing w:line="410" w:lineRule="exact"/>
        <w:ind w:right="420" w:firstLine="3067" w:firstLineChars="1278"/>
        <w:rPr>
          <w:bCs/>
          <w:color w:val="auto"/>
          <w:sz w:val="24"/>
          <w:szCs w:val="24"/>
          <w:highlight w:val="none"/>
        </w:rPr>
      </w:pPr>
      <w:r>
        <w:rPr>
          <w:bCs/>
          <w:color w:val="auto"/>
          <w:sz w:val="24"/>
          <w:szCs w:val="24"/>
          <w:highlight w:val="none"/>
        </w:rPr>
        <w:t>法定代表人或授权委托人（签字或盖章）：</w:t>
      </w:r>
    </w:p>
    <w:p>
      <w:pPr>
        <w:spacing w:line="410" w:lineRule="exact"/>
        <w:ind w:firstLine="420"/>
        <w:jc w:val="right"/>
        <w:rPr>
          <w:rFonts w:eastAsia="黑体"/>
          <w:color w:val="auto"/>
          <w:sz w:val="24"/>
          <w:szCs w:val="24"/>
          <w:highlight w:val="none"/>
        </w:rPr>
      </w:pPr>
      <w:r>
        <w:rPr>
          <w:bCs/>
          <w:color w:val="auto"/>
          <w:sz w:val="24"/>
          <w:szCs w:val="24"/>
          <w:highlight w:val="none"/>
        </w:rPr>
        <w:t>日期：      年     月     日</w:t>
      </w:r>
    </w:p>
    <w:p>
      <w:pPr>
        <w:spacing w:line="410" w:lineRule="exact"/>
        <w:ind w:right="100" w:firstLine="400"/>
        <w:jc w:val="right"/>
        <w:rPr>
          <w:rFonts w:eastAsia="黑体"/>
          <w:color w:val="auto"/>
          <w:sz w:val="24"/>
          <w:szCs w:val="24"/>
          <w:highlight w:val="none"/>
        </w:rPr>
      </w:pPr>
    </w:p>
    <w:p>
      <w:pPr>
        <w:pStyle w:val="4"/>
        <w:spacing w:line="410" w:lineRule="exact"/>
        <w:ind w:firstLine="482"/>
        <w:rPr>
          <w:rFonts w:ascii="Times New Roman"/>
          <w:color w:val="auto"/>
          <w:sz w:val="24"/>
          <w:szCs w:val="24"/>
          <w:highlight w:val="none"/>
        </w:rPr>
      </w:pPr>
      <w:r>
        <w:rPr>
          <w:rFonts w:ascii="Times New Roman"/>
          <w:color w:val="auto"/>
          <w:sz w:val="24"/>
          <w:szCs w:val="24"/>
          <w:highlight w:val="none"/>
        </w:rPr>
        <w:t>6.2</w:t>
      </w:r>
      <w:bookmarkEnd w:id="256"/>
      <w:bookmarkEnd w:id="257"/>
      <w:bookmarkEnd w:id="258"/>
      <w:bookmarkEnd w:id="259"/>
      <w:bookmarkEnd w:id="260"/>
      <w:bookmarkEnd w:id="261"/>
      <w:r>
        <w:rPr>
          <w:rFonts w:ascii="Times New Roman"/>
          <w:color w:val="auto"/>
          <w:sz w:val="24"/>
          <w:szCs w:val="24"/>
          <w:highlight w:val="none"/>
        </w:rPr>
        <w:t>近年财务状况表</w:t>
      </w:r>
    </w:p>
    <w:p>
      <w:pPr>
        <w:topLinePunct/>
        <w:spacing w:line="410" w:lineRule="exact"/>
        <w:ind w:firstLine="420"/>
        <w:rPr>
          <w:color w:val="auto"/>
          <w:sz w:val="24"/>
          <w:szCs w:val="24"/>
          <w:highlight w:val="none"/>
        </w:rPr>
      </w:pPr>
      <w:r>
        <w:rPr>
          <w:color w:val="auto"/>
          <w:sz w:val="24"/>
          <w:szCs w:val="24"/>
          <w:highlight w:val="none"/>
        </w:rPr>
        <w:t>备注：在此附投标人须提供近三年度（2014年度-2016年度）审计报告，未出现连续三年亏损，审计报告中无否定意见或无法表示意见(至少提供审计报告、资产负债表、利润表、现金流量表)。</w:t>
      </w:r>
    </w:p>
    <w:p>
      <w:pPr>
        <w:spacing w:line="410" w:lineRule="exact"/>
        <w:ind w:firstLine="460"/>
        <w:rPr>
          <w:rFonts w:eastAsia="黑体"/>
          <w:color w:val="auto"/>
          <w:sz w:val="24"/>
          <w:szCs w:val="24"/>
          <w:highlight w:val="none"/>
        </w:rPr>
      </w:pPr>
      <w:bookmarkStart w:id="263" w:name="_Toc23756"/>
    </w:p>
    <w:p>
      <w:pPr>
        <w:pStyle w:val="4"/>
        <w:spacing w:line="410" w:lineRule="exact"/>
        <w:ind w:firstLine="482"/>
        <w:rPr>
          <w:rFonts w:ascii="Times New Roman"/>
          <w:color w:val="auto"/>
          <w:sz w:val="24"/>
          <w:szCs w:val="24"/>
          <w:highlight w:val="none"/>
        </w:rPr>
      </w:pPr>
      <w:r>
        <w:rPr>
          <w:rFonts w:ascii="Times New Roman"/>
          <w:color w:val="auto"/>
          <w:sz w:val="24"/>
          <w:szCs w:val="24"/>
          <w:highlight w:val="none"/>
        </w:rPr>
        <w:t>6.3拟投入主要仪器</w:t>
      </w:r>
      <w:bookmarkEnd w:id="263"/>
      <w:r>
        <w:rPr>
          <w:rFonts w:ascii="Times New Roman"/>
          <w:color w:val="auto"/>
          <w:sz w:val="24"/>
          <w:szCs w:val="24"/>
          <w:highlight w:val="none"/>
        </w:rPr>
        <w:t>设备表(格式)</w:t>
      </w:r>
    </w:p>
    <w:p>
      <w:pPr>
        <w:spacing w:line="410" w:lineRule="exact"/>
        <w:ind w:firstLine="422"/>
        <w:jc w:val="center"/>
        <w:rPr>
          <w:b/>
          <w:bCs/>
          <w:color w:val="auto"/>
          <w:sz w:val="24"/>
          <w:szCs w:val="24"/>
          <w:highlight w:val="none"/>
        </w:rPr>
      </w:pPr>
      <w:r>
        <w:rPr>
          <w:b/>
          <w:bCs/>
          <w:color w:val="auto"/>
          <w:sz w:val="24"/>
          <w:szCs w:val="24"/>
          <w:highlight w:val="none"/>
        </w:rPr>
        <w:t>拟配备本检测项目的主要仪器设备表</w:t>
      </w:r>
    </w:p>
    <w:tbl>
      <w:tblPr>
        <w:tblStyle w:val="20"/>
        <w:tblW w:w="87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285"/>
        <w:gridCol w:w="1530"/>
        <w:gridCol w:w="1338"/>
        <w:gridCol w:w="1530"/>
        <w:gridCol w:w="1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907" w:type="dxa"/>
            <w:vAlign w:val="center"/>
          </w:tcPr>
          <w:p>
            <w:pPr>
              <w:adjustRightInd w:val="0"/>
              <w:spacing w:line="410" w:lineRule="exact"/>
              <w:rPr>
                <w:rFonts w:ascii="Times New Roman"/>
                <w:color w:val="auto"/>
                <w:sz w:val="24"/>
                <w:szCs w:val="24"/>
                <w:highlight w:val="none"/>
              </w:rPr>
            </w:pPr>
            <w:r>
              <w:rPr>
                <w:rFonts w:ascii="Times New Roman"/>
                <w:color w:val="auto"/>
                <w:sz w:val="24"/>
                <w:szCs w:val="24"/>
                <w:highlight w:val="none"/>
              </w:rPr>
              <w:t>序号</w:t>
            </w:r>
          </w:p>
        </w:tc>
        <w:tc>
          <w:tcPr>
            <w:tcW w:w="2285" w:type="dxa"/>
            <w:vAlign w:val="center"/>
          </w:tcPr>
          <w:p>
            <w:pPr>
              <w:spacing w:line="410" w:lineRule="exact"/>
              <w:ind w:firstLine="420"/>
              <w:jc w:val="center"/>
              <w:rPr>
                <w:rFonts w:ascii="Times New Roman"/>
                <w:color w:val="auto"/>
                <w:sz w:val="24"/>
                <w:szCs w:val="24"/>
                <w:highlight w:val="none"/>
              </w:rPr>
            </w:pPr>
            <w:r>
              <w:rPr>
                <w:rFonts w:ascii="Times New Roman"/>
                <w:bCs/>
                <w:color w:val="auto"/>
                <w:sz w:val="24"/>
                <w:szCs w:val="24"/>
                <w:highlight w:val="none"/>
              </w:rPr>
              <w:t>名   称</w:t>
            </w:r>
          </w:p>
        </w:tc>
        <w:tc>
          <w:tcPr>
            <w:tcW w:w="1530" w:type="dxa"/>
            <w:vAlign w:val="center"/>
          </w:tcPr>
          <w:p>
            <w:pPr>
              <w:spacing w:line="410" w:lineRule="exact"/>
              <w:ind w:firstLine="420"/>
              <w:jc w:val="center"/>
              <w:rPr>
                <w:rFonts w:ascii="Times New Roman"/>
                <w:color w:val="auto"/>
                <w:sz w:val="24"/>
                <w:szCs w:val="24"/>
                <w:highlight w:val="none"/>
              </w:rPr>
            </w:pPr>
            <w:r>
              <w:rPr>
                <w:rFonts w:ascii="Times New Roman"/>
                <w:bCs/>
                <w:color w:val="auto"/>
                <w:sz w:val="24"/>
                <w:szCs w:val="24"/>
                <w:highlight w:val="none"/>
              </w:rPr>
              <w:t>量程</w:t>
            </w:r>
          </w:p>
        </w:tc>
        <w:tc>
          <w:tcPr>
            <w:tcW w:w="1338" w:type="dxa"/>
            <w:vAlign w:val="center"/>
          </w:tcPr>
          <w:p>
            <w:pPr>
              <w:spacing w:line="410" w:lineRule="exact"/>
              <w:ind w:firstLine="420"/>
              <w:jc w:val="center"/>
              <w:rPr>
                <w:rFonts w:ascii="Times New Roman"/>
                <w:color w:val="auto"/>
                <w:sz w:val="24"/>
                <w:szCs w:val="24"/>
                <w:highlight w:val="none"/>
              </w:rPr>
            </w:pPr>
            <w:r>
              <w:rPr>
                <w:rFonts w:ascii="Times New Roman"/>
                <w:bCs/>
                <w:color w:val="auto"/>
                <w:sz w:val="24"/>
                <w:szCs w:val="24"/>
                <w:highlight w:val="none"/>
              </w:rPr>
              <w:t>精度</w:t>
            </w:r>
          </w:p>
        </w:tc>
        <w:tc>
          <w:tcPr>
            <w:tcW w:w="1530" w:type="dxa"/>
            <w:vAlign w:val="center"/>
          </w:tcPr>
          <w:p>
            <w:pPr>
              <w:spacing w:line="410" w:lineRule="exact"/>
              <w:ind w:firstLine="420"/>
              <w:jc w:val="center"/>
              <w:rPr>
                <w:rFonts w:ascii="Times New Roman"/>
                <w:color w:val="auto"/>
                <w:sz w:val="24"/>
                <w:szCs w:val="24"/>
                <w:highlight w:val="none"/>
              </w:rPr>
            </w:pPr>
            <w:r>
              <w:rPr>
                <w:rFonts w:ascii="Times New Roman"/>
                <w:bCs/>
                <w:color w:val="auto"/>
                <w:sz w:val="24"/>
                <w:szCs w:val="24"/>
                <w:highlight w:val="none"/>
              </w:rPr>
              <w:t>单位</w:t>
            </w:r>
          </w:p>
        </w:tc>
        <w:tc>
          <w:tcPr>
            <w:tcW w:w="1195" w:type="dxa"/>
            <w:vAlign w:val="center"/>
          </w:tcPr>
          <w:p>
            <w:pPr>
              <w:spacing w:line="410" w:lineRule="exact"/>
              <w:ind w:firstLine="420"/>
              <w:jc w:val="center"/>
              <w:rPr>
                <w:rFonts w:ascii="Times New Roman"/>
                <w:color w:val="auto"/>
                <w:sz w:val="24"/>
                <w:szCs w:val="24"/>
                <w:highlight w:val="none"/>
              </w:rPr>
            </w:pPr>
            <w:r>
              <w:rPr>
                <w:rFonts w:ascii="Times New Roman"/>
                <w:bCs/>
                <w:color w:val="auto"/>
                <w:sz w:val="24"/>
                <w:szCs w:val="24"/>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7" w:type="dxa"/>
            <w:vAlign w:val="center"/>
          </w:tcPr>
          <w:p>
            <w:pPr>
              <w:adjustRightInd w:val="0"/>
              <w:spacing w:line="410" w:lineRule="exact"/>
              <w:ind w:firstLine="422"/>
              <w:jc w:val="center"/>
              <w:rPr>
                <w:rFonts w:ascii="Times New Roman"/>
                <w:b/>
                <w:color w:val="auto"/>
                <w:sz w:val="24"/>
                <w:szCs w:val="24"/>
                <w:highlight w:val="none"/>
              </w:rPr>
            </w:pPr>
          </w:p>
        </w:tc>
        <w:tc>
          <w:tcPr>
            <w:tcW w:w="2285"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338" w:type="dxa"/>
            <w:vAlign w:val="center"/>
          </w:tcPr>
          <w:p>
            <w:pPr>
              <w:adjustRightInd w:val="0"/>
              <w:spacing w:line="410" w:lineRule="exact"/>
              <w:ind w:firstLine="422"/>
              <w:jc w:val="center"/>
              <w:rPr>
                <w:rFonts w:ascii="Times New Roman"/>
                <w:b/>
                <w:color w:val="auto"/>
                <w:sz w:val="24"/>
                <w:szCs w:val="24"/>
                <w:highlight w:val="none"/>
              </w:rPr>
            </w:pPr>
          </w:p>
        </w:tc>
        <w:tc>
          <w:tcPr>
            <w:tcW w:w="1530" w:type="dxa"/>
            <w:vAlign w:val="center"/>
          </w:tcPr>
          <w:p>
            <w:pPr>
              <w:adjustRightInd w:val="0"/>
              <w:spacing w:line="410" w:lineRule="exact"/>
              <w:ind w:firstLine="422"/>
              <w:jc w:val="center"/>
              <w:rPr>
                <w:rFonts w:ascii="Times New Roman"/>
                <w:b/>
                <w:color w:val="auto"/>
                <w:sz w:val="24"/>
                <w:szCs w:val="24"/>
                <w:highlight w:val="none"/>
              </w:rPr>
            </w:pPr>
          </w:p>
        </w:tc>
        <w:tc>
          <w:tcPr>
            <w:tcW w:w="1195" w:type="dxa"/>
            <w:vAlign w:val="center"/>
          </w:tcPr>
          <w:p>
            <w:pPr>
              <w:adjustRightInd w:val="0"/>
              <w:spacing w:line="410" w:lineRule="exact"/>
              <w:ind w:firstLine="422"/>
              <w:jc w:val="center"/>
              <w:rPr>
                <w:rFonts w:ascii="Times New Roman"/>
                <w:b/>
                <w:color w:val="auto"/>
                <w:sz w:val="24"/>
                <w:szCs w:val="24"/>
                <w:highlight w:val="none"/>
              </w:rPr>
            </w:pPr>
          </w:p>
        </w:tc>
      </w:tr>
    </w:tbl>
    <w:p>
      <w:pPr>
        <w:spacing w:line="410" w:lineRule="exact"/>
        <w:jc w:val="center"/>
        <w:rPr>
          <w:color w:val="auto"/>
          <w:sz w:val="24"/>
          <w:szCs w:val="24"/>
          <w:highlight w:val="none"/>
        </w:rPr>
      </w:pPr>
    </w:p>
    <w:p>
      <w:pPr>
        <w:spacing w:line="410" w:lineRule="exact"/>
        <w:ind w:right="525" w:firstLine="3067" w:firstLineChars="1278"/>
        <w:rPr>
          <w:bCs/>
          <w:color w:val="auto"/>
          <w:sz w:val="24"/>
          <w:szCs w:val="24"/>
          <w:highlight w:val="none"/>
        </w:rPr>
      </w:pPr>
      <w:r>
        <w:rPr>
          <w:bCs/>
          <w:color w:val="auto"/>
          <w:sz w:val="24"/>
          <w:szCs w:val="24"/>
          <w:highlight w:val="none"/>
        </w:rPr>
        <w:t>投标人（盖章）：</w:t>
      </w:r>
    </w:p>
    <w:p>
      <w:pPr>
        <w:spacing w:line="410" w:lineRule="exact"/>
        <w:ind w:right="420" w:firstLine="3067" w:firstLineChars="1278"/>
        <w:rPr>
          <w:bCs/>
          <w:color w:val="auto"/>
          <w:sz w:val="24"/>
          <w:szCs w:val="24"/>
          <w:highlight w:val="none"/>
        </w:rPr>
      </w:pPr>
      <w:r>
        <w:rPr>
          <w:bCs/>
          <w:color w:val="auto"/>
          <w:sz w:val="24"/>
          <w:szCs w:val="24"/>
          <w:highlight w:val="none"/>
        </w:rPr>
        <w:t>法定代表人或授权委托人（签字或盖章）：</w:t>
      </w:r>
    </w:p>
    <w:p>
      <w:pPr>
        <w:spacing w:line="410" w:lineRule="exact"/>
        <w:ind w:firstLine="4320" w:firstLineChars="1800"/>
        <w:rPr>
          <w:color w:val="auto"/>
          <w:sz w:val="24"/>
          <w:szCs w:val="24"/>
          <w:highlight w:val="none"/>
        </w:rPr>
      </w:pPr>
      <w:r>
        <w:rPr>
          <w:bCs/>
          <w:color w:val="auto"/>
          <w:sz w:val="24"/>
          <w:szCs w:val="24"/>
          <w:highlight w:val="none"/>
        </w:rPr>
        <w:t>日期：      年     月     日</w:t>
      </w:r>
    </w:p>
    <w:p>
      <w:pPr>
        <w:spacing w:line="410" w:lineRule="exact"/>
        <w:ind w:firstLine="400"/>
        <w:rPr>
          <w:rFonts w:eastAsia="黑体"/>
          <w:color w:val="auto"/>
          <w:sz w:val="24"/>
          <w:szCs w:val="24"/>
          <w:highlight w:val="none"/>
        </w:rPr>
      </w:pPr>
    </w:p>
    <w:p>
      <w:pPr>
        <w:spacing w:line="410" w:lineRule="exact"/>
        <w:ind w:firstLine="400"/>
        <w:rPr>
          <w:rFonts w:eastAsia="黑体"/>
          <w:color w:val="auto"/>
          <w:sz w:val="24"/>
          <w:szCs w:val="24"/>
          <w:highlight w:val="none"/>
        </w:rPr>
      </w:pPr>
    </w:p>
    <w:p>
      <w:pPr>
        <w:rPr>
          <w:rFonts w:ascii="Times New Roman"/>
          <w:color w:val="auto"/>
          <w:sz w:val="24"/>
          <w:szCs w:val="24"/>
          <w:highlight w:val="none"/>
        </w:rPr>
      </w:pPr>
      <w:bookmarkStart w:id="264" w:name="_Toc391119502"/>
      <w:bookmarkStart w:id="265" w:name="_Toc12583"/>
      <w:bookmarkStart w:id="266" w:name="_Toc20399"/>
      <w:r>
        <w:rPr>
          <w:rFonts w:ascii="Times New Roman"/>
          <w:color w:val="auto"/>
          <w:sz w:val="24"/>
          <w:szCs w:val="24"/>
          <w:highlight w:val="none"/>
        </w:rPr>
        <w:br w:type="page"/>
      </w:r>
    </w:p>
    <w:p>
      <w:pPr>
        <w:pStyle w:val="4"/>
        <w:spacing w:line="410" w:lineRule="exact"/>
        <w:ind w:firstLine="482"/>
        <w:rPr>
          <w:rFonts w:ascii="Times New Roman"/>
          <w:color w:val="auto"/>
          <w:sz w:val="24"/>
          <w:szCs w:val="24"/>
          <w:highlight w:val="none"/>
        </w:rPr>
      </w:pPr>
      <w:r>
        <w:rPr>
          <w:rFonts w:ascii="Times New Roman"/>
          <w:color w:val="auto"/>
          <w:sz w:val="24"/>
          <w:szCs w:val="24"/>
          <w:highlight w:val="none"/>
        </w:rPr>
        <w:t>6.4  近年</w:t>
      </w:r>
      <w:r>
        <w:rPr>
          <w:rFonts w:hint="eastAsia" w:ascii="Times New Roman"/>
          <w:color w:val="auto"/>
          <w:sz w:val="24"/>
          <w:szCs w:val="24"/>
          <w:highlight w:val="none"/>
        </w:rPr>
        <w:t>完成的</w:t>
      </w:r>
      <w:r>
        <w:rPr>
          <w:rFonts w:ascii="Times New Roman"/>
          <w:color w:val="auto"/>
          <w:sz w:val="24"/>
          <w:szCs w:val="24"/>
          <w:highlight w:val="none"/>
        </w:rPr>
        <w:t>项目情况一览表(格式)</w:t>
      </w:r>
      <w:bookmarkEnd w:id="264"/>
      <w:bookmarkEnd w:id="265"/>
      <w:bookmarkEnd w:id="266"/>
    </w:p>
    <w:p>
      <w:pPr>
        <w:spacing w:line="410" w:lineRule="exact"/>
        <w:ind w:firstLine="422"/>
        <w:jc w:val="center"/>
        <w:rPr>
          <w:b/>
          <w:bCs/>
          <w:color w:val="auto"/>
          <w:sz w:val="24"/>
          <w:szCs w:val="24"/>
          <w:highlight w:val="none"/>
        </w:rPr>
      </w:pPr>
      <w:r>
        <w:rPr>
          <w:b/>
          <w:bCs/>
          <w:color w:val="auto"/>
          <w:sz w:val="24"/>
          <w:szCs w:val="24"/>
          <w:highlight w:val="none"/>
        </w:rPr>
        <w:t>近年</w:t>
      </w:r>
      <w:r>
        <w:rPr>
          <w:rFonts w:hint="eastAsia"/>
          <w:b/>
          <w:bCs/>
          <w:color w:val="auto"/>
          <w:sz w:val="24"/>
          <w:szCs w:val="24"/>
          <w:highlight w:val="none"/>
        </w:rPr>
        <w:t>完成的</w:t>
      </w:r>
      <w:r>
        <w:rPr>
          <w:b/>
          <w:bCs/>
          <w:color w:val="auto"/>
          <w:sz w:val="24"/>
          <w:szCs w:val="24"/>
          <w:highlight w:val="none"/>
        </w:rPr>
        <w:t>项目情况一览表</w:t>
      </w:r>
    </w:p>
    <w:tbl>
      <w:tblPr>
        <w:tblStyle w:val="20"/>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jc w:val="center"/>
        </w:trPr>
        <w:tc>
          <w:tcPr>
            <w:tcW w:w="3020" w:type="dxa"/>
            <w:tcBorders>
              <w:left w:val="single" w:color="auto" w:sz="12"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项目名称</w:t>
            </w:r>
          </w:p>
        </w:tc>
        <w:tc>
          <w:tcPr>
            <w:tcW w:w="608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3020" w:type="dxa"/>
            <w:tcBorders>
              <w:left w:val="single" w:color="auto" w:sz="12"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所在地址</w:t>
            </w:r>
          </w:p>
        </w:tc>
        <w:tc>
          <w:tcPr>
            <w:tcW w:w="608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3020" w:type="dxa"/>
            <w:tcBorders>
              <w:left w:val="single" w:color="auto" w:sz="12"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工程性质（质量检测内容）</w:t>
            </w:r>
          </w:p>
        </w:tc>
        <w:tc>
          <w:tcPr>
            <w:tcW w:w="608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3020" w:type="dxa"/>
            <w:tcBorders>
              <w:left w:val="single" w:color="auto" w:sz="12"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里程长度/建筑面积/桩基检测数量（Km/m2/根）</w:t>
            </w:r>
          </w:p>
        </w:tc>
        <w:tc>
          <w:tcPr>
            <w:tcW w:w="608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3020" w:type="dxa"/>
            <w:tcBorders>
              <w:left w:val="single" w:color="auto" w:sz="12"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合同金额（万元）</w:t>
            </w:r>
          </w:p>
        </w:tc>
        <w:tc>
          <w:tcPr>
            <w:tcW w:w="608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3020" w:type="dxa"/>
            <w:tcBorders>
              <w:left w:val="single" w:color="auto" w:sz="12"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完成日期（年 月）</w:t>
            </w:r>
          </w:p>
        </w:tc>
        <w:tc>
          <w:tcPr>
            <w:tcW w:w="608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3020" w:type="dxa"/>
            <w:tcBorders>
              <w:left w:val="single" w:color="auto" w:sz="12"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质量评定</w:t>
            </w:r>
          </w:p>
        </w:tc>
        <w:tc>
          <w:tcPr>
            <w:tcW w:w="6080" w:type="dxa"/>
            <w:tcBorders>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3020" w:type="dxa"/>
            <w:tcBorders>
              <w:left w:val="single" w:color="auto" w:sz="12" w:space="0"/>
              <w:bottom w:val="single" w:color="auto" w:sz="6"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招标人单位名称</w:t>
            </w:r>
          </w:p>
        </w:tc>
        <w:tc>
          <w:tcPr>
            <w:tcW w:w="6080" w:type="dxa"/>
            <w:tcBorders>
              <w:bottom w:val="single" w:color="auto" w:sz="6" w:space="0"/>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3020" w:type="dxa"/>
            <w:tcBorders>
              <w:top w:val="single" w:color="auto" w:sz="6" w:space="0"/>
              <w:left w:val="single" w:color="auto" w:sz="12" w:space="0"/>
              <w:bottom w:val="single" w:color="auto" w:sz="6"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招标人评定</w:t>
            </w:r>
          </w:p>
        </w:tc>
        <w:tc>
          <w:tcPr>
            <w:tcW w:w="6080" w:type="dxa"/>
            <w:tcBorders>
              <w:top w:val="single" w:color="auto" w:sz="6" w:space="0"/>
              <w:bottom w:val="single" w:color="auto" w:sz="6" w:space="0"/>
              <w:right w:val="single" w:color="auto" w:sz="12" w:space="0"/>
            </w:tcBorders>
            <w:vAlign w:val="center"/>
          </w:tcPr>
          <w:p>
            <w:pPr>
              <w:spacing w:line="410" w:lineRule="exact"/>
              <w:ind w:firstLine="420"/>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2" w:hRule="atLeast"/>
          <w:jc w:val="center"/>
        </w:trPr>
        <w:tc>
          <w:tcPr>
            <w:tcW w:w="3020" w:type="dxa"/>
            <w:tcBorders>
              <w:top w:val="single" w:color="auto" w:sz="6" w:space="0"/>
              <w:left w:val="single" w:color="auto" w:sz="12" w:space="0"/>
              <w:bottom w:val="single" w:color="auto" w:sz="12" w:space="0"/>
            </w:tcBorders>
            <w:vAlign w:val="center"/>
          </w:tcPr>
          <w:p>
            <w:pPr>
              <w:spacing w:line="410" w:lineRule="exact"/>
              <w:rPr>
                <w:rFonts w:ascii="Times New Roman"/>
                <w:color w:val="auto"/>
                <w:sz w:val="24"/>
                <w:szCs w:val="24"/>
                <w:highlight w:val="none"/>
              </w:rPr>
            </w:pPr>
            <w:r>
              <w:rPr>
                <w:rFonts w:ascii="Times New Roman"/>
                <w:color w:val="auto"/>
                <w:sz w:val="24"/>
                <w:szCs w:val="24"/>
                <w:highlight w:val="none"/>
              </w:rPr>
              <w:t>备    注</w:t>
            </w:r>
          </w:p>
        </w:tc>
        <w:tc>
          <w:tcPr>
            <w:tcW w:w="6080" w:type="dxa"/>
            <w:tcBorders>
              <w:top w:val="single" w:color="auto" w:sz="6" w:space="0"/>
              <w:bottom w:val="single" w:color="auto" w:sz="12" w:space="0"/>
              <w:right w:val="single" w:color="auto" w:sz="12" w:space="0"/>
            </w:tcBorders>
            <w:vAlign w:val="center"/>
          </w:tcPr>
          <w:p>
            <w:pPr>
              <w:spacing w:line="410" w:lineRule="exact"/>
              <w:ind w:firstLine="420"/>
              <w:rPr>
                <w:rFonts w:ascii="Times New Roman"/>
                <w:color w:val="auto"/>
                <w:sz w:val="24"/>
                <w:szCs w:val="24"/>
                <w:highlight w:val="none"/>
              </w:rPr>
            </w:pPr>
          </w:p>
        </w:tc>
      </w:tr>
    </w:tbl>
    <w:p>
      <w:pPr>
        <w:spacing w:line="410" w:lineRule="exact"/>
        <w:ind w:firstLine="420"/>
        <w:rPr>
          <w:color w:val="auto"/>
          <w:sz w:val="24"/>
          <w:szCs w:val="24"/>
          <w:highlight w:val="none"/>
        </w:rPr>
      </w:pPr>
    </w:p>
    <w:p>
      <w:pPr>
        <w:spacing w:line="410" w:lineRule="exact"/>
        <w:ind w:firstLine="420"/>
        <w:rPr>
          <w:color w:val="auto"/>
          <w:sz w:val="24"/>
          <w:szCs w:val="24"/>
          <w:highlight w:val="none"/>
        </w:rPr>
      </w:pPr>
      <w:bookmarkStart w:id="267" w:name="_Toc297800236"/>
      <w:bookmarkStart w:id="268" w:name="_Toc152045812"/>
      <w:bookmarkStart w:id="269" w:name="_Toc290475723"/>
      <w:bookmarkStart w:id="270" w:name="_Toc152042601"/>
      <w:bookmarkStart w:id="271" w:name="_Toc144974880"/>
      <w:bookmarkStart w:id="272" w:name="_Toc30998"/>
      <w:r>
        <w:rPr>
          <w:color w:val="auto"/>
          <w:sz w:val="24"/>
          <w:szCs w:val="24"/>
          <w:highlight w:val="none"/>
        </w:rPr>
        <w:t>注：1、请同时将所报已完工程项目的</w:t>
      </w:r>
      <w:r>
        <w:rPr>
          <w:b/>
          <w:color w:val="auto"/>
          <w:sz w:val="24"/>
          <w:szCs w:val="24"/>
          <w:highlight w:val="none"/>
        </w:rPr>
        <w:t>合同协议书及完工证明（工程接收证书或竣工验收备案表或竣工验收记录或竣工验收报告或业主证明文件）</w:t>
      </w:r>
      <w:r>
        <w:rPr>
          <w:color w:val="auto"/>
          <w:sz w:val="24"/>
          <w:szCs w:val="24"/>
          <w:highlight w:val="none"/>
        </w:rPr>
        <w:t>等证明材料。</w:t>
      </w:r>
    </w:p>
    <w:p>
      <w:pPr>
        <w:spacing w:line="410" w:lineRule="exact"/>
        <w:ind w:firstLine="960" w:firstLineChars="400"/>
        <w:rPr>
          <w:color w:val="auto"/>
          <w:sz w:val="24"/>
          <w:szCs w:val="24"/>
          <w:highlight w:val="none"/>
        </w:rPr>
      </w:pPr>
      <w:r>
        <w:rPr>
          <w:color w:val="auto"/>
          <w:sz w:val="24"/>
          <w:szCs w:val="24"/>
          <w:highlight w:val="none"/>
        </w:rPr>
        <w:t>2、本页不够请续表。</w:t>
      </w:r>
    </w:p>
    <w:p>
      <w:pPr>
        <w:spacing w:line="410" w:lineRule="exact"/>
        <w:ind w:firstLine="420"/>
        <w:rPr>
          <w:color w:val="auto"/>
          <w:sz w:val="24"/>
          <w:szCs w:val="24"/>
          <w:highlight w:val="none"/>
        </w:rPr>
      </w:pPr>
      <w:r>
        <w:rPr>
          <w:color w:val="auto"/>
          <w:sz w:val="24"/>
          <w:szCs w:val="24"/>
          <w:highlight w:val="none"/>
        </w:rPr>
        <w:t xml:space="preserve">    3、近年是指合同完工期在</w:t>
      </w:r>
      <w:r>
        <w:rPr>
          <w:color w:val="auto"/>
          <w:sz w:val="24"/>
          <w:szCs w:val="24"/>
          <w:highlight w:val="none"/>
          <w:u w:val="single"/>
        </w:rPr>
        <w:t xml:space="preserve">   201</w:t>
      </w:r>
      <w:r>
        <w:rPr>
          <w:rFonts w:hint="eastAsia"/>
          <w:color w:val="auto"/>
          <w:sz w:val="24"/>
          <w:szCs w:val="24"/>
          <w:highlight w:val="none"/>
          <w:u w:val="single"/>
        </w:rPr>
        <w:t>3</w:t>
      </w:r>
      <w:r>
        <w:rPr>
          <w:color w:val="auto"/>
          <w:sz w:val="24"/>
          <w:szCs w:val="24"/>
          <w:highlight w:val="none"/>
        </w:rPr>
        <w:t>年</w:t>
      </w:r>
      <w:r>
        <w:rPr>
          <w:color w:val="auto"/>
          <w:sz w:val="24"/>
          <w:szCs w:val="24"/>
          <w:highlight w:val="none"/>
          <w:u w:val="single"/>
        </w:rPr>
        <w:t xml:space="preserve">   1  </w:t>
      </w:r>
      <w:r>
        <w:rPr>
          <w:color w:val="auto"/>
          <w:sz w:val="24"/>
          <w:szCs w:val="24"/>
          <w:highlight w:val="none"/>
        </w:rPr>
        <w:t>月</w:t>
      </w:r>
      <w:r>
        <w:rPr>
          <w:color w:val="auto"/>
          <w:sz w:val="24"/>
          <w:szCs w:val="24"/>
          <w:highlight w:val="none"/>
          <w:u w:val="single"/>
        </w:rPr>
        <w:t xml:space="preserve">  1  </w:t>
      </w:r>
      <w:r>
        <w:rPr>
          <w:color w:val="auto"/>
          <w:sz w:val="24"/>
          <w:szCs w:val="24"/>
          <w:highlight w:val="none"/>
        </w:rPr>
        <w:t>日至投标截止时间内。</w:t>
      </w:r>
    </w:p>
    <w:p>
      <w:pPr>
        <w:spacing w:line="410" w:lineRule="exact"/>
        <w:ind w:right="525" w:firstLine="3067" w:firstLineChars="1278"/>
        <w:rPr>
          <w:bCs/>
          <w:color w:val="auto"/>
          <w:sz w:val="24"/>
          <w:szCs w:val="24"/>
          <w:highlight w:val="none"/>
        </w:rPr>
      </w:pPr>
    </w:p>
    <w:p>
      <w:pPr>
        <w:spacing w:line="410" w:lineRule="exact"/>
        <w:ind w:right="525" w:firstLine="3067" w:firstLineChars="1278"/>
        <w:rPr>
          <w:bCs/>
          <w:color w:val="auto"/>
          <w:sz w:val="24"/>
          <w:szCs w:val="24"/>
          <w:highlight w:val="none"/>
        </w:rPr>
      </w:pPr>
    </w:p>
    <w:p>
      <w:pPr>
        <w:spacing w:line="410" w:lineRule="exact"/>
        <w:ind w:right="525" w:firstLine="3067" w:firstLineChars="1278"/>
        <w:rPr>
          <w:bCs/>
          <w:color w:val="auto"/>
          <w:sz w:val="24"/>
          <w:szCs w:val="24"/>
          <w:highlight w:val="none"/>
        </w:rPr>
      </w:pPr>
      <w:r>
        <w:rPr>
          <w:bCs/>
          <w:color w:val="auto"/>
          <w:sz w:val="24"/>
          <w:szCs w:val="24"/>
          <w:highlight w:val="none"/>
        </w:rPr>
        <w:t>投标人（盖章）：</w:t>
      </w:r>
    </w:p>
    <w:p>
      <w:pPr>
        <w:spacing w:line="410" w:lineRule="exact"/>
        <w:ind w:right="420" w:firstLine="3067" w:firstLineChars="1278"/>
        <w:rPr>
          <w:bCs/>
          <w:color w:val="auto"/>
          <w:sz w:val="24"/>
          <w:szCs w:val="24"/>
          <w:highlight w:val="none"/>
        </w:rPr>
      </w:pPr>
      <w:r>
        <w:rPr>
          <w:bCs/>
          <w:color w:val="auto"/>
          <w:sz w:val="24"/>
          <w:szCs w:val="24"/>
          <w:highlight w:val="none"/>
        </w:rPr>
        <w:t>法定代表人或授权委托人（签字或盖章）：</w:t>
      </w:r>
    </w:p>
    <w:p>
      <w:pPr>
        <w:spacing w:line="410" w:lineRule="exact"/>
        <w:ind w:firstLine="4320" w:firstLineChars="1800"/>
        <w:rPr>
          <w:color w:val="auto"/>
          <w:sz w:val="24"/>
          <w:szCs w:val="24"/>
          <w:highlight w:val="none"/>
        </w:rPr>
      </w:pPr>
      <w:r>
        <w:rPr>
          <w:bCs/>
          <w:color w:val="auto"/>
          <w:sz w:val="24"/>
          <w:szCs w:val="24"/>
          <w:highlight w:val="none"/>
        </w:rPr>
        <w:t>日期：      年     月     日</w:t>
      </w:r>
    </w:p>
    <w:p>
      <w:pPr>
        <w:spacing w:line="410" w:lineRule="exact"/>
        <w:ind w:firstLine="420"/>
        <w:rPr>
          <w:color w:val="auto"/>
          <w:sz w:val="24"/>
          <w:szCs w:val="24"/>
          <w:highlight w:val="none"/>
        </w:rPr>
      </w:pPr>
    </w:p>
    <w:p>
      <w:pPr>
        <w:spacing w:line="410" w:lineRule="exact"/>
        <w:ind w:firstLine="420"/>
        <w:rPr>
          <w:color w:val="auto"/>
          <w:sz w:val="24"/>
          <w:szCs w:val="24"/>
          <w:highlight w:val="none"/>
        </w:rPr>
      </w:pPr>
    </w:p>
    <w:p>
      <w:pPr>
        <w:spacing w:line="410" w:lineRule="exact"/>
        <w:ind w:firstLine="420"/>
        <w:rPr>
          <w:color w:val="auto"/>
          <w:sz w:val="24"/>
          <w:szCs w:val="24"/>
          <w:highlight w:val="none"/>
        </w:rPr>
      </w:pPr>
    </w:p>
    <w:p>
      <w:pPr>
        <w:spacing w:line="410" w:lineRule="exact"/>
        <w:ind w:firstLine="420"/>
        <w:rPr>
          <w:color w:val="auto"/>
          <w:sz w:val="24"/>
          <w:szCs w:val="24"/>
          <w:highlight w:val="none"/>
        </w:rPr>
      </w:pPr>
    </w:p>
    <w:p>
      <w:pPr>
        <w:pStyle w:val="4"/>
        <w:spacing w:line="410" w:lineRule="exact"/>
        <w:ind w:firstLine="482"/>
        <w:rPr>
          <w:rFonts w:ascii="Times New Roman"/>
          <w:color w:val="auto"/>
          <w:sz w:val="24"/>
          <w:szCs w:val="24"/>
          <w:highlight w:val="none"/>
        </w:rPr>
      </w:pPr>
      <w:r>
        <w:rPr>
          <w:rFonts w:ascii="Times New Roman"/>
          <w:color w:val="auto"/>
          <w:sz w:val="24"/>
          <w:szCs w:val="24"/>
          <w:highlight w:val="none"/>
        </w:rPr>
        <w:t>6.5近年发生的</w:t>
      </w:r>
      <w:bookmarkEnd w:id="267"/>
      <w:bookmarkEnd w:id="268"/>
      <w:bookmarkEnd w:id="269"/>
      <w:bookmarkEnd w:id="270"/>
      <w:bookmarkEnd w:id="271"/>
      <w:bookmarkEnd w:id="272"/>
      <w:r>
        <w:rPr>
          <w:rFonts w:ascii="Times New Roman"/>
          <w:color w:val="auto"/>
          <w:sz w:val="24"/>
          <w:szCs w:val="24"/>
          <w:highlight w:val="none"/>
        </w:rPr>
        <w:t>诉讼及仲裁情况</w:t>
      </w:r>
    </w:p>
    <w:p>
      <w:pPr>
        <w:spacing w:line="410" w:lineRule="exact"/>
        <w:ind w:firstLine="420"/>
        <w:rPr>
          <w:color w:val="auto"/>
          <w:sz w:val="24"/>
          <w:szCs w:val="24"/>
          <w:highlight w:val="none"/>
        </w:rPr>
      </w:pPr>
      <w:r>
        <w:rPr>
          <w:color w:val="auto"/>
          <w:sz w:val="24"/>
          <w:szCs w:val="24"/>
          <w:highlight w:val="none"/>
        </w:rPr>
        <w:t>说明：近年发生的诉讼和仲裁情况仅限于投标人败诉的，且与履行合同有关的案件，不包括调解结案以及未裁决的仲裁或未终审判决的诉讼。</w:t>
      </w:r>
    </w:p>
    <w:bookmarkEnd w:id="262"/>
    <w:p>
      <w:pPr>
        <w:spacing w:line="410" w:lineRule="exact"/>
        <w:ind w:firstLine="3480" w:firstLineChars="1450"/>
        <w:rPr>
          <w:color w:val="auto"/>
          <w:sz w:val="24"/>
          <w:szCs w:val="24"/>
          <w:highlight w:val="none"/>
        </w:rPr>
      </w:pPr>
      <w:bookmarkStart w:id="273" w:name="_Toc14735"/>
      <w:bookmarkStart w:id="274" w:name="_Toc281225387"/>
    </w:p>
    <w:p>
      <w:pPr>
        <w:pStyle w:val="4"/>
        <w:spacing w:line="410" w:lineRule="exact"/>
        <w:ind w:firstLine="482"/>
        <w:rPr>
          <w:rFonts w:ascii="Times New Roman"/>
          <w:color w:val="auto"/>
          <w:sz w:val="24"/>
          <w:szCs w:val="24"/>
          <w:highlight w:val="none"/>
        </w:rPr>
      </w:pPr>
      <w:r>
        <w:rPr>
          <w:rFonts w:ascii="Times New Roman"/>
          <w:bCs w:val="0"/>
          <w:color w:val="auto"/>
          <w:sz w:val="24"/>
          <w:szCs w:val="24"/>
          <w:highlight w:val="none"/>
        </w:rPr>
        <w:t>6.6</w:t>
      </w:r>
      <w:r>
        <w:rPr>
          <w:rFonts w:ascii="Times New Roman"/>
          <w:color w:val="auto"/>
          <w:sz w:val="24"/>
          <w:szCs w:val="24"/>
          <w:highlight w:val="none"/>
        </w:rPr>
        <w:t>投标人关联企业情况声明</w:t>
      </w:r>
    </w:p>
    <w:p>
      <w:pPr>
        <w:spacing w:line="410" w:lineRule="exact"/>
        <w:ind w:firstLine="420"/>
        <w:rPr>
          <w:color w:val="auto"/>
          <w:sz w:val="24"/>
          <w:szCs w:val="24"/>
          <w:highlight w:val="none"/>
        </w:rPr>
      </w:pPr>
      <w:r>
        <w:rPr>
          <w:color w:val="auto"/>
          <w:sz w:val="24"/>
          <w:szCs w:val="24"/>
          <w:highlight w:val="none"/>
        </w:rPr>
        <w:t xml:space="preserve">致：许昌市建设投资有限责任公司 </w:t>
      </w:r>
    </w:p>
    <w:p>
      <w:pPr>
        <w:spacing w:line="410" w:lineRule="exact"/>
        <w:ind w:firstLine="420"/>
        <w:rPr>
          <w:color w:val="auto"/>
          <w:sz w:val="24"/>
          <w:szCs w:val="24"/>
          <w:highlight w:val="none"/>
        </w:rPr>
      </w:pPr>
      <w:r>
        <w:rPr>
          <w:color w:val="auto"/>
          <w:sz w:val="24"/>
          <w:szCs w:val="24"/>
          <w:highlight w:val="none"/>
        </w:rPr>
        <w:t>我公司郑重声明如下：</w:t>
      </w:r>
    </w:p>
    <w:p>
      <w:pPr>
        <w:spacing w:line="410" w:lineRule="exact"/>
        <w:ind w:firstLine="420"/>
        <w:rPr>
          <w:color w:val="auto"/>
          <w:sz w:val="24"/>
          <w:szCs w:val="24"/>
          <w:highlight w:val="none"/>
        </w:rPr>
      </w:pPr>
      <w:r>
        <w:rPr>
          <w:color w:val="auto"/>
          <w:sz w:val="24"/>
          <w:szCs w:val="24"/>
          <w:highlight w:val="none"/>
        </w:rPr>
        <w:t>我公司与招标人不存在利害关系。与其他投标人之间不存在单位负责人为同一人或者控股、管理关系的情况。</w:t>
      </w:r>
    </w:p>
    <w:p>
      <w:pPr>
        <w:spacing w:line="410" w:lineRule="exact"/>
        <w:ind w:firstLine="420"/>
        <w:rPr>
          <w:color w:val="auto"/>
          <w:sz w:val="24"/>
          <w:szCs w:val="24"/>
          <w:highlight w:val="none"/>
        </w:rPr>
      </w:pPr>
      <w:r>
        <w:rPr>
          <w:color w:val="auto"/>
          <w:sz w:val="24"/>
          <w:szCs w:val="24"/>
          <w:highlight w:val="none"/>
        </w:rPr>
        <w:t>我公司的法人股东、出资设立企业、有实际管理关系的企业情况如下：</w:t>
      </w:r>
    </w:p>
    <w:tbl>
      <w:tblPr>
        <w:tblStyle w:val="20"/>
        <w:tblW w:w="9100"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174"/>
        <w:gridCol w:w="1302"/>
        <w:gridCol w:w="1464"/>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568" w:type="dxa"/>
            <w:vAlign w:val="center"/>
          </w:tcPr>
          <w:p>
            <w:pPr>
              <w:spacing w:line="410" w:lineRule="exact"/>
              <w:jc w:val="center"/>
              <w:rPr>
                <w:rFonts w:ascii="Times New Roman"/>
                <w:color w:val="auto"/>
                <w:sz w:val="24"/>
                <w:szCs w:val="24"/>
                <w:highlight w:val="none"/>
              </w:rPr>
            </w:pPr>
            <w:r>
              <w:rPr>
                <w:rFonts w:ascii="Times New Roman"/>
                <w:color w:val="auto"/>
                <w:sz w:val="24"/>
                <w:szCs w:val="24"/>
                <w:highlight w:val="none"/>
              </w:rPr>
              <w:t>法人股东名称</w:t>
            </w:r>
          </w:p>
        </w:tc>
        <w:tc>
          <w:tcPr>
            <w:tcW w:w="1174"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出资比例</w:t>
            </w:r>
          </w:p>
        </w:tc>
        <w:tc>
          <w:tcPr>
            <w:tcW w:w="1302"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法定代表人</w:t>
            </w:r>
          </w:p>
        </w:tc>
        <w:tc>
          <w:tcPr>
            <w:tcW w:w="1464"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联系人及电话</w:t>
            </w:r>
          </w:p>
        </w:tc>
        <w:tc>
          <w:tcPr>
            <w:tcW w:w="2592"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568" w:type="dxa"/>
          </w:tcPr>
          <w:p>
            <w:pPr>
              <w:spacing w:line="410" w:lineRule="exact"/>
              <w:jc w:val="center"/>
              <w:rPr>
                <w:rFonts w:ascii="Times New Roman"/>
                <w:color w:val="auto"/>
                <w:sz w:val="24"/>
                <w:szCs w:val="24"/>
                <w:highlight w:val="none"/>
              </w:rPr>
            </w:pPr>
          </w:p>
        </w:tc>
        <w:tc>
          <w:tcPr>
            <w:tcW w:w="1174" w:type="dxa"/>
          </w:tcPr>
          <w:p>
            <w:pPr>
              <w:spacing w:line="410" w:lineRule="exact"/>
              <w:jc w:val="center"/>
              <w:rPr>
                <w:rFonts w:ascii="Times New Roman"/>
                <w:color w:val="auto"/>
                <w:sz w:val="24"/>
                <w:szCs w:val="24"/>
                <w:highlight w:val="none"/>
              </w:rPr>
            </w:pPr>
          </w:p>
        </w:tc>
        <w:tc>
          <w:tcPr>
            <w:tcW w:w="1302" w:type="dxa"/>
          </w:tcPr>
          <w:p>
            <w:pPr>
              <w:spacing w:line="410" w:lineRule="exact"/>
              <w:jc w:val="center"/>
              <w:rPr>
                <w:rFonts w:ascii="Times New Roman"/>
                <w:color w:val="auto"/>
                <w:sz w:val="24"/>
                <w:szCs w:val="24"/>
                <w:highlight w:val="none"/>
              </w:rPr>
            </w:pPr>
          </w:p>
        </w:tc>
        <w:tc>
          <w:tcPr>
            <w:tcW w:w="1464" w:type="dxa"/>
          </w:tcPr>
          <w:p>
            <w:pPr>
              <w:spacing w:line="410" w:lineRule="exact"/>
              <w:jc w:val="center"/>
              <w:rPr>
                <w:rFonts w:ascii="Times New Roman"/>
                <w:color w:val="auto"/>
                <w:sz w:val="24"/>
                <w:szCs w:val="24"/>
                <w:highlight w:val="none"/>
              </w:rPr>
            </w:pPr>
          </w:p>
        </w:tc>
        <w:tc>
          <w:tcPr>
            <w:tcW w:w="2592" w:type="dxa"/>
          </w:tcPr>
          <w:p>
            <w:pPr>
              <w:spacing w:line="410" w:lineRule="exact"/>
              <w:jc w:val="center"/>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568"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出资设立企业名称</w:t>
            </w:r>
          </w:p>
        </w:tc>
        <w:tc>
          <w:tcPr>
            <w:tcW w:w="1174" w:type="dxa"/>
          </w:tcPr>
          <w:p>
            <w:pPr>
              <w:spacing w:line="410" w:lineRule="exact"/>
              <w:jc w:val="center"/>
              <w:rPr>
                <w:rFonts w:ascii="Times New Roman"/>
                <w:color w:val="auto"/>
                <w:sz w:val="24"/>
                <w:szCs w:val="24"/>
                <w:highlight w:val="none"/>
              </w:rPr>
            </w:pPr>
          </w:p>
        </w:tc>
        <w:tc>
          <w:tcPr>
            <w:tcW w:w="1302" w:type="dxa"/>
          </w:tcPr>
          <w:p>
            <w:pPr>
              <w:spacing w:line="410" w:lineRule="exact"/>
              <w:jc w:val="center"/>
              <w:rPr>
                <w:rFonts w:ascii="Times New Roman"/>
                <w:color w:val="auto"/>
                <w:sz w:val="24"/>
                <w:szCs w:val="24"/>
                <w:highlight w:val="none"/>
              </w:rPr>
            </w:pPr>
          </w:p>
        </w:tc>
        <w:tc>
          <w:tcPr>
            <w:tcW w:w="1464" w:type="dxa"/>
          </w:tcPr>
          <w:p>
            <w:pPr>
              <w:spacing w:line="410" w:lineRule="exact"/>
              <w:jc w:val="center"/>
              <w:rPr>
                <w:rFonts w:ascii="Times New Roman"/>
                <w:color w:val="auto"/>
                <w:sz w:val="24"/>
                <w:szCs w:val="24"/>
                <w:highlight w:val="none"/>
              </w:rPr>
            </w:pPr>
          </w:p>
        </w:tc>
        <w:tc>
          <w:tcPr>
            <w:tcW w:w="2592" w:type="dxa"/>
          </w:tcPr>
          <w:p>
            <w:pPr>
              <w:spacing w:line="410" w:lineRule="exact"/>
              <w:jc w:val="center"/>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568" w:type="dxa"/>
          </w:tcPr>
          <w:p>
            <w:pPr>
              <w:spacing w:line="410" w:lineRule="exact"/>
              <w:jc w:val="center"/>
              <w:rPr>
                <w:rFonts w:ascii="Times New Roman"/>
                <w:color w:val="auto"/>
                <w:sz w:val="24"/>
                <w:szCs w:val="24"/>
                <w:highlight w:val="none"/>
              </w:rPr>
            </w:pPr>
          </w:p>
        </w:tc>
        <w:tc>
          <w:tcPr>
            <w:tcW w:w="1174" w:type="dxa"/>
          </w:tcPr>
          <w:p>
            <w:pPr>
              <w:spacing w:line="410" w:lineRule="exact"/>
              <w:jc w:val="center"/>
              <w:rPr>
                <w:rFonts w:ascii="Times New Roman"/>
                <w:color w:val="auto"/>
                <w:sz w:val="24"/>
                <w:szCs w:val="24"/>
                <w:highlight w:val="none"/>
              </w:rPr>
            </w:pPr>
          </w:p>
        </w:tc>
        <w:tc>
          <w:tcPr>
            <w:tcW w:w="1302" w:type="dxa"/>
          </w:tcPr>
          <w:p>
            <w:pPr>
              <w:spacing w:line="410" w:lineRule="exact"/>
              <w:jc w:val="center"/>
              <w:rPr>
                <w:rFonts w:ascii="Times New Roman"/>
                <w:color w:val="auto"/>
                <w:sz w:val="24"/>
                <w:szCs w:val="24"/>
                <w:highlight w:val="none"/>
              </w:rPr>
            </w:pPr>
          </w:p>
        </w:tc>
        <w:tc>
          <w:tcPr>
            <w:tcW w:w="1464" w:type="dxa"/>
          </w:tcPr>
          <w:p>
            <w:pPr>
              <w:spacing w:line="410" w:lineRule="exact"/>
              <w:jc w:val="center"/>
              <w:rPr>
                <w:rFonts w:ascii="Times New Roman"/>
                <w:color w:val="auto"/>
                <w:sz w:val="24"/>
                <w:szCs w:val="24"/>
                <w:highlight w:val="none"/>
              </w:rPr>
            </w:pPr>
          </w:p>
        </w:tc>
        <w:tc>
          <w:tcPr>
            <w:tcW w:w="2592" w:type="dxa"/>
          </w:tcPr>
          <w:p>
            <w:pPr>
              <w:spacing w:line="410" w:lineRule="exact"/>
              <w:jc w:val="center"/>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568" w:type="dxa"/>
          </w:tcPr>
          <w:p>
            <w:pPr>
              <w:spacing w:line="410" w:lineRule="exact"/>
              <w:jc w:val="center"/>
              <w:rPr>
                <w:rFonts w:ascii="Times New Roman"/>
                <w:color w:val="auto"/>
                <w:sz w:val="24"/>
                <w:szCs w:val="24"/>
                <w:highlight w:val="none"/>
              </w:rPr>
            </w:pPr>
            <w:r>
              <w:rPr>
                <w:rFonts w:ascii="Times New Roman"/>
                <w:color w:val="auto"/>
                <w:sz w:val="24"/>
                <w:szCs w:val="24"/>
                <w:highlight w:val="none"/>
              </w:rPr>
              <w:t>有实际管理关系企业名称</w:t>
            </w:r>
          </w:p>
        </w:tc>
        <w:tc>
          <w:tcPr>
            <w:tcW w:w="1174" w:type="dxa"/>
          </w:tcPr>
          <w:p>
            <w:pPr>
              <w:spacing w:line="410" w:lineRule="exact"/>
              <w:jc w:val="center"/>
              <w:rPr>
                <w:rFonts w:ascii="Times New Roman"/>
                <w:color w:val="auto"/>
                <w:sz w:val="24"/>
                <w:szCs w:val="24"/>
                <w:highlight w:val="none"/>
              </w:rPr>
            </w:pPr>
          </w:p>
        </w:tc>
        <w:tc>
          <w:tcPr>
            <w:tcW w:w="1302" w:type="dxa"/>
          </w:tcPr>
          <w:p>
            <w:pPr>
              <w:spacing w:line="410" w:lineRule="exact"/>
              <w:jc w:val="center"/>
              <w:rPr>
                <w:rFonts w:ascii="Times New Roman"/>
                <w:color w:val="auto"/>
                <w:sz w:val="24"/>
                <w:szCs w:val="24"/>
                <w:highlight w:val="none"/>
              </w:rPr>
            </w:pPr>
          </w:p>
        </w:tc>
        <w:tc>
          <w:tcPr>
            <w:tcW w:w="1464" w:type="dxa"/>
          </w:tcPr>
          <w:p>
            <w:pPr>
              <w:spacing w:line="410" w:lineRule="exact"/>
              <w:jc w:val="center"/>
              <w:rPr>
                <w:rFonts w:ascii="Times New Roman"/>
                <w:color w:val="auto"/>
                <w:sz w:val="24"/>
                <w:szCs w:val="24"/>
                <w:highlight w:val="none"/>
              </w:rPr>
            </w:pPr>
          </w:p>
        </w:tc>
        <w:tc>
          <w:tcPr>
            <w:tcW w:w="2592" w:type="dxa"/>
          </w:tcPr>
          <w:p>
            <w:pPr>
              <w:spacing w:line="410" w:lineRule="exact"/>
              <w:jc w:val="center"/>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2568" w:type="dxa"/>
          </w:tcPr>
          <w:p>
            <w:pPr>
              <w:spacing w:line="410" w:lineRule="exact"/>
              <w:jc w:val="center"/>
              <w:rPr>
                <w:rFonts w:ascii="Times New Roman"/>
                <w:color w:val="auto"/>
                <w:sz w:val="24"/>
                <w:szCs w:val="24"/>
                <w:highlight w:val="none"/>
              </w:rPr>
            </w:pPr>
          </w:p>
        </w:tc>
        <w:tc>
          <w:tcPr>
            <w:tcW w:w="1174" w:type="dxa"/>
          </w:tcPr>
          <w:p>
            <w:pPr>
              <w:spacing w:line="410" w:lineRule="exact"/>
              <w:jc w:val="center"/>
              <w:rPr>
                <w:rFonts w:ascii="Times New Roman"/>
                <w:color w:val="auto"/>
                <w:sz w:val="24"/>
                <w:szCs w:val="24"/>
                <w:highlight w:val="none"/>
              </w:rPr>
            </w:pPr>
          </w:p>
        </w:tc>
        <w:tc>
          <w:tcPr>
            <w:tcW w:w="1302" w:type="dxa"/>
          </w:tcPr>
          <w:p>
            <w:pPr>
              <w:spacing w:line="410" w:lineRule="exact"/>
              <w:jc w:val="center"/>
              <w:rPr>
                <w:rFonts w:ascii="Times New Roman"/>
                <w:color w:val="auto"/>
                <w:sz w:val="24"/>
                <w:szCs w:val="24"/>
                <w:highlight w:val="none"/>
              </w:rPr>
            </w:pPr>
          </w:p>
        </w:tc>
        <w:tc>
          <w:tcPr>
            <w:tcW w:w="1464" w:type="dxa"/>
          </w:tcPr>
          <w:p>
            <w:pPr>
              <w:spacing w:line="410" w:lineRule="exact"/>
              <w:jc w:val="center"/>
              <w:rPr>
                <w:rFonts w:ascii="Times New Roman"/>
                <w:color w:val="auto"/>
                <w:sz w:val="24"/>
                <w:szCs w:val="24"/>
                <w:highlight w:val="none"/>
              </w:rPr>
            </w:pPr>
          </w:p>
        </w:tc>
        <w:tc>
          <w:tcPr>
            <w:tcW w:w="2592" w:type="dxa"/>
          </w:tcPr>
          <w:p>
            <w:pPr>
              <w:spacing w:line="410" w:lineRule="exact"/>
              <w:jc w:val="center"/>
              <w:rPr>
                <w:rFonts w:ascii="Times New Roman"/>
                <w:color w:val="auto"/>
                <w:sz w:val="24"/>
                <w:szCs w:val="24"/>
                <w:highlight w:val="none"/>
              </w:rPr>
            </w:pPr>
          </w:p>
        </w:tc>
      </w:tr>
    </w:tbl>
    <w:p>
      <w:pPr>
        <w:spacing w:line="410" w:lineRule="exact"/>
        <w:ind w:firstLine="420"/>
        <w:rPr>
          <w:color w:val="auto"/>
          <w:sz w:val="24"/>
          <w:szCs w:val="24"/>
          <w:highlight w:val="none"/>
        </w:rPr>
      </w:pPr>
      <w:r>
        <w:rPr>
          <w:color w:val="auto"/>
          <w:sz w:val="24"/>
          <w:szCs w:val="24"/>
          <w:highlight w:val="none"/>
        </w:rPr>
        <w:t>说明：若无关联企业，则在上述表格中填写“无”。</w:t>
      </w:r>
    </w:p>
    <w:p>
      <w:pPr>
        <w:spacing w:line="410" w:lineRule="exact"/>
        <w:ind w:firstLine="420"/>
        <w:jc w:val="right"/>
        <w:rPr>
          <w:color w:val="auto"/>
          <w:sz w:val="24"/>
          <w:szCs w:val="24"/>
          <w:highlight w:val="none"/>
        </w:rPr>
      </w:pPr>
    </w:p>
    <w:p>
      <w:pPr>
        <w:spacing w:line="410" w:lineRule="exact"/>
        <w:ind w:firstLine="3000" w:firstLineChars="1250"/>
        <w:rPr>
          <w:color w:val="auto"/>
          <w:sz w:val="24"/>
          <w:szCs w:val="24"/>
          <w:highlight w:val="none"/>
        </w:rPr>
      </w:pPr>
      <w:r>
        <w:rPr>
          <w:color w:val="auto"/>
          <w:sz w:val="24"/>
          <w:szCs w:val="24"/>
          <w:highlight w:val="none"/>
        </w:rPr>
        <w:t xml:space="preserve">  投标人：                     （盖单位公章）</w:t>
      </w:r>
    </w:p>
    <w:p>
      <w:pPr>
        <w:spacing w:line="410" w:lineRule="exact"/>
        <w:ind w:firstLine="420"/>
        <w:rPr>
          <w:color w:val="auto"/>
          <w:sz w:val="24"/>
          <w:szCs w:val="24"/>
          <w:highlight w:val="none"/>
        </w:rPr>
      </w:pPr>
      <w:r>
        <w:rPr>
          <w:color w:val="auto"/>
          <w:sz w:val="24"/>
          <w:szCs w:val="24"/>
          <w:highlight w:val="none"/>
        </w:rPr>
        <w:t xml:space="preserve">                       法定代表人或其委托代理人：        （签字或盖章）</w:t>
      </w:r>
    </w:p>
    <w:p>
      <w:pPr>
        <w:spacing w:line="410" w:lineRule="exact"/>
        <w:ind w:firstLine="420"/>
        <w:rPr>
          <w:color w:val="auto"/>
          <w:sz w:val="24"/>
          <w:szCs w:val="24"/>
          <w:highlight w:val="none"/>
        </w:rPr>
      </w:pPr>
      <w:r>
        <w:rPr>
          <w:color w:val="auto"/>
          <w:sz w:val="24"/>
          <w:szCs w:val="24"/>
          <w:highlight w:val="none"/>
        </w:rPr>
        <w:t xml:space="preserve">                                       年        月        日</w:t>
      </w:r>
    </w:p>
    <w:p>
      <w:pPr>
        <w:ind w:left="480"/>
        <w:rPr>
          <w:color w:val="auto"/>
          <w:sz w:val="24"/>
          <w:szCs w:val="24"/>
          <w:highlight w:val="none"/>
        </w:rPr>
      </w:pPr>
    </w:p>
    <w:bookmarkEnd w:id="273"/>
    <w:bookmarkEnd w:id="274"/>
    <w:p>
      <w:pPr>
        <w:pStyle w:val="4"/>
        <w:tabs>
          <w:tab w:val="left" w:pos="838"/>
        </w:tabs>
        <w:ind w:left="-2" w:firstLine="482"/>
        <w:jc w:val="left"/>
        <w:rPr>
          <w:rFonts w:hAnsi="宋体"/>
          <w:color w:val="auto"/>
          <w:sz w:val="24"/>
          <w:szCs w:val="24"/>
          <w:highlight w:val="none"/>
        </w:rPr>
      </w:pPr>
      <w:bookmarkStart w:id="275" w:name="_Toc391119503"/>
      <w:bookmarkStart w:id="276" w:name="_Toc5957"/>
      <w:bookmarkStart w:id="277" w:name="_Toc297800238"/>
      <w:r>
        <w:rPr>
          <w:rFonts w:ascii="Times New Roman"/>
          <w:color w:val="auto"/>
          <w:sz w:val="24"/>
          <w:szCs w:val="24"/>
          <w:highlight w:val="none"/>
        </w:rPr>
        <w:br w:type="page"/>
      </w:r>
      <w:bookmarkStart w:id="278" w:name="_Toc478223065"/>
      <w:r>
        <w:rPr>
          <w:rFonts w:hAnsi="宋体"/>
          <w:color w:val="auto"/>
          <w:sz w:val="24"/>
          <w:szCs w:val="24"/>
          <w:highlight w:val="none"/>
        </w:rPr>
        <w:t>6.7业主证明</w:t>
      </w:r>
    </w:p>
    <w:p>
      <w:pPr>
        <w:pStyle w:val="40"/>
        <w:spacing w:line="410" w:lineRule="exact"/>
        <w:ind w:firstLine="480"/>
        <w:jc w:val="center"/>
        <w:rPr>
          <w:color w:val="auto"/>
          <w:sz w:val="24"/>
          <w:szCs w:val="24"/>
          <w:highlight w:val="none"/>
        </w:rPr>
      </w:pPr>
      <w:r>
        <w:rPr>
          <w:color w:val="auto"/>
          <w:sz w:val="24"/>
          <w:szCs w:val="24"/>
          <w:highlight w:val="none"/>
        </w:rPr>
        <w:t>业主证明（如需要）</w:t>
      </w:r>
    </w:p>
    <w:p>
      <w:pPr>
        <w:pStyle w:val="40"/>
        <w:spacing w:line="410" w:lineRule="exact"/>
        <w:ind w:firstLine="480"/>
        <w:jc w:val="left"/>
        <w:rPr>
          <w:color w:val="auto"/>
          <w:sz w:val="24"/>
          <w:szCs w:val="24"/>
          <w:highlight w:val="none"/>
          <w:u w:val="single"/>
        </w:rPr>
      </w:pPr>
    </w:p>
    <w:p>
      <w:pPr>
        <w:pStyle w:val="40"/>
        <w:spacing w:line="410" w:lineRule="exact"/>
        <w:ind w:firstLine="480"/>
        <w:jc w:val="left"/>
        <w:rPr>
          <w:color w:val="auto"/>
          <w:sz w:val="24"/>
          <w:szCs w:val="24"/>
          <w:highlight w:val="none"/>
          <w:u w:val="single"/>
        </w:rPr>
      </w:pPr>
      <w:r>
        <w:rPr>
          <w:color w:val="auto"/>
          <w:sz w:val="24"/>
          <w:szCs w:val="24"/>
          <w:highlight w:val="none"/>
        </w:rPr>
        <w:t>（投标人名称）的（姓名）在我单位（项目名称及标段）中担任项目负责人/技术负责人，特此证明。</w:t>
      </w:r>
    </w:p>
    <w:p>
      <w:pPr>
        <w:pStyle w:val="40"/>
        <w:spacing w:line="410" w:lineRule="exact"/>
        <w:ind w:firstLine="480"/>
        <w:jc w:val="left"/>
        <w:rPr>
          <w:color w:val="auto"/>
          <w:sz w:val="24"/>
          <w:szCs w:val="24"/>
          <w:highlight w:val="none"/>
          <w:u w:val="single"/>
        </w:rPr>
      </w:pPr>
    </w:p>
    <w:p>
      <w:pPr>
        <w:pStyle w:val="40"/>
        <w:spacing w:line="410" w:lineRule="exact"/>
        <w:ind w:firstLine="480"/>
        <w:jc w:val="left"/>
        <w:rPr>
          <w:color w:val="auto"/>
          <w:sz w:val="24"/>
          <w:szCs w:val="24"/>
          <w:highlight w:val="none"/>
          <w:u w:val="single"/>
        </w:rPr>
      </w:pPr>
    </w:p>
    <w:p>
      <w:pPr>
        <w:pStyle w:val="40"/>
        <w:wordWrap w:val="0"/>
        <w:spacing w:line="410" w:lineRule="exact"/>
        <w:ind w:firstLine="480"/>
        <w:jc w:val="right"/>
        <w:rPr>
          <w:color w:val="auto"/>
          <w:sz w:val="24"/>
          <w:szCs w:val="24"/>
          <w:highlight w:val="none"/>
        </w:rPr>
      </w:pPr>
      <w:r>
        <w:rPr>
          <w:color w:val="auto"/>
          <w:sz w:val="24"/>
          <w:szCs w:val="24"/>
          <w:highlight w:val="none"/>
        </w:rPr>
        <w:t>发包人（业主）：           （盖单位公章）</w:t>
      </w:r>
    </w:p>
    <w:p>
      <w:pPr>
        <w:pStyle w:val="40"/>
        <w:spacing w:line="410" w:lineRule="exact"/>
        <w:ind w:firstLine="480"/>
        <w:jc w:val="left"/>
        <w:rPr>
          <w:color w:val="auto"/>
          <w:sz w:val="24"/>
          <w:szCs w:val="24"/>
          <w:highlight w:val="none"/>
          <w:u w:val="single"/>
        </w:rPr>
      </w:pPr>
    </w:p>
    <w:p>
      <w:pPr>
        <w:ind w:left="680" w:leftChars="200" w:firstLine="4800" w:firstLineChars="2000"/>
        <w:rPr>
          <w:color w:val="auto"/>
          <w:sz w:val="24"/>
          <w:szCs w:val="24"/>
          <w:highlight w:val="none"/>
        </w:rPr>
      </w:pPr>
      <w:r>
        <w:rPr>
          <w:color w:val="auto"/>
          <w:sz w:val="24"/>
          <w:szCs w:val="24"/>
          <w:highlight w:val="none"/>
        </w:rPr>
        <w:t>日期：     年    月    日</w:t>
      </w:r>
    </w:p>
    <w:p>
      <w:pPr>
        <w:widowControl/>
        <w:jc w:val="left"/>
        <w:rPr>
          <w:color w:val="auto"/>
          <w:sz w:val="24"/>
          <w:szCs w:val="24"/>
          <w:highlight w:val="none"/>
        </w:rPr>
      </w:pPr>
      <w:r>
        <w:rPr>
          <w:color w:val="auto"/>
          <w:sz w:val="24"/>
          <w:szCs w:val="24"/>
          <w:highlight w:val="none"/>
        </w:rPr>
        <w:br w:type="page"/>
      </w:r>
    </w:p>
    <w:p>
      <w:pPr>
        <w:ind w:left="680" w:leftChars="200" w:firstLine="4800" w:firstLineChars="2000"/>
        <w:rPr>
          <w:color w:val="auto"/>
          <w:sz w:val="24"/>
          <w:szCs w:val="24"/>
          <w:highlight w:val="none"/>
        </w:rPr>
      </w:pPr>
    </w:p>
    <w:p>
      <w:pPr>
        <w:pStyle w:val="4"/>
        <w:ind w:firstLine="482"/>
        <w:rPr>
          <w:rFonts w:ascii="Times New Roman"/>
          <w:color w:val="auto"/>
          <w:sz w:val="24"/>
          <w:szCs w:val="24"/>
          <w:highlight w:val="none"/>
        </w:rPr>
      </w:pPr>
      <w:r>
        <w:rPr>
          <w:rFonts w:ascii="Times New Roman"/>
          <w:color w:val="auto"/>
          <w:sz w:val="24"/>
          <w:szCs w:val="24"/>
          <w:highlight w:val="none"/>
        </w:rPr>
        <w:t>6.8不良行为记录承诺书</w:t>
      </w:r>
    </w:p>
    <w:p>
      <w:pPr>
        <w:tabs>
          <w:tab w:val="left" w:pos="540"/>
        </w:tabs>
        <w:spacing w:line="410" w:lineRule="exact"/>
        <w:ind w:firstLine="420"/>
        <w:jc w:val="left"/>
        <w:rPr>
          <w:color w:val="auto"/>
          <w:position w:val="-7"/>
          <w:sz w:val="24"/>
          <w:szCs w:val="24"/>
          <w:highlight w:val="none"/>
        </w:rPr>
      </w:pPr>
    </w:p>
    <w:p>
      <w:pPr>
        <w:tabs>
          <w:tab w:val="left" w:pos="540"/>
        </w:tabs>
        <w:spacing w:line="410" w:lineRule="exact"/>
        <w:ind w:firstLine="420"/>
        <w:jc w:val="left"/>
        <w:rPr>
          <w:color w:val="auto"/>
          <w:sz w:val="24"/>
          <w:szCs w:val="24"/>
          <w:highlight w:val="none"/>
        </w:rPr>
      </w:pPr>
      <w:r>
        <w:rPr>
          <w:color w:val="auto"/>
          <w:position w:val="-7"/>
          <w:sz w:val="24"/>
          <w:szCs w:val="24"/>
          <w:highlight w:val="none"/>
        </w:rPr>
        <w:t>————————</w:t>
      </w:r>
      <w:r>
        <w:rPr>
          <w:color w:val="auto"/>
          <w:sz w:val="24"/>
          <w:szCs w:val="24"/>
          <w:highlight w:val="none"/>
        </w:rPr>
        <w:t>（招标人名称）：</w:t>
      </w:r>
    </w:p>
    <w:p>
      <w:pPr>
        <w:tabs>
          <w:tab w:val="left" w:pos="540"/>
        </w:tabs>
        <w:spacing w:line="410" w:lineRule="exact"/>
        <w:ind w:firstLine="420"/>
        <w:jc w:val="left"/>
        <w:rPr>
          <w:color w:val="auto"/>
          <w:sz w:val="24"/>
          <w:szCs w:val="24"/>
          <w:highlight w:val="none"/>
        </w:rPr>
      </w:pPr>
      <w:r>
        <w:rPr>
          <w:color w:val="auto"/>
          <w:sz w:val="24"/>
          <w:szCs w:val="24"/>
          <w:highlight w:val="none"/>
        </w:rPr>
        <w:t>至投标截止时间，我公司承诺自201</w:t>
      </w:r>
      <w:r>
        <w:rPr>
          <w:rFonts w:hint="eastAsia"/>
          <w:color w:val="auto"/>
          <w:sz w:val="24"/>
          <w:szCs w:val="24"/>
          <w:highlight w:val="none"/>
        </w:rPr>
        <w:t>5</w:t>
      </w:r>
      <w:r>
        <w:rPr>
          <w:color w:val="auto"/>
          <w:sz w:val="24"/>
          <w:szCs w:val="24"/>
          <w:highlight w:val="none"/>
        </w:rPr>
        <w:t>年01月01日至投标截止时间内，在工程建设过程中(</w:t>
      </w:r>
      <w:r>
        <w:rPr>
          <w:b/>
          <w:color w:val="auto"/>
          <w:sz w:val="24"/>
          <w:szCs w:val="24"/>
          <w:highlight w:val="none"/>
        </w:rPr>
        <w:t xml:space="preserve">填  </w:t>
      </w:r>
      <w:r>
        <w:rPr>
          <w:b/>
          <w:color w:val="auto"/>
          <w:sz w:val="24"/>
          <w:szCs w:val="24"/>
          <w:highlight w:val="none"/>
          <w:u w:val="single"/>
        </w:rPr>
        <w:t xml:space="preserve">有 </w:t>
      </w:r>
      <w:r>
        <w:rPr>
          <w:b/>
          <w:color w:val="auto"/>
          <w:sz w:val="24"/>
          <w:szCs w:val="24"/>
          <w:highlight w:val="none"/>
        </w:rPr>
        <w:t>或</w:t>
      </w:r>
      <w:r>
        <w:rPr>
          <w:b/>
          <w:color w:val="auto"/>
          <w:sz w:val="24"/>
          <w:szCs w:val="24"/>
          <w:highlight w:val="none"/>
          <w:u w:val="single"/>
        </w:rPr>
        <w:t xml:space="preserve">  无  </w:t>
      </w:r>
      <w:r>
        <w:rPr>
          <w:color w:val="auto"/>
          <w:sz w:val="24"/>
          <w:szCs w:val="24"/>
          <w:highlight w:val="none"/>
        </w:rPr>
        <w:t>) 不良行为记录，情况如下表：</w:t>
      </w:r>
    </w:p>
    <w:tbl>
      <w:tblPr>
        <w:tblStyle w:val="20"/>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40"/>
        <w:gridCol w:w="1440"/>
        <w:gridCol w:w="1515"/>
        <w:gridCol w:w="117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tabs>
                <w:tab w:val="left" w:pos="540"/>
              </w:tabs>
              <w:spacing w:line="410" w:lineRule="exact"/>
              <w:ind w:firstLine="420"/>
              <w:jc w:val="left"/>
              <w:rPr>
                <w:rFonts w:ascii="Times New Roman"/>
                <w:color w:val="auto"/>
                <w:sz w:val="24"/>
                <w:szCs w:val="24"/>
                <w:highlight w:val="none"/>
              </w:rPr>
            </w:pPr>
            <w:r>
              <w:rPr>
                <w:rFonts w:ascii="Times New Roman"/>
                <w:color w:val="auto"/>
                <w:sz w:val="24"/>
                <w:szCs w:val="24"/>
                <w:highlight w:val="none"/>
              </w:rPr>
              <w:t>序号</w:t>
            </w:r>
          </w:p>
        </w:tc>
        <w:tc>
          <w:tcPr>
            <w:tcW w:w="1140" w:type="dxa"/>
          </w:tcPr>
          <w:p>
            <w:pPr>
              <w:tabs>
                <w:tab w:val="left" w:pos="540"/>
              </w:tabs>
              <w:spacing w:line="410" w:lineRule="exact"/>
              <w:jc w:val="left"/>
              <w:rPr>
                <w:rFonts w:ascii="Times New Roman"/>
                <w:color w:val="auto"/>
                <w:sz w:val="24"/>
                <w:szCs w:val="24"/>
                <w:highlight w:val="none"/>
              </w:rPr>
            </w:pPr>
            <w:r>
              <w:rPr>
                <w:rFonts w:ascii="Times New Roman"/>
                <w:color w:val="auto"/>
                <w:sz w:val="24"/>
                <w:szCs w:val="24"/>
                <w:highlight w:val="none"/>
              </w:rPr>
              <w:t>情况简介</w:t>
            </w:r>
          </w:p>
        </w:tc>
        <w:tc>
          <w:tcPr>
            <w:tcW w:w="1440" w:type="dxa"/>
          </w:tcPr>
          <w:p>
            <w:pPr>
              <w:tabs>
                <w:tab w:val="left" w:pos="540"/>
              </w:tabs>
              <w:spacing w:line="410" w:lineRule="exact"/>
              <w:jc w:val="left"/>
              <w:rPr>
                <w:rFonts w:ascii="Times New Roman"/>
                <w:color w:val="auto"/>
                <w:sz w:val="24"/>
                <w:szCs w:val="24"/>
                <w:highlight w:val="none"/>
              </w:rPr>
            </w:pPr>
            <w:r>
              <w:rPr>
                <w:rFonts w:ascii="Times New Roman"/>
                <w:color w:val="auto"/>
                <w:sz w:val="24"/>
                <w:szCs w:val="24"/>
                <w:highlight w:val="none"/>
              </w:rPr>
              <w:t>发生时间</w:t>
            </w:r>
          </w:p>
        </w:tc>
        <w:tc>
          <w:tcPr>
            <w:tcW w:w="1515" w:type="dxa"/>
          </w:tcPr>
          <w:p>
            <w:pPr>
              <w:tabs>
                <w:tab w:val="left" w:pos="540"/>
              </w:tabs>
              <w:spacing w:line="410" w:lineRule="exact"/>
              <w:jc w:val="left"/>
              <w:rPr>
                <w:rFonts w:ascii="Times New Roman"/>
                <w:color w:val="auto"/>
                <w:sz w:val="24"/>
                <w:szCs w:val="24"/>
                <w:highlight w:val="none"/>
              </w:rPr>
            </w:pPr>
            <w:r>
              <w:rPr>
                <w:rFonts w:ascii="Times New Roman"/>
                <w:color w:val="auto"/>
                <w:sz w:val="24"/>
                <w:szCs w:val="24"/>
                <w:highlight w:val="none"/>
              </w:rPr>
              <w:t>被何部门处罚</w:t>
            </w:r>
          </w:p>
        </w:tc>
        <w:tc>
          <w:tcPr>
            <w:tcW w:w="1170" w:type="dxa"/>
          </w:tcPr>
          <w:p>
            <w:pPr>
              <w:tabs>
                <w:tab w:val="left" w:pos="540"/>
              </w:tabs>
              <w:spacing w:line="410" w:lineRule="exact"/>
              <w:jc w:val="left"/>
              <w:rPr>
                <w:rFonts w:ascii="Times New Roman"/>
                <w:color w:val="auto"/>
                <w:sz w:val="24"/>
                <w:szCs w:val="24"/>
                <w:highlight w:val="none"/>
              </w:rPr>
            </w:pPr>
            <w:r>
              <w:rPr>
                <w:rFonts w:ascii="Times New Roman"/>
                <w:color w:val="auto"/>
                <w:sz w:val="24"/>
                <w:szCs w:val="24"/>
                <w:highlight w:val="none"/>
              </w:rPr>
              <w:t>处罚意见</w:t>
            </w:r>
          </w:p>
        </w:tc>
        <w:tc>
          <w:tcPr>
            <w:tcW w:w="2430" w:type="dxa"/>
          </w:tcPr>
          <w:p>
            <w:pPr>
              <w:tabs>
                <w:tab w:val="left" w:pos="540"/>
              </w:tabs>
              <w:spacing w:line="410" w:lineRule="exact"/>
              <w:jc w:val="left"/>
              <w:rPr>
                <w:rFonts w:ascii="Times New Roman"/>
                <w:color w:val="auto"/>
                <w:sz w:val="24"/>
                <w:szCs w:val="24"/>
                <w:highlight w:val="none"/>
              </w:rPr>
            </w:pPr>
            <w:r>
              <w:rPr>
                <w:rFonts w:ascii="Times New Roman"/>
                <w:color w:val="auto"/>
                <w:sz w:val="24"/>
                <w:szCs w:val="24"/>
                <w:highlight w:val="none"/>
              </w:rPr>
              <w:t>是否被禁止或限制投标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tabs>
                <w:tab w:val="left" w:pos="540"/>
              </w:tabs>
              <w:spacing w:line="410" w:lineRule="exact"/>
              <w:jc w:val="left"/>
              <w:rPr>
                <w:rFonts w:ascii="Times New Roman"/>
                <w:color w:val="auto"/>
                <w:sz w:val="24"/>
                <w:szCs w:val="24"/>
                <w:highlight w:val="none"/>
              </w:rPr>
            </w:pPr>
            <w:r>
              <w:rPr>
                <w:rFonts w:ascii="Times New Roman"/>
                <w:color w:val="auto"/>
                <w:sz w:val="24"/>
                <w:szCs w:val="24"/>
                <w:highlight w:val="none"/>
              </w:rPr>
              <w:t>不良行为记录1</w:t>
            </w:r>
          </w:p>
        </w:tc>
        <w:tc>
          <w:tcPr>
            <w:tcW w:w="1140" w:type="dxa"/>
          </w:tcPr>
          <w:p>
            <w:pPr>
              <w:tabs>
                <w:tab w:val="left" w:pos="540"/>
              </w:tabs>
              <w:spacing w:line="410" w:lineRule="exact"/>
              <w:ind w:firstLine="420"/>
              <w:jc w:val="left"/>
              <w:rPr>
                <w:rFonts w:ascii="Times New Roman"/>
                <w:color w:val="auto"/>
                <w:sz w:val="24"/>
                <w:szCs w:val="24"/>
                <w:highlight w:val="none"/>
              </w:rPr>
            </w:pPr>
          </w:p>
        </w:tc>
        <w:tc>
          <w:tcPr>
            <w:tcW w:w="1440" w:type="dxa"/>
          </w:tcPr>
          <w:p>
            <w:pPr>
              <w:tabs>
                <w:tab w:val="left" w:pos="540"/>
              </w:tabs>
              <w:spacing w:line="410" w:lineRule="exact"/>
              <w:ind w:firstLine="420"/>
              <w:jc w:val="left"/>
              <w:rPr>
                <w:rFonts w:ascii="Times New Roman"/>
                <w:color w:val="auto"/>
                <w:sz w:val="24"/>
                <w:szCs w:val="24"/>
                <w:highlight w:val="none"/>
              </w:rPr>
            </w:pPr>
          </w:p>
        </w:tc>
        <w:tc>
          <w:tcPr>
            <w:tcW w:w="1515" w:type="dxa"/>
          </w:tcPr>
          <w:p>
            <w:pPr>
              <w:tabs>
                <w:tab w:val="left" w:pos="540"/>
              </w:tabs>
              <w:spacing w:line="410" w:lineRule="exact"/>
              <w:ind w:firstLine="420"/>
              <w:jc w:val="left"/>
              <w:rPr>
                <w:rFonts w:ascii="Times New Roman"/>
                <w:color w:val="auto"/>
                <w:sz w:val="24"/>
                <w:szCs w:val="24"/>
                <w:highlight w:val="none"/>
              </w:rPr>
            </w:pPr>
          </w:p>
        </w:tc>
        <w:tc>
          <w:tcPr>
            <w:tcW w:w="1170" w:type="dxa"/>
          </w:tcPr>
          <w:p>
            <w:pPr>
              <w:tabs>
                <w:tab w:val="left" w:pos="540"/>
              </w:tabs>
              <w:spacing w:line="410" w:lineRule="exact"/>
              <w:ind w:firstLine="420"/>
              <w:jc w:val="left"/>
              <w:rPr>
                <w:rFonts w:ascii="Times New Roman"/>
                <w:color w:val="auto"/>
                <w:sz w:val="24"/>
                <w:szCs w:val="24"/>
                <w:highlight w:val="none"/>
              </w:rPr>
            </w:pPr>
          </w:p>
        </w:tc>
        <w:tc>
          <w:tcPr>
            <w:tcW w:w="2430" w:type="dxa"/>
          </w:tcPr>
          <w:p>
            <w:pPr>
              <w:tabs>
                <w:tab w:val="left" w:pos="540"/>
              </w:tabs>
              <w:spacing w:line="410" w:lineRule="exact"/>
              <w:ind w:firstLine="420"/>
              <w:jc w:val="left"/>
              <w:rPr>
                <w:rFonts w:asci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tabs>
                <w:tab w:val="left" w:pos="540"/>
              </w:tabs>
              <w:spacing w:line="410" w:lineRule="exact"/>
              <w:jc w:val="left"/>
              <w:rPr>
                <w:rFonts w:ascii="Times New Roman"/>
                <w:color w:val="auto"/>
                <w:sz w:val="24"/>
                <w:szCs w:val="24"/>
                <w:highlight w:val="none"/>
              </w:rPr>
            </w:pPr>
            <w:r>
              <w:rPr>
                <w:rFonts w:ascii="Times New Roman"/>
                <w:color w:val="auto"/>
                <w:sz w:val="24"/>
                <w:szCs w:val="24"/>
                <w:highlight w:val="none"/>
              </w:rPr>
              <w:t>不良行为记录2</w:t>
            </w:r>
          </w:p>
        </w:tc>
        <w:tc>
          <w:tcPr>
            <w:tcW w:w="1140" w:type="dxa"/>
          </w:tcPr>
          <w:p>
            <w:pPr>
              <w:tabs>
                <w:tab w:val="left" w:pos="540"/>
              </w:tabs>
              <w:spacing w:line="410" w:lineRule="exact"/>
              <w:ind w:firstLine="420"/>
              <w:jc w:val="left"/>
              <w:rPr>
                <w:rFonts w:ascii="Times New Roman"/>
                <w:color w:val="auto"/>
                <w:sz w:val="24"/>
                <w:szCs w:val="24"/>
                <w:highlight w:val="none"/>
              </w:rPr>
            </w:pPr>
          </w:p>
        </w:tc>
        <w:tc>
          <w:tcPr>
            <w:tcW w:w="1440" w:type="dxa"/>
          </w:tcPr>
          <w:p>
            <w:pPr>
              <w:tabs>
                <w:tab w:val="left" w:pos="540"/>
              </w:tabs>
              <w:spacing w:line="410" w:lineRule="exact"/>
              <w:ind w:firstLine="420"/>
              <w:jc w:val="left"/>
              <w:rPr>
                <w:rFonts w:ascii="Times New Roman"/>
                <w:color w:val="auto"/>
                <w:sz w:val="24"/>
                <w:szCs w:val="24"/>
                <w:highlight w:val="none"/>
              </w:rPr>
            </w:pPr>
          </w:p>
        </w:tc>
        <w:tc>
          <w:tcPr>
            <w:tcW w:w="1515" w:type="dxa"/>
          </w:tcPr>
          <w:p>
            <w:pPr>
              <w:tabs>
                <w:tab w:val="left" w:pos="540"/>
              </w:tabs>
              <w:spacing w:line="410" w:lineRule="exact"/>
              <w:ind w:firstLine="420"/>
              <w:jc w:val="left"/>
              <w:rPr>
                <w:rFonts w:ascii="Times New Roman"/>
                <w:color w:val="auto"/>
                <w:sz w:val="24"/>
                <w:szCs w:val="24"/>
                <w:highlight w:val="none"/>
              </w:rPr>
            </w:pPr>
          </w:p>
        </w:tc>
        <w:tc>
          <w:tcPr>
            <w:tcW w:w="1170" w:type="dxa"/>
          </w:tcPr>
          <w:p>
            <w:pPr>
              <w:tabs>
                <w:tab w:val="left" w:pos="540"/>
              </w:tabs>
              <w:spacing w:line="410" w:lineRule="exact"/>
              <w:ind w:firstLine="420"/>
              <w:jc w:val="left"/>
              <w:rPr>
                <w:rFonts w:ascii="Times New Roman"/>
                <w:color w:val="auto"/>
                <w:sz w:val="24"/>
                <w:szCs w:val="24"/>
                <w:highlight w:val="none"/>
              </w:rPr>
            </w:pPr>
          </w:p>
        </w:tc>
        <w:tc>
          <w:tcPr>
            <w:tcW w:w="2430" w:type="dxa"/>
          </w:tcPr>
          <w:p>
            <w:pPr>
              <w:tabs>
                <w:tab w:val="left" w:pos="540"/>
              </w:tabs>
              <w:spacing w:line="410" w:lineRule="exact"/>
              <w:ind w:firstLine="420"/>
              <w:jc w:val="left"/>
              <w:rPr>
                <w:rFonts w:ascii="Times New Roman"/>
                <w:color w:val="auto"/>
                <w:sz w:val="24"/>
                <w:szCs w:val="24"/>
                <w:highlight w:val="none"/>
              </w:rPr>
            </w:pPr>
          </w:p>
        </w:tc>
      </w:tr>
    </w:tbl>
    <w:p>
      <w:pPr>
        <w:tabs>
          <w:tab w:val="left" w:pos="540"/>
        </w:tabs>
        <w:spacing w:line="410" w:lineRule="exact"/>
        <w:ind w:firstLine="420"/>
        <w:jc w:val="left"/>
        <w:rPr>
          <w:color w:val="auto"/>
          <w:sz w:val="24"/>
          <w:szCs w:val="24"/>
          <w:highlight w:val="none"/>
        </w:rPr>
      </w:pPr>
      <w:r>
        <w:rPr>
          <w:color w:val="auto"/>
          <w:sz w:val="24"/>
          <w:szCs w:val="24"/>
          <w:highlight w:val="none"/>
        </w:rPr>
        <w:t>……</w:t>
      </w:r>
    </w:p>
    <w:p>
      <w:pPr>
        <w:tabs>
          <w:tab w:val="left" w:pos="540"/>
        </w:tabs>
        <w:spacing w:line="410" w:lineRule="exact"/>
        <w:ind w:firstLine="420"/>
        <w:jc w:val="left"/>
        <w:rPr>
          <w:color w:val="auto"/>
          <w:sz w:val="24"/>
          <w:szCs w:val="24"/>
          <w:highlight w:val="none"/>
        </w:rPr>
      </w:pPr>
      <w:r>
        <w:rPr>
          <w:color w:val="auto"/>
          <w:sz w:val="24"/>
          <w:szCs w:val="24"/>
          <w:highlight w:val="none"/>
        </w:rPr>
        <w:t>上述承诺内容如有不实，我方愿意按弄虚作假接受处理，承担由此造成的一切法律责任，自愿放弃本项目中标候选人资格，并承诺以投标保证金赔偿给招标人造成的损失。</w:t>
      </w:r>
    </w:p>
    <w:p>
      <w:pPr>
        <w:tabs>
          <w:tab w:val="left" w:pos="540"/>
        </w:tabs>
        <w:spacing w:line="410" w:lineRule="exact"/>
        <w:ind w:firstLine="420"/>
        <w:jc w:val="left"/>
        <w:rPr>
          <w:color w:val="auto"/>
          <w:sz w:val="24"/>
          <w:szCs w:val="24"/>
          <w:highlight w:val="none"/>
        </w:rPr>
      </w:pPr>
    </w:p>
    <w:p>
      <w:pPr>
        <w:tabs>
          <w:tab w:val="left" w:pos="540"/>
        </w:tabs>
        <w:spacing w:line="410" w:lineRule="exact"/>
        <w:ind w:firstLine="420"/>
        <w:jc w:val="left"/>
        <w:rPr>
          <w:color w:val="auto"/>
          <w:sz w:val="24"/>
          <w:szCs w:val="24"/>
          <w:highlight w:val="none"/>
        </w:rPr>
      </w:pPr>
      <w:r>
        <w:rPr>
          <w:color w:val="auto"/>
          <w:sz w:val="24"/>
          <w:szCs w:val="24"/>
          <w:highlight w:val="none"/>
        </w:rPr>
        <w:t>注：不良行为记录是指：违反有关工程建设的法律、法规、规章或强制性标准，经县级以上建设行政主管部门或其委托的执法监督机构查实和行政处罚，形成的不良行为记录。</w:t>
      </w:r>
    </w:p>
    <w:p>
      <w:pPr>
        <w:tabs>
          <w:tab w:val="left" w:pos="540"/>
        </w:tabs>
        <w:spacing w:line="410" w:lineRule="exact"/>
        <w:ind w:firstLine="420"/>
        <w:jc w:val="left"/>
        <w:rPr>
          <w:color w:val="auto"/>
          <w:sz w:val="24"/>
          <w:szCs w:val="24"/>
          <w:highlight w:val="none"/>
        </w:rPr>
      </w:pPr>
      <w:r>
        <w:rPr>
          <w:color w:val="auto"/>
          <w:sz w:val="24"/>
          <w:szCs w:val="24"/>
          <w:highlight w:val="none"/>
        </w:rPr>
        <w:t>存在不良行为记录的投标人须逐条如实介绍其自201</w:t>
      </w:r>
      <w:r>
        <w:rPr>
          <w:rFonts w:hint="eastAsia"/>
          <w:color w:val="auto"/>
          <w:sz w:val="24"/>
          <w:szCs w:val="24"/>
          <w:highlight w:val="none"/>
        </w:rPr>
        <w:t>5</w:t>
      </w:r>
      <w:r>
        <w:rPr>
          <w:color w:val="auto"/>
          <w:sz w:val="24"/>
          <w:szCs w:val="24"/>
          <w:highlight w:val="none"/>
        </w:rPr>
        <w:t>年01月01日至投标截止时间内的全部不良行为记录情况。</w:t>
      </w:r>
    </w:p>
    <w:p>
      <w:pPr>
        <w:tabs>
          <w:tab w:val="left" w:pos="540"/>
        </w:tabs>
        <w:spacing w:line="410" w:lineRule="exact"/>
        <w:ind w:firstLine="420"/>
        <w:jc w:val="left"/>
        <w:rPr>
          <w:color w:val="auto"/>
          <w:sz w:val="24"/>
          <w:szCs w:val="24"/>
          <w:highlight w:val="none"/>
        </w:rPr>
      </w:pPr>
    </w:p>
    <w:p>
      <w:pPr>
        <w:tabs>
          <w:tab w:val="left" w:pos="540"/>
        </w:tabs>
        <w:spacing w:line="410" w:lineRule="exact"/>
        <w:ind w:firstLine="420"/>
        <w:jc w:val="left"/>
        <w:rPr>
          <w:color w:val="auto"/>
          <w:sz w:val="24"/>
          <w:szCs w:val="24"/>
          <w:highlight w:val="none"/>
        </w:rPr>
      </w:pPr>
    </w:p>
    <w:p>
      <w:pPr>
        <w:spacing w:line="410" w:lineRule="exact"/>
        <w:ind w:firstLine="3348" w:firstLineChars="1395"/>
        <w:rPr>
          <w:color w:val="auto"/>
          <w:sz w:val="24"/>
          <w:szCs w:val="24"/>
          <w:highlight w:val="none"/>
        </w:rPr>
      </w:pPr>
      <w:r>
        <w:rPr>
          <w:color w:val="auto"/>
          <w:sz w:val="24"/>
          <w:szCs w:val="24"/>
          <w:highlight w:val="none"/>
        </w:rPr>
        <w:t>投标人：（盖章）</w:t>
      </w:r>
    </w:p>
    <w:p>
      <w:pPr>
        <w:spacing w:line="410" w:lineRule="exact"/>
        <w:ind w:left="2940"/>
        <w:rPr>
          <w:color w:val="auto"/>
          <w:sz w:val="24"/>
          <w:szCs w:val="24"/>
          <w:highlight w:val="none"/>
        </w:rPr>
      </w:pPr>
      <w:r>
        <w:rPr>
          <w:color w:val="auto"/>
          <w:sz w:val="24"/>
          <w:szCs w:val="24"/>
          <w:highlight w:val="none"/>
        </w:rPr>
        <w:t>法定代表人或其委托代理人：（签字或盖章）</w:t>
      </w:r>
    </w:p>
    <w:p>
      <w:pPr>
        <w:ind w:left="680" w:leftChars="200" w:firstLine="2880" w:firstLineChars="1200"/>
        <w:rPr>
          <w:color w:val="auto"/>
          <w:sz w:val="24"/>
          <w:szCs w:val="24"/>
          <w:highlight w:val="none"/>
        </w:rPr>
      </w:pPr>
      <w:r>
        <w:rPr>
          <w:color w:val="auto"/>
          <w:sz w:val="24"/>
          <w:szCs w:val="24"/>
          <w:highlight w:val="none"/>
        </w:rPr>
        <w:t>日期：         年        月       日</w:t>
      </w:r>
    </w:p>
    <w:p>
      <w:pPr>
        <w:pStyle w:val="4"/>
        <w:ind w:firstLine="482"/>
        <w:rPr>
          <w:rFonts w:ascii="Times New Roman"/>
          <w:color w:val="auto"/>
          <w:sz w:val="24"/>
          <w:szCs w:val="24"/>
          <w:highlight w:val="none"/>
        </w:rPr>
      </w:pPr>
      <w:r>
        <w:rPr>
          <w:rFonts w:ascii="Times New Roman"/>
          <w:color w:val="auto"/>
          <w:sz w:val="24"/>
          <w:szCs w:val="24"/>
          <w:highlight w:val="none"/>
        </w:rPr>
        <w:br w:type="page"/>
      </w:r>
      <w:r>
        <w:rPr>
          <w:rFonts w:ascii="Times New Roman"/>
          <w:color w:val="auto"/>
          <w:sz w:val="24"/>
          <w:szCs w:val="24"/>
          <w:highlight w:val="none"/>
        </w:rPr>
        <w:t>6.9信用承诺书</w:t>
      </w:r>
    </w:p>
    <w:bookmarkEnd w:id="278"/>
    <w:p>
      <w:pPr>
        <w:tabs>
          <w:tab w:val="left" w:pos="540"/>
        </w:tabs>
        <w:spacing w:line="400" w:lineRule="exact"/>
        <w:ind w:firstLine="420"/>
        <w:jc w:val="left"/>
        <w:rPr>
          <w:rFonts w:hAnsi="宋体" w:cs="宋体"/>
          <w:color w:val="auto"/>
          <w:sz w:val="24"/>
          <w:szCs w:val="24"/>
          <w:highlight w:val="none"/>
        </w:rPr>
      </w:pPr>
      <w:r>
        <w:rPr>
          <w:rFonts w:hint="eastAsia" w:hAnsi="宋体" w:cs="宋体"/>
          <w:color w:val="auto"/>
          <w:position w:val="-7"/>
          <w:sz w:val="24"/>
          <w:szCs w:val="24"/>
          <w:highlight w:val="none"/>
        </w:rPr>
        <w:t>————————</w:t>
      </w:r>
      <w:r>
        <w:rPr>
          <w:rFonts w:hint="eastAsia" w:hAnsi="宋体" w:cs="宋体"/>
          <w:color w:val="auto"/>
          <w:sz w:val="24"/>
          <w:szCs w:val="24"/>
          <w:highlight w:val="none"/>
        </w:rPr>
        <w:t>（招标人名称）：</w:t>
      </w:r>
    </w:p>
    <w:p>
      <w:pPr>
        <w:tabs>
          <w:tab w:val="left" w:pos="540"/>
        </w:tabs>
        <w:spacing w:line="400" w:lineRule="exact"/>
        <w:ind w:firstLine="600" w:firstLineChars="250"/>
        <w:jc w:val="left"/>
        <w:rPr>
          <w:rFonts w:hAnsi="宋体" w:cs="宋体"/>
          <w:i/>
          <w:color w:val="auto"/>
          <w:sz w:val="24"/>
          <w:szCs w:val="24"/>
          <w:highlight w:val="none"/>
        </w:rPr>
      </w:pPr>
      <w:r>
        <w:rPr>
          <w:rFonts w:hint="eastAsia" w:hAnsi="宋体" w:cs="宋体"/>
          <w:color w:val="auto"/>
          <w:sz w:val="24"/>
          <w:szCs w:val="24"/>
          <w:highlight w:val="none"/>
        </w:rPr>
        <w:t>至投标截止时间，我公司承诺</w:t>
      </w:r>
      <w:r>
        <w:rPr>
          <w:rFonts w:hint="eastAsia" w:hAnsi="宋体" w:cs="宋体"/>
          <w:i/>
          <w:color w:val="auto"/>
          <w:sz w:val="24"/>
          <w:szCs w:val="24"/>
          <w:highlight w:val="none"/>
          <w:u w:val="single"/>
        </w:rPr>
        <w:t>(</w:t>
      </w:r>
      <w:r>
        <w:rPr>
          <w:rFonts w:hint="eastAsia" w:hAnsi="宋体" w:cs="宋体"/>
          <w:b/>
          <w:i/>
          <w:color w:val="auto"/>
          <w:sz w:val="24"/>
          <w:szCs w:val="24"/>
          <w:highlight w:val="none"/>
          <w:u w:val="single"/>
        </w:rPr>
        <w:t xml:space="preserve">填  有 或  无  </w:t>
      </w:r>
      <w:r>
        <w:rPr>
          <w:rFonts w:hint="eastAsia" w:hAnsi="宋体" w:cs="宋体"/>
          <w:i/>
          <w:color w:val="auto"/>
          <w:sz w:val="24"/>
          <w:szCs w:val="24"/>
          <w:highlight w:val="none"/>
          <w:u w:val="single"/>
        </w:rPr>
        <w:t xml:space="preserve">) </w:t>
      </w:r>
      <w:r>
        <w:rPr>
          <w:rFonts w:hint="eastAsia" w:hAnsi="宋体" w:cs="宋体"/>
          <w:color w:val="auto"/>
          <w:sz w:val="24"/>
          <w:szCs w:val="24"/>
          <w:highlight w:val="none"/>
        </w:rPr>
        <w:t>被列为“</w:t>
      </w:r>
      <w:r>
        <w:rPr>
          <w:rFonts w:hint="eastAsia" w:hAnsi="宋体" w:cs="宋体"/>
          <w:b/>
          <w:color w:val="auto"/>
          <w:sz w:val="24"/>
          <w:szCs w:val="24"/>
          <w:highlight w:val="none"/>
        </w:rPr>
        <w:t>失信被执行人</w:t>
      </w:r>
      <w:r>
        <w:rPr>
          <w:rFonts w:hint="eastAsia" w:hAnsi="宋体" w:cs="宋体"/>
          <w:color w:val="auto"/>
          <w:sz w:val="24"/>
          <w:szCs w:val="24"/>
          <w:highlight w:val="none"/>
        </w:rPr>
        <w:t>”，情况如下表：</w:t>
      </w:r>
    </w:p>
    <w:tbl>
      <w:tblPr>
        <w:tblStyle w:val="20"/>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4070"/>
        <w:gridCol w:w="157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1674" w:type="dxa"/>
            <w:vAlign w:val="center"/>
          </w:tcPr>
          <w:p>
            <w:pPr>
              <w:tabs>
                <w:tab w:val="left" w:pos="540"/>
              </w:tabs>
              <w:spacing w:line="400" w:lineRule="exact"/>
              <w:jc w:val="center"/>
              <w:rPr>
                <w:rFonts w:hAnsi="宋体" w:cs="宋体"/>
                <w:b/>
                <w:color w:val="auto"/>
                <w:sz w:val="24"/>
                <w:szCs w:val="24"/>
                <w:highlight w:val="none"/>
              </w:rPr>
            </w:pPr>
            <w:r>
              <w:rPr>
                <w:rFonts w:hint="eastAsia" w:hAnsi="宋体" w:cs="宋体"/>
                <w:b/>
                <w:color w:val="auto"/>
                <w:sz w:val="24"/>
                <w:szCs w:val="24"/>
                <w:highlight w:val="none"/>
              </w:rPr>
              <w:t>承诺主体</w:t>
            </w:r>
          </w:p>
        </w:tc>
        <w:tc>
          <w:tcPr>
            <w:tcW w:w="4070" w:type="dxa"/>
            <w:vAlign w:val="center"/>
          </w:tcPr>
          <w:p>
            <w:pPr>
              <w:tabs>
                <w:tab w:val="left" w:pos="540"/>
              </w:tabs>
              <w:spacing w:line="400" w:lineRule="exact"/>
              <w:jc w:val="center"/>
              <w:rPr>
                <w:rFonts w:hAnsi="宋体" w:cs="宋体"/>
                <w:b/>
                <w:color w:val="auto"/>
                <w:sz w:val="24"/>
                <w:szCs w:val="24"/>
                <w:highlight w:val="none"/>
              </w:rPr>
            </w:pPr>
            <w:r>
              <w:rPr>
                <w:rFonts w:hint="eastAsia" w:hAnsi="宋体" w:cs="宋体"/>
                <w:b/>
                <w:color w:val="auto"/>
                <w:sz w:val="24"/>
                <w:szCs w:val="24"/>
                <w:highlight w:val="none"/>
              </w:rPr>
              <w:t>被列为失信被执行人记录条数</w:t>
            </w:r>
          </w:p>
        </w:tc>
        <w:tc>
          <w:tcPr>
            <w:tcW w:w="1572" w:type="dxa"/>
            <w:vAlign w:val="center"/>
          </w:tcPr>
          <w:p>
            <w:pPr>
              <w:tabs>
                <w:tab w:val="left" w:pos="540"/>
              </w:tabs>
              <w:spacing w:line="400" w:lineRule="exact"/>
              <w:ind w:firstLine="422"/>
              <w:jc w:val="center"/>
              <w:rPr>
                <w:rFonts w:hAnsi="宋体" w:cs="宋体"/>
                <w:b/>
                <w:color w:val="auto"/>
                <w:sz w:val="24"/>
                <w:szCs w:val="24"/>
                <w:highlight w:val="none"/>
              </w:rPr>
            </w:pPr>
            <w:r>
              <w:rPr>
                <w:rFonts w:hint="eastAsia" w:hAnsi="宋体" w:cs="宋体"/>
                <w:b/>
                <w:color w:val="auto"/>
                <w:sz w:val="24"/>
                <w:szCs w:val="24"/>
                <w:highlight w:val="none"/>
              </w:rPr>
              <w:t>情况简介</w:t>
            </w:r>
          </w:p>
        </w:tc>
        <w:tc>
          <w:tcPr>
            <w:tcW w:w="1187" w:type="dxa"/>
            <w:vAlign w:val="center"/>
          </w:tcPr>
          <w:p>
            <w:pPr>
              <w:tabs>
                <w:tab w:val="left" w:pos="540"/>
              </w:tabs>
              <w:spacing w:line="400" w:lineRule="exact"/>
              <w:jc w:val="center"/>
              <w:rPr>
                <w:rFonts w:hAnsi="宋体" w:cs="宋体"/>
                <w:b/>
                <w:color w:val="auto"/>
                <w:sz w:val="24"/>
                <w:szCs w:val="24"/>
                <w:highlight w:val="none"/>
              </w:rPr>
            </w:pPr>
            <w:r>
              <w:rPr>
                <w:rFonts w:hint="eastAsia" w:hAnsi="宋体" w:cs="宋体"/>
                <w:b/>
                <w:color w:val="auto"/>
                <w:sz w:val="24"/>
                <w:szCs w:val="24"/>
                <w:highlight w:val="none"/>
              </w:rPr>
              <w:t>发生时间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74" w:type="dxa"/>
            <w:vMerge w:val="restart"/>
            <w:vAlign w:val="center"/>
          </w:tcPr>
          <w:p>
            <w:pPr>
              <w:tabs>
                <w:tab w:val="left" w:pos="540"/>
              </w:tabs>
              <w:spacing w:line="400" w:lineRule="exact"/>
              <w:jc w:val="center"/>
              <w:rPr>
                <w:rFonts w:hAnsi="宋体" w:cs="宋体"/>
                <w:color w:val="auto"/>
                <w:sz w:val="24"/>
                <w:szCs w:val="24"/>
                <w:highlight w:val="none"/>
              </w:rPr>
            </w:pPr>
            <w:r>
              <w:rPr>
                <w:rFonts w:hint="eastAsia" w:hAnsi="宋体" w:cs="宋体"/>
                <w:color w:val="auto"/>
                <w:sz w:val="24"/>
                <w:szCs w:val="24"/>
                <w:highlight w:val="none"/>
              </w:rPr>
              <w:t>投标人</w:t>
            </w:r>
          </w:p>
        </w:tc>
        <w:tc>
          <w:tcPr>
            <w:tcW w:w="4070" w:type="dxa"/>
            <w:vMerge w:val="restart"/>
            <w:vAlign w:val="center"/>
          </w:tcPr>
          <w:p>
            <w:pPr>
              <w:tabs>
                <w:tab w:val="left" w:pos="540"/>
              </w:tabs>
              <w:spacing w:line="400" w:lineRule="exact"/>
              <w:ind w:firstLine="420"/>
              <w:jc w:val="center"/>
              <w:rPr>
                <w:rFonts w:hAnsi="宋体" w:cs="宋体"/>
                <w:color w:val="auto"/>
                <w:sz w:val="24"/>
                <w:szCs w:val="24"/>
                <w:highlight w:val="none"/>
              </w:rPr>
            </w:pPr>
          </w:p>
        </w:tc>
        <w:tc>
          <w:tcPr>
            <w:tcW w:w="1572" w:type="dxa"/>
            <w:vAlign w:val="center"/>
          </w:tcPr>
          <w:p>
            <w:pPr>
              <w:tabs>
                <w:tab w:val="left" w:pos="540"/>
              </w:tabs>
              <w:spacing w:line="400" w:lineRule="exact"/>
              <w:ind w:firstLine="420"/>
              <w:jc w:val="center"/>
              <w:rPr>
                <w:rFonts w:hAnsi="宋体" w:cs="宋体"/>
                <w:color w:val="auto"/>
                <w:sz w:val="24"/>
                <w:szCs w:val="24"/>
                <w:highlight w:val="none"/>
              </w:rPr>
            </w:pPr>
            <w:r>
              <w:rPr>
                <w:rFonts w:hint="eastAsia" w:hAnsi="宋体" w:cs="宋体"/>
                <w:color w:val="auto"/>
                <w:sz w:val="24"/>
                <w:szCs w:val="24"/>
                <w:highlight w:val="none"/>
              </w:rPr>
              <w:t>记录1</w:t>
            </w:r>
          </w:p>
        </w:tc>
        <w:tc>
          <w:tcPr>
            <w:tcW w:w="1187" w:type="dxa"/>
            <w:vAlign w:val="center"/>
          </w:tcPr>
          <w:p>
            <w:pPr>
              <w:tabs>
                <w:tab w:val="left" w:pos="540"/>
              </w:tabs>
              <w:spacing w:line="400" w:lineRule="exact"/>
              <w:ind w:firstLine="42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74" w:type="dxa"/>
            <w:vMerge w:val="continue"/>
            <w:vAlign w:val="center"/>
          </w:tcPr>
          <w:p>
            <w:pPr>
              <w:tabs>
                <w:tab w:val="left" w:pos="540"/>
              </w:tabs>
              <w:spacing w:line="400" w:lineRule="exact"/>
              <w:ind w:firstLine="420"/>
              <w:jc w:val="center"/>
              <w:rPr>
                <w:rFonts w:hAnsi="宋体" w:cs="宋体"/>
                <w:color w:val="auto"/>
                <w:sz w:val="24"/>
                <w:szCs w:val="24"/>
                <w:highlight w:val="none"/>
              </w:rPr>
            </w:pPr>
          </w:p>
        </w:tc>
        <w:tc>
          <w:tcPr>
            <w:tcW w:w="4070" w:type="dxa"/>
            <w:vMerge w:val="continue"/>
            <w:vAlign w:val="center"/>
          </w:tcPr>
          <w:p>
            <w:pPr>
              <w:tabs>
                <w:tab w:val="left" w:pos="540"/>
              </w:tabs>
              <w:spacing w:line="400" w:lineRule="exact"/>
              <w:ind w:firstLine="420"/>
              <w:jc w:val="center"/>
              <w:rPr>
                <w:rFonts w:hAnsi="宋体" w:cs="宋体"/>
                <w:color w:val="auto"/>
                <w:sz w:val="24"/>
                <w:szCs w:val="24"/>
                <w:highlight w:val="none"/>
              </w:rPr>
            </w:pPr>
          </w:p>
        </w:tc>
        <w:tc>
          <w:tcPr>
            <w:tcW w:w="1572" w:type="dxa"/>
            <w:vAlign w:val="center"/>
          </w:tcPr>
          <w:p>
            <w:pPr>
              <w:tabs>
                <w:tab w:val="left" w:pos="540"/>
              </w:tabs>
              <w:spacing w:line="400" w:lineRule="exact"/>
              <w:ind w:firstLine="420"/>
              <w:jc w:val="center"/>
              <w:rPr>
                <w:rFonts w:hAnsi="宋体" w:cs="宋体"/>
                <w:color w:val="auto"/>
                <w:sz w:val="24"/>
                <w:szCs w:val="24"/>
                <w:highlight w:val="none"/>
              </w:rPr>
            </w:pPr>
            <w:r>
              <w:rPr>
                <w:rFonts w:hint="eastAsia" w:hAnsi="宋体" w:cs="宋体"/>
                <w:color w:val="auto"/>
                <w:sz w:val="24"/>
                <w:szCs w:val="24"/>
                <w:highlight w:val="none"/>
              </w:rPr>
              <w:t>记录2</w:t>
            </w:r>
          </w:p>
        </w:tc>
        <w:tc>
          <w:tcPr>
            <w:tcW w:w="1187" w:type="dxa"/>
            <w:vAlign w:val="center"/>
          </w:tcPr>
          <w:p>
            <w:pPr>
              <w:tabs>
                <w:tab w:val="left" w:pos="540"/>
              </w:tabs>
              <w:spacing w:line="400" w:lineRule="exact"/>
              <w:ind w:firstLine="42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674" w:type="dxa"/>
            <w:vMerge w:val="continue"/>
            <w:vAlign w:val="center"/>
          </w:tcPr>
          <w:p>
            <w:pPr>
              <w:tabs>
                <w:tab w:val="left" w:pos="540"/>
              </w:tabs>
              <w:spacing w:line="400" w:lineRule="exact"/>
              <w:ind w:firstLine="420"/>
              <w:jc w:val="center"/>
              <w:rPr>
                <w:rFonts w:hAnsi="宋体" w:cs="宋体"/>
                <w:color w:val="auto"/>
                <w:sz w:val="24"/>
                <w:szCs w:val="24"/>
                <w:highlight w:val="none"/>
              </w:rPr>
            </w:pPr>
          </w:p>
        </w:tc>
        <w:tc>
          <w:tcPr>
            <w:tcW w:w="4070" w:type="dxa"/>
            <w:vMerge w:val="continue"/>
            <w:vAlign w:val="center"/>
          </w:tcPr>
          <w:p>
            <w:pPr>
              <w:tabs>
                <w:tab w:val="left" w:pos="540"/>
              </w:tabs>
              <w:spacing w:line="400" w:lineRule="exact"/>
              <w:ind w:firstLine="420"/>
              <w:jc w:val="center"/>
              <w:rPr>
                <w:rFonts w:hAnsi="宋体" w:cs="宋体"/>
                <w:color w:val="auto"/>
                <w:sz w:val="24"/>
                <w:szCs w:val="24"/>
                <w:highlight w:val="none"/>
              </w:rPr>
            </w:pPr>
          </w:p>
        </w:tc>
        <w:tc>
          <w:tcPr>
            <w:tcW w:w="1572" w:type="dxa"/>
            <w:vAlign w:val="center"/>
          </w:tcPr>
          <w:p>
            <w:pPr>
              <w:tabs>
                <w:tab w:val="left" w:pos="540"/>
              </w:tabs>
              <w:spacing w:line="400" w:lineRule="exact"/>
              <w:ind w:firstLine="420"/>
              <w:jc w:val="center"/>
              <w:rPr>
                <w:rFonts w:hAnsi="宋体" w:cs="宋体"/>
                <w:color w:val="auto"/>
                <w:sz w:val="24"/>
                <w:szCs w:val="24"/>
                <w:highlight w:val="none"/>
              </w:rPr>
            </w:pPr>
            <w:r>
              <w:rPr>
                <w:rFonts w:hint="eastAsia" w:hAnsi="宋体" w:cs="宋体"/>
                <w:color w:val="auto"/>
                <w:sz w:val="24"/>
                <w:szCs w:val="24"/>
                <w:highlight w:val="none"/>
              </w:rPr>
              <w:t>……</w:t>
            </w:r>
          </w:p>
        </w:tc>
        <w:tc>
          <w:tcPr>
            <w:tcW w:w="1187" w:type="dxa"/>
            <w:vAlign w:val="center"/>
          </w:tcPr>
          <w:p>
            <w:pPr>
              <w:tabs>
                <w:tab w:val="left" w:pos="540"/>
              </w:tabs>
              <w:spacing w:line="400" w:lineRule="exact"/>
              <w:ind w:firstLine="420"/>
              <w:jc w:val="center"/>
              <w:rPr>
                <w:rFonts w:hAnsi="宋体" w:cs="宋体"/>
                <w:color w:val="auto"/>
                <w:sz w:val="24"/>
                <w:szCs w:val="24"/>
                <w:highlight w:val="none"/>
              </w:rPr>
            </w:pPr>
          </w:p>
        </w:tc>
      </w:tr>
    </w:tbl>
    <w:p>
      <w:pPr>
        <w:tabs>
          <w:tab w:val="left" w:pos="540"/>
        </w:tabs>
        <w:spacing w:line="400" w:lineRule="exact"/>
        <w:ind w:firstLine="420"/>
        <w:jc w:val="left"/>
        <w:rPr>
          <w:rFonts w:hAnsi="宋体" w:cs="宋体"/>
          <w:color w:val="auto"/>
          <w:sz w:val="24"/>
          <w:szCs w:val="24"/>
          <w:highlight w:val="none"/>
        </w:rPr>
      </w:pPr>
      <w:r>
        <w:rPr>
          <w:rFonts w:hint="eastAsia" w:hAnsi="宋体" w:cs="宋体"/>
          <w:color w:val="auto"/>
          <w:sz w:val="24"/>
          <w:szCs w:val="24"/>
          <w:highlight w:val="none"/>
        </w:rPr>
        <w:t>注1.投标人须逐条如实介绍其投标截止时间前的全部失信被执行人记录情况。</w:t>
      </w:r>
    </w:p>
    <w:p>
      <w:pPr>
        <w:tabs>
          <w:tab w:val="left" w:pos="540"/>
        </w:tabs>
        <w:spacing w:line="400" w:lineRule="exact"/>
        <w:ind w:firstLine="420"/>
        <w:jc w:val="left"/>
        <w:rPr>
          <w:rFonts w:hAnsi="宋体" w:cs="宋体"/>
          <w:color w:val="auto"/>
          <w:sz w:val="24"/>
          <w:szCs w:val="24"/>
          <w:highlight w:val="none"/>
        </w:rPr>
      </w:pPr>
      <w:r>
        <w:rPr>
          <w:rFonts w:hint="eastAsia" w:hAnsi="宋体" w:cs="宋体"/>
          <w:color w:val="auto"/>
          <w:sz w:val="24"/>
          <w:szCs w:val="24"/>
          <w:highlight w:val="none"/>
        </w:rPr>
        <w:t>2.上述承诺内容如有不实，我方愿意按弄虚作假接受处理，承担由此造成的一切法律责任，自愿放弃本项目中标候选人资格，并承诺以投标保证金赔偿给招标人造成的损失。</w:t>
      </w:r>
    </w:p>
    <w:p>
      <w:pPr>
        <w:spacing w:line="400" w:lineRule="exact"/>
        <w:ind w:firstLine="420"/>
        <w:jc w:val="right"/>
        <w:rPr>
          <w:rFonts w:hAnsi="宋体" w:cs="宋体"/>
          <w:color w:val="auto"/>
          <w:sz w:val="24"/>
          <w:szCs w:val="24"/>
          <w:highlight w:val="none"/>
        </w:rPr>
      </w:pPr>
    </w:p>
    <w:p>
      <w:pPr>
        <w:spacing w:line="400" w:lineRule="exact"/>
        <w:ind w:firstLine="420"/>
        <w:jc w:val="right"/>
        <w:rPr>
          <w:rFonts w:hAnsi="宋体" w:cs="宋体"/>
          <w:color w:val="auto"/>
          <w:sz w:val="24"/>
          <w:szCs w:val="24"/>
          <w:highlight w:val="none"/>
        </w:rPr>
      </w:pPr>
    </w:p>
    <w:p>
      <w:pPr>
        <w:spacing w:line="400" w:lineRule="exact"/>
        <w:ind w:firstLine="420"/>
        <w:jc w:val="right"/>
        <w:rPr>
          <w:rFonts w:hAnsi="宋体" w:cs="宋体"/>
          <w:color w:val="auto"/>
          <w:sz w:val="24"/>
          <w:szCs w:val="24"/>
          <w:highlight w:val="none"/>
        </w:rPr>
      </w:pPr>
      <w:r>
        <w:rPr>
          <w:rFonts w:hint="eastAsia" w:hAnsi="宋体" w:cs="宋体"/>
          <w:color w:val="auto"/>
          <w:sz w:val="24"/>
          <w:szCs w:val="24"/>
          <w:highlight w:val="none"/>
        </w:rPr>
        <w:t>投标人：（盖章）</w:t>
      </w:r>
    </w:p>
    <w:p>
      <w:pPr>
        <w:spacing w:line="400" w:lineRule="exact"/>
        <w:ind w:firstLine="420"/>
        <w:jc w:val="right"/>
        <w:rPr>
          <w:rFonts w:hAnsi="宋体" w:cs="宋体"/>
          <w:color w:val="auto"/>
          <w:sz w:val="24"/>
          <w:szCs w:val="24"/>
          <w:highlight w:val="none"/>
        </w:rPr>
      </w:pPr>
      <w:r>
        <w:rPr>
          <w:rFonts w:hint="eastAsia" w:hAnsi="宋体" w:cs="宋体"/>
          <w:color w:val="auto"/>
          <w:sz w:val="24"/>
          <w:szCs w:val="24"/>
          <w:highlight w:val="none"/>
        </w:rPr>
        <w:t>法定代表人或其委托代理人：（签字或盖章）</w:t>
      </w:r>
    </w:p>
    <w:p>
      <w:pPr>
        <w:ind w:left="680" w:leftChars="200" w:firstLine="4200" w:firstLineChars="1750"/>
        <w:rPr>
          <w:color w:val="auto"/>
          <w:sz w:val="24"/>
          <w:szCs w:val="24"/>
          <w:highlight w:val="none"/>
        </w:rPr>
      </w:pPr>
      <w:r>
        <w:rPr>
          <w:rFonts w:hint="eastAsia" w:hAnsi="宋体" w:cs="宋体"/>
          <w:color w:val="auto"/>
          <w:sz w:val="24"/>
          <w:szCs w:val="24"/>
          <w:highlight w:val="none"/>
        </w:rPr>
        <w:t>日期：         年        月       日</w:t>
      </w:r>
      <w:r>
        <w:rPr>
          <w:color w:val="auto"/>
          <w:sz w:val="24"/>
          <w:szCs w:val="24"/>
          <w:highlight w:val="none"/>
        </w:rPr>
        <w:br w:type="page"/>
      </w:r>
      <w:bookmarkStart w:id="279" w:name="_Toc478223066"/>
    </w:p>
    <w:p>
      <w:pPr>
        <w:pStyle w:val="4"/>
        <w:tabs>
          <w:tab w:val="left" w:pos="838"/>
        </w:tabs>
        <w:ind w:left="0" w:leftChars="0" w:firstLine="0" w:firstLineChars="0"/>
        <w:jc w:val="center"/>
        <w:rPr>
          <w:rFonts w:ascii="Times New Roman"/>
          <w:b w:val="0"/>
          <w:color w:val="auto"/>
          <w:sz w:val="24"/>
          <w:szCs w:val="24"/>
          <w:highlight w:val="none"/>
        </w:rPr>
      </w:pPr>
      <w:r>
        <w:rPr>
          <w:rFonts w:ascii="Times New Roman"/>
          <w:color w:val="auto"/>
          <w:sz w:val="24"/>
          <w:szCs w:val="24"/>
          <w:highlight w:val="none"/>
        </w:rPr>
        <w:t>6.10</w:t>
      </w:r>
      <w:bookmarkEnd w:id="279"/>
      <w:r>
        <w:rPr>
          <w:rFonts w:hint="eastAsia" w:hAnsi="宋体" w:cs="宋体"/>
          <w:color w:val="auto"/>
          <w:sz w:val="24"/>
          <w:szCs w:val="24"/>
          <w:highlight w:val="none"/>
        </w:rPr>
        <w:t>“失信被执行人”</w:t>
      </w:r>
      <w:r>
        <w:rPr>
          <w:rFonts w:hint="eastAsia"/>
          <w:color w:val="auto"/>
          <w:sz w:val="24"/>
          <w:szCs w:val="24"/>
          <w:highlight w:val="none"/>
        </w:rPr>
        <w:t>查询结果</w:t>
      </w:r>
    </w:p>
    <w:p>
      <w:pPr>
        <w:ind w:left="720" w:hanging="720" w:hangingChars="300"/>
        <w:rPr>
          <w:color w:val="auto"/>
          <w:sz w:val="24"/>
          <w:szCs w:val="24"/>
          <w:highlight w:val="none"/>
        </w:rPr>
      </w:pPr>
    </w:p>
    <w:p>
      <w:pPr>
        <w:ind w:firstLine="420"/>
        <w:rPr>
          <w:color w:val="auto"/>
          <w:sz w:val="24"/>
          <w:szCs w:val="24"/>
          <w:highlight w:val="none"/>
        </w:rPr>
      </w:pPr>
      <w:r>
        <w:rPr>
          <w:rFonts w:hint="eastAsia" w:hAnsi="宋体"/>
          <w:color w:val="auto"/>
          <w:sz w:val="24"/>
          <w:szCs w:val="24"/>
          <w:highlight w:val="none"/>
        </w:rPr>
        <w:t>提供投标人至投标截止时间内，在“信用中国”网站（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19"/>
          <w:rFonts w:hint="eastAsia" w:hAnsi="宋体"/>
          <w:color w:val="auto"/>
          <w:sz w:val="24"/>
          <w:szCs w:val="24"/>
          <w:highlight w:val="none"/>
        </w:rPr>
        <w:t>www.creditchina.gov.cn</w:t>
      </w:r>
      <w:r>
        <w:rPr>
          <w:rStyle w:val="19"/>
          <w:rFonts w:hint="eastAsia" w:hAnsi="宋体"/>
          <w:color w:val="auto"/>
          <w:sz w:val="24"/>
          <w:szCs w:val="24"/>
          <w:highlight w:val="none"/>
        </w:rPr>
        <w:fldChar w:fldCharType="end"/>
      </w:r>
      <w:r>
        <w:rPr>
          <w:rFonts w:hint="eastAsia" w:hAnsi="宋体"/>
          <w:color w:val="auto"/>
          <w:sz w:val="24"/>
          <w:szCs w:val="24"/>
          <w:highlight w:val="none"/>
        </w:rPr>
        <w:t>）有无被列入“失信被执行人”的查询记录网页扫描件并加盖单位公章。</w:t>
      </w:r>
    </w:p>
    <w:p>
      <w:pPr>
        <w:ind w:left="480"/>
        <w:rPr>
          <w:color w:val="auto"/>
          <w:sz w:val="24"/>
          <w:szCs w:val="24"/>
          <w:highlight w:val="none"/>
        </w:rPr>
      </w:pPr>
      <w:r>
        <w:rPr>
          <w:color w:val="auto"/>
          <w:sz w:val="24"/>
          <w:szCs w:val="24"/>
          <w:highlight w:val="none"/>
        </w:rPr>
        <w:br w:type="page"/>
      </w:r>
    </w:p>
    <w:p>
      <w:pPr>
        <w:ind w:left="480"/>
        <w:rPr>
          <w:b/>
          <w:bCs/>
          <w:color w:val="auto"/>
          <w:sz w:val="24"/>
          <w:szCs w:val="24"/>
          <w:highlight w:val="none"/>
        </w:rPr>
      </w:pPr>
      <w:bookmarkStart w:id="280" w:name="_Toc9916"/>
    </w:p>
    <w:p>
      <w:pPr>
        <w:ind w:left="480"/>
        <w:rPr>
          <w:b/>
          <w:bCs/>
          <w:color w:val="auto"/>
          <w:sz w:val="24"/>
          <w:szCs w:val="24"/>
          <w:highlight w:val="none"/>
        </w:rPr>
      </w:pPr>
    </w:p>
    <w:p>
      <w:pPr>
        <w:ind w:left="480"/>
        <w:rPr>
          <w:color w:val="auto"/>
          <w:sz w:val="24"/>
          <w:szCs w:val="24"/>
          <w:highlight w:val="none"/>
        </w:rPr>
      </w:pPr>
    </w:p>
    <w:p>
      <w:pPr>
        <w:pStyle w:val="3"/>
        <w:spacing w:line="410" w:lineRule="exact"/>
        <w:ind w:firstLine="562"/>
        <w:jc w:val="center"/>
        <w:rPr>
          <w:rFonts w:ascii="Times New Roman" w:hAnsi="Times New Roman"/>
          <w:color w:val="auto"/>
          <w:sz w:val="24"/>
          <w:szCs w:val="24"/>
          <w:highlight w:val="none"/>
        </w:rPr>
      </w:pPr>
      <w:bookmarkStart w:id="281" w:name="_Toc28568"/>
      <w:r>
        <w:rPr>
          <w:rFonts w:ascii="Times New Roman" w:hAnsi="Times New Roman"/>
          <w:color w:val="auto"/>
          <w:sz w:val="24"/>
          <w:szCs w:val="24"/>
          <w:highlight w:val="none"/>
        </w:rPr>
        <w:t>七、其他材料</w:t>
      </w:r>
      <w:bookmarkEnd w:id="275"/>
      <w:bookmarkEnd w:id="280"/>
      <w:bookmarkEnd w:id="281"/>
    </w:p>
    <w:bookmarkEnd w:id="276"/>
    <w:bookmarkEnd w:id="277"/>
    <w:p>
      <w:pPr>
        <w:widowControl/>
        <w:jc w:val="left"/>
        <w:rPr>
          <w:b/>
          <w:bCs/>
          <w:color w:val="auto"/>
          <w:sz w:val="24"/>
          <w:szCs w:val="24"/>
          <w:highlight w:val="none"/>
        </w:rPr>
      </w:pPr>
      <w:r>
        <w:rPr>
          <w:b/>
          <w:bCs/>
          <w:color w:val="auto"/>
          <w:sz w:val="24"/>
          <w:szCs w:val="24"/>
          <w:highlight w:val="none"/>
        </w:rPr>
        <w:br w:type="page"/>
      </w:r>
    </w:p>
    <w:p>
      <w:pPr>
        <w:ind w:left="480"/>
        <w:rPr>
          <w:b/>
          <w:bCs/>
          <w:color w:val="auto"/>
          <w:highlight w:val="none"/>
        </w:rPr>
      </w:pPr>
    </w:p>
    <w:p>
      <w:pPr>
        <w:ind w:left="480"/>
        <w:rPr>
          <w:b/>
          <w:bCs/>
          <w:color w:val="auto"/>
          <w:highlight w:val="none"/>
        </w:rPr>
      </w:pPr>
    </w:p>
    <w:p>
      <w:pPr>
        <w:spacing w:line="410" w:lineRule="exact"/>
        <w:ind w:firstLine="422"/>
        <w:rPr>
          <w:b/>
          <w:bCs/>
          <w:color w:val="auto"/>
          <w:sz w:val="21"/>
          <w:szCs w:val="21"/>
          <w:highlight w:val="none"/>
        </w:rPr>
      </w:pPr>
      <w:bookmarkStart w:id="282" w:name="_Toc25585"/>
    </w:p>
    <w:p>
      <w:pPr>
        <w:spacing w:line="410" w:lineRule="exact"/>
        <w:ind w:firstLine="422"/>
        <w:rPr>
          <w:b/>
          <w:bCs/>
          <w:color w:val="auto"/>
          <w:sz w:val="21"/>
          <w:szCs w:val="21"/>
          <w:highlight w:val="none"/>
        </w:rPr>
      </w:pPr>
    </w:p>
    <w:p>
      <w:pPr>
        <w:spacing w:line="410" w:lineRule="exact"/>
        <w:ind w:firstLine="422"/>
        <w:rPr>
          <w:b/>
          <w:bCs/>
          <w:color w:val="auto"/>
          <w:sz w:val="21"/>
          <w:szCs w:val="21"/>
          <w:highlight w:val="none"/>
        </w:rPr>
      </w:pPr>
    </w:p>
    <w:p>
      <w:pPr>
        <w:spacing w:line="410" w:lineRule="exact"/>
        <w:ind w:firstLine="422"/>
        <w:rPr>
          <w:b/>
          <w:bCs/>
          <w:color w:val="auto"/>
          <w:sz w:val="21"/>
          <w:szCs w:val="21"/>
          <w:highlight w:val="none"/>
        </w:rPr>
      </w:pPr>
    </w:p>
    <w:p>
      <w:pPr>
        <w:spacing w:line="410" w:lineRule="exact"/>
        <w:ind w:firstLine="422"/>
        <w:rPr>
          <w:b/>
          <w:bCs/>
          <w:color w:val="auto"/>
          <w:sz w:val="21"/>
          <w:szCs w:val="21"/>
          <w:highlight w:val="none"/>
        </w:rPr>
      </w:pPr>
    </w:p>
    <w:p>
      <w:pPr>
        <w:pStyle w:val="3"/>
        <w:spacing w:line="410" w:lineRule="exact"/>
        <w:ind w:firstLine="562"/>
        <w:jc w:val="center"/>
        <w:rPr>
          <w:rFonts w:ascii="Times New Roman" w:hAnsi="Times New Roman"/>
          <w:color w:val="auto"/>
          <w:highlight w:val="none"/>
        </w:rPr>
      </w:pPr>
      <w:bookmarkStart w:id="283" w:name="_Toc4825"/>
      <w:r>
        <w:rPr>
          <w:rFonts w:ascii="Times New Roman" w:hAnsi="Times New Roman"/>
          <w:color w:val="auto"/>
          <w:highlight w:val="none"/>
        </w:rPr>
        <w:t>第二册 技术文件</w:t>
      </w:r>
      <w:bookmarkEnd w:id="282"/>
      <w:bookmarkEnd w:id="283"/>
    </w:p>
    <w:p>
      <w:pPr>
        <w:ind w:firstLine="400"/>
        <w:jc w:val="left"/>
        <w:rPr>
          <w:rFonts w:eastAsia="黑体"/>
          <w:color w:val="auto"/>
          <w:sz w:val="20"/>
          <w:highlight w:val="none"/>
        </w:rPr>
      </w:pPr>
    </w:p>
    <w:p>
      <w:pPr>
        <w:ind w:firstLine="400"/>
        <w:jc w:val="left"/>
        <w:rPr>
          <w:rFonts w:eastAsia="黑体"/>
          <w:color w:val="auto"/>
          <w:sz w:val="20"/>
          <w:highlight w:val="none"/>
        </w:rPr>
      </w:pPr>
      <w:r>
        <w:rPr>
          <w:rFonts w:eastAsia="黑体"/>
          <w:color w:val="auto"/>
          <w:sz w:val="20"/>
          <w:highlight w:val="none"/>
        </w:rPr>
        <w:br w:type="page"/>
      </w:r>
    </w:p>
    <w:p>
      <w:pPr>
        <w:ind w:firstLine="400"/>
        <w:jc w:val="left"/>
        <w:rPr>
          <w:rFonts w:eastAsia="黑体"/>
          <w:color w:val="auto"/>
          <w:sz w:val="20"/>
          <w:highlight w:val="none"/>
        </w:rPr>
      </w:pPr>
      <w:r>
        <w:rPr>
          <w:rFonts w:eastAsia="黑体"/>
          <w:color w:val="auto"/>
          <w:sz w:val="20"/>
          <w:highlight w:val="none"/>
        </w:rPr>
        <w:t>技术文件封面格式：</w:t>
      </w:r>
    </w:p>
    <w:p>
      <w:pPr>
        <w:ind w:right="544" w:rightChars="160" w:firstLine="560"/>
        <w:jc w:val="right"/>
        <w:rPr>
          <w:rFonts w:eastAsia="黑体"/>
          <w:color w:val="auto"/>
          <w:sz w:val="28"/>
          <w:szCs w:val="28"/>
          <w:highlight w:val="none"/>
        </w:rPr>
      </w:pPr>
      <w:r>
        <w:rPr>
          <w:rFonts w:eastAsia="黑体"/>
          <w:color w:val="auto"/>
          <w:sz w:val="28"/>
          <w:szCs w:val="28"/>
          <w:highlight w:val="none"/>
        </w:rPr>
        <w:t>正本/副本</w:t>
      </w: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ind w:right="884" w:rightChars="260" w:firstLine="560"/>
        <w:jc w:val="center"/>
        <w:rPr>
          <w:rFonts w:eastAsia="黑体"/>
          <w:color w:val="auto"/>
          <w:sz w:val="28"/>
          <w:szCs w:val="28"/>
          <w:highlight w:val="none"/>
          <w:u w:val="single"/>
        </w:rPr>
      </w:pPr>
      <w:r>
        <w:rPr>
          <w:rFonts w:eastAsia="黑体"/>
          <w:color w:val="auto"/>
          <w:sz w:val="28"/>
          <w:szCs w:val="28"/>
          <w:highlight w:val="none"/>
          <w:u w:val="single"/>
        </w:rPr>
        <w:t xml:space="preserve">                         （项目名称） 标段</w:t>
      </w:r>
    </w:p>
    <w:p>
      <w:pPr>
        <w:ind w:left="-340" w:leftChars="-100" w:right="544" w:rightChars="160" w:firstLine="235" w:firstLineChars="28"/>
        <w:jc w:val="center"/>
        <w:rPr>
          <w:rFonts w:eastAsia="黑体"/>
          <w:color w:val="auto"/>
          <w:sz w:val="84"/>
          <w:szCs w:val="84"/>
          <w:highlight w:val="none"/>
        </w:rPr>
      </w:pPr>
      <w:r>
        <w:rPr>
          <w:rFonts w:eastAsia="黑体"/>
          <w:color w:val="auto"/>
          <w:sz w:val="84"/>
          <w:szCs w:val="84"/>
          <w:highlight w:val="none"/>
        </w:rPr>
        <w:t>投  标  文  件</w:t>
      </w:r>
    </w:p>
    <w:p>
      <w:pPr>
        <w:spacing w:beforeLines="50" w:afterLines="50"/>
        <w:ind w:firstLine="1440"/>
        <w:rPr>
          <w:rFonts w:eastAsia="黑体"/>
          <w:color w:val="auto"/>
          <w:sz w:val="72"/>
          <w:szCs w:val="72"/>
          <w:highlight w:val="none"/>
        </w:rPr>
      </w:pPr>
      <w:r>
        <w:rPr>
          <w:rFonts w:eastAsia="黑体"/>
          <w:color w:val="auto"/>
          <w:sz w:val="72"/>
          <w:szCs w:val="72"/>
          <w:highlight w:val="none"/>
        </w:rPr>
        <w:t>第二册 技术文件</w:t>
      </w:r>
    </w:p>
    <w:p>
      <w:pPr>
        <w:ind w:firstLine="560"/>
        <w:rPr>
          <w:rFonts w:eastAsia="黑体"/>
          <w:color w:val="auto"/>
          <w:sz w:val="28"/>
          <w:szCs w:val="28"/>
          <w:highlight w:val="none"/>
        </w:rPr>
      </w:pPr>
    </w:p>
    <w:p>
      <w:pPr>
        <w:ind w:firstLine="560"/>
        <w:rPr>
          <w:rFonts w:eastAsia="黑体"/>
          <w:color w:val="auto"/>
          <w:sz w:val="28"/>
          <w:szCs w:val="28"/>
          <w:highlight w:val="none"/>
        </w:rPr>
      </w:pPr>
    </w:p>
    <w:p>
      <w:pPr>
        <w:ind w:firstLine="560"/>
        <w:rPr>
          <w:rFonts w:eastAsia="黑体"/>
          <w:color w:val="auto"/>
          <w:sz w:val="28"/>
          <w:szCs w:val="28"/>
          <w:highlight w:val="none"/>
        </w:rPr>
      </w:pPr>
    </w:p>
    <w:p>
      <w:pPr>
        <w:ind w:firstLine="560"/>
        <w:rPr>
          <w:rFonts w:eastAsia="黑体"/>
          <w:color w:val="auto"/>
          <w:sz w:val="28"/>
          <w:szCs w:val="28"/>
          <w:highlight w:val="none"/>
        </w:rPr>
      </w:pPr>
    </w:p>
    <w:p>
      <w:pPr>
        <w:ind w:right="884" w:rightChars="260"/>
        <w:rPr>
          <w:rFonts w:eastAsia="黑体"/>
          <w:color w:val="auto"/>
          <w:sz w:val="28"/>
          <w:szCs w:val="28"/>
          <w:highlight w:val="none"/>
          <w:u w:val="single"/>
        </w:rPr>
      </w:pPr>
      <w:r>
        <w:rPr>
          <w:rFonts w:eastAsia="黑体"/>
          <w:color w:val="auto"/>
          <w:sz w:val="28"/>
          <w:szCs w:val="28"/>
          <w:highlight w:val="none"/>
        </w:rPr>
        <w:t>投标人：（盖单位公章）</w:t>
      </w:r>
    </w:p>
    <w:p>
      <w:pPr>
        <w:ind w:right="884" w:rightChars="260"/>
        <w:rPr>
          <w:rFonts w:eastAsia="黑体"/>
          <w:color w:val="auto"/>
          <w:sz w:val="28"/>
          <w:szCs w:val="28"/>
          <w:highlight w:val="none"/>
        </w:rPr>
      </w:pPr>
      <w:r>
        <w:rPr>
          <w:rFonts w:eastAsia="黑体"/>
          <w:color w:val="auto"/>
          <w:sz w:val="28"/>
          <w:szCs w:val="28"/>
          <w:highlight w:val="none"/>
        </w:rPr>
        <w:t>法定代表人或其委托代理人：（签字或盖章）</w:t>
      </w:r>
    </w:p>
    <w:p>
      <w:pPr>
        <w:spacing w:line="410" w:lineRule="exact"/>
        <w:ind w:firstLine="1120" w:firstLineChars="400"/>
        <w:rPr>
          <w:rFonts w:eastAsia="黑体"/>
          <w:color w:val="auto"/>
          <w:sz w:val="28"/>
          <w:szCs w:val="28"/>
          <w:highlight w:val="none"/>
        </w:rPr>
      </w:pPr>
      <w:r>
        <w:rPr>
          <w:rFonts w:eastAsia="黑体"/>
          <w:color w:val="auto"/>
          <w:sz w:val="28"/>
          <w:szCs w:val="28"/>
          <w:highlight w:val="none"/>
        </w:rPr>
        <w:t xml:space="preserve"> 年月日</w:t>
      </w:r>
    </w:p>
    <w:p>
      <w:pPr>
        <w:ind w:firstLine="400"/>
        <w:jc w:val="left"/>
        <w:rPr>
          <w:rFonts w:eastAsia="黑体"/>
          <w:color w:val="auto"/>
          <w:szCs w:val="21"/>
          <w:highlight w:val="none"/>
        </w:rPr>
      </w:pPr>
    </w:p>
    <w:p>
      <w:pPr>
        <w:widowControl/>
        <w:jc w:val="left"/>
        <w:rPr>
          <w:color w:val="auto"/>
          <w:sz w:val="30"/>
          <w:szCs w:val="30"/>
          <w:highlight w:val="none"/>
        </w:rPr>
      </w:pPr>
      <w:r>
        <w:rPr>
          <w:color w:val="auto"/>
          <w:sz w:val="30"/>
          <w:szCs w:val="30"/>
          <w:highlight w:val="none"/>
        </w:rPr>
        <w:br w:type="page"/>
      </w:r>
    </w:p>
    <w:p>
      <w:pPr>
        <w:spacing w:line="410" w:lineRule="exact"/>
        <w:ind w:left="0" w:leftChars="0" w:firstLine="0" w:firstLineChars="0"/>
        <w:jc w:val="center"/>
        <w:rPr>
          <w:color w:val="auto"/>
          <w:sz w:val="30"/>
          <w:szCs w:val="30"/>
          <w:highlight w:val="none"/>
        </w:rPr>
      </w:pPr>
    </w:p>
    <w:p>
      <w:pPr>
        <w:spacing w:line="410" w:lineRule="exact"/>
        <w:ind w:left="0" w:leftChars="0" w:firstLine="0" w:firstLineChars="0"/>
        <w:jc w:val="center"/>
        <w:rPr>
          <w:color w:val="auto"/>
          <w:sz w:val="21"/>
          <w:szCs w:val="21"/>
          <w:highlight w:val="none"/>
        </w:rPr>
      </w:pPr>
      <w:r>
        <w:rPr>
          <w:color w:val="auto"/>
          <w:sz w:val="30"/>
          <w:szCs w:val="30"/>
          <w:highlight w:val="none"/>
        </w:rPr>
        <w:t>目    录</w:t>
      </w:r>
    </w:p>
    <w:p>
      <w:pPr>
        <w:spacing w:line="410" w:lineRule="exact"/>
        <w:rPr>
          <w:color w:val="auto"/>
          <w:sz w:val="21"/>
          <w:szCs w:val="21"/>
          <w:highlight w:val="none"/>
        </w:rPr>
      </w:pPr>
    </w:p>
    <w:p>
      <w:pPr>
        <w:spacing w:line="410" w:lineRule="exact"/>
        <w:rPr>
          <w:color w:val="auto"/>
          <w:sz w:val="24"/>
          <w:szCs w:val="24"/>
          <w:highlight w:val="none"/>
        </w:rPr>
      </w:pPr>
      <w:r>
        <w:rPr>
          <w:color w:val="auto"/>
          <w:sz w:val="24"/>
          <w:szCs w:val="24"/>
          <w:highlight w:val="none"/>
        </w:rPr>
        <w:t>(1)质量检测服务大纲。包括并不限于如下内容：</w:t>
      </w:r>
    </w:p>
    <w:p>
      <w:pPr>
        <w:spacing w:line="410" w:lineRule="exact"/>
        <w:rPr>
          <w:color w:val="auto"/>
          <w:sz w:val="24"/>
          <w:szCs w:val="24"/>
          <w:highlight w:val="none"/>
        </w:rPr>
      </w:pPr>
      <w:r>
        <w:rPr>
          <w:color w:val="auto"/>
          <w:sz w:val="24"/>
          <w:szCs w:val="24"/>
          <w:highlight w:val="none"/>
        </w:rPr>
        <w:t>1）检测工作实施方案；</w:t>
      </w:r>
    </w:p>
    <w:p>
      <w:pPr>
        <w:spacing w:line="410" w:lineRule="exact"/>
        <w:rPr>
          <w:color w:val="auto"/>
          <w:sz w:val="24"/>
          <w:szCs w:val="24"/>
          <w:highlight w:val="none"/>
        </w:rPr>
      </w:pPr>
      <w:r>
        <w:rPr>
          <w:color w:val="auto"/>
          <w:sz w:val="24"/>
          <w:szCs w:val="24"/>
          <w:highlight w:val="none"/>
        </w:rPr>
        <w:t>2）检测工作控制程序；</w:t>
      </w:r>
    </w:p>
    <w:p>
      <w:pPr>
        <w:spacing w:line="410" w:lineRule="exact"/>
        <w:rPr>
          <w:color w:val="auto"/>
          <w:sz w:val="24"/>
          <w:szCs w:val="24"/>
          <w:highlight w:val="none"/>
        </w:rPr>
      </w:pPr>
      <w:r>
        <w:rPr>
          <w:color w:val="auto"/>
          <w:sz w:val="24"/>
          <w:szCs w:val="24"/>
          <w:highlight w:val="none"/>
        </w:rPr>
        <w:t>3) 组织机构及岗位职责；</w:t>
      </w:r>
    </w:p>
    <w:p>
      <w:pPr>
        <w:spacing w:line="410" w:lineRule="exact"/>
        <w:rPr>
          <w:color w:val="auto"/>
          <w:sz w:val="24"/>
          <w:szCs w:val="24"/>
          <w:highlight w:val="none"/>
        </w:rPr>
      </w:pPr>
      <w:r>
        <w:rPr>
          <w:color w:val="auto"/>
          <w:sz w:val="24"/>
          <w:szCs w:val="24"/>
          <w:highlight w:val="none"/>
        </w:rPr>
        <w:t>4) 对本招标项目的理解；</w:t>
      </w:r>
    </w:p>
    <w:p>
      <w:pPr>
        <w:spacing w:line="410" w:lineRule="exact"/>
        <w:rPr>
          <w:color w:val="auto"/>
          <w:sz w:val="24"/>
          <w:szCs w:val="24"/>
          <w:highlight w:val="none"/>
        </w:rPr>
      </w:pPr>
      <w:r>
        <w:rPr>
          <w:color w:val="auto"/>
          <w:sz w:val="24"/>
          <w:szCs w:val="24"/>
          <w:highlight w:val="none"/>
        </w:rPr>
        <w:t>5)试验检测工作申诉处理程序；</w:t>
      </w:r>
    </w:p>
    <w:p>
      <w:pPr>
        <w:spacing w:line="410" w:lineRule="exact"/>
        <w:rPr>
          <w:color w:val="auto"/>
          <w:sz w:val="24"/>
          <w:szCs w:val="24"/>
          <w:highlight w:val="none"/>
        </w:rPr>
      </w:pPr>
      <w:r>
        <w:rPr>
          <w:color w:val="auto"/>
          <w:sz w:val="24"/>
          <w:szCs w:val="24"/>
          <w:highlight w:val="none"/>
        </w:rPr>
        <w:t>6)为提高本项目质量和技术水平提出的技术建议；</w:t>
      </w:r>
    </w:p>
    <w:p>
      <w:pPr>
        <w:spacing w:line="410" w:lineRule="exact"/>
        <w:rPr>
          <w:color w:val="auto"/>
          <w:sz w:val="24"/>
          <w:szCs w:val="24"/>
          <w:highlight w:val="none"/>
        </w:rPr>
      </w:pPr>
      <w:r>
        <w:rPr>
          <w:color w:val="auto"/>
          <w:sz w:val="24"/>
          <w:szCs w:val="24"/>
          <w:highlight w:val="none"/>
        </w:rPr>
        <w:t>7)投标人可提出自己认为本工程试验检测的重点、难点及合理化建议。</w:t>
      </w:r>
    </w:p>
    <w:p>
      <w:pPr>
        <w:spacing w:line="410" w:lineRule="exact"/>
        <w:rPr>
          <w:color w:val="auto"/>
          <w:sz w:val="24"/>
          <w:szCs w:val="24"/>
          <w:highlight w:val="none"/>
        </w:rPr>
      </w:pPr>
      <w:r>
        <w:rPr>
          <w:color w:val="auto"/>
          <w:sz w:val="24"/>
          <w:szCs w:val="24"/>
          <w:highlight w:val="none"/>
        </w:rPr>
        <w:t>(2)保证措施。</w:t>
      </w:r>
    </w:p>
    <w:p>
      <w:pPr>
        <w:spacing w:line="410" w:lineRule="exact"/>
        <w:rPr>
          <w:color w:val="auto"/>
          <w:sz w:val="24"/>
          <w:szCs w:val="24"/>
          <w:highlight w:val="none"/>
        </w:rPr>
      </w:pPr>
      <w:r>
        <w:rPr>
          <w:color w:val="auto"/>
          <w:sz w:val="24"/>
          <w:szCs w:val="24"/>
          <w:highlight w:val="none"/>
        </w:rPr>
        <w:t>包括工作质量保证措施；工作计划安排、实施及进度保证措施；安全保证措施。</w:t>
      </w:r>
    </w:p>
    <w:p>
      <w:pPr>
        <w:spacing w:line="410" w:lineRule="exact"/>
        <w:rPr>
          <w:color w:val="auto"/>
          <w:sz w:val="24"/>
          <w:szCs w:val="24"/>
          <w:highlight w:val="none"/>
        </w:rPr>
      </w:pPr>
      <w:r>
        <w:rPr>
          <w:color w:val="auto"/>
          <w:sz w:val="24"/>
          <w:szCs w:val="24"/>
          <w:highlight w:val="none"/>
        </w:rPr>
        <w:t>(3)技术支持与服务承诺（含专家咨询、业务培训等）</w:t>
      </w:r>
    </w:p>
    <w:p>
      <w:pPr>
        <w:spacing w:line="410" w:lineRule="exact"/>
        <w:rPr>
          <w:color w:val="auto"/>
          <w:sz w:val="24"/>
          <w:szCs w:val="24"/>
          <w:highlight w:val="none"/>
        </w:rPr>
      </w:pPr>
    </w:p>
    <w:p>
      <w:pPr>
        <w:autoSpaceDE w:val="0"/>
        <w:autoSpaceDN w:val="0"/>
        <w:spacing w:line="540" w:lineRule="exact"/>
        <w:jc w:val="left"/>
        <w:rPr>
          <w:rFonts w:hAnsi="宋体" w:cs="宋体"/>
          <w:b/>
          <w:color w:val="auto"/>
          <w:sz w:val="24"/>
          <w:szCs w:val="24"/>
          <w:highlight w:val="none"/>
        </w:rPr>
      </w:pPr>
    </w:p>
    <w:p>
      <w:pPr>
        <w:autoSpaceDE w:val="0"/>
        <w:autoSpaceDN w:val="0"/>
        <w:spacing w:line="540" w:lineRule="exact"/>
        <w:ind w:firstLine="520" w:firstLineChars="200"/>
        <w:jc w:val="left"/>
        <w:rPr>
          <w:rFonts w:hAnsi="宋体" w:cs="宋体"/>
          <w:b/>
          <w:color w:val="auto"/>
          <w:sz w:val="26"/>
          <w:szCs w:val="26"/>
          <w:highlight w:val="none"/>
        </w:rPr>
      </w:pPr>
    </w:p>
    <w:sectPr>
      <w:footerReference r:id="rId11" w:type="first"/>
      <w:headerReference r:id="rId9" w:type="default"/>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3pC+IwgEAAGADAAAOAAAAZHJzL2Uyb0RvYy54bWytU0tu2zAQ&#10;3RfIHQjuY9lGVTuC5aBFkCBA0BZIcgCaIi0C/IFDW/IFmht01U33PZfPkSFtOUGyC7qhhjPDN+/N&#10;jBaXvdFkKwIoZ2s6GY0pEZa7Rtl1TR8frs/nlEBktmHaWVHTnQB6uTz7tOh8JaaudboRgSCIharz&#10;NW1j9FVRAG+FYTByXlgMShcMi3gN66IJrEN0o4vpePyl6FxofHBcAKD36hCky4wvpeDxh5QgItE1&#10;RW4xnyGfq3QWywWr1oH5VvEjDfYBFoYpi0VPUFcsMrIJ6h2UUTw4cDKOuDOFk1JxkTWgmsn4jZr7&#10;lnmRtWBzwJ/aBP8Pln/f/gxENTWdUmKZwRHtfz/t//zb//1FytSezkOFWfce82L/zfU45sEP6Eyq&#10;exlM+qIegnFs9O7UXNFHwtFZzmbzkhKOkcnn2UWZwYuXtz5AvBHOkGTUNODockfZ9g4i8sDUISWV&#10;su5aaZ3Hpy3pELScz8r84hTCJ9qmZJE34YiTBB2IJyv2q/6ocuWaHYrscBtqanFdKdG3FpudFmcw&#10;wmCsBmPjg1q3SHmSq4P/uolILnNOFQ6wKCBdcIxZynHl0p68vueslx9j+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d6QviM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9"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66</w:t>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3535" cy="137795"/>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3535" cy="137795"/>
                      </a:xfrm>
                      <a:prstGeom prst="rect">
                        <a:avLst/>
                      </a:prstGeom>
                      <a:noFill/>
                      <a:ln>
                        <a:noFill/>
                      </a:ln>
                      <a:effectLst/>
                    </wps:spPr>
                    <wps:txbx>
                      <w:txbxContent>
                        <w:p>
                          <w:pPr>
                            <w:pStyle w:val="11"/>
                            <w:pBdr>
                              <w:top w:val="single" w:color="auto" w:sz="4" w:space="0"/>
                            </w:pBdr>
                            <w:ind w:right="360"/>
                            <w:jc w:val="center"/>
                          </w:pPr>
                          <w:r>
                            <w:fldChar w:fldCharType="begin"/>
                          </w:r>
                          <w:r>
                            <w:rPr>
                              <w:rStyle w:val="16"/>
                            </w:rPr>
                            <w:instrText xml:space="preserve"> PAGE </w:instrText>
                          </w:r>
                          <w:r>
                            <w:fldChar w:fldCharType="separate"/>
                          </w:r>
                          <w:r>
                            <w:rPr>
                              <w:rStyle w:val="16"/>
                            </w:rPr>
                            <w:t>15</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85pt;width:27.05pt;mso-position-horizontal:center;mso-position-horizontal-relative:margin;mso-wrap-style:none;z-index:251658240;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SDuEZOUBAADBAwAADgAAAGRycy9lMm9Eb2MueG1srVPBbtswDL0P&#10;2D8Iui9OmmZdjThF1yLDgK4b0O4DZFm2hVmiQCmxs68fJdtZ192GXQSaIp/4Hp+3N4Pp2FGh12AL&#10;vlosOVNWQqVtU/Dvz/t3HzjzQdhKdGBVwU/K85vd2zfb3uXqAlroKoWMQKzPe1fwNgSXZ5mXrTLC&#10;L8ApS5c1oBGBPrHJKhQ9oZsuu1gu32c9YOUQpPKesvfjJd8l/LpWMnyta68C6wpOs4V0YjrLeGa7&#10;rcgbFK7VchpD/MMURmhLj56h7kUQ7ID6LyijJYKHOiwkmAzqWkuVOBCb1fIVm6dWOJW4kDjenWXy&#10;/w9WPh6/IdNVwS85s8LQip7VENhHGNg6qtM7n1PRk6OyMFCatpyYevcA8odnFu5aYRt1iwh9q0RF&#10;061iZ/aidcTxEaTsv0BFz4hDgAQ01GiidCQGI3Ta0um8mTiKpOT6cr1ZbziTdLVaX11db9ILIp+b&#10;HfrwSYFhMSg40uITuDg++BCHEflcEt+ysNddl5bf2T8SVDhmVHLP1B2pxOlHHmEoh0maEqoTkUIY&#10;nUV/AgUt4E/OenJVwS3ZnrPusyVZogHnAOegnANhJTUWPHA2hndhNOrBoW5awp2FvyXp9jrRioON&#10;M0yCk08S28nT0Ygvv1PV7z9v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SDuEZOUBAADB&#10;AwAADgAAAAAAAAABACAAAAAhAQAAZHJzL2Uyb0RvYy54bWxQSwUGAAAAAAYABgBZAQAAeAUAAAAA&#10;">
              <v:fill on="f" focussize="0,0"/>
              <v:stroke on="f"/>
              <v:imagedata o:title=""/>
              <o:lock v:ext="edit" aspectratio="f"/>
              <v:textbox inset="0mm,0mm,0mm,0mm" style="mso-fit-shape-to-text:t;">
                <w:txbxContent>
                  <w:p>
                    <w:pPr>
                      <w:pStyle w:val="11"/>
                      <w:pBdr>
                        <w:top w:val="single" w:color="auto" w:sz="4" w:space="0"/>
                      </w:pBdr>
                      <w:ind w:right="360"/>
                      <w:jc w:val="center"/>
                    </w:pPr>
                    <w:r>
                      <w:fldChar w:fldCharType="begin"/>
                    </w:r>
                    <w:r>
                      <w:rPr>
                        <w:rStyle w:val="16"/>
                      </w:rPr>
                      <w:instrText xml:space="preserve"> PAGE </w:instrText>
                    </w:r>
                    <w:r>
                      <w:fldChar w:fldCharType="separate"/>
                    </w:r>
                    <w:r>
                      <w:rPr>
                        <w:rStyle w:val="16"/>
                      </w:rP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QGI94BAADDAwAADgAAAGRycy9lMm9Eb2MueG1srVPbbtswDH0fsH8Q&#10;9L7YCb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lhYeAVPekpiA84ib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VAYj3gEAAMMDAAAOAAAAAAAA&#10;AAEAIAAAAB4BAABkcnMvZTJvRG9jLnhtbFBLBQYAAAAABgAGAFkBAABu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10EE384E"/>
    <w:multiLevelType w:val="singleLevel"/>
    <w:tmpl w:val="10EE384E"/>
    <w:lvl w:ilvl="0" w:tentative="0">
      <w:start w:val="2"/>
      <w:numFmt w:val="decimal"/>
      <w:suff w:val="nothing"/>
      <w:lvlText w:val="%1、"/>
      <w:lvlJc w:val="left"/>
    </w:lvl>
  </w:abstractNum>
  <w:abstractNum w:abstractNumId="4">
    <w:nsid w:val="54771C47"/>
    <w:multiLevelType w:val="multilevel"/>
    <w:tmpl w:val="54771C47"/>
    <w:lvl w:ilvl="0" w:tentative="0">
      <w:start w:val="1"/>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13CC4"/>
    <w:rsid w:val="000271E6"/>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25C19"/>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3D68"/>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66B8"/>
    <w:rsid w:val="003A717A"/>
    <w:rsid w:val="003B1B4C"/>
    <w:rsid w:val="003B534F"/>
    <w:rsid w:val="003C299D"/>
    <w:rsid w:val="003C4002"/>
    <w:rsid w:val="003C52CD"/>
    <w:rsid w:val="003E3408"/>
    <w:rsid w:val="003F3A8A"/>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2E6"/>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67D59"/>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6F79B2"/>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A658E"/>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4B63"/>
    <w:rsid w:val="00C66149"/>
    <w:rsid w:val="00C669B1"/>
    <w:rsid w:val="00C70C78"/>
    <w:rsid w:val="00C70EB7"/>
    <w:rsid w:val="00C81278"/>
    <w:rsid w:val="00C82019"/>
    <w:rsid w:val="00C82E36"/>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3736"/>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5139"/>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C3940"/>
    <w:rsid w:val="00FD27E3"/>
    <w:rsid w:val="00FD5B29"/>
    <w:rsid w:val="00FE4A3E"/>
    <w:rsid w:val="00FF0E62"/>
    <w:rsid w:val="01DB434E"/>
    <w:rsid w:val="025A1A0E"/>
    <w:rsid w:val="05B347DC"/>
    <w:rsid w:val="06E835F7"/>
    <w:rsid w:val="07E778CA"/>
    <w:rsid w:val="08CA67DF"/>
    <w:rsid w:val="08F576CB"/>
    <w:rsid w:val="0938503C"/>
    <w:rsid w:val="0A4866D0"/>
    <w:rsid w:val="0A8E6F0E"/>
    <w:rsid w:val="0A9A38CE"/>
    <w:rsid w:val="0ACD7CB5"/>
    <w:rsid w:val="0B0010DA"/>
    <w:rsid w:val="0B4C6956"/>
    <w:rsid w:val="0BAC12EB"/>
    <w:rsid w:val="0BBD7527"/>
    <w:rsid w:val="0D15217A"/>
    <w:rsid w:val="0D8116DE"/>
    <w:rsid w:val="0E274A96"/>
    <w:rsid w:val="0E4D3374"/>
    <w:rsid w:val="0EB217EF"/>
    <w:rsid w:val="0F3930AA"/>
    <w:rsid w:val="0FDD387F"/>
    <w:rsid w:val="0FE557E4"/>
    <w:rsid w:val="0FF759C4"/>
    <w:rsid w:val="10085E52"/>
    <w:rsid w:val="111F1D69"/>
    <w:rsid w:val="135515D5"/>
    <w:rsid w:val="13CC49C6"/>
    <w:rsid w:val="14D972B5"/>
    <w:rsid w:val="14EC08FF"/>
    <w:rsid w:val="151E2293"/>
    <w:rsid w:val="15AC6033"/>
    <w:rsid w:val="1769612C"/>
    <w:rsid w:val="176C0E13"/>
    <w:rsid w:val="18675712"/>
    <w:rsid w:val="1A6627AB"/>
    <w:rsid w:val="1A8C3E4C"/>
    <w:rsid w:val="1AC14286"/>
    <w:rsid w:val="1ADA0CB9"/>
    <w:rsid w:val="1C063260"/>
    <w:rsid w:val="1C14681D"/>
    <w:rsid w:val="1CE276BD"/>
    <w:rsid w:val="1D004958"/>
    <w:rsid w:val="1D726CFF"/>
    <w:rsid w:val="1DBA1579"/>
    <w:rsid w:val="203866A1"/>
    <w:rsid w:val="2119095A"/>
    <w:rsid w:val="21421D01"/>
    <w:rsid w:val="220075A0"/>
    <w:rsid w:val="22F50FD7"/>
    <w:rsid w:val="23434FB8"/>
    <w:rsid w:val="238F41BA"/>
    <w:rsid w:val="24607839"/>
    <w:rsid w:val="26166079"/>
    <w:rsid w:val="26836239"/>
    <w:rsid w:val="269D2D47"/>
    <w:rsid w:val="26AC047F"/>
    <w:rsid w:val="2776582D"/>
    <w:rsid w:val="27FD27F9"/>
    <w:rsid w:val="280D5608"/>
    <w:rsid w:val="282C6749"/>
    <w:rsid w:val="28C01D96"/>
    <w:rsid w:val="2AB95941"/>
    <w:rsid w:val="2ABC6414"/>
    <w:rsid w:val="2D2C6D7A"/>
    <w:rsid w:val="2DEF4A1F"/>
    <w:rsid w:val="2F0F52BF"/>
    <w:rsid w:val="2F3A012D"/>
    <w:rsid w:val="2FFD3C00"/>
    <w:rsid w:val="30D23E37"/>
    <w:rsid w:val="30E64908"/>
    <w:rsid w:val="30F03510"/>
    <w:rsid w:val="32D53070"/>
    <w:rsid w:val="3427237C"/>
    <w:rsid w:val="343B6228"/>
    <w:rsid w:val="343C7DB6"/>
    <w:rsid w:val="35254EA4"/>
    <w:rsid w:val="358E19EB"/>
    <w:rsid w:val="35C42C28"/>
    <w:rsid w:val="35DC23A2"/>
    <w:rsid w:val="375271E8"/>
    <w:rsid w:val="37B71904"/>
    <w:rsid w:val="3945175B"/>
    <w:rsid w:val="39D40903"/>
    <w:rsid w:val="3A4820C8"/>
    <w:rsid w:val="3A4C2479"/>
    <w:rsid w:val="3AE6311F"/>
    <w:rsid w:val="3C526FDA"/>
    <w:rsid w:val="3E052E0D"/>
    <w:rsid w:val="3E0C767D"/>
    <w:rsid w:val="3EDE5F9D"/>
    <w:rsid w:val="3F557D77"/>
    <w:rsid w:val="3F653ECD"/>
    <w:rsid w:val="3F996E06"/>
    <w:rsid w:val="40B1193E"/>
    <w:rsid w:val="40EF27CC"/>
    <w:rsid w:val="41461110"/>
    <w:rsid w:val="41A24648"/>
    <w:rsid w:val="421B05F0"/>
    <w:rsid w:val="42B750E0"/>
    <w:rsid w:val="42E171A3"/>
    <w:rsid w:val="42F02053"/>
    <w:rsid w:val="43275706"/>
    <w:rsid w:val="45A72B7A"/>
    <w:rsid w:val="45C149C9"/>
    <w:rsid w:val="46066264"/>
    <w:rsid w:val="4608522B"/>
    <w:rsid w:val="46170712"/>
    <w:rsid w:val="46C97F82"/>
    <w:rsid w:val="476A20C4"/>
    <w:rsid w:val="4AB66D9B"/>
    <w:rsid w:val="4AD447CC"/>
    <w:rsid w:val="4C536B94"/>
    <w:rsid w:val="4CEF3CF8"/>
    <w:rsid w:val="4D590E34"/>
    <w:rsid w:val="4E014808"/>
    <w:rsid w:val="4E1B15A0"/>
    <w:rsid w:val="4E841886"/>
    <w:rsid w:val="507B21E1"/>
    <w:rsid w:val="51025EEC"/>
    <w:rsid w:val="51773CFC"/>
    <w:rsid w:val="525C2B2E"/>
    <w:rsid w:val="52CB4273"/>
    <w:rsid w:val="554B55F7"/>
    <w:rsid w:val="559558C2"/>
    <w:rsid w:val="566A5FED"/>
    <w:rsid w:val="56BD391A"/>
    <w:rsid w:val="56E35A9C"/>
    <w:rsid w:val="582F2710"/>
    <w:rsid w:val="58A136A6"/>
    <w:rsid w:val="59120F59"/>
    <w:rsid w:val="591D3BA7"/>
    <w:rsid w:val="596E7B6E"/>
    <w:rsid w:val="5AA9798C"/>
    <w:rsid w:val="5B244A5A"/>
    <w:rsid w:val="5B32371A"/>
    <w:rsid w:val="5B621989"/>
    <w:rsid w:val="5B74382F"/>
    <w:rsid w:val="5C691376"/>
    <w:rsid w:val="5C7134DE"/>
    <w:rsid w:val="5CAF735A"/>
    <w:rsid w:val="5CCB2CCD"/>
    <w:rsid w:val="5CD42EC9"/>
    <w:rsid w:val="5DFB564D"/>
    <w:rsid w:val="5E352002"/>
    <w:rsid w:val="5F1C7AED"/>
    <w:rsid w:val="5F90413A"/>
    <w:rsid w:val="60565855"/>
    <w:rsid w:val="60F56473"/>
    <w:rsid w:val="60F86FD4"/>
    <w:rsid w:val="610A4B5F"/>
    <w:rsid w:val="616E4CF3"/>
    <w:rsid w:val="61ED3E3C"/>
    <w:rsid w:val="624F04B2"/>
    <w:rsid w:val="62B76583"/>
    <w:rsid w:val="63124B10"/>
    <w:rsid w:val="633B3EAB"/>
    <w:rsid w:val="64726037"/>
    <w:rsid w:val="647916AF"/>
    <w:rsid w:val="648854CB"/>
    <w:rsid w:val="64B31810"/>
    <w:rsid w:val="650D1C96"/>
    <w:rsid w:val="6518479E"/>
    <w:rsid w:val="65461CED"/>
    <w:rsid w:val="65853E6F"/>
    <w:rsid w:val="6642520A"/>
    <w:rsid w:val="66882038"/>
    <w:rsid w:val="669F4ED0"/>
    <w:rsid w:val="66CC144B"/>
    <w:rsid w:val="670D5EE3"/>
    <w:rsid w:val="67227F16"/>
    <w:rsid w:val="67236075"/>
    <w:rsid w:val="67457E5B"/>
    <w:rsid w:val="688641BC"/>
    <w:rsid w:val="68CA6AD7"/>
    <w:rsid w:val="69FA48EF"/>
    <w:rsid w:val="6AB32E4C"/>
    <w:rsid w:val="6C965D84"/>
    <w:rsid w:val="6DE44F1D"/>
    <w:rsid w:val="6FA96611"/>
    <w:rsid w:val="71EB3F0D"/>
    <w:rsid w:val="72F15351"/>
    <w:rsid w:val="73AC73AC"/>
    <w:rsid w:val="742A7635"/>
    <w:rsid w:val="749123F0"/>
    <w:rsid w:val="74FF5FC2"/>
    <w:rsid w:val="75BB6501"/>
    <w:rsid w:val="76173E55"/>
    <w:rsid w:val="76731A9E"/>
    <w:rsid w:val="773B0D0D"/>
    <w:rsid w:val="776771FA"/>
    <w:rsid w:val="77CA4249"/>
    <w:rsid w:val="78412583"/>
    <w:rsid w:val="7855496E"/>
    <w:rsid w:val="79A1156A"/>
    <w:rsid w:val="79A11CEB"/>
    <w:rsid w:val="79A5544F"/>
    <w:rsid w:val="79C6269C"/>
    <w:rsid w:val="7AA8546C"/>
    <w:rsid w:val="7ABD0011"/>
    <w:rsid w:val="7AEC422E"/>
    <w:rsid w:val="7B521D5B"/>
    <w:rsid w:val="7B5A74E2"/>
    <w:rsid w:val="7B6D1EB3"/>
    <w:rsid w:val="7B853AC8"/>
    <w:rsid w:val="7C5E37E6"/>
    <w:rsid w:val="7C7E235B"/>
    <w:rsid w:val="7D6B6C60"/>
    <w:rsid w:val="7EBE4303"/>
    <w:rsid w:val="7F0707C4"/>
    <w:rsid w:val="7F436895"/>
    <w:rsid w:val="7F590637"/>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link w:val="22"/>
    <w:qFormat/>
    <w:uiPriority w:val="9"/>
    <w:pPr>
      <w:keepNext/>
      <w:keepLines/>
      <w:spacing w:line="576" w:lineRule="auto"/>
      <w:outlineLvl w:val="0"/>
    </w:pPr>
    <w:rPr>
      <w:rFonts w:ascii="仿宋_GB2312" w:cs="Times New Roman"/>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style>
  <w:style w:type="paragraph" w:styleId="6">
    <w:name w:val="Body Text"/>
    <w:basedOn w:val="1"/>
    <w:qFormat/>
    <w:uiPriority w:val="0"/>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endnote text"/>
    <w:basedOn w:val="1"/>
    <w:qFormat/>
    <w:uiPriority w:val="0"/>
    <w:pPr>
      <w:snapToGrid w:val="0"/>
      <w:spacing w:line="360" w:lineRule="auto"/>
      <w:ind w:firstLine="480" w:firstLineChars="200"/>
      <w:jc w:val="left"/>
    </w:pPr>
    <w:rPr>
      <w:rFonts w:ascii="Times New Roman"/>
      <w:sz w:val="20"/>
      <w:szCs w:val="24"/>
    </w:r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Times New Roman"/>
      <w:kern w:val="2"/>
      <w:sz w:val="18"/>
      <w:szCs w:val="18"/>
    </w:rPr>
  </w:style>
  <w:style w:type="paragraph" w:styleId="12">
    <w:name w:val="Body Text First Indent 2"/>
    <w:basedOn w:val="7"/>
    <w:next w:val="1"/>
    <w:qFormat/>
    <w:uiPriority w:val="99"/>
    <w:pPr>
      <w:ind w:firstLine="420" w:firstLineChars="200"/>
    </w:p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Autospacing="1" w:afterAutospacing="1"/>
      <w:jc w:val="left"/>
    </w:pPr>
    <w:rPr>
      <w:rFonts w:hAnsi="宋体" w:cs="宋体"/>
      <w:sz w:val="24"/>
    </w:rPr>
  </w:style>
  <w:style w:type="character" w:styleId="16">
    <w:name w:val="page number"/>
    <w:basedOn w:val="15"/>
    <w:qFormat/>
    <w:uiPriority w:val="0"/>
  </w:style>
  <w:style w:type="character" w:styleId="17">
    <w:name w:val="FollowedHyperlink"/>
    <w:basedOn w:val="15"/>
    <w:qFormat/>
    <w:uiPriority w:val="99"/>
    <w:rPr>
      <w:color w:val="000000"/>
      <w:u w:val="none"/>
    </w:rPr>
  </w:style>
  <w:style w:type="character" w:styleId="18">
    <w:name w:val="Emphasis"/>
    <w:basedOn w:val="15"/>
    <w:qFormat/>
    <w:uiPriority w:val="0"/>
  </w:style>
  <w:style w:type="character" w:styleId="19">
    <w:name w:val="Hyperlink"/>
    <w:basedOn w:val="15"/>
    <w:qFormat/>
    <w:uiPriority w:val="99"/>
    <w:rPr>
      <w:color w:val="000000"/>
      <w:u w:val="none"/>
    </w:rPr>
  </w:style>
  <w:style w:type="table" w:styleId="21">
    <w:name w:val="Table Grid"/>
    <w:basedOn w:val="20"/>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5"/>
    <w:link w:val="2"/>
    <w:qFormat/>
    <w:uiPriority w:val="9"/>
    <w:rPr>
      <w:rFonts w:ascii="仿宋_GB2312" w:hAnsiTheme="minorHAnsi" w:eastAsiaTheme="minorEastAsia"/>
      <w:b/>
      <w:bCs/>
      <w:kern w:val="44"/>
      <w:sz w:val="44"/>
      <w:szCs w:val="44"/>
    </w:rPr>
  </w:style>
  <w:style w:type="character" w:customStyle="1" w:styleId="23">
    <w:name w:val="标题 2 Char"/>
    <w:basedOn w:val="15"/>
    <w:link w:val="3"/>
    <w:semiHidden/>
    <w:qFormat/>
    <w:uiPriority w:val="0"/>
    <w:rPr>
      <w:rFonts w:asciiTheme="majorHAnsi" w:hAnsiTheme="majorHAnsi" w:eastAsiaTheme="majorEastAsia" w:cstheme="majorBidi"/>
      <w:b/>
      <w:bCs/>
      <w:sz w:val="32"/>
      <w:szCs w:val="32"/>
    </w:rPr>
  </w:style>
  <w:style w:type="character" w:customStyle="1" w:styleId="24">
    <w:name w:val="批注框文本 Char"/>
    <w:basedOn w:val="15"/>
    <w:link w:val="10"/>
    <w:qFormat/>
    <w:uiPriority w:val="0"/>
    <w:rPr>
      <w:rFonts w:ascii="宋体" w:hAnsiTheme="minorHAnsi" w:eastAsiaTheme="minorEastAsia" w:cstheme="minorBidi"/>
      <w:sz w:val="18"/>
      <w:szCs w:val="18"/>
    </w:rPr>
  </w:style>
  <w:style w:type="paragraph" w:customStyle="1" w:styleId="2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7">
    <w:name w:val="red"/>
    <w:basedOn w:val="15"/>
    <w:qFormat/>
    <w:uiPriority w:val="0"/>
    <w:rPr>
      <w:color w:val="FF0000"/>
      <w:sz w:val="18"/>
      <w:szCs w:val="18"/>
    </w:rPr>
  </w:style>
  <w:style w:type="character" w:customStyle="1" w:styleId="28">
    <w:name w:val="red1"/>
    <w:basedOn w:val="15"/>
    <w:qFormat/>
    <w:uiPriority w:val="0"/>
    <w:rPr>
      <w:color w:val="FF0000"/>
      <w:sz w:val="18"/>
      <w:szCs w:val="18"/>
    </w:rPr>
  </w:style>
  <w:style w:type="character" w:customStyle="1" w:styleId="29">
    <w:name w:val="red2"/>
    <w:basedOn w:val="15"/>
    <w:qFormat/>
    <w:uiPriority w:val="0"/>
    <w:rPr>
      <w:color w:val="CC0000"/>
    </w:rPr>
  </w:style>
  <w:style w:type="character" w:customStyle="1" w:styleId="30">
    <w:name w:val="red3"/>
    <w:basedOn w:val="15"/>
    <w:qFormat/>
    <w:uiPriority w:val="0"/>
    <w:rPr>
      <w:color w:val="FF0000"/>
    </w:rPr>
  </w:style>
  <w:style w:type="character" w:customStyle="1" w:styleId="31">
    <w:name w:val="hover25"/>
    <w:basedOn w:val="15"/>
    <w:qFormat/>
    <w:uiPriority w:val="0"/>
  </w:style>
  <w:style w:type="character" w:customStyle="1" w:styleId="32">
    <w:name w:val="green"/>
    <w:basedOn w:val="15"/>
    <w:qFormat/>
    <w:uiPriority w:val="0"/>
    <w:rPr>
      <w:color w:val="66AE00"/>
      <w:sz w:val="18"/>
      <w:szCs w:val="18"/>
    </w:rPr>
  </w:style>
  <w:style w:type="character" w:customStyle="1" w:styleId="33">
    <w:name w:val="green1"/>
    <w:basedOn w:val="15"/>
    <w:qFormat/>
    <w:uiPriority w:val="0"/>
    <w:rPr>
      <w:color w:val="66AE00"/>
      <w:sz w:val="18"/>
      <w:szCs w:val="18"/>
    </w:rPr>
  </w:style>
  <w:style w:type="character" w:customStyle="1" w:styleId="34">
    <w:name w:val="blue"/>
    <w:basedOn w:val="15"/>
    <w:qFormat/>
    <w:uiPriority w:val="0"/>
    <w:rPr>
      <w:color w:val="0371C6"/>
      <w:sz w:val="21"/>
      <w:szCs w:val="21"/>
    </w:rPr>
  </w:style>
  <w:style w:type="character" w:customStyle="1" w:styleId="35">
    <w:name w:val="gb-jt"/>
    <w:basedOn w:val="15"/>
    <w:qFormat/>
    <w:uiPriority w:val="0"/>
  </w:style>
  <w:style w:type="character" w:customStyle="1" w:styleId="36">
    <w:name w:val="right"/>
    <w:basedOn w:val="15"/>
    <w:qFormat/>
    <w:uiPriority w:val="0"/>
    <w:rPr>
      <w:color w:val="999999"/>
      <w:sz w:val="18"/>
      <w:szCs w:val="18"/>
    </w:rPr>
  </w:style>
  <w:style w:type="paragraph" w:customStyle="1" w:styleId="37">
    <w:name w:val="列出段落1"/>
    <w:basedOn w:val="1"/>
    <w:unhideWhenUsed/>
    <w:qFormat/>
    <w:uiPriority w:val="99"/>
    <w:pPr>
      <w:ind w:firstLine="420" w:firstLineChars="200"/>
    </w:pPr>
  </w:style>
  <w:style w:type="character" w:customStyle="1" w:styleId="38">
    <w:name w:val="p0 Char"/>
    <w:link w:val="39"/>
    <w:qFormat/>
    <w:uiPriority w:val="0"/>
  </w:style>
  <w:style w:type="paragraph" w:customStyle="1" w:styleId="39">
    <w:name w:val="p0"/>
    <w:basedOn w:val="1"/>
    <w:link w:val="38"/>
    <w:qFormat/>
    <w:uiPriority w:val="0"/>
    <w:pPr>
      <w:widowControl/>
      <w:spacing w:line="365" w:lineRule="atLeast"/>
      <w:ind w:left="1"/>
    </w:pPr>
    <w:rPr>
      <w:rFonts w:ascii="Times New Roman" w:hAnsi="Times New Roman" w:eastAsia="宋体" w:cs="Times New Roman"/>
      <w:sz w:val="20"/>
      <w:szCs w:val="20"/>
    </w:rPr>
  </w:style>
  <w:style w:type="paragraph" w:customStyle="1" w:styleId="40">
    <w:name w:val="样式 9号线正文 + 首行缩进:  2 字符"/>
    <w:basedOn w:val="1"/>
    <w:qFormat/>
    <w:uiPriority w:val="0"/>
    <w:pPr>
      <w:overflowPunct w:val="0"/>
      <w:spacing w:line="560" w:lineRule="exact"/>
      <w:ind w:firstLine="200" w:firstLineChars="200"/>
    </w:pPr>
    <w:rPr>
      <w:rFonts w:hAnsi="宋体"/>
      <w:sz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C6933-98D8-451A-A4B4-201A2E3F59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99</Pages>
  <Words>45583</Words>
  <Characters>49430</Characters>
  <Lines>395</Lines>
  <Paragraphs>111</Paragraphs>
  <TotalTime>4</TotalTime>
  <ScaleCrop>false</ScaleCrop>
  <LinksUpToDate>false</LinksUpToDate>
  <CharactersWithSpaces>51896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2020-03-31T05:11:00Z</dcterms:created>
  <dc:creator>Administrator</dc:creator>
  <cp:lastModifiedBy>找箌鑰匙了</cp:lastModifiedBy>
  <cp:lastPrinted>2020-04-14T04:46:00Z</cp:lastPrinted>
  <dcterms:modified xsi:type="dcterms:W3CDTF">2020-04-15T08:35:06Z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