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s="宋体"/>
          <w:color w:val="auto"/>
        </w:rPr>
      </w:pPr>
    </w:p>
    <w:p>
      <w:pPr>
        <w:jc w:val="center"/>
        <w:rPr>
          <w:rFonts w:ascii="宋体" w:hAnsi="宋体" w:cs="宋体"/>
          <w:b/>
          <w:color w:val="auto"/>
          <w:w w:val="90"/>
          <w:sz w:val="84"/>
          <w:szCs w:val="84"/>
        </w:rPr>
      </w:pPr>
      <w:r>
        <w:rPr>
          <w:rFonts w:hint="eastAsia" w:ascii="宋体" w:hAnsi="宋体" w:cs="宋体"/>
          <w:b/>
          <w:color w:val="auto"/>
          <w:w w:val="90"/>
          <w:sz w:val="84"/>
          <w:szCs w:val="84"/>
        </w:rPr>
        <w:t>建安区政府采购</w:t>
      </w:r>
    </w:p>
    <w:p>
      <w:pPr>
        <w:rPr>
          <w:rFonts w:ascii="宋体" w:hAnsi="宋体" w:cs="宋体"/>
          <w:b/>
          <w:color w:val="auto"/>
        </w:rPr>
      </w:pPr>
    </w:p>
    <w:p>
      <w:pPr>
        <w:rPr>
          <w:rFonts w:ascii="宋体" w:hAnsi="宋体" w:cs="宋体"/>
          <w:b/>
          <w:color w:val="auto"/>
        </w:rPr>
      </w:pPr>
    </w:p>
    <w:p>
      <w:pPr>
        <w:rPr>
          <w:rFonts w:ascii="宋体" w:hAnsi="宋体" w:cs="宋体"/>
          <w:b/>
          <w:color w:val="auto"/>
        </w:rPr>
      </w:pPr>
    </w:p>
    <w:p>
      <w:pPr>
        <w:jc w:val="center"/>
        <w:rPr>
          <w:rFonts w:ascii="宋体" w:hAnsi="宋体" w:cs="宋体"/>
          <w:b/>
          <w:color w:val="auto"/>
          <w:w w:val="90"/>
          <w:sz w:val="84"/>
          <w:szCs w:val="84"/>
        </w:rPr>
      </w:pPr>
      <w:r>
        <w:rPr>
          <w:rFonts w:hint="eastAsia" w:ascii="宋体" w:hAnsi="宋体" w:cs="宋体"/>
          <w:b/>
          <w:color w:val="auto"/>
          <w:w w:val="90"/>
          <w:sz w:val="84"/>
          <w:szCs w:val="84"/>
        </w:rPr>
        <w:t>招</w:t>
      </w:r>
    </w:p>
    <w:p>
      <w:pPr>
        <w:jc w:val="center"/>
        <w:rPr>
          <w:rFonts w:ascii="宋体" w:hAnsi="宋体" w:cs="宋体"/>
          <w:b/>
          <w:color w:val="auto"/>
          <w:w w:val="90"/>
          <w:sz w:val="84"/>
          <w:szCs w:val="84"/>
        </w:rPr>
      </w:pPr>
      <w:r>
        <w:rPr>
          <w:rFonts w:hint="eastAsia" w:ascii="宋体" w:hAnsi="宋体" w:cs="宋体"/>
          <w:b/>
          <w:color w:val="auto"/>
          <w:w w:val="90"/>
          <w:sz w:val="84"/>
          <w:szCs w:val="84"/>
        </w:rPr>
        <w:t>标</w:t>
      </w:r>
    </w:p>
    <w:p>
      <w:pPr>
        <w:jc w:val="center"/>
        <w:rPr>
          <w:rFonts w:ascii="宋体" w:hAnsi="宋体" w:cs="宋体"/>
          <w:b/>
          <w:color w:val="auto"/>
          <w:w w:val="90"/>
          <w:sz w:val="84"/>
          <w:szCs w:val="84"/>
        </w:rPr>
      </w:pPr>
      <w:r>
        <w:rPr>
          <w:rFonts w:hint="eastAsia" w:ascii="宋体" w:hAnsi="宋体" w:cs="宋体"/>
          <w:b/>
          <w:color w:val="auto"/>
          <w:w w:val="90"/>
          <w:sz w:val="84"/>
          <w:szCs w:val="84"/>
        </w:rPr>
        <w:t>文</w:t>
      </w:r>
    </w:p>
    <w:p>
      <w:pPr>
        <w:jc w:val="center"/>
        <w:rPr>
          <w:rFonts w:ascii="宋体" w:hAnsi="宋体" w:cs="宋体"/>
          <w:b/>
          <w:color w:val="auto"/>
          <w:w w:val="90"/>
          <w:sz w:val="84"/>
          <w:szCs w:val="84"/>
        </w:rPr>
      </w:pPr>
      <w:r>
        <w:rPr>
          <w:rFonts w:hint="eastAsia" w:ascii="宋体" w:hAnsi="宋体" w:cs="宋体"/>
          <w:b/>
          <w:color w:val="auto"/>
          <w:w w:val="90"/>
          <w:sz w:val="84"/>
          <w:szCs w:val="84"/>
        </w:rPr>
        <w:t>件</w:t>
      </w:r>
    </w:p>
    <w:p>
      <w:pPr>
        <w:jc w:val="center"/>
        <w:rPr>
          <w:rFonts w:ascii="宋体" w:hAnsi="宋体" w:cs="宋体"/>
          <w:bCs/>
          <w:color w:val="auto"/>
          <w:w w:val="90"/>
          <w:sz w:val="84"/>
          <w:szCs w:val="84"/>
        </w:rPr>
      </w:pPr>
    </w:p>
    <w:p>
      <w:pPr>
        <w:spacing w:line="480" w:lineRule="auto"/>
        <w:rPr>
          <w:rFonts w:ascii="宋体" w:hAnsi="宋体" w:cs="宋体"/>
          <w:b/>
          <w:bCs/>
          <w:color w:val="auto"/>
          <w:sz w:val="36"/>
          <w:szCs w:val="36"/>
        </w:rPr>
      </w:pPr>
      <w:r>
        <w:rPr>
          <w:rFonts w:hint="eastAsia" w:ascii="宋体" w:hAnsi="宋体" w:cs="宋体"/>
          <w:b/>
          <w:bCs/>
          <w:color w:val="auto"/>
          <w:sz w:val="36"/>
          <w:szCs w:val="36"/>
        </w:rPr>
        <w:t>项目编号：</w:t>
      </w:r>
      <w:r>
        <w:rPr>
          <w:rFonts w:hint="eastAsia" w:ascii="宋体" w:hAnsi="宋体" w:cs="宋体"/>
          <w:b/>
          <w:bCs/>
          <w:color w:val="auto"/>
          <w:sz w:val="36"/>
          <w:szCs w:val="36"/>
        </w:rPr>
        <w:t>建安政采公字〔2020〕5号</w:t>
      </w:r>
    </w:p>
    <w:p>
      <w:pPr>
        <w:spacing w:line="480" w:lineRule="auto"/>
        <w:rPr>
          <w:rFonts w:ascii="宋体" w:hAnsi="宋体" w:cs="宋体"/>
          <w:b/>
          <w:bCs/>
          <w:color w:val="auto"/>
          <w:sz w:val="36"/>
          <w:szCs w:val="36"/>
        </w:rPr>
      </w:pPr>
      <w:r>
        <w:rPr>
          <w:rFonts w:hint="eastAsia" w:ascii="宋体" w:hAnsi="宋体" w:cs="宋体"/>
          <w:b/>
          <w:bCs/>
          <w:color w:val="auto"/>
          <w:sz w:val="36"/>
          <w:szCs w:val="36"/>
        </w:rPr>
        <w:t>项目名称：建安区永久基本农田核实整改补划及储备区划</w:t>
      </w:r>
    </w:p>
    <w:p>
      <w:pPr>
        <w:spacing w:line="480" w:lineRule="auto"/>
        <w:ind w:firstLine="1807" w:firstLineChars="500"/>
        <w:rPr>
          <w:rFonts w:ascii="宋体" w:hAnsi="宋体" w:cs="宋体"/>
          <w:b/>
          <w:bCs/>
          <w:color w:val="auto"/>
          <w:sz w:val="36"/>
          <w:szCs w:val="36"/>
        </w:rPr>
      </w:pPr>
      <w:r>
        <w:rPr>
          <w:rFonts w:hint="eastAsia" w:ascii="宋体" w:hAnsi="宋体" w:cs="宋体"/>
          <w:b/>
          <w:bCs/>
          <w:color w:val="auto"/>
          <w:sz w:val="36"/>
          <w:szCs w:val="36"/>
        </w:rPr>
        <w:t>定项目</w:t>
      </w:r>
    </w:p>
    <w:p>
      <w:pPr>
        <w:spacing w:line="480" w:lineRule="auto"/>
        <w:rPr>
          <w:rFonts w:ascii="宋体" w:hAnsi="宋体" w:cs="宋体"/>
          <w:b/>
          <w:bCs/>
          <w:color w:val="auto"/>
          <w:sz w:val="36"/>
          <w:szCs w:val="36"/>
        </w:rPr>
      </w:pPr>
      <w:r>
        <w:rPr>
          <w:rFonts w:hint="eastAsia" w:ascii="宋体" w:hAnsi="宋体" w:cs="宋体"/>
          <w:b/>
          <w:bCs/>
          <w:color w:val="auto"/>
          <w:sz w:val="36"/>
          <w:szCs w:val="36"/>
        </w:rPr>
        <w:t>采购单位：许昌市自然资源和规划局建安区分局</w:t>
      </w:r>
    </w:p>
    <w:p>
      <w:pPr>
        <w:spacing w:line="480" w:lineRule="auto"/>
        <w:rPr>
          <w:rFonts w:ascii="宋体" w:hAnsi="宋体" w:cs="宋体"/>
          <w:b/>
          <w:bCs/>
          <w:color w:val="auto"/>
          <w:sz w:val="36"/>
          <w:szCs w:val="36"/>
        </w:rPr>
      </w:pPr>
      <w:r>
        <w:rPr>
          <w:rFonts w:hint="eastAsia" w:ascii="宋体" w:hAnsi="宋体" w:cs="宋体"/>
          <w:b/>
          <w:bCs/>
          <w:color w:val="auto"/>
          <w:sz w:val="36"/>
          <w:szCs w:val="36"/>
        </w:rPr>
        <w:t xml:space="preserve">代理机构：河南建标工程管理有限公司  </w:t>
      </w:r>
    </w:p>
    <w:p>
      <w:pPr>
        <w:rPr>
          <w:rFonts w:ascii="宋体" w:hAnsi="宋体" w:cs="宋体"/>
          <w:color w:val="auto"/>
        </w:rPr>
      </w:pPr>
    </w:p>
    <w:p>
      <w:pPr>
        <w:spacing w:line="480" w:lineRule="auto"/>
        <w:ind w:firstLine="3253" w:firstLineChars="900"/>
        <w:rPr>
          <w:rFonts w:ascii="宋体" w:hAnsi="宋体" w:cs="宋体"/>
          <w:b/>
          <w:bCs/>
          <w:color w:val="auto"/>
          <w:sz w:val="36"/>
          <w:szCs w:val="36"/>
        </w:rPr>
      </w:pPr>
      <w:r>
        <w:rPr>
          <w:rFonts w:hint="eastAsia" w:ascii="宋体" w:hAnsi="宋体" w:cs="宋体"/>
          <w:b/>
          <w:bCs/>
          <w:color w:val="auto"/>
          <w:sz w:val="36"/>
          <w:szCs w:val="36"/>
        </w:rPr>
        <w:t>二〇二〇年一月</w:t>
      </w:r>
    </w:p>
    <w:p>
      <w:pPr>
        <w:spacing w:line="520" w:lineRule="exact"/>
        <w:ind w:firstLine="570"/>
        <w:jc w:val="center"/>
        <w:textAlignment w:val="baseline"/>
        <w:rPr>
          <w:rFonts w:ascii="宋体" w:hAnsi="宋体" w:cs="宋体"/>
          <w:b/>
          <w:color w:val="auto"/>
          <w:sz w:val="44"/>
          <w:szCs w:val="24"/>
        </w:rPr>
        <w:sectPr>
          <w:headerReference r:id="rId3" w:type="default"/>
          <w:pgSz w:w="11906" w:h="16838"/>
          <w:pgMar w:top="2098" w:right="1417" w:bottom="1928" w:left="1417" w:header="851" w:footer="992" w:gutter="0"/>
          <w:pgNumType w:start="0"/>
          <w:cols w:space="0" w:num="1"/>
          <w:docGrid w:type="lines" w:linePitch="312" w:charSpace="0"/>
        </w:sectPr>
      </w:pPr>
    </w:p>
    <w:p>
      <w:pPr>
        <w:spacing w:line="520" w:lineRule="exact"/>
        <w:ind w:firstLine="570"/>
        <w:jc w:val="center"/>
        <w:textAlignment w:val="baseline"/>
        <w:rPr>
          <w:rFonts w:ascii="宋体" w:hAnsi="宋体" w:cs="宋体"/>
          <w:b/>
          <w:color w:val="auto"/>
          <w:sz w:val="44"/>
          <w:szCs w:val="24"/>
        </w:rPr>
      </w:pPr>
      <w:r>
        <w:rPr>
          <w:rFonts w:hint="eastAsia" w:ascii="宋体" w:hAnsi="宋体" w:cs="宋体"/>
          <w:b/>
          <w:color w:val="auto"/>
          <w:sz w:val="44"/>
          <w:szCs w:val="24"/>
        </w:rPr>
        <w:t>招标文件目录</w:t>
      </w:r>
    </w:p>
    <w:p>
      <w:pPr>
        <w:spacing w:line="520" w:lineRule="exact"/>
        <w:ind w:firstLine="570"/>
        <w:jc w:val="center"/>
        <w:textAlignment w:val="baseline"/>
        <w:rPr>
          <w:rFonts w:ascii="宋体" w:hAnsi="宋体" w:cs="宋体"/>
          <w:b/>
          <w:color w:val="auto"/>
          <w:sz w:val="44"/>
          <w:szCs w:val="24"/>
        </w:rPr>
      </w:pPr>
    </w:p>
    <w:p>
      <w:pPr>
        <w:spacing w:line="360" w:lineRule="auto"/>
        <w:ind w:firstLine="472" w:firstLineChars="196"/>
        <w:rPr>
          <w:rFonts w:ascii="宋体" w:hAnsi="宋体" w:cs="宋体"/>
          <w:b/>
          <w:color w:val="auto"/>
          <w:sz w:val="24"/>
          <w:szCs w:val="24"/>
        </w:rPr>
      </w:pP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第一章 招标公告</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第二章 项目需求</w:t>
      </w:r>
    </w:p>
    <w:p>
      <w:pPr>
        <w:autoSpaceDE w:val="0"/>
        <w:autoSpaceDN w:val="0"/>
        <w:adjustRightInd w:val="0"/>
        <w:spacing w:line="700" w:lineRule="exact"/>
        <w:ind w:firstLine="560"/>
        <w:rPr>
          <w:rFonts w:ascii="宋体" w:hAnsi="宋体" w:cs="宋体"/>
          <w:b/>
          <w:color w:val="auto"/>
          <w:kern w:val="0"/>
          <w:sz w:val="32"/>
          <w:szCs w:val="32"/>
        </w:rPr>
      </w:pPr>
      <w:r>
        <w:rPr>
          <w:rFonts w:hint="eastAsia" w:ascii="宋体" w:hAnsi="宋体" w:cs="宋体"/>
          <w:b/>
          <w:bCs/>
          <w:color w:val="auto"/>
          <w:sz w:val="32"/>
          <w:szCs w:val="32"/>
          <w:lang w:val="zh-CN"/>
        </w:rPr>
        <w:t xml:space="preserve">第三章 </w:t>
      </w:r>
      <w:r>
        <w:rPr>
          <w:rFonts w:hint="eastAsia" w:ascii="宋体" w:hAnsi="宋体" w:cs="宋体"/>
          <w:b/>
          <w:color w:val="auto"/>
          <w:kern w:val="0"/>
          <w:sz w:val="32"/>
          <w:szCs w:val="32"/>
        </w:rPr>
        <w:t>投标人须知前附表</w:t>
      </w:r>
    </w:p>
    <w:p>
      <w:pPr>
        <w:autoSpaceDE w:val="0"/>
        <w:autoSpaceDN w:val="0"/>
        <w:adjustRightInd w:val="0"/>
        <w:spacing w:line="700" w:lineRule="exact"/>
        <w:ind w:firstLine="560"/>
        <w:rPr>
          <w:rFonts w:ascii="宋体" w:hAnsi="宋体" w:cs="宋体"/>
          <w:b/>
          <w:color w:val="auto"/>
          <w:kern w:val="0"/>
          <w:sz w:val="32"/>
          <w:szCs w:val="32"/>
        </w:rPr>
      </w:pPr>
      <w:r>
        <w:rPr>
          <w:rFonts w:hint="eastAsia" w:ascii="宋体" w:hAnsi="宋体" w:cs="宋体"/>
          <w:b/>
          <w:bCs/>
          <w:color w:val="auto"/>
          <w:sz w:val="32"/>
          <w:szCs w:val="32"/>
          <w:lang w:val="zh-CN"/>
        </w:rPr>
        <w:t xml:space="preserve">第四章 </w:t>
      </w:r>
      <w:r>
        <w:rPr>
          <w:rFonts w:hint="eastAsia" w:ascii="宋体" w:hAnsi="宋体" w:cs="宋体"/>
          <w:b/>
          <w:color w:val="auto"/>
          <w:kern w:val="0"/>
          <w:sz w:val="32"/>
          <w:szCs w:val="32"/>
        </w:rPr>
        <w:t>投标人须知</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一、概念释义</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二、招标文件说明</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三、投标文件的编制</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四、投标文件的递交</w:t>
      </w:r>
    </w:p>
    <w:p>
      <w:pPr>
        <w:autoSpaceDE w:val="0"/>
        <w:autoSpaceDN w:val="0"/>
        <w:adjustRightInd w:val="0"/>
        <w:spacing w:line="700" w:lineRule="exact"/>
        <w:ind w:firstLine="560"/>
        <w:rPr>
          <w:rFonts w:ascii="宋体" w:hAnsi="宋体" w:cs="宋体"/>
          <w:color w:val="auto"/>
          <w:sz w:val="32"/>
          <w:szCs w:val="32"/>
          <w:lang w:val="zh-CN"/>
        </w:rPr>
      </w:pPr>
      <w:r>
        <w:rPr>
          <w:rFonts w:hint="eastAsia" w:ascii="宋体" w:hAnsi="宋体" w:cs="宋体"/>
          <w:color w:val="auto"/>
          <w:sz w:val="32"/>
          <w:szCs w:val="32"/>
          <w:lang w:val="zh-CN"/>
        </w:rPr>
        <w:t>五、开标和评标</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color w:val="auto"/>
          <w:sz w:val="32"/>
          <w:szCs w:val="32"/>
          <w:lang w:val="zh-CN"/>
        </w:rPr>
        <w:t>六、定标和授予合同</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 xml:space="preserve">第五章 </w:t>
      </w:r>
      <w:r>
        <w:rPr>
          <w:rFonts w:hint="eastAsia" w:ascii="宋体" w:hAnsi="宋体" w:cs="宋体"/>
          <w:b/>
          <w:color w:val="auto"/>
          <w:kern w:val="0"/>
          <w:sz w:val="32"/>
          <w:szCs w:val="32"/>
        </w:rPr>
        <w:t>政府采购政策功能</w:t>
      </w:r>
    </w:p>
    <w:p>
      <w:pPr>
        <w:autoSpaceDE w:val="0"/>
        <w:autoSpaceDN w:val="0"/>
        <w:adjustRightInd w:val="0"/>
        <w:spacing w:line="700" w:lineRule="exact"/>
        <w:ind w:firstLine="551"/>
        <w:rPr>
          <w:rFonts w:ascii="宋体" w:hAnsi="宋体" w:cs="宋体"/>
          <w:b/>
          <w:bCs/>
          <w:color w:val="auto"/>
          <w:sz w:val="32"/>
          <w:szCs w:val="32"/>
          <w:lang w:val="zh-CN"/>
        </w:rPr>
      </w:pPr>
      <w:r>
        <w:rPr>
          <w:rFonts w:hint="eastAsia" w:ascii="宋体" w:hAnsi="宋体" w:cs="宋体"/>
          <w:b/>
          <w:bCs/>
          <w:color w:val="auto"/>
          <w:sz w:val="32"/>
          <w:szCs w:val="32"/>
          <w:lang w:val="zh-CN"/>
        </w:rPr>
        <w:t xml:space="preserve">第六章 </w:t>
      </w:r>
      <w:r>
        <w:rPr>
          <w:rFonts w:hint="eastAsia" w:ascii="宋体" w:hAnsi="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cs="宋体"/>
          <w:b/>
          <w:bCs/>
          <w:color w:val="auto"/>
          <w:sz w:val="32"/>
          <w:szCs w:val="32"/>
          <w:lang w:val="zh-CN"/>
        </w:rPr>
      </w:pPr>
      <w:r>
        <w:rPr>
          <w:rFonts w:hint="eastAsia" w:ascii="宋体" w:hAnsi="宋体" w:cs="宋体"/>
          <w:b/>
          <w:bCs/>
          <w:color w:val="auto"/>
          <w:sz w:val="32"/>
          <w:szCs w:val="32"/>
          <w:lang w:val="zh-CN"/>
        </w:rPr>
        <w:t xml:space="preserve">第七章 </w:t>
      </w:r>
      <w:r>
        <w:rPr>
          <w:rFonts w:hint="eastAsia" w:ascii="宋体" w:hAnsi="宋体" w:cs="宋体"/>
          <w:b/>
          <w:color w:val="auto"/>
          <w:kern w:val="0"/>
          <w:sz w:val="32"/>
          <w:szCs w:val="32"/>
        </w:rPr>
        <w:t>合同条款及格式</w:t>
      </w:r>
    </w:p>
    <w:p>
      <w:pPr>
        <w:autoSpaceDE w:val="0"/>
        <w:autoSpaceDN w:val="0"/>
        <w:adjustRightInd w:val="0"/>
        <w:spacing w:line="700" w:lineRule="exact"/>
        <w:ind w:firstLine="551"/>
        <w:rPr>
          <w:rFonts w:ascii="宋体" w:hAnsi="宋体" w:cs="宋体"/>
          <w:b/>
          <w:color w:val="auto"/>
          <w:kern w:val="0"/>
          <w:sz w:val="32"/>
          <w:szCs w:val="32"/>
        </w:rPr>
      </w:pPr>
      <w:r>
        <w:rPr>
          <w:rFonts w:hint="eastAsia" w:ascii="宋体" w:hAnsi="宋体" w:cs="宋体"/>
          <w:b/>
          <w:bCs/>
          <w:color w:val="auto"/>
          <w:sz w:val="32"/>
          <w:szCs w:val="32"/>
          <w:lang w:val="zh-CN"/>
        </w:rPr>
        <w:t xml:space="preserve">第八章 </w:t>
      </w:r>
      <w:r>
        <w:rPr>
          <w:rFonts w:hint="eastAsia" w:ascii="宋体" w:hAnsi="宋体" w:cs="宋体"/>
          <w:b/>
          <w:color w:val="auto"/>
          <w:kern w:val="0"/>
          <w:sz w:val="32"/>
          <w:szCs w:val="32"/>
        </w:rPr>
        <w:t>投标文件有关格式</w:t>
      </w:r>
    </w:p>
    <w:p>
      <w:pPr>
        <w:spacing w:line="420" w:lineRule="exact"/>
        <w:rPr>
          <w:rFonts w:ascii="宋体" w:hAnsi="宋体" w:cs="宋体"/>
          <w:color w:val="auto"/>
          <w:sz w:val="24"/>
          <w:szCs w:val="24"/>
        </w:rPr>
      </w:pPr>
    </w:p>
    <w:p>
      <w:pPr>
        <w:pStyle w:val="2"/>
        <w:ind w:firstLine="240"/>
        <w:rPr>
          <w:rFonts w:ascii="宋体" w:hAnsi="宋体" w:cs="宋体"/>
          <w:color w:val="auto"/>
          <w:sz w:val="24"/>
          <w:szCs w:val="24"/>
        </w:rPr>
      </w:pPr>
    </w:p>
    <w:p>
      <w:pPr>
        <w:pStyle w:val="2"/>
        <w:ind w:firstLine="240"/>
        <w:rPr>
          <w:rFonts w:ascii="宋体" w:hAnsi="宋体" w:cs="宋体"/>
          <w:color w:val="auto"/>
          <w:sz w:val="24"/>
          <w:szCs w:val="24"/>
        </w:rPr>
      </w:pPr>
    </w:p>
    <w:p>
      <w:pPr>
        <w:pStyle w:val="2"/>
        <w:ind w:firstLine="240"/>
        <w:rPr>
          <w:rFonts w:ascii="宋体" w:hAnsi="宋体" w:cs="宋体"/>
          <w:color w:val="auto"/>
          <w:sz w:val="24"/>
          <w:szCs w:val="24"/>
        </w:rPr>
      </w:pPr>
    </w:p>
    <w:p>
      <w:pPr>
        <w:pStyle w:val="2"/>
        <w:ind w:firstLine="240"/>
        <w:rPr>
          <w:rFonts w:ascii="宋体" w:hAnsi="宋体" w:cs="宋体"/>
          <w:color w:val="auto"/>
          <w:sz w:val="24"/>
          <w:szCs w:val="24"/>
        </w:rPr>
      </w:pPr>
    </w:p>
    <w:p>
      <w:pPr>
        <w:pStyle w:val="2"/>
        <w:ind w:firstLine="240"/>
        <w:rPr>
          <w:rFonts w:ascii="宋体" w:hAnsi="宋体" w:cs="宋体"/>
          <w:color w:val="auto"/>
          <w:sz w:val="24"/>
          <w:szCs w:val="24"/>
        </w:rPr>
      </w:pPr>
    </w:p>
    <w:p>
      <w:pPr>
        <w:numPr>
          <w:ilvl w:val="0"/>
          <w:numId w:val="4"/>
        </w:numPr>
        <w:jc w:val="center"/>
        <w:rPr>
          <w:rFonts w:ascii="宋体" w:hAnsi="宋体" w:cs="宋体"/>
          <w:b/>
          <w:bCs/>
          <w:color w:val="auto"/>
          <w:kern w:val="0"/>
          <w:sz w:val="32"/>
          <w:szCs w:val="32"/>
        </w:rPr>
      </w:pPr>
      <w:r>
        <w:rPr>
          <w:rFonts w:hint="eastAsia" w:ascii="宋体" w:hAnsi="宋体" w:cs="宋体"/>
          <w:b/>
          <w:bCs/>
          <w:color w:val="auto"/>
          <w:kern w:val="0"/>
          <w:sz w:val="32"/>
          <w:szCs w:val="32"/>
        </w:rPr>
        <w:t>投标邀请</w:t>
      </w:r>
    </w:p>
    <w:p>
      <w:pPr>
        <w:spacing w:line="660" w:lineRule="exact"/>
        <w:jc w:val="center"/>
        <w:rPr>
          <w:rFonts w:ascii="宋体" w:hAnsi="宋体" w:cs="宋体"/>
          <w:b/>
          <w:color w:val="auto"/>
          <w:kern w:val="0"/>
          <w:sz w:val="36"/>
          <w:szCs w:val="36"/>
        </w:rPr>
      </w:pPr>
      <w:r>
        <w:rPr>
          <w:rFonts w:hint="eastAsia" w:ascii="宋体" w:hAnsi="宋体" w:cs="宋体"/>
          <w:b/>
          <w:color w:val="auto"/>
          <w:kern w:val="0"/>
          <w:sz w:val="36"/>
          <w:szCs w:val="36"/>
        </w:rPr>
        <w:t>建安政采公字〔2020〕5号</w:t>
      </w:r>
    </w:p>
    <w:p>
      <w:pPr>
        <w:spacing w:line="660" w:lineRule="exact"/>
        <w:jc w:val="center"/>
        <w:rPr>
          <w:rFonts w:ascii="宋体" w:hAnsi="宋体" w:cs="宋体"/>
          <w:b/>
          <w:color w:val="auto"/>
          <w:sz w:val="36"/>
          <w:szCs w:val="36"/>
        </w:rPr>
      </w:pPr>
      <w:r>
        <w:rPr>
          <w:rFonts w:hint="eastAsia" w:ascii="宋体" w:hAnsi="宋体" w:cs="宋体"/>
          <w:b/>
          <w:color w:val="auto"/>
          <w:kern w:val="0"/>
          <w:sz w:val="36"/>
          <w:szCs w:val="36"/>
        </w:rPr>
        <w:t>许昌市自然资源和规划局建安区分局</w:t>
      </w:r>
    </w:p>
    <w:p>
      <w:pPr>
        <w:spacing w:line="660" w:lineRule="exact"/>
        <w:jc w:val="center"/>
        <w:rPr>
          <w:rFonts w:ascii="宋体" w:hAnsi="宋体" w:cs="宋体"/>
          <w:b/>
          <w:color w:val="auto"/>
          <w:kern w:val="0"/>
          <w:sz w:val="36"/>
          <w:szCs w:val="36"/>
        </w:rPr>
      </w:pPr>
      <w:r>
        <w:rPr>
          <w:rFonts w:hint="eastAsia" w:ascii="宋体" w:hAnsi="宋体" w:cs="宋体"/>
          <w:b/>
          <w:color w:val="auto"/>
          <w:kern w:val="0"/>
          <w:sz w:val="36"/>
          <w:szCs w:val="36"/>
        </w:rPr>
        <w:t>建安区永久基本农田核实整改补划及储备区划定项目</w:t>
      </w:r>
    </w:p>
    <w:p>
      <w:pPr>
        <w:spacing w:line="660" w:lineRule="exact"/>
        <w:jc w:val="center"/>
        <w:rPr>
          <w:rFonts w:ascii="宋体" w:hAnsi="宋体" w:cs="宋体"/>
          <w:b/>
          <w:color w:val="auto"/>
          <w:kern w:val="0"/>
          <w:sz w:val="36"/>
          <w:szCs w:val="36"/>
        </w:rPr>
      </w:pPr>
      <w:r>
        <w:rPr>
          <w:rFonts w:hint="eastAsia" w:ascii="宋体" w:hAnsi="宋体" w:cs="宋体"/>
          <w:b/>
          <w:color w:val="auto"/>
          <w:kern w:val="0"/>
          <w:sz w:val="36"/>
          <w:szCs w:val="36"/>
        </w:rPr>
        <w:t>公开招标公告</w:t>
      </w:r>
    </w:p>
    <w:p>
      <w:pPr>
        <w:pStyle w:val="32"/>
        <w:spacing w:line="520" w:lineRule="exact"/>
        <w:contextualSpacing/>
        <w:rPr>
          <w:rFonts w:ascii="宋体" w:hAnsi="宋体" w:cs="宋体"/>
          <w:b/>
          <w:bCs/>
          <w:color w:val="auto"/>
          <w:sz w:val="28"/>
          <w:szCs w:val="28"/>
        </w:rPr>
      </w:pPr>
      <w:r>
        <w:rPr>
          <w:rFonts w:hint="eastAsia" w:ascii="宋体" w:hAnsi="宋体" w:cs="宋体"/>
          <w:bCs/>
          <w:color w:val="auto"/>
          <w:sz w:val="21"/>
          <w:szCs w:val="21"/>
          <w:shd w:val="clear" w:color="auto" w:fill="FFFFFF"/>
        </w:rPr>
        <w:t xml:space="preserve"> </w:t>
      </w:r>
      <w:r>
        <w:rPr>
          <w:rFonts w:hint="eastAsia" w:ascii="宋体" w:hAnsi="宋体" w:cs="宋体"/>
          <w:bCs/>
          <w:color w:val="auto"/>
          <w:sz w:val="28"/>
          <w:szCs w:val="28"/>
          <w:shd w:val="clear" w:color="auto" w:fill="FFFFFF"/>
        </w:rPr>
        <w:t xml:space="preserve"> </w:t>
      </w:r>
      <w:r>
        <w:rPr>
          <w:rFonts w:hint="eastAsia" w:ascii="宋体" w:hAnsi="宋体" w:cs="宋体"/>
          <w:b/>
          <w:bCs/>
          <w:color w:val="auto"/>
          <w:sz w:val="28"/>
          <w:szCs w:val="28"/>
          <w:shd w:val="clear" w:color="auto" w:fill="FFFFFF"/>
        </w:rPr>
        <w:t>一、项目基本情况</w:t>
      </w:r>
    </w:p>
    <w:p>
      <w:pPr>
        <w:snapToGrid w:val="0"/>
        <w:spacing w:line="360" w:lineRule="auto"/>
        <w:ind w:firstLine="562" w:firstLineChars="200"/>
        <w:rPr>
          <w:rFonts w:ascii="宋体" w:hAnsi="宋体" w:cs="宋体"/>
          <w:color w:val="auto"/>
          <w:sz w:val="28"/>
          <w:szCs w:val="28"/>
          <w:shd w:val="clear" w:color="auto" w:fill="FFFFFF"/>
          <w:lang w:val="zh-CN"/>
        </w:rPr>
      </w:pPr>
      <w:r>
        <w:rPr>
          <w:rFonts w:hint="eastAsia" w:ascii="宋体" w:hAnsi="宋体" w:cs="宋体"/>
          <w:b/>
          <w:bCs/>
          <w:color w:val="auto"/>
          <w:sz w:val="28"/>
          <w:szCs w:val="28"/>
          <w:shd w:val="clear" w:color="auto" w:fill="FFFFFF"/>
          <w:lang w:val="zh-CN"/>
        </w:rPr>
        <w:t>（一）项目名称：</w:t>
      </w:r>
      <w:r>
        <w:rPr>
          <w:rFonts w:hint="eastAsia" w:ascii="宋体" w:hAnsi="宋体" w:cs="宋体"/>
          <w:color w:val="auto"/>
          <w:sz w:val="28"/>
          <w:szCs w:val="28"/>
          <w:shd w:val="clear" w:color="auto" w:fill="FFFFFF"/>
        </w:rPr>
        <w:t>建安区永久基本农田核实整改补划及储备区划定项目</w:t>
      </w:r>
      <w:r>
        <w:rPr>
          <w:rFonts w:hint="eastAsia" w:ascii="宋体" w:hAnsi="宋体" w:cs="宋体"/>
          <w:color w:val="auto"/>
          <w:sz w:val="28"/>
          <w:szCs w:val="28"/>
          <w:shd w:val="clear" w:color="auto" w:fill="FFFFFF"/>
          <w:lang w:val="zh-CN"/>
        </w:rPr>
        <w:t>。</w:t>
      </w:r>
    </w:p>
    <w:p>
      <w:pPr>
        <w:snapToGrid w:val="0"/>
        <w:spacing w:line="360" w:lineRule="auto"/>
        <w:ind w:firstLine="562" w:firstLineChars="200"/>
        <w:rPr>
          <w:rFonts w:ascii="宋体" w:hAnsi="宋体" w:cs="宋体"/>
          <w:color w:val="auto"/>
          <w:sz w:val="28"/>
          <w:szCs w:val="28"/>
          <w:shd w:val="clear" w:color="auto" w:fill="FFFFFF"/>
          <w:lang w:val="zh-CN"/>
        </w:rPr>
      </w:pPr>
      <w:r>
        <w:rPr>
          <w:rFonts w:hint="eastAsia" w:ascii="宋体" w:hAnsi="宋体" w:cs="宋体"/>
          <w:b/>
          <w:bCs/>
          <w:color w:val="auto"/>
          <w:sz w:val="28"/>
          <w:szCs w:val="28"/>
          <w:shd w:val="clear" w:color="auto" w:fill="FFFFFF"/>
          <w:lang w:val="zh-CN"/>
        </w:rPr>
        <w:t>（二）项目编号：</w:t>
      </w:r>
      <w:r>
        <w:rPr>
          <w:rFonts w:hint="eastAsia" w:ascii="宋体" w:hAnsi="宋体" w:cs="宋体"/>
          <w:color w:val="auto"/>
          <w:sz w:val="28"/>
          <w:szCs w:val="28"/>
          <w:shd w:val="clear" w:color="auto" w:fill="FFFFFF"/>
          <w:lang w:val="zh-CN"/>
        </w:rPr>
        <w:t>建安政采公字〔2020〕5号</w:t>
      </w:r>
    </w:p>
    <w:p>
      <w:pPr>
        <w:snapToGrid w:val="0"/>
        <w:spacing w:line="360" w:lineRule="auto"/>
        <w:ind w:firstLine="562" w:firstLineChars="200"/>
        <w:rPr>
          <w:rFonts w:ascii="宋体" w:hAnsi="宋体" w:cs="宋体"/>
          <w:color w:val="auto"/>
          <w:sz w:val="28"/>
          <w:szCs w:val="28"/>
          <w:shd w:val="clear" w:color="auto" w:fill="FFFFFF"/>
          <w:lang w:val="zh-CN"/>
        </w:rPr>
      </w:pPr>
      <w:r>
        <w:rPr>
          <w:rFonts w:hint="eastAsia" w:ascii="宋体" w:hAnsi="宋体" w:cs="宋体"/>
          <w:b/>
          <w:bCs/>
          <w:color w:val="auto"/>
          <w:sz w:val="28"/>
          <w:szCs w:val="28"/>
          <w:shd w:val="clear" w:color="auto" w:fill="FFFFFF"/>
          <w:lang w:val="zh-CN"/>
        </w:rPr>
        <w:t>（三）采购方式：</w:t>
      </w:r>
      <w:r>
        <w:rPr>
          <w:rFonts w:hint="eastAsia" w:ascii="宋体" w:hAnsi="宋体" w:cs="宋体"/>
          <w:color w:val="auto"/>
          <w:sz w:val="28"/>
          <w:szCs w:val="28"/>
          <w:shd w:val="clear" w:color="auto" w:fill="FFFFFF"/>
          <w:lang w:val="zh-CN"/>
        </w:rPr>
        <w:t>公开招标</w:t>
      </w:r>
    </w:p>
    <w:p>
      <w:pPr>
        <w:snapToGrid w:val="0"/>
        <w:spacing w:line="360" w:lineRule="auto"/>
        <w:ind w:firstLine="562" w:firstLineChars="200"/>
        <w:rPr>
          <w:rFonts w:ascii="宋体" w:hAnsi="宋体" w:cs="宋体"/>
          <w:color w:val="auto"/>
          <w:sz w:val="28"/>
          <w:szCs w:val="28"/>
          <w:shd w:val="clear" w:color="auto" w:fill="FFFFFF"/>
        </w:rPr>
      </w:pPr>
      <w:r>
        <w:rPr>
          <w:rFonts w:hint="eastAsia" w:ascii="宋体" w:hAnsi="宋体" w:cs="宋体"/>
          <w:b/>
          <w:bCs/>
          <w:color w:val="auto"/>
          <w:sz w:val="28"/>
          <w:szCs w:val="28"/>
          <w:shd w:val="clear" w:color="auto" w:fill="FFFFFF"/>
        </w:rPr>
        <w:t>（四）</w:t>
      </w:r>
      <w:r>
        <w:rPr>
          <w:rFonts w:hint="eastAsia" w:ascii="宋体" w:hAnsi="宋体" w:cs="宋体"/>
          <w:b/>
          <w:bCs/>
          <w:color w:val="auto"/>
          <w:sz w:val="28"/>
          <w:szCs w:val="28"/>
          <w:shd w:val="clear" w:color="auto" w:fill="FFFFFF"/>
        </w:rPr>
        <w:t>采购内容：</w:t>
      </w:r>
      <w:r>
        <w:rPr>
          <w:rFonts w:hint="eastAsia" w:ascii="宋体" w:hAnsi="宋体" w:cs="宋体"/>
          <w:color w:val="auto"/>
          <w:sz w:val="28"/>
          <w:szCs w:val="28"/>
          <w:shd w:val="clear" w:color="auto" w:fill="FFFFFF"/>
        </w:rPr>
        <w:t>建安区永久基本农田储备区划定及数据库建设、永久基本农田整改补划及数据库更新。</w:t>
      </w:r>
    </w:p>
    <w:p>
      <w:pPr>
        <w:snapToGrid w:val="0"/>
        <w:spacing w:line="360" w:lineRule="auto"/>
        <w:ind w:firstLine="562" w:firstLineChars="200"/>
        <w:rPr>
          <w:rFonts w:ascii="宋体" w:hAnsi="宋体" w:cs="宋体"/>
          <w:color w:val="auto"/>
          <w:sz w:val="28"/>
          <w:szCs w:val="28"/>
          <w:shd w:val="clear" w:color="auto" w:fill="FFFFFF"/>
        </w:rPr>
      </w:pPr>
      <w:r>
        <w:rPr>
          <w:rFonts w:hint="eastAsia" w:ascii="宋体" w:hAnsi="宋体" w:cs="宋体"/>
          <w:b/>
          <w:bCs/>
          <w:color w:val="auto"/>
          <w:sz w:val="28"/>
          <w:szCs w:val="28"/>
          <w:shd w:val="clear" w:color="auto" w:fill="FFFFFF"/>
        </w:rPr>
        <w:t>（五）</w:t>
      </w:r>
      <w:r>
        <w:rPr>
          <w:rFonts w:hint="eastAsia" w:ascii="宋体" w:hAnsi="宋体" w:cs="宋体"/>
          <w:b/>
          <w:bCs/>
          <w:color w:val="auto"/>
          <w:sz w:val="28"/>
          <w:szCs w:val="28"/>
          <w:shd w:val="clear" w:color="auto" w:fill="FFFFFF"/>
          <w:lang w:val="zh-CN"/>
        </w:rPr>
        <w:t>预算金额：</w:t>
      </w:r>
      <w:r>
        <w:rPr>
          <w:rFonts w:hint="eastAsia" w:ascii="宋体" w:hAnsi="宋体" w:cs="宋体"/>
          <w:color w:val="auto"/>
          <w:sz w:val="28"/>
          <w:szCs w:val="28"/>
          <w:shd w:val="clear" w:color="auto" w:fill="FFFFFF"/>
        </w:rPr>
        <w:t>970000元</w:t>
      </w:r>
    </w:p>
    <w:p>
      <w:pPr>
        <w:snapToGrid w:val="0"/>
        <w:spacing w:line="360" w:lineRule="auto"/>
        <w:ind w:firstLine="1405" w:firstLineChars="500"/>
        <w:rPr>
          <w:rFonts w:ascii="宋体" w:hAnsi="宋体" w:cs="宋体"/>
          <w:color w:val="auto"/>
          <w:sz w:val="28"/>
          <w:szCs w:val="28"/>
          <w:shd w:val="clear" w:color="auto" w:fill="FFFFFF"/>
        </w:rPr>
      </w:pPr>
      <w:r>
        <w:rPr>
          <w:rFonts w:hint="eastAsia" w:ascii="宋体" w:hAnsi="宋体" w:cs="宋体"/>
          <w:b/>
          <w:bCs/>
          <w:color w:val="auto"/>
          <w:sz w:val="28"/>
          <w:szCs w:val="28"/>
          <w:shd w:val="clear" w:color="auto" w:fill="FFFFFF"/>
        </w:rPr>
        <w:t>最高限价：</w:t>
      </w:r>
      <w:r>
        <w:rPr>
          <w:rFonts w:hint="eastAsia" w:ascii="宋体" w:hAnsi="宋体" w:cs="宋体"/>
          <w:color w:val="auto"/>
          <w:sz w:val="28"/>
          <w:szCs w:val="28"/>
          <w:shd w:val="clear" w:color="auto" w:fill="FFFFFF"/>
        </w:rPr>
        <w:t>970000元</w:t>
      </w:r>
    </w:p>
    <w:p>
      <w:pPr>
        <w:snapToGrid w:val="0"/>
        <w:spacing w:line="360" w:lineRule="auto"/>
        <w:ind w:firstLine="562" w:firstLineChars="200"/>
        <w:rPr>
          <w:rFonts w:ascii="宋体" w:hAnsi="宋体" w:cs="宋体"/>
          <w:color w:val="auto"/>
          <w:sz w:val="28"/>
          <w:szCs w:val="28"/>
          <w:shd w:val="clear" w:color="auto" w:fill="FFFFFF"/>
          <w:lang w:val="zh-CN"/>
        </w:rPr>
      </w:pPr>
      <w:r>
        <w:rPr>
          <w:rFonts w:hint="eastAsia" w:ascii="宋体" w:hAnsi="宋体" w:cs="宋体"/>
          <w:b/>
          <w:bCs/>
          <w:color w:val="auto"/>
          <w:sz w:val="28"/>
          <w:szCs w:val="28"/>
          <w:shd w:val="clear" w:color="auto" w:fill="FFFFFF"/>
          <w:lang w:val="zh-CN"/>
        </w:rPr>
        <w:t>（</w:t>
      </w:r>
      <w:r>
        <w:rPr>
          <w:rFonts w:hint="eastAsia" w:ascii="宋体" w:hAnsi="宋体" w:cs="宋体"/>
          <w:b/>
          <w:bCs/>
          <w:color w:val="auto"/>
          <w:sz w:val="28"/>
          <w:szCs w:val="28"/>
          <w:shd w:val="clear" w:color="auto" w:fill="FFFFFF"/>
        </w:rPr>
        <w:t>六</w:t>
      </w:r>
      <w:r>
        <w:rPr>
          <w:rFonts w:hint="eastAsia" w:ascii="宋体" w:hAnsi="宋体" w:cs="宋体"/>
          <w:b/>
          <w:bCs/>
          <w:color w:val="auto"/>
          <w:sz w:val="28"/>
          <w:szCs w:val="28"/>
          <w:shd w:val="clear" w:color="auto" w:fill="FFFFFF"/>
          <w:lang w:val="zh-CN"/>
        </w:rPr>
        <w:t>）</w:t>
      </w:r>
      <w:r>
        <w:rPr>
          <w:rFonts w:hint="eastAsia" w:ascii="宋体" w:hAnsi="宋体" w:cs="宋体"/>
          <w:b/>
          <w:bCs/>
          <w:color w:val="auto"/>
          <w:sz w:val="28"/>
          <w:szCs w:val="28"/>
          <w:shd w:val="clear" w:color="auto" w:fill="FFFFFF"/>
        </w:rPr>
        <w:t>交付（服务、完工）时间</w:t>
      </w:r>
      <w:r>
        <w:rPr>
          <w:rFonts w:hint="eastAsia" w:ascii="宋体" w:hAnsi="宋体" w:cs="宋体"/>
          <w:b/>
          <w:bCs/>
          <w:color w:val="auto"/>
          <w:sz w:val="28"/>
          <w:szCs w:val="28"/>
          <w:shd w:val="clear" w:color="auto" w:fill="FFFFFF"/>
          <w:lang w:val="zh-CN"/>
        </w:rPr>
        <w:t>：</w:t>
      </w:r>
      <w:r>
        <w:rPr>
          <w:rFonts w:hint="eastAsia" w:ascii="宋体" w:hAnsi="宋体" w:cs="宋体"/>
          <w:color w:val="auto"/>
          <w:sz w:val="28"/>
          <w:szCs w:val="28"/>
          <w:highlight w:val="none"/>
          <w:shd w:val="clear" w:color="auto" w:fill="FFFFFF"/>
          <w:lang w:eastAsia="zh-CN"/>
        </w:rPr>
        <w:t>合同签订后60日历天</w:t>
      </w:r>
      <w:r>
        <w:rPr>
          <w:rFonts w:hint="eastAsia" w:ascii="宋体" w:hAnsi="宋体" w:cs="宋体"/>
          <w:color w:val="auto"/>
          <w:sz w:val="28"/>
          <w:szCs w:val="28"/>
          <w:shd w:val="clear" w:color="auto" w:fill="FFFFFF"/>
        </w:rPr>
        <w:t>。</w:t>
      </w:r>
    </w:p>
    <w:p>
      <w:pPr>
        <w:snapToGrid w:val="0"/>
        <w:spacing w:line="360" w:lineRule="auto"/>
        <w:ind w:firstLine="562" w:firstLineChars="200"/>
        <w:rPr>
          <w:rFonts w:ascii="仿宋_GB2312" w:eastAsia="仿宋_GB2312" w:cs="仿宋_GB2312"/>
          <w:color w:val="auto"/>
          <w:sz w:val="28"/>
          <w:szCs w:val="28"/>
          <w:shd w:val="clear" w:color="auto" w:fill="FFFFFF"/>
        </w:rPr>
      </w:pPr>
      <w:r>
        <w:rPr>
          <w:rFonts w:hint="eastAsia" w:ascii="宋体" w:hAnsi="宋体" w:cs="宋体"/>
          <w:b/>
          <w:bCs/>
          <w:color w:val="auto"/>
          <w:sz w:val="28"/>
          <w:szCs w:val="28"/>
          <w:shd w:val="clear" w:color="auto" w:fill="FFFFFF"/>
        </w:rPr>
        <w:t>（七）交付（服务、完工）地点：</w:t>
      </w:r>
      <w:r>
        <w:rPr>
          <w:rFonts w:hint="eastAsia" w:ascii="宋体" w:hAnsi="宋体" w:cs="宋体"/>
          <w:color w:val="auto"/>
          <w:sz w:val="28"/>
          <w:szCs w:val="28"/>
          <w:shd w:val="clear" w:color="auto" w:fill="FFFFFF"/>
        </w:rPr>
        <w:t>许昌市建安区。</w:t>
      </w:r>
    </w:p>
    <w:p>
      <w:pPr>
        <w:snapToGrid w:val="0"/>
        <w:spacing w:line="360" w:lineRule="auto"/>
        <w:ind w:firstLine="562" w:firstLineChars="200"/>
        <w:rPr>
          <w:rFonts w:ascii="宋体" w:hAnsi="宋体" w:cs="宋体"/>
          <w:color w:val="auto"/>
          <w:sz w:val="28"/>
          <w:szCs w:val="28"/>
          <w:shd w:val="clear" w:color="auto" w:fill="FFFFFF"/>
        </w:rPr>
      </w:pPr>
      <w:r>
        <w:rPr>
          <w:rFonts w:hint="eastAsia" w:ascii="宋体" w:hAnsi="宋体" w:cs="宋体"/>
          <w:b/>
          <w:bCs/>
          <w:color w:val="auto"/>
          <w:sz w:val="28"/>
          <w:szCs w:val="28"/>
          <w:shd w:val="clear" w:color="auto" w:fill="FFFFFF"/>
        </w:rPr>
        <w:t>（八）质量要求：</w:t>
      </w:r>
      <w:r>
        <w:rPr>
          <w:rFonts w:hint="eastAsia" w:ascii="宋体" w:hAnsi="宋体" w:cs="宋体"/>
          <w:color w:val="auto"/>
          <w:sz w:val="28"/>
          <w:szCs w:val="28"/>
          <w:shd w:val="clear" w:color="auto" w:fill="FFFFFF"/>
        </w:rPr>
        <w:t>达到上级验收合格标准。</w:t>
      </w:r>
    </w:p>
    <w:p>
      <w:pPr>
        <w:snapToGrid w:val="0"/>
        <w:spacing w:line="360" w:lineRule="auto"/>
        <w:ind w:firstLine="562" w:firstLineChars="200"/>
        <w:rPr>
          <w:rFonts w:ascii="宋体" w:hAnsi="宋体" w:cs="宋体"/>
          <w:color w:val="auto"/>
          <w:sz w:val="28"/>
          <w:szCs w:val="28"/>
          <w:shd w:val="clear" w:color="auto" w:fill="FFFFFF"/>
        </w:rPr>
      </w:pPr>
      <w:r>
        <w:rPr>
          <w:rFonts w:hint="eastAsia" w:ascii="宋体" w:hAnsi="宋体" w:cs="宋体"/>
          <w:b/>
          <w:bCs/>
          <w:color w:val="auto"/>
          <w:sz w:val="28"/>
          <w:szCs w:val="28"/>
          <w:shd w:val="clear" w:color="auto" w:fill="FFFFFF"/>
        </w:rPr>
        <w:t>（九）</w:t>
      </w:r>
      <w:r>
        <w:rPr>
          <w:rFonts w:hint="eastAsia" w:ascii="宋体" w:hAnsi="宋体" w:cs="宋体"/>
          <w:b/>
          <w:bCs/>
          <w:color w:val="auto"/>
          <w:sz w:val="28"/>
          <w:szCs w:val="28"/>
          <w:shd w:val="clear" w:color="auto" w:fill="FFFFFF"/>
          <w:lang w:val="zh-CN"/>
        </w:rPr>
        <w:t>分包：</w:t>
      </w:r>
      <w:r>
        <w:rPr>
          <w:rFonts w:hint="eastAsia" w:ascii="宋体" w:hAnsi="宋体" w:cs="宋体"/>
          <w:color w:val="auto"/>
          <w:sz w:val="28"/>
          <w:szCs w:val="28"/>
          <w:shd w:val="clear" w:color="auto" w:fill="FFFFFF"/>
          <w:lang w:val="zh-CN"/>
        </w:rPr>
        <w:t>不允许。</w:t>
      </w:r>
    </w:p>
    <w:p>
      <w:pPr>
        <w:pStyle w:val="32"/>
        <w:spacing w:line="520" w:lineRule="exact"/>
        <w:contextualSpacing/>
        <w:rPr>
          <w:rFonts w:ascii="宋体" w:hAnsi="宋体" w:cs="宋体"/>
          <w:b/>
          <w:bCs/>
          <w:color w:val="auto"/>
          <w:sz w:val="28"/>
          <w:szCs w:val="28"/>
          <w:shd w:val="clear" w:color="auto" w:fill="FFFFFF"/>
        </w:rPr>
      </w:pPr>
      <w:r>
        <w:rPr>
          <w:rFonts w:hint="eastAsia" w:ascii="宋体" w:hAnsi="宋体" w:cs="宋体"/>
          <w:b/>
          <w:bCs/>
          <w:color w:val="auto"/>
          <w:sz w:val="28"/>
          <w:szCs w:val="28"/>
          <w:shd w:val="clear" w:color="auto" w:fill="FFFFFF"/>
        </w:rPr>
        <w:t>二、需要落实的政府采购政策</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shd w:val="clear" w:color="auto" w:fill="FFFFFF"/>
        </w:rPr>
        <w:t>本项目落实中小微型企业、监狱企业、残疾人福利性单位扶持等相关政府采购政策。</w:t>
      </w:r>
    </w:p>
    <w:p>
      <w:pPr>
        <w:pStyle w:val="32"/>
        <w:numPr>
          <w:ilvl w:val="0"/>
          <w:numId w:val="5"/>
        </w:numPr>
        <w:spacing w:line="360" w:lineRule="auto"/>
        <w:contextualSpacing/>
        <w:rPr>
          <w:rFonts w:ascii="宋体" w:hAnsi="宋体" w:cs="宋体"/>
          <w:b/>
          <w:bCs/>
          <w:color w:val="auto"/>
          <w:sz w:val="28"/>
          <w:szCs w:val="28"/>
          <w:shd w:val="clear" w:color="auto" w:fill="FFFFFF"/>
        </w:rPr>
      </w:pPr>
      <w:r>
        <w:rPr>
          <w:rFonts w:hint="eastAsia" w:ascii="宋体" w:hAnsi="宋体" w:cs="宋体"/>
          <w:b/>
          <w:bCs/>
          <w:color w:val="auto"/>
          <w:sz w:val="28"/>
          <w:szCs w:val="28"/>
          <w:shd w:val="clear" w:color="auto" w:fill="FFFFFF"/>
        </w:rPr>
        <w:t>投标人资格要求</w:t>
      </w:r>
    </w:p>
    <w:p>
      <w:pPr>
        <w:pStyle w:val="32"/>
        <w:widowControl/>
        <w:numPr>
          <w:ilvl w:val="0"/>
          <w:numId w:val="6"/>
        </w:numPr>
        <w:shd w:val="clear" w:color="auto" w:fill="FFFFFF"/>
        <w:spacing w:line="360" w:lineRule="auto"/>
        <w:ind w:firstLine="42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符合《中华人民共和国政府采购法》第二十二条之规定；</w:t>
      </w:r>
    </w:p>
    <w:p>
      <w:pPr>
        <w:pStyle w:val="32"/>
        <w:widowControl/>
        <w:shd w:val="clear" w:color="auto" w:fill="FFFFFF"/>
        <w:spacing w:line="360" w:lineRule="auto"/>
        <w:ind w:firstLine="42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（二）投标单位须同时具备测绘主管部门颁发的测绘甲级资质、土地学会颁发的土地规划乙级（含）以上资质和农林行业（农业综合开发生态工程）专业乙级（含）以上资质 ，项目负责人须具有土地管理或测绘专业中级（含中级）及以上技术职称。</w:t>
      </w:r>
    </w:p>
    <w:p>
      <w:pPr>
        <w:widowControl/>
        <w:snapToGrid w:val="0"/>
        <w:spacing w:before="226" w:line="360" w:lineRule="auto"/>
        <w:ind w:firstLine="281"/>
        <w:jc w:val="left"/>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（三）未被列入“信用中国</w:t>
      </w:r>
      <w:r>
        <w:rPr>
          <w:rFonts w:ascii="宋体" w:hAnsi="宋体" w:cs="宋体"/>
          <w:color w:val="auto"/>
          <w:sz w:val="28"/>
          <w:szCs w:val="28"/>
          <w:shd w:val="clear" w:color="auto" w:fill="FFFFFF"/>
        </w:rPr>
        <w:t>”</w:t>
      </w:r>
      <w:r>
        <w:rPr>
          <w:rFonts w:hint="eastAsia" w:ascii="宋体" w:hAnsi="宋体" w:cs="宋体"/>
          <w:color w:val="auto"/>
          <w:sz w:val="28"/>
          <w:szCs w:val="28"/>
          <w:shd w:val="clear" w:color="auto" w:fill="FFFFFF"/>
        </w:rPr>
        <w:t>网站</w:t>
      </w:r>
      <w:r>
        <w:rPr>
          <w:rFonts w:ascii="宋体" w:hAnsi="宋体" w:cs="宋体"/>
          <w:color w:val="auto"/>
          <w:sz w:val="28"/>
          <w:szCs w:val="28"/>
          <w:shd w:val="clear" w:color="auto" w:fill="FFFFFF"/>
        </w:rPr>
        <w:t>(www.creditchina.gov.cn)</w:t>
      </w:r>
      <w:r>
        <w:rPr>
          <w:rFonts w:hint="eastAsia" w:ascii="宋体" w:hAnsi="宋体" w:cs="宋体"/>
          <w:color w:val="auto"/>
          <w:sz w:val="28"/>
          <w:szCs w:val="28"/>
          <w:shd w:val="clear" w:color="auto" w:fill="FFFFFF"/>
        </w:rPr>
        <w:t>失信被执行人、重大税收违法案件当事人名单；</w:t>
      </w:r>
      <w:r>
        <w:rPr>
          <w:rFonts w:ascii="宋体" w:hAnsi="宋体" w:cs="宋体"/>
          <w:color w:val="auto"/>
          <w:sz w:val="28"/>
          <w:szCs w:val="28"/>
          <w:shd w:val="clear" w:color="auto" w:fill="FFFFFF"/>
        </w:rPr>
        <w:t>“</w:t>
      </w:r>
      <w:r>
        <w:rPr>
          <w:rFonts w:hint="eastAsia" w:ascii="宋体" w:hAnsi="宋体" w:cs="宋体"/>
          <w:color w:val="auto"/>
          <w:sz w:val="28"/>
          <w:szCs w:val="28"/>
          <w:shd w:val="clear" w:color="auto" w:fill="FFFFFF"/>
        </w:rPr>
        <w:t>中国政府采购网</w:t>
      </w:r>
      <w:r>
        <w:rPr>
          <w:rFonts w:ascii="宋体" w:hAnsi="宋体" w:cs="宋体"/>
          <w:color w:val="auto"/>
          <w:sz w:val="28"/>
          <w:szCs w:val="28"/>
          <w:shd w:val="clear" w:color="auto" w:fill="FFFFFF"/>
        </w:rPr>
        <w:t>” (www.ccgp.gov.cn)</w:t>
      </w:r>
      <w:r>
        <w:rPr>
          <w:rFonts w:hint="eastAsia" w:ascii="宋体" w:hAnsi="宋体" w:cs="宋体"/>
          <w:color w:val="auto"/>
          <w:sz w:val="28"/>
          <w:szCs w:val="28"/>
          <w:shd w:val="clear" w:color="auto" w:fill="FFFFFF"/>
        </w:rPr>
        <w:t>政府采购严重违法失信行为记录名单的投标人；</w:t>
      </w:r>
      <w:r>
        <w:rPr>
          <w:rFonts w:ascii="宋体" w:hAnsi="宋体" w:cs="宋体"/>
          <w:color w:val="auto"/>
          <w:sz w:val="28"/>
          <w:szCs w:val="28"/>
          <w:shd w:val="clear" w:color="auto" w:fill="FFFFFF"/>
        </w:rPr>
        <w:t>“</w:t>
      </w:r>
      <w:r>
        <w:rPr>
          <w:rFonts w:hint="eastAsia" w:ascii="宋体" w:hAnsi="宋体" w:cs="宋体"/>
          <w:color w:val="auto"/>
          <w:sz w:val="28"/>
          <w:szCs w:val="28"/>
          <w:shd w:val="clear" w:color="auto" w:fill="FFFFFF"/>
        </w:rPr>
        <w:t>中国社会组织公共服务平台</w:t>
      </w:r>
      <w:r>
        <w:rPr>
          <w:rFonts w:ascii="宋体" w:hAnsi="宋体" w:cs="宋体"/>
          <w:color w:val="auto"/>
          <w:sz w:val="28"/>
          <w:szCs w:val="28"/>
          <w:shd w:val="clear" w:color="auto" w:fill="FFFFFF"/>
        </w:rPr>
        <w:t>”</w:t>
      </w:r>
      <w:r>
        <w:rPr>
          <w:rFonts w:hint="eastAsia" w:ascii="宋体" w:hAnsi="宋体" w:cs="宋体"/>
          <w:color w:val="auto"/>
          <w:sz w:val="28"/>
          <w:szCs w:val="28"/>
          <w:shd w:val="clear" w:color="auto" w:fill="FFFFFF"/>
        </w:rPr>
        <w:t>网站（</w:t>
      </w:r>
      <w:r>
        <w:rPr>
          <w:rFonts w:ascii="宋体" w:hAnsi="宋体" w:cs="宋体"/>
          <w:color w:val="auto"/>
          <w:sz w:val="28"/>
          <w:szCs w:val="28"/>
          <w:shd w:val="clear" w:color="auto" w:fill="FFFFFF"/>
        </w:rPr>
        <w:t>www.chinanpo.gov.cn</w:t>
      </w:r>
      <w:r>
        <w:rPr>
          <w:rFonts w:hint="eastAsia" w:ascii="宋体" w:hAnsi="宋体" w:cs="宋体"/>
          <w:color w:val="auto"/>
          <w:sz w:val="28"/>
          <w:szCs w:val="28"/>
          <w:shd w:val="clear" w:color="auto" w:fill="FFFFFF"/>
        </w:rPr>
        <w:t>）严重违法失信名单的社会组织。</w:t>
      </w:r>
    </w:p>
    <w:p>
      <w:pPr>
        <w:pStyle w:val="32"/>
        <w:widowControl/>
        <w:shd w:val="clear" w:color="auto" w:fill="FFFFFF"/>
        <w:spacing w:line="360" w:lineRule="auto"/>
        <w:ind w:firstLine="42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（四）本次招标不接受联合体投标，不允许分包和转包。</w:t>
      </w:r>
    </w:p>
    <w:p>
      <w:pPr>
        <w:pStyle w:val="32"/>
        <w:spacing w:line="360" w:lineRule="auto"/>
        <w:contextualSpacing/>
        <w:rPr>
          <w:rFonts w:ascii="宋体" w:hAnsi="宋体" w:cs="宋体"/>
          <w:b/>
          <w:bCs/>
          <w:color w:val="auto"/>
          <w:sz w:val="28"/>
          <w:szCs w:val="28"/>
          <w:shd w:val="clear" w:color="auto" w:fill="FFFFFF"/>
        </w:rPr>
      </w:pPr>
      <w:r>
        <w:rPr>
          <w:rFonts w:hint="eastAsia" w:ascii="宋体" w:hAnsi="宋体" w:cs="宋体"/>
          <w:b/>
          <w:bCs/>
          <w:color w:val="auto"/>
          <w:sz w:val="28"/>
          <w:szCs w:val="28"/>
          <w:shd w:val="clear" w:color="auto" w:fill="FFFFFF"/>
        </w:rPr>
        <w:t>四、招标文件的获取</w:t>
      </w:r>
    </w:p>
    <w:p>
      <w:pPr>
        <w:pStyle w:val="32"/>
        <w:spacing w:line="360" w:lineRule="auto"/>
        <w:ind w:firstLine="281" w:firstLineChars="100"/>
        <w:contextualSpacing/>
        <w:rPr>
          <w:rFonts w:ascii="宋体" w:hAnsi="宋体" w:cs="宋体"/>
          <w:b/>
          <w:bCs/>
          <w:color w:val="auto"/>
          <w:kern w:val="2"/>
          <w:sz w:val="28"/>
          <w:szCs w:val="28"/>
          <w:shd w:val="clear" w:color="auto" w:fill="FFFFFF"/>
        </w:rPr>
      </w:pPr>
      <w:r>
        <w:rPr>
          <w:rFonts w:hint="eastAsia" w:ascii="宋体" w:hAnsi="宋体" w:cs="宋体"/>
          <w:b/>
          <w:bCs/>
          <w:color w:val="auto"/>
          <w:kern w:val="2"/>
          <w:sz w:val="28"/>
          <w:szCs w:val="28"/>
          <w:shd w:val="clear" w:color="auto" w:fill="FFFFFF"/>
        </w:rPr>
        <w:t xml:space="preserve">（一）网上下载招标文件 </w:t>
      </w:r>
    </w:p>
    <w:p>
      <w:pPr>
        <w:widowControl/>
        <w:spacing w:line="360" w:lineRule="auto"/>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1</w:t>
      </w:r>
      <w:r>
        <w:rPr>
          <w:rFonts w:hint="eastAsia" w:ascii="宋体" w:hAnsi="宋体" w:cs="宋体"/>
          <w:color w:val="auto"/>
          <w:sz w:val="28"/>
          <w:szCs w:val="28"/>
          <w:shd w:val="clear" w:color="auto" w:fill="FFFFFF"/>
          <w:lang w:val="zh-CN"/>
        </w:rPr>
        <w:t>、持</w:t>
      </w:r>
      <w:r>
        <w:rPr>
          <w:rFonts w:hint="eastAsia" w:ascii="宋体" w:hAnsi="宋体" w:cs="宋体"/>
          <w:color w:val="auto"/>
          <w:sz w:val="28"/>
          <w:szCs w:val="28"/>
          <w:shd w:val="clear" w:color="auto" w:fill="FFFFFF"/>
        </w:rPr>
        <w:t>CA</w:t>
      </w:r>
      <w:r>
        <w:rPr>
          <w:rFonts w:hint="eastAsia" w:ascii="宋体" w:hAnsi="宋体" w:cs="宋体"/>
          <w:color w:val="auto"/>
          <w:sz w:val="28"/>
          <w:szCs w:val="28"/>
          <w:shd w:val="clear" w:color="auto" w:fill="FFFFFF"/>
          <w:lang w:val="zh-CN"/>
        </w:rPr>
        <w:t>数字认证证书</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登录《全国公共资源交易平台</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河南省</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许</w:t>
      </w:r>
      <w:r>
        <w:rPr>
          <w:rFonts w:hint="eastAsia" w:ascii="宋体" w:hAnsi="宋体" w:cs="宋体"/>
          <w:snapToGrid w:val="0"/>
          <w:color w:val="auto"/>
          <w:spacing w:val="-40"/>
          <w:kern w:val="0"/>
          <w:sz w:val="28"/>
          <w:szCs w:val="28"/>
          <w:shd w:val="clear" w:color="auto" w:fill="FFFFFF"/>
          <w:lang w:val="zh-CN"/>
        </w:rPr>
        <w:t>昌市</w:t>
      </w:r>
      <w:r>
        <w:rPr>
          <w:rFonts w:hint="eastAsia" w:ascii="宋体" w:hAnsi="宋体" w:cs="宋体"/>
          <w:snapToGrid w:val="0"/>
          <w:color w:val="auto"/>
          <w:spacing w:val="-40"/>
          <w:kern w:val="0"/>
          <w:sz w:val="28"/>
          <w:szCs w:val="28"/>
          <w:shd w:val="clear" w:color="auto" w:fill="FFFFFF"/>
        </w:rPr>
        <w:t>）</w:t>
      </w:r>
      <w:r>
        <w:rPr>
          <w:rFonts w:hint="eastAsia" w:ascii="宋体" w:hAnsi="宋体" w:cs="宋体"/>
          <w:snapToGrid w:val="0"/>
          <w:color w:val="auto"/>
          <w:spacing w:val="-40"/>
          <w:kern w:val="0"/>
          <w:sz w:val="28"/>
          <w:szCs w:val="28"/>
          <w:shd w:val="clear" w:color="auto" w:fill="FFFFFF"/>
          <w:lang w:val="zh-CN"/>
        </w:rPr>
        <w:t>》</w:t>
      </w:r>
      <w:r>
        <w:rPr>
          <w:rFonts w:hint="eastAsia" w:ascii="宋体" w:hAnsi="宋体" w:cs="宋体"/>
          <w:snapToGrid w:val="0"/>
          <w:color w:val="auto"/>
          <w:spacing w:val="-40"/>
          <w:kern w:val="0"/>
          <w:sz w:val="28"/>
          <w:szCs w:val="28"/>
          <w:shd w:val="clear" w:color="auto" w:fill="FFFFFF"/>
        </w:rPr>
        <w:t>“</w:t>
      </w:r>
      <w:r>
        <w:rPr>
          <w:rFonts w:hint="eastAsia" w:ascii="宋体" w:hAnsi="宋体" w:cs="宋体"/>
          <w:snapToGrid w:val="0"/>
          <w:color w:val="auto"/>
          <w:spacing w:val="-40"/>
          <w:kern w:val="0"/>
          <w:sz w:val="28"/>
          <w:szCs w:val="28"/>
          <w:shd w:val="clear" w:color="auto" w:fill="FFFFFF"/>
          <w:lang w:val="zh-CN"/>
        </w:rPr>
        <w:t>系统用户注册</w:t>
      </w:r>
      <w:r>
        <w:rPr>
          <w:rFonts w:hint="eastAsia" w:ascii="宋体" w:hAnsi="宋体" w:cs="宋体"/>
          <w:snapToGrid w:val="0"/>
          <w:color w:val="auto"/>
          <w:spacing w:val="-40"/>
          <w:kern w:val="0"/>
          <w:sz w:val="28"/>
          <w:szCs w:val="28"/>
          <w:shd w:val="clear" w:color="auto" w:fill="FFFFFF"/>
        </w:rPr>
        <w:t>”</w:t>
      </w:r>
      <w:r>
        <w:rPr>
          <w:rFonts w:hint="eastAsia" w:ascii="宋体" w:hAnsi="宋体" w:cs="宋体"/>
          <w:snapToGrid w:val="0"/>
          <w:color w:val="auto"/>
          <w:spacing w:val="-40"/>
          <w:kern w:val="0"/>
          <w:sz w:val="28"/>
          <w:szCs w:val="28"/>
          <w:shd w:val="clear" w:color="auto" w:fill="FFFFFF"/>
          <w:lang w:val="zh-CN"/>
        </w:rPr>
        <w:t>入口</w:t>
      </w:r>
      <w:r>
        <w:rPr>
          <w:rFonts w:hint="eastAsia" w:ascii="宋体" w:hAnsi="宋体" w:cs="宋体"/>
          <w:color w:val="auto"/>
          <w:sz w:val="28"/>
          <w:szCs w:val="28"/>
          <w:shd w:val="clear" w:color="auto" w:fill="FFFFFF"/>
        </w:rPr>
        <w:t>http://221.14.6.70:8088/ggzy/eps/public/RegistAllJcxx.html）</w:t>
      </w:r>
      <w:r>
        <w:rPr>
          <w:rFonts w:hint="eastAsia" w:ascii="宋体" w:hAnsi="宋体" w:cs="宋体"/>
          <w:color w:val="auto"/>
          <w:sz w:val="28"/>
          <w:szCs w:val="28"/>
          <w:shd w:val="clear" w:color="auto" w:fill="FFFFFF"/>
          <w:lang w:val="zh-CN"/>
        </w:rPr>
        <w:t>进行免费注册登记</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详见</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常见问题解答</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诚信库网上注册相关资料下载</w:t>
      </w:r>
      <w:r>
        <w:rPr>
          <w:rFonts w:hint="eastAsia" w:ascii="宋体" w:hAnsi="宋体" w:cs="宋体"/>
          <w:color w:val="auto"/>
          <w:sz w:val="28"/>
          <w:szCs w:val="28"/>
          <w:shd w:val="clear" w:color="auto" w:fill="FFFFFF"/>
        </w:rPr>
        <w:t>”）；</w:t>
      </w:r>
    </w:p>
    <w:p>
      <w:pPr>
        <w:widowControl/>
        <w:spacing w:line="360" w:lineRule="auto"/>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2</w:t>
      </w:r>
      <w:r>
        <w:rPr>
          <w:rFonts w:hint="eastAsia" w:ascii="宋体" w:hAnsi="宋体" w:cs="宋体"/>
          <w:color w:val="auto"/>
          <w:sz w:val="28"/>
          <w:szCs w:val="28"/>
          <w:shd w:val="clear" w:color="auto" w:fill="FFFFFF"/>
          <w:lang w:val="zh-CN"/>
        </w:rPr>
        <w:t>、在投标截止时间前均可登录【全国公共资源交易平台</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河南省</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许昌市</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投标人</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供应商登录</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入口</w:t>
      </w:r>
      <w:r>
        <w:rPr>
          <w:rFonts w:hint="eastAsia" w:ascii="宋体" w:hAnsi="宋体" w:cs="宋体"/>
          <w:color w:val="auto"/>
          <w:sz w:val="28"/>
          <w:szCs w:val="28"/>
          <w:shd w:val="clear" w:color="auto" w:fill="FFFFFF"/>
        </w:rPr>
        <w:t>（http://221.14.6.70:8088/ggzy/）</w:t>
      </w:r>
      <w:r>
        <w:rPr>
          <w:rFonts w:hint="eastAsia" w:ascii="宋体" w:hAnsi="宋体" w:cs="宋体"/>
          <w:color w:val="auto"/>
          <w:sz w:val="28"/>
          <w:szCs w:val="28"/>
          <w:shd w:val="clear" w:color="auto" w:fill="FFFFFF"/>
          <w:lang w:val="zh-CN"/>
        </w:rPr>
        <w:t>自行下载招标文件</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详见</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常见问题解答</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交易系统操作手册</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zh-CN"/>
        </w:rPr>
        <w:t>。</w:t>
      </w:r>
    </w:p>
    <w:p>
      <w:pPr>
        <w:widowControl/>
        <w:spacing w:line="360" w:lineRule="auto"/>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lang w:val="zh-CN"/>
        </w:rPr>
        <w:t>3、未通过全国公共资源交易平台（河南省·许昌市）下载招标文件的投标企业，拒收其递交的投标文件。</w:t>
      </w:r>
    </w:p>
    <w:p>
      <w:pPr>
        <w:widowControl/>
        <w:spacing w:line="360" w:lineRule="auto"/>
        <w:ind w:firstLine="281" w:firstLineChars="100"/>
        <w:rPr>
          <w:rFonts w:ascii="宋体" w:hAnsi="宋体" w:cs="宋体"/>
          <w:color w:val="auto"/>
          <w:sz w:val="28"/>
          <w:szCs w:val="28"/>
          <w:shd w:val="clear" w:color="auto" w:fill="FFFFFF"/>
        </w:rPr>
      </w:pPr>
      <w:r>
        <w:rPr>
          <w:rFonts w:hint="eastAsia" w:ascii="宋体" w:hAnsi="宋体" w:cs="宋体"/>
          <w:b/>
          <w:bCs/>
          <w:color w:val="auto"/>
          <w:sz w:val="28"/>
          <w:szCs w:val="28"/>
          <w:shd w:val="clear" w:color="auto" w:fill="FFFFFF"/>
        </w:rPr>
        <w:t>（二）</w:t>
      </w:r>
      <w:r>
        <w:rPr>
          <w:rFonts w:hint="eastAsia" w:ascii="宋体" w:hAnsi="宋体" w:cs="宋体"/>
          <w:color w:val="auto"/>
          <w:sz w:val="28"/>
          <w:szCs w:val="28"/>
          <w:shd w:val="clear" w:color="auto" w:fill="FFFFFF"/>
        </w:rPr>
        <w:t>招标文件售价100元/套，投标人在递交投标文件时向采购代理机构交纳采购文件费用，售后不退。</w:t>
      </w:r>
    </w:p>
    <w:p>
      <w:pPr>
        <w:pStyle w:val="32"/>
        <w:spacing w:line="360" w:lineRule="auto"/>
        <w:contextualSpacing/>
        <w:rPr>
          <w:rFonts w:ascii="宋体" w:hAnsi="宋体" w:cs="宋体"/>
          <w:b/>
          <w:bCs/>
          <w:color w:val="auto"/>
          <w:sz w:val="28"/>
          <w:szCs w:val="28"/>
          <w:shd w:val="clear" w:color="auto" w:fill="FFFFFF"/>
        </w:rPr>
      </w:pPr>
      <w:r>
        <w:rPr>
          <w:rFonts w:hint="eastAsia" w:ascii="宋体" w:hAnsi="宋体" w:cs="宋体"/>
          <w:b/>
          <w:bCs/>
          <w:color w:val="auto"/>
          <w:sz w:val="28"/>
          <w:szCs w:val="28"/>
          <w:shd w:val="clear" w:color="auto" w:fill="FFFFFF"/>
        </w:rPr>
        <w:t>五、投标截止时间、开标时间及地点</w:t>
      </w:r>
    </w:p>
    <w:p>
      <w:pPr>
        <w:snapToGrid w:val="0"/>
        <w:spacing w:line="360" w:lineRule="auto"/>
        <w:ind w:firstLine="281" w:firstLineChars="100"/>
        <w:rPr>
          <w:rFonts w:ascii="宋体" w:hAnsi="宋体" w:cs="宋体"/>
          <w:color w:val="auto"/>
          <w:sz w:val="28"/>
          <w:szCs w:val="28"/>
          <w:shd w:val="clear" w:color="auto" w:fill="FFFFFF"/>
          <w:lang w:val="zh-CN"/>
        </w:rPr>
      </w:pPr>
      <w:r>
        <w:rPr>
          <w:rFonts w:hint="eastAsia" w:ascii="宋体" w:hAnsi="宋体" w:cs="宋体"/>
          <w:b/>
          <w:bCs/>
          <w:color w:val="auto"/>
          <w:sz w:val="28"/>
          <w:szCs w:val="28"/>
          <w:shd w:val="clear" w:color="auto" w:fill="FFFFFF"/>
          <w:lang w:val="zh-CN"/>
        </w:rPr>
        <w:t>（一）投标截止及开标时间：</w:t>
      </w:r>
      <w:r>
        <w:rPr>
          <w:rFonts w:hint="eastAsia" w:ascii="宋体" w:hAnsi="宋体" w:cs="宋体"/>
          <w:color w:val="auto"/>
          <w:sz w:val="28"/>
          <w:szCs w:val="28"/>
          <w:shd w:val="clear" w:color="auto" w:fill="FFFFFF"/>
          <w:lang w:val="zh-CN"/>
        </w:rPr>
        <w:t>20</w:t>
      </w:r>
      <w:r>
        <w:rPr>
          <w:rFonts w:hint="eastAsia" w:ascii="宋体" w:hAnsi="宋体" w:cs="宋体"/>
          <w:color w:val="auto"/>
          <w:sz w:val="28"/>
          <w:szCs w:val="28"/>
          <w:shd w:val="clear" w:color="auto" w:fill="FFFFFF"/>
        </w:rPr>
        <w:t>20</w:t>
      </w:r>
      <w:r>
        <w:rPr>
          <w:rFonts w:hint="eastAsia" w:ascii="宋体" w:hAnsi="宋体" w:cs="宋体"/>
          <w:color w:val="auto"/>
          <w:sz w:val="28"/>
          <w:szCs w:val="28"/>
          <w:shd w:val="clear" w:color="auto" w:fill="FFFFFF"/>
          <w:lang w:val="zh-CN"/>
        </w:rPr>
        <w:t>年</w:t>
      </w:r>
      <w:r>
        <w:rPr>
          <w:rFonts w:hint="eastAsia" w:ascii="宋体" w:hAnsi="宋体" w:cs="宋体"/>
          <w:color w:val="auto"/>
          <w:sz w:val="28"/>
          <w:szCs w:val="28"/>
          <w:shd w:val="clear" w:color="auto" w:fill="FFFFFF"/>
        </w:rPr>
        <w:t>2</w:t>
      </w:r>
      <w:r>
        <w:rPr>
          <w:rFonts w:hint="eastAsia" w:ascii="宋体" w:hAnsi="宋体" w:cs="宋体"/>
          <w:color w:val="auto"/>
          <w:sz w:val="28"/>
          <w:szCs w:val="28"/>
          <w:shd w:val="clear" w:color="auto" w:fill="FFFFFF"/>
          <w:lang w:val="zh-CN"/>
        </w:rPr>
        <w:t>月</w:t>
      </w:r>
      <w:r>
        <w:rPr>
          <w:rFonts w:hint="eastAsia" w:ascii="宋体" w:hAnsi="宋体" w:cs="宋体"/>
          <w:color w:val="auto"/>
          <w:sz w:val="28"/>
          <w:szCs w:val="28"/>
          <w:shd w:val="clear" w:color="auto" w:fill="FFFFFF"/>
        </w:rPr>
        <w:t>10</w:t>
      </w:r>
      <w:r>
        <w:rPr>
          <w:rFonts w:hint="eastAsia" w:ascii="宋体" w:hAnsi="宋体" w:cs="宋体"/>
          <w:color w:val="auto"/>
          <w:sz w:val="28"/>
          <w:szCs w:val="28"/>
          <w:shd w:val="clear" w:color="auto" w:fill="FFFFFF"/>
          <w:lang w:val="zh-CN"/>
        </w:rPr>
        <w:t>日9时30分</w:t>
      </w:r>
      <w:r>
        <w:rPr>
          <w:rFonts w:hint="eastAsia" w:ascii="宋体" w:hAnsi="宋体" w:cs="宋体"/>
          <w:color w:val="auto"/>
          <w:sz w:val="28"/>
          <w:szCs w:val="28"/>
          <w:shd w:val="clear" w:color="auto" w:fill="FFFFFF"/>
          <w:lang w:val="zh-CN"/>
        </w:rPr>
        <w:t>（北京时间），逾期提交或不符合规定的投标文件不予接受。</w:t>
      </w:r>
    </w:p>
    <w:p>
      <w:pPr>
        <w:snapToGrid w:val="0"/>
        <w:spacing w:line="360" w:lineRule="auto"/>
        <w:ind w:firstLine="281" w:firstLineChars="100"/>
        <w:rPr>
          <w:rFonts w:ascii="宋体" w:hAnsi="宋体" w:cs="宋体"/>
          <w:color w:val="auto"/>
          <w:sz w:val="28"/>
          <w:szCs w:val="28"/>
          <w:shd w:val="clear" w:color="auto" w:fill="FFFFFF"/>
          <w:lang w:val="zh-CN"/>
        </w:rPr>
      </w:pPr>
      <w:r>
        <w:rPr>
          <w:rFonts w:hint="eastAsia" w:ascii="宋体" w:hAnsi="宋体" w:cs="宋体"/>
          <w:b/>
          <w:bCs/>
          <w:color w:val="auto"/>
          <w:sz w:val="28"/>
          <w:szCs w:val="28"/>
          <w:shd w:val="clear" w:color="auto" w:fill="FFFFFF"/>
          <w:lang w:val="zh-CN"/>
        </w:rPr>
        <w:t>（二）开标地点：</w:t>
      </w:r>
      <w:r>
        <w:rPr>
          <w:rFonts w:hint="eastAsia" w:ascii="宋体" w:hAnsi="宋体" w:cs="宋体"/>
          <w:color w:val="auto"/>
          <w:sz w:val="28"/>
          <w:szCs w:val="28"/>
          <w:shd w:val="clear" w:color="auto" w:fill="FFFFFF"/>
          <w:lang w:val="zh-CN"/>
        </w:rPr>
        <w:t>许昌市建安区公共资源交易中心四楼</w:t>
      </w:r>
      <w:r>
        <w:rPr>
          <w:rFonts w:hint="eastAsia" w:ascii="宋体" w:hAnsi="宋体" w:cs="宋体"/>
          <w:color w:val="auto"/>
          <w:sz w:val="28"/>
          <w:szCs w:val="28"/>
          <w:shd w:val="clear" w:color="auto" w:fill="FFFFFF"/>
          <w:lang w:val="zh-CN"/>
        </w:rPr>
        <w:t>开标</w:t>
      </w:r>
      <w:r>
        <w:rPr>
          <w:rFonts w:hint="eastAsia" w:ascii="宋体" w:hAnsi="宋体" w:cs="宋体"/>
          <w:color w:val="auto"/>
          <w:sz w:val="28"/>
          <w:szCs w:val="28"/>
          <w:shd w:val="clear" w:color="auto" w:fill="FFFFFF"/>
        </w:rPr>
        <w:t>三</w:t>
      </w:r>
      <w:r>
        <w:rPr>
          <w:rFonts w:hint="eastAsia" w:ascii="宋体" w:hAnsi="宋体" w:cs="宋体"/>
          <w:color w:val="auto"/>
          <w:sz w:val="28"/>
          <w:szCs w:val="28"/>
          <w:shd w:val="clear" w:color="auto" w:fill="FFFFFF"/>
          <w:lang w:val="zh-CN"/>
        </w:rPr>
        <w:t>室（建安区新元大道兴业大厦北四楼4163室）</w:t>
      </w:r>
      <w:r>
        <w:rPr>
          <w:rFonts w:hint="eastAsia" w:ascii="宋体" w:hAnsi="宋体" w:cs="宋体"/>
          <w:color w:val="auto"/>
          <w:sz w:val="28"/>
          <w:szCs w:val="28"/>
          <w:shd w:val="clear" w:color="auto" w:fill="FFFFFF"/>
          <w:lang w:val="zh-CN"/>
        </w:rPr>
        <w:t>。</w:t>
      </w:r>
    </w:p>
    <w:p>
      <w:pPr>
        <w:snapToGrid w:val="0"/>
        <w:spacing w:line="360" w:lineRule="auto"/>
        <w:ind w:firstLine="281" w:firstLineChars="100"/>
        <w:rPr>
          <w:rFonts w:ascii="宋体" w:hAnsi="宋体" w:cs="宋体"/>
          <w:color w:val="auto"/>
          <w:sz w:val="28"/>
          <w:szCs w:val="28"/>
          <w:shd w:val="clear" w:color="auto" w:fill="FFFFFF"/>
          <w:lang w:val="zh-CN"/>
        </w:rPr>
      </w:pPr>
      <w:r>
        <w:rPr>
          <w:rFonts w:hint="eastAsia" w:ascii="宋体" w:hAnsi="宋体" w:cs="宋体"/>
          <w:b/>
          <w:bCs/>
          <w:color w:val="auto"/>
          <w:sz w:val="28"/>
          <w:szCs w:val="28"/>
          <w:shd w:val="clear" w:color="auto" w:fill="FFFFFF"/>
          <w:lang w:val="zh-CN"/>
        </w:rPr>
        <w:t>（</w:t>
      </w:r>
      <w:r>
        <w:rPr>
          <w:rFonts w:hint="eastAsia" w:ascii="宋体" w:hAnsi="宋体" w:cs="宋体"/>
          <w:b/>
          <w:bCs/>
          <w:color w:val="auto"/>
          <w:sz w:val="28"/>
          <w:szCs w:val="28"/>
          <w:shd w:val="clear" w:color="auto" w:fill="FFFFFF"/>
        </w:rPr>
        <w:t>三</w:t>
      </w:r>
      <w:r>
        <w:rPr>
          <w:rFonts w:hint="eastAsia" w:ascii="宋体" w:hAnsi="宋体" w:cs="宋体"/>
          <w:b/>
          <w:bCs/>
          <w:color w:val="auto"/>
          <w:sz w:val="28"/>
          <w:szCs w:val="28"/>
          <w:shd w:val="clear" w:color="auto" w:fill="FFFFFF"/>
          <w:lang w:val="zh-CN"/>
        </w:rPr>
        <w:t>）</w:t>
      </w:r>
      <w:r>
        <w:rPr>
          <w:rFonts w:hint="eastAsia" w:ascii="宋体" w:hAnsi="宋体" w:cs="宋体"/>
          <w:color w:val="auto"/>
          <w:sz w:val="28"/>
          <w:szCs w:val="28"/>
          <w:shd w:val="clear" w:color="auto" w:fill="FFFFFF"/>
          <w:lang w:val="zh-CN"/>
        </w:rPr>
        <w:t>本项目为全流程电子化交易项目，投标人须提交电子投标文件2份(使用电子介质存储,建议2份U盘电子档备份文件。要求电子档有标签注明投标单位、项目编号)。</w:t>
      </w:r>
    </w:p>
    <w:p>
      <w:pPr>
        <w:snapToGrid w:val="0"/>
        <w:spacing w:line="360" w:lineRule="auto"/>
        <w:ind w:firstLine="560" w:firstLineChars="200"/>
        <w:rPr>
          <w:rFonts w:ascii="宋体" w:hAnsi="宋体" w:cs="宋体"/>
          <w:color w:val="auto"/>
          <w:sz w:val="28"/>
          <w:szCs w:val="28"/>
          <w:shd w:val="clear" w:color="auto" w:fill="FFFFFF"/>
          <w:lang w:val="zh-CN"/>
        </w:rPr>
      </w:pPr>
      <w:r>
        <w:rPr>
          <w:rFonts w:hint="eastAsia" w:ascii="宋体" w:hAnsi="宋体" w:cs="宋体"/>
          <w:color w:val="auto"/>
          <w:sz w:val="28"/>
          <w:szCs w:val="28"/>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ind w:firstLine="560" w:firstLineChars="200"/>
        <w:rPr>
          <w:rFonts w:ascii="宋体" w:hAnsi="宋体" w:cs="宋体"/>
          <w:color w:val="auto"/>
          <w:sz w:val="28"/>
          <w:szCs w:val="28"/>
          <w:shd w:val="clear" w:color="auto" w:fill="FFFFFF"/>
          <w:lang w:val="zh-CN"/>
        </w:rPr>
      </w:pPr>
      <w:r>
        <w:rPr>
          <w:rFonts w:hint="eastAsia" w:ascii="宋体" w:hAnsi="宋体" w:cs="宋体"/>
          <w:color w:val="auto"/>
          <w:sz w:val="28"/>
          <w:szCs w:val="28"/>
          <w:shd w:val="clear" w:color="auto" w:fill="FFFFFF"/>
          <w:lang w:val="zh-CN"/>
        </w:rPr>
        <w:t>（2）备份文件 2 份(使用电子介质存储)在投标截止时间(开标时间)前递交至本项目开标地点。</w:t>
      </w:r>
    </w:p>
    <w:p>
      <w:pPr>
        <w:pStyle w:val="32"/>
        <w:spacing w:line="360" w:lineRule="auto"/>
        <w:ind w:firstLine="281" w:firstLineChars="100"/>
        <w:contextualSpacing/>
        <w:rPr>
          <w:rFonts w:ascii="宋体" w:hAnsi="宋体" w:cs="宋体"/>
          <w:color w:val="auto"/>
          <w:kern w:val="2"/>
          <w:sz w:val="28"/>
          <w:szCs w:val="28"/>
          <w:shd w:val="clear" w:color="auto" w:fill="FFFFFF"/>
        </w:rPr>
      </w:pPr>
      <w:r>
        <w:rPr>
          <w:rFonts w:hint="eastAsia" w:ascii="宋体" w:hAnsi="宋体" w:cs="宋体"/>
          <w:b/>
          <w:bCs/>
          <w:color w:val="auto"/>
          <w:sz w:val="28"/>
          <w:szCs w:val="28"/>
          <w:shd w:val="clear" w:color="auto" w:fill="FFFFFF"/>
        </w:rPr>
        <w:t>六、本次招标公告同时在《中国政府采购网》、《河南省政府采购网》、《许昌市政府采购网》、《许昌市建安区人民政府网》《全国公共资源交易平台（河南省·许昌市）》发布。</w:t>
      </w:r>
    </w:p>
    <w:p>
      <w:pPr>
        <w:pStyle w:val="32"/>
        <w:spacing w:line="360" w:lineRule="auto"/>
        <w:ind w:firstLine="281" w:firstLineChars="100"/>
        <w:contextualSpacing/>
        <w:rPr>
          <w:rFonts w:ascii="宋体" w:hAnsi="宋体" w:cs="宋体"/>
          <w:b/>
          <w:bCs/>
          <w:color w:val="auto"/>
          <w:sz w:val="28"/>
          <w:szCs w:val="28"/>
          <w:shd w:val="clear" w:color="auto" w:fill="FFFFFF"/>
        </w:rPr>
      </w:pPr>
      <w:r>
        <w:rPr>
          <w:rFonts w:hint="eastAsia" w:ascii="宋体" w:hAnsi="宋体" w:cs="宋体"/>
          <w:b/>
          <w:bCs/>
          <w:color w:val="auto"/>
          <w:sz w:val="28"/>
          <w:szCs w:val="28"/>
          <w:shd w:val="clear" w:color="auto" w:fill="FFFFFF"/>
        </w:rPr>
        <w:t>七、公告期限</w:t>
      </w:r>
    </w:p>
    <w:p>
      <w:pPr>
        <w:pStyle w:val="32"/>
        <w:spacing w:line="360" w:lineRule="auto"/>
        <w:ind w:firstLine="420"/>
        <w:contextualSpacing/>
        <w:rPr>
          <w:rFonts w:ascii="宋体" w:hAnsi="宋体" w:cs="宋体"/>
          <w:color w:val="auto"/>
          <w:kern w:val="2"/>
          <w:sz w:val="28"/>
          <w:szCs w:val="28"/>
          <w:shd w:val="clear" w:color="auto" w:fill="FFFFFF"/>
        </w:rPr>
      </w:pPr>
      <w:r>
        <w:rPr>
          <w:rFonts w:hint="eastAsia" w:ascii="宋体" w:hAnsi="宋体" w:cs="宋体"/>
          <w:color w:val="auto"/>
          <w:kern w:val="2"/>
          <w:sz w:val="28"/>
          <w:szCs w:val="28"/>
          <w:shd w:val="clear" w:color="auto" w:fill="FFFFFF"/>
        </w:rPr>
        <w:t>本招标公告自发布之日起公告期限为5个工作日。</w:t>
      </w:r>
    </w:p>
    <w:p>
      <w:pPr>
        <w:pStyle w:val="32"/>
        <w:spacing w:line="360" w:lineRule="auto"/>
        <w:ind w:firstLine="281" w:firstLineChars="100"/>
        <w:contextualSpacing/>
        <w:rPr>
          <w:rFonts w:ascii="宋体" w:hAnsi="宋体" w:cs="宋体"/>
          <w:b/>
          <w:bCs/>
          <w:color w:val="auto"/>
          <w:sz w:val="28"/>
          <w:szCs w:val="28"/>
          <w:shd w:val="clear" w:color="auto" w:fill="FFFFFF"/>
        </w:rPr>
      </w:pPr>
      <w:r>
        <w:rPr>
          <w:rFonts w:hint="eastAsia" w:ascii="宋体" w:hAnsi="宋体" w:cs="宋体"/>
          <w:b/>
          <w:bCs/>
          <w:color w:val="auto"/>
          <w:sz w:val="28"/>
          <w:szCs w:val="28"/>
          <w:shd w:val="clear" w:color="auto" w:fill="FFFFFF"/>
        </w:rPr>
        <w:t>八、联系方式</w:t>
      </w:r>
    </w:p>
    <w:p>
      <w:pPr>
        <w:snapToGrid w:val="0"/>
        <w:spacing w:line="360" w:lineRule="auto"/>
        <w:ind w:firstLine="560" w:firstLineChars="200"/>
        <w:rPr>
          <w:rFonts w:ascii="宋体" w:hAnsi="宋体" w:cs="宋体"/>
          <w:color w:val="auto"/>
          <w:sz w:val="28"/>
          <w:szCs w:val="28"/>
          <w:shd w:val="clear" w:color="auto" w:fill="FFFFFF"/>
          <w:lang w:val="zh-CN"/>
        </w:rPr>
      </w:pPr>
      <w:r>
        <w:rPr>
          <w:rFonts w:hint="eastAsia" w:ascii="宋体" w:hAnsi="宋体" w:cs="宋体"/>
          <w:color w:val="auto"/>
          <w:sz w:val="28"/>
          <w:szCs w:val="28"/>
          <w:shd w:val="clear" w:color="auto" w:fill="FFFFFF"/>
          <w:lang w:val="zh-CN"/>
        </w:rPr>
        <w:t>采购人：许昌市自然资源和规划局建安区分局</w:t>
      </w:r>
    </w:p>
    <w:p>
      <w:pPr>
        <w:snapToGrid w:val="0"/>
        <w:spacing w:line="360" w:lineRule="auto"/>
        <w:ind w:firstLine="560" w:firstLineChars="200"/>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lang w:val="zh-CN"/>
        </w:rPr>
        <w:t>项目负责人：</w:t>
      </w:r>
      <w:r>
        <w:rPr>
          <w:rFonts w:hint="eastAsia" w:ascii="宋体" w:hAnsi="宋体" w:cs="宋体"/>
          <w:color w:val="auto"/>
          <w:sz w:val="28"/>
          <w:szCs w:val="28"/>
          <w:shd w:val="clear" w:color="auto" w:fill="FFFFFF"/>
        </w:rPr>
        <w:t>徐武军</w:t>
      </w:r>
      <w:r>
        <w:rPr>
          <w:rFonts w:hint="eastAsia" w:ascii="宋体" w:hAnsi="宋体" w:cs="宋体"/>
          <w:color w:val="auto"/>
          <w:sz w:val="28"/>
          <w:szCs w:val="28"/>
          <w:shd w:val="clear" w:color="auto" w:fill="FFFFFF"/>
          <w:lang w:val="zh-CN"/>
        </w:rPr>
        <w:t xml:space="preserve">  </w:t>
      </w:r>
      <w:r>
        <w:rPr>
          <w:rFonts w:hint="eastAsia" w:ascii="宋体" w:hAnsi="宋体" w:cs="宋体"/>
          <w:color w:val="auto"/>
          <w:sz w:val="28"/>
          <w:szCs w:val="28"/>
          <w:shd w:val="clear" w:color="auto" w:fill="FFFFFF"/>
        </w:rPr>
        <w:t>0374-5115588</w:t>
      </w:r>
    </w:p>
    <w:p>
      <w:pPr>
        <w:snapToGrid w:val="0"/>
        <w:spacing w:line="360" w:lineRule="auto"/>
        <w:ind w:firstLine="560" w:firstLineChars="200"/>
        <w:rPr>
          <w:rFonts w:ascii="宋体" w:hAnsi="宋体" w:cs="宋体"/>
          <w:color w:val="auto"/>
          <w:sz w:val="28"/>
          <w:szCs w:val="28"/>
          <w:shd w:val="clear" w:color="auto" w:fill="FFFFFF"/>
          <w:lang w:val="zh-CN"/>
        </w:rPr>
      </w:pPr>
      <w:r>
        <w:rPr>
          <w:rFonts w:hint="eastAsia" w:ascii="宋体" w:hAnsi="宋体" w:cs="宋体"/>
          <w:color w:val="auto"/>
          <w:sz w:val="28"/>
          <w:szCs w:val="28"/>
          <w:shd w:val="clear" w:color="auto" w:fill="FFFFFF"/>
        </w:rPr>
        <w:t>代理机构</w:t>
      </w:r>
      <w:r>
        <w:rPr>
          <w:rFonts w:hint="eastAsia" w:ascii="宋体" w:hAnsi="宋体" w:cs="宋体"/>
          <w:color w:val="auto"/>
          <w:sz w:val="28"/>
          <w:szCs w:val="28"/>
          <w:shd w:val="clear" w:color="auto" w:fill="FFFFFF"/>
          <w:lang w:val="zh-CN"/>
        </w:rPr>
        <w:t>：河南建标工程管理有限公司</w:t>
      </w:r>
    </w:p>
    <w:p>
      <w:pPr>
        <w:snapToGrid w:val="0"/>
        <w:spacing w:line="360" w:lineRule="auto"/>
        <w:ind w:firstLine="560" w:firstLineChars="200"/>
        <w:rPr>
          <w:rFonts w:ascii="宋体" w:hAnsi="宋体" w:cs="宋体"/>
          <w:color w:val="auto"/>
          <w:kern w:val="0"/>
          <w:sz w:val="28"/>
          <w:szCs w:val="28"/>
        </w:rPr>
      </w:pPr>
      <w:r>
        <w:rPr>
          <w:rFonts w:hint="eastAsia" w:ascii="宋体" w:hAnsi="宋体" w:cs="宋体"/>
          <w:color w:val="auto"/>
          <w:sz w:val="28"/>
          <w:szCs w:val="28"/>
          <w:shd w:val="clear" w:color="auto" w:fill="FFFFFF"/>
          <w:lang w:val="zh-CN"/>
        </w:rPr>
        <w:t>项目负责人：</w:t>
      </w:r>
      <w:r>
        <w:rPr>
          <w:rFonts w:hint="eastAsia" w:ascii="宋体" w:hAnsi="宋体" w:cs="宋体"/>
          <w:color w:val="auto"/>
          <w:sz w:val="28"/>
          <w:szCs w:val="28"/>
          <w:shd w:val="clear" w:color="auto" w:fill="FFFFFF"/>
        </w:rPr>
        <w:t>姚争妍</w:t>
      </w:r>
      <w:r>
        <w:rPr>
          <w:rFonts w:hint="eastAsia" w:ascii="宋体" w:hAnsi="宋体" w:cs="宋体"/>
          <w:color w:val="auto"/>
          <w:sz w:val="28"/>
          <w:szCs w:val="28"/>
          <w:shd w:val="clear" w:color="auto" w:fill="FFFFFF"/>
          <w:lang w:val="zh-CN"/>
        </w:rPr>
        <w:t xml:space="preserve"> </w:t>
      </w:r>
      <w:r>
        <w:rPr>
          <w:rFonts w:hint="eastAsia" w:ascii="宋体" w:hAnsi="宋体" w:cs="宋体"/>
          <w:color w:val="auto"/>
          <w:sz w:val="28"/>
          <w:szCs w:val="28"/>
          <w:shd w:val="clear" w:color="auto" w:fill="FFFFFF"/>
        </w:rPr>
        <w:t xml:space="preserve"> 13598991969</w:t>
      </w:r>
    </w:p>
    <w:p>
      <w:pPr>
        <w:snapToGrid w:val="0"/>
        <w:spacing w:line="360" w:lineRule="auto"/>
        <w:ind w:firstLine="560" w:firstLineChars="200"/>
        <w:rPr>
          <w:rFonts w:ascii="宋体" w:hAnsi="宋体" w:cs="宋体"/>
          <w:color w:val="auto"/>
          <w:sz w:val="28"/>
          <w:szCs w:val="28"/>
          <w:shd w:val="clear" w:color="auto" w:fill="FFFFFF"/>
          <w:lang w:val="zh-CN"/>
        </w:rPr>
      </w:pPr>
    </w:p>
    <w:p>
      <w:pPr>
        <w:snapToGrid w:val="0"/>
        <w:spacing w:line="360" w:lineRule="auto"/>
        <w:jc w:val="right"/>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许昌市自然资源和规划局建安区分局</w:t>
      </w:r>
    </w:p>
    <w:p>
      <w:pPr>
        <w:snapToGrid w:val="0"/>
        <w:spacing w:line="360" w:lineRule="auto"/>
        <w:jc w:val="right"/>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2020年1月</w:t>
      </w:r>
      <w:r>
        <w:rPr>
          <w:rFonts w:hint="eastAsia" w:ascii="宋体" w:hAnsi="宋体" w:cs="宋体"/>
          <w:color w:val="auto"/>
          <w:sz w:val="28"/>
          <w:szCs w:val="28"/>
          <w:shd w:val="clear" w:color="auto" w:fill="FFFFFF"/>
          <w:lang w:val="en-US" w:eastAsia="zh-CN"/>
        </w:rPr>
        <w:t>16</w:t>
      </w:r>
      <w:bookmarkStart w:id="21" w:name="_GoBack"/>
      <w:bookmarkEnd w:id="21"/>
      <w:r>
        <w:rPr>
          <w:rFonts w:hint="eastAsia" w:ascii="宋体" w:hAnsi="宋体" w:cs="宋体"/>
          <w:color w:val="auto"/>
          <w:sz w:val="28"/>
          <w:szCs w:val="28"/>
          <w:shd w:val="clear" w:color="auto" w:fill="FFFFFF"/>
        </w:rPr>
        <w:t>日</w:t>
      </w:r>
    </w:p>
    <w:p>
      <w:pPr>
        <w:spacing w:line="360" w:lineRule="auto"/>
        <w:ind w:firstLine="480" w:firstLineChars="200"/>
        <w:jc w:val="right"/>
        <w:rPr>
          <w:rFonts w:ascii="宋体" w:hAnsi="宋体" w:cs="宋体"/>
          <w:color w:val="auto"/>
          <w:sz w:val="24"/>
          <w:szCs w:val="24"/>
        </w:rPr>
      </w:pPr>
    </w:p>
    <w:p>
      <w:pPr>
        <w:spacing w:line="360" w:lineRule="auto"/>
        <w:ind w:firstLine="480" w:firstLineChars="200"/>
        <w:rPr>
          <w:rFonts w:ascii="宋体" w:hAnsi="宋体" w:cs="宋体"/>
          <w:bCs/>
          <w:color w:val="auto"/>
          <w:sz w:val="24"/>
          <w:szCs w:val="24"/>
        </w:rPr>
      </w:pPr>
    </w:p>
    <w:p>
      <w:pPr>
        <w:rPr>
          <w:rFonts w:ascii="宋体" w:hAnsi="宋体" w:cs="宋体"/>
          <w:b/>
          <w:color w:val="auto"/>
          <w:sz w:val="24"/>
          <w:szCs w:val="24"/>
        </w:rPr>
      </w:pPr>
      <w:r>
        <w:rPr>
          <w:rFonts w:hint="eastAsia" w:ascii="宋体" w:hAnsi="宋体" w:cs="宋体"/>
          <w:b/>
          <w:color w:val="auto"/>
          <w:sz w:val="24"/>
          <w:szCs w:val="24"/>
        </w:rPr>
        <w:br w:type="page"/>
      </w:r>
    </w:p>
    <w:p>
      <w:pPr>
        <w:spacing w:line="360" w:lineRule="auto"/>
        <w:rPr>
          <w:rFonts w:ascii="宋体" w:hAnsi="宋体" w:cs="宋体"/>
          <w:b/>
          <w:color w:val="auto"/>
          <w:sz w:val="24"/>
          <w:szCs w:val="24"/>
        </w:rPr>
      </w:pPr>
      <w:r>
        <w:rPr>
          <w:rFonts w:hint="eastAsia" w:ascii="宋体" w:hAnsi="宋体" w:cs="宋体"/>
          <w:b/>
          <w:color w:val="auto"/>
          <w:sz w:val="24"/>
          <w:szCs w:val="24"/>
        </w:rPr>
        <w:t>温馨提示：</w:t>
      </w:r>
    </w:p>
    <w:p>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本项目为全流程电子化交易项目，请认真阅读招标文件，并注意以下事项。</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1.投标人应按招标文件规定编制、提交电子投标文件。开、评标现场不接受投标人递交的备份电子投标文件以外的其他资料。</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2.电子文件下载、制作、提交期间和开标（电子投标文件的解密）环节，投标人须使用CA数字证书（证书须在有效期内）。</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3.电子投标文件的制作</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3.1 投标人登录《全国公共资源交易平台(河南省▪许昌市)》公共资源交易系统（</w:t>
      </w:r>
      <w:r>
        <w:rPr>
          <w:rFonts w:hint="eastAsia"/>
          <w:color w:val="auto"/>
        </w:rPr>
        <w:fldChar w:fldCharType="begin"/>
      </w:r>
      <w:r>
        <w:rPr>
          <w:color w:val="auto"/>
        </w:rPr>
        <w:instrText xml:space="preserve"> HYPERLINK "http://221.14.6.70:8088/ggzy/" </w:instrText>
      </w:r>
      <w:r>
        <w:rPr>
          <w:rFonts w:hint="eastAsia"/>
          <w:color w:val="auto"/>
        </w:rPr>
        <w:fldChar w:fldCharType="separate"/>
      </w:r>
      <w:r>
        <w:rPr>
          <w:rStyle w:val="41"/>
          <w:rFonts w:hint="eastAsia" w:ascii="宋体" w:hAnsi="宋体" w:cs="宋体"/>
          <w:color w:val="auto"/>
          <w:szCs w:val="24"/>
        </w:rPr>
        <w:t>http://221.14.6.70:8088/ggzy/</w:t>
      </w:r>
      <w:r>
        <w:rPr>
          <w:rStyle w:val="41"/>
          <w:rFonts w:hint="eastAsia" w:ascii="宋体" w:hAnsi="宋体" w:cs="宋体"/>
          <w:color w:val="auto"/>
          <w:szCs w:val="24"/>
        </w:rPr>
        <w:fldChar w:fldCharType="end"/>
      </w:r>
      <w:r>
        <w:rPr>
          <w:rFonts w:hint="eastAsia" w:ascii="宋体" w:hAnsi="宋体" w:cs="宋体"/>
          <w:color w:val="auto"/>
          <w:sz w:val="24"/>
          <w:szCs w:val="24"/>
        </w:rPr>
        <w:t>）下载“许昌投标文件制作系统SEARUN V1.1”，按招标文件要求制作电子投标文件。</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color w:val="auto"/>
          <w:sz w:val="24"/>
          <w:szCs w:val="24"/>
        </w:rPr>
      </w:pPr>
      <w:r>
        <w:rPr>
          <w:rFonts w:hint="eastAsia" w:ascii="宋体" w:hAnsi="宋体" w:cs="宋体"/>
          <w:color w:val="auto"/>
          <w:sz w:val="24"/>
          <w:szCs w:val="24"/>
        </w:rPr>
        <w:t>一个标段对应生成一个文件夹（xxxx项目xx标段）, 其中包含2个文件和1个文件夹。后缀名为“.file”的文件用于电子投标使用，名称为“备份”的文件夹使用电子介质存储，供开标现场备用。</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4.加密电子投标文件的提交</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4.1加密电子投标文件应在招标文件规定的投标截止时间（开标时间）之前成功提交至《全国公共资源交易平台(河南省▪许昌市)》公共资源交易系统（</w:t>
      </w:r>
      <w:r>
        <w:rPr>
          <w:rFonts w:hint="eastAsia"/>
          <w:color w:val="auto"/>
        </w:rPr>
        <w:fldChar w:fldCharType="begin"/>
      </w:r>
      <w:r>
        <w:rPr>
          <w:color w:val="auto"/>
        </w:rPr>
        <w:instrText xml:space="preserve"> HYPERLINK "http://221.14.6.70:8088/ggzy/" </w:instrText>
      </w:r>
      <w:r>
        <w:rPr>
          <w:rFonts w:hint="eastAsia"/>
          <w:color w:val="auto"/>
        </w:rPr>
        <w:fldChar w:fldCharType="separate"/>
      </w:r>
      <w:r>
        <w:rPr>
          <w:rStyle w:val="41"/>
          <w:rFonts w:hint="eastAsia" w:ascii="宋体" w:hAnsi="宋体" w:cs="宋体"/>
          <w:color w:val="auto"/>
          <w:szCs w:val="24"/>
        </w:rPr>
        <w:t>http://221.14.6.70:8088/ggzy/</w:t>
      </w:r>
      <w:r>
        <w:rPr>
          <w:rStyle w:val="41"/>
          <w:rFonts w:hint="eastAsia" w:ascii="宋体" w:hAnsi="宋体" w:cs="宋体"/>
          <w:color w:val="auto"/>
          <w:szCs w:val="24"/>
        </w:rPr>
        <w:fldChar w:fldCharType="end"/>
      </w:r>
      <w:r>
        <w:rPr>
          <w:rFonts w:hint="eastAsia" w:ascii="宋体" w:hAnsi="宋体" w:cs="宋体"/>
          <w:color w:val="auto"/>
          <w:sz w:val="24"/>
          <w:szCs w:val="24"/>
        </w:rPr>
        <w:t>）。</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cs="宋体"/>
          <w:b/>
          <w:color w:val="auto"/>
          <w:sz w:val="24"/>
          <w:szCs w:val="24"/>
        </w:rPr>
      </w:pPr>
      <w:r>
        <w:rPr>
          <w:rFonts w:hint="eastAsia" w:ascii="宋体" w:hAnsi="宋体" w:cs="宋体"/>
          <w:b/>
          <w:color w:val="auto"/>
          <w:sz w:val="24"/>
          <w:szCs w:val="24"/>
        </w:rPr>
        <w:t>5.评标依据</w:t>
      </w:r>
    </w:p>
    <w:p>
      <w:pPr>
        <w:tabs>
          <w:tab w:val="left" w:pos="7095"/>
        </w:tabs>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5.1采用全流程电子化交易评标时，评标委员会以电子投标文件为依据评标。</w:t>
      </w:r>
    </w:p>
    <w:p>
      <w:pPr>
        <w:spacing w:line="360" w:lineRule="auto"/>
        <w:ind w:firstLine="480" w:firstLineChars="200"/>
        <w:rPr>
          <w:rFonts w:ascii="宋体" w:hAnsi="宋体" w:cs="宋体"/>
          <w:b/>
          <w:color w:val="auto"/>
          <w:sz w:val="44"/>
          <w:szCs w:val="44"/>
        </w:rPr>
      </w:pPr>
      <w:r>
        <w:rPr>
          <w:rFonts w:hint="eastAsia" w:ascii="宋体" w:hAnsi="宋体" w:cs="宋体"/>
          <w:color w:val="auto"/>
          <w:sz w:val="24"/>
          <w:szCs w:val="24"/>
        </w:rPr>
        <w:t>5.2全流程电子化交易如因系统异常情况无法完成，将以人工方式进行。评标委员会以备份文件（使用电子介质存储）为依据评标。</w:t>
      </w: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rPr>
          <w:rFonts w:ascii="宋体" w:hAnsi="宋体" w:cs="宋体"/>
          <w:b/>
          <w:color w:val="auto"/>
          <w:sz w:val="44"/>
          <w:szCs w:val="44"/>
        </w:rPr>
      </w:pPr>
      <w:r>
        <w:rPr>
          <w:rFonts w:hint="eastAsia" w:ascii="宋体" w:hAnsi="宋体" w:cs="宋体"/>
          <w:b/>
          <w:color w:val="auto"/>
          <w:sz w:val="44"/>
          <w:szCs w:val="44"/>
        </w:rPr>
        <w:br w:type="page"/>
      </w:r>
    </w:p>
    <w:p>
      <w:pPr>
        <w:spacing w:line="360" w:lineRule="auto"/>
        <w:jc w:val="center"/>
        <w:rPr>
          <w:rFonts w:ascii="宋体" w:hAnsi="宋体" w:cs="宋体"/>
          <w:b/>
          <w:color w:val="auto"/>
          <w:sz w:val="44"/>
          <w:szCs w:val="44"/>
        </w:rPr>
      </w:pPr>
      <w:r>
        <w:rPr>
          <w:rFonts w:hint="eastAsia" w:ascii="宋体" w:hAnsi="宋体" w:cs="宋体"/>
          <w:b/>
          <w:color w:val="auto"/>
          <w:sz w:val="44"/>
          <w:szCs w:val="44"/>
        </w:rPr>
        <w:t>第二章　项目需求</w:t>
      </w:r>
    </w:p>
    <w:p>
      <w:pPr>
        <w:widowControl/>
        <w:numPr>
          <w:ilvl w:val="0"/>
          <w:numId w:val="7"/>
        </w:numPr>
        <w:snapToGrid w:val="0"/>
        <w:spacing w:line="360" w:lineRule="auto"/>
        <w:contextualSpacing/>
        <w:jc w:val="left"/>
        <w:rPr>
          <w:rFonts w:ascii="仿宋" w:hAnsi="仿宋" w:eastAsia="仿宋"/>
          <w:b/>
          <w:bCs/>
          <w:color w:val="auto"/>
          <w:kern w:val="0"/>
          <w:sz w:val="24"/>
          <w:szCs w:val="24"/>
        </w:rPr>
      </w:pPr>
      <w:r>
        <w:rPr>
          <w:rFonts w:hint="eastAsia" w:ascii="仿宋" w:hAnsi="仿宋" w:eastAsia="仿宋"/>
          <w:b/>
          <w:bCs/>
          <w:color w:val="auto"/>
          <w:kern w:val="0"/>
          <w:sz w:val="24"/>
          <w:szCs w:val="24"/>
        </w:rPr>
        <w:t>本项目需实现的功能或者目标：</w:t>
      </w:r>
    </w:p>
    <w:p>
      <w:pPr>
        <w:snapToGrid w:val="0"/>
        <w:spacing w:line="360" w:lineRule="auto"/>
        <w:ind w:left="540"/>
        <w:rPr>
          <w:rFonts w:ascii="宋体" w:hAnsi="宋体" w:cs="宋体"/>
          <w:b/>
          <w:color w:val="auto"/>
          <w:sz w:val="24"/>
          <w:szCs w:val="24"/>
        </w:rPr>
      </w:pPr>
      <w:r>
        <w:rPr>
          <w:rFonts w:hint="eastAsia" w:ascii="宋体" w:hAnsi="宋体" w:cs="宋体"/>
          <w:b/>
          <w:color w:val="auto"/>
          <w:w w:val="95"/>
          <w:sz w:val="24"/>
          <w:szCs w:val="24"/>
        </w:rPr>
        <w:t>（一）</w:t>
      </w:r>
      <w:bookmarkStart w:id="0" w:name="（一）工作任务"/>
      <w:bookmarkEnd w:id="0"/>
      <w:r>
        <w:rPr>
          <w:rFonts w:hint="eastAsia" w:ascii="宋体" w:hAnsi="宋体" w:cs="宋体"/>
          <w:b/>
          <w:color w:val="auto"/>
          <w:w w:val="95"/>
          <w:sz w:val="24"/>
          <w:szCs w:val="24"/>
        </w:rPr>
        <w:t>工作任务</w:t>
      </w:r>
    </w:p>
    <w:p>
      <w:pPr>
        <w:pStyle w:val="6"/>
        <w:tabs>
          <w:tab w:val="left" w:pos="960"/>
        </w:tabs>
        <w:snapToGrid w:val="0"/>
        <w:spacing w:before="0" w:after="0" w:line="360" w:lineRule="auto"/>
        <w:ind w:left="460"/>
        <w:rPr>
          <w:rFonts w:ascii="宋体" w:hAnsi="宋体" w:cs="宋体"/>
          <w:color w:val="auto"/>
          <w:sz w:val="24"/>
          <w:szCs w:val="24"/>
        </w:rPr>
      </w:pPr>
      <w:r>
        <w:rPr>
          <w:rFonts w:hint="eastAsia" w:ascii="宋体" w:hAnsi="宋体" w:cs="宋体"/>
          <w:color w:val="auto"/>
          <w:sz w:val="24"/>
          <w:szCs w:val="24"/>
        </w:rPr>
        <w:t>1、开展永久基本农田储备区划定工作</w:t>
      </w:r>
    </w:p>
    <w:p>
      <w:pPr>
        <w:snapToGrid w:val="0"/>
        <w:spacing w:line="360" w:lineRule="auto"/>
        <w:ind w:right="250" w:firstLine="544"/>
        <w:rPr>
          <w:rFonts w:ascii="宋体" w:hAnsi="宋体" w:cs="宋体"/>
          <w:color w:val="auto"/>
          <w:sz w:val="24"/>
          <w:szCs w:val="24"/>
        </w:rPr>
      </w:pPr>
      <w:r>
        <w:rPr>
          <w:rFonts w:hint="eastAsia" w:ascii="宋体" w:hAnsi="宋体" w:cs="宋体"/>
          <w:color w:val="auto"/>
          <w:sz w:val="24"/>
          <w:szCs w:val="24"/>
        </w:rPr>
        <w:t>按照自然资办函〔2019〕343 号文件和《河南省自然资源厅办公室关于做好永久基本农田储备区划定有关工作的通知》（豫自然资办函〔2019〕23 号）的要求，依据自然资源部下发的储备区资源潜力成果， 结合不实问题图斑的整改补划和本辖区未来一定时期重大建设项目占用等需求，确定本辖区永久基本农田储备区划定目标任务；利用部储备区实地核查软件，对拟划入储备区的耕地图斑开展实地核实；按照《永久基本农田储备区划定工作要求》，编制建安区永久基本农田储备区划定方案，补充完善储备区数据库。</w:t>
      </w:r>
    </w:p>
    <w:p>
      <w:pPr>
        <w:snapToGrid w:val="0"/>
        <w:spacing w:line="360" w:lineRule="auto"/>
        <w:ind w:right="250" w:firstLine="482" w:firstLineChars="200"/>
        <w:rPr>
          <w:rFonts w:ascii="宋体" w:hAnsi="宋体" w:cs="宋体"/>
          <w:b/>
          <w:color w:val="auto"/>
          <w:sz w:val="24"/>
          <w:szCs w:val="24"/>
        </w:rPr>
      </w:pPr>
      <w:r>
        <w:rPr>
          <w:rFonts w:hint="eastAsia" w:ascii="宋体" w:hAnsi="宋体" w:cs="宋体"/>
          <w:b/>
          <w:color w:val="auto"/>
          <w:sz w:val="24"/>
          <w:szCs w:val="24"/>
        </w:rPr>
        <w:t>2、开展永久基本农田划定成果的核实整改补划工作</w:t>
      </w:r>
    </w:p>
    <w:p>
      <w:pPr>
        <w:snapToGrid w:val="0"/>
        <w:spacing w:line="360" w:lineRule="auto"/>
        <w:ind w:right="127" w:firstLine="544"/>
        <w:rPr>
          <w:rFonts w:ascii="宋体" w:hAnsi="宋体" w:cs="宋体"/>
          <w:color w:val="auto"/>
          <w:sz w:val="24"/>
          <w:szCs w:val="24"/>
        </w:rPr>
      </w:pPr>
      <w:r>
        <w:rPr>
          <w:rFonts w:hint="eastAsia" w:ascii="宋体" w:hAnsi="宋体" w:cs="宋体"/>
          <w:color w:val="auto"/>
          <w:sz w:val="24"/>
          <w:szCs w:val="24"/>
        </w:rPr>
        <w:t>按照部《通知》和《河南省自然资源厅 河南省农业农村厅贯彻自然资源部 农业农村部关于加强和改进永久基本农田保护工作通知的意见》（豫自然资发〔2019〕14 号）核实整改补划的相关要求,依据省、国家提取的永久基本农田变化图斑和实地核查软件等，结合正在开展的“三调”工作，组织开展本辖区永久基本农田变化图斑的核实工作，全面查清变化图斑中的土地利用状况，实事求是提出处理意见，按照“总体稳定、局部微调、量质并重”的原则，开展整改补划，按照《永久基本农田整改补划方案编制要点》要求，编制永久基本农田整改补划方案， 更新永久基本农田数据库。</w:t>
      </w:r>
    </w:p>
    <w:p>
      <w:pPr>
        <w:pStyle w:val="140"/>
        <w:tabs>
          <w:tab w:val="left" w:pos="960"/>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3、成果检查</w:t>
      </w:r>
    </w:p>
    <w:p>
      <w:pPr>
        <w:snapToGrid w:val="0"/>
        <w:spacing w:line="360" w:lineRule="auto"/>
        <w:ind w:right="124" w:firstLine="544"/>
        <w:rPr>
          <w:rFonts w:ascii="宋体" w:hAnsi="宋体" w:cs="宋体"/>
          <w:color w:val="auto"/>
          <w:sz w:val="24"/>
          <w:szCs w:val="24"/>
        </w:rPr>
      </w:pPr>
      <w:r>
        <w:rPr>
          <w:rFonts w:hint="eastAsia" w:ascii="宋体" w:hAnsi="宋体" w:cs="宋体"/>
          <w:color w:val="auto"/>
          <w:sz w:val="24"/>
          <w:szCs w:val="24"/>
        </w:rPr>
        <w:t>永久基本农田储备区划定成果和核实整改补划成果实行县级自检、市级检查、省级审核三级检查制度，并严格接受国家复核。县级自然资源和农业农村主管部门负责对储备区划定成果和整改补划成果开展100％自查，并利用国家下发的质检软件完成数据库的自检。市级自然资源和农业农村主管部门负责对县级提交的成果进行全面检查，对县级实地核实软件提供的照片、视频等信息进行审核，出具确认意见，并对本辖区成果质量负总责。省自然资源厅会同省农业农村厅负责对市级上报的县级成果进行审核</w:t>
      </w:r>
      <w:r>
        <w:rPr>
          <w:rFonts w:hint="eastAsia" w:ascii="宋体" w:hAnsi="宋体" w:cs="宋体"/>
          <w:color w:val="auto"/>
          <w:sz w:val="24"/>
          <w:szCs w:val="24"/>
        </w:rPr>
        <w:tab/>
      </w:r>
      <w:r>
        <w:rPr>
          <w:rFonts w:hint="eastAsia" w:ascii="宋体" w:hAnsi="宋体" w:cs="宋体"/>
          <w:color w:val="auto"/>
          <w:sz w:val="24"/>
          <w:szCs w:val="24"/>
        </w:rPr>
        <w:t>部。</w:t>
      </w:r>
    </w:p>
    <w:p>
      <w:pPr>
        <w:snapToGrid w:val="0"/>
        <w:spacing w:line="360" w:lineRule="auto"/>
        <w:rPr>
          <w:rFonts w:ascii="宋体" w:hAnsi="宋体" w:cs="宋体"/>
          <w:b/>
          <w:color w:val="auto"/>
          <w:sz w:val="24"/>
          <w:szCs w:val="24"/>
        </w:rPr>
      </w:pPr>
      <w:r>
        <w:rPr>
          <w:rFonts w:hint="eastAsia" w:ascii="宋体" w:hAnsi="宋体" w:cs="宋体"/>
          <w:b/>
          <w:color w:val="auto"/>
          <w:sz w:val="24"/>
          <w:szCs w:val="24"/>
        </w:rPr>
        <w:t>（二）</w:t>
      </w:r>
      <w:bookmarkStart w:id="1" w:name="（二）开展永久基本农田储备区划定工作"/>
      <w:bookmarkEnd w:id="1"/>
      <w:r>
        <w:rPr>
          <w:rFonts w:hint="eastAsia" w:ascii="宋体" w:hAnsi="宋体" w:cs="宋体"/>
          <w:b/>
          <w:color w:val="auto"/>
          <w:sz w:val="24"/>
          <w:szCs w:val="24"/>
        </w:rPr>
        <w:t>开展永久基本农田储备区划定工作</w:t>
      </w:r>
    </w:p>
    <w:p>
      <w:pPr>
        <w:pStyle w:val="140"/>
        <w:tabs>
          <w:tab w:val="left" w:pos="1253"/>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1、资料搜集处理</w:t>
      </w:r>
    </w:p>
    <w:p>
      <w:pPr>
        <w:snapToGrid w:val="0"/>
        <w:spacing w:line="360" w:lineRule="auto"/>
        <w:ind w:right="113" w:firstLine="544"/>
        <w:rPr>
          <w:rFonts w:ascii="宋体" w:hAnsi="宋体" w:cs="宋体"/>
          <w:color w:val="auto"/>
          <w:sz w:val="24"/>
          <w:szCs w:val="24"/>
        </w:rPr>
      </w:pPr>
      <w:r>
        <w:rPr>
          <w:rFonts w:hint="eastAsia" w:ascii="宋体" w:hAnsi="宋体" w:cs="宋体"/>
          <w:color w:val="auto"/>
          <w:sz w:val="24"/>
          <w:szCs w:val="24"/>
        </w:rPr>
        <w:t>搜集资料主要包括：“三调”初步成果、2017 和 2018 年度土地变更调查、“三调”耕地分等调查评价、土地利用总体规划、生态保护红线、已建成高标准农田、依法批准建设占用和补划永久基本农田方案、“两区”划定相关成果、自然灾害视频（如有）、土壤污染防治等成果资料（如有）等。</w:t>
      </w:r>
    </w:p>
    <w:p>
      <w:pPr>
        <w:snapToGrid w:val="0"/>
        <w:spacing w:line="360" w:lineRule="auto"/>
        <w:ind w:right="250" w:firstLine="544"/>
        <w:rPr>
          <w:rFonts w:ascii="宋体" w:hAnsi="宋体" w:cs="宋体"/>
          <w:color w:val="auto"/>
          <w:sz w:val="24"/>
          <w:szCs w:val="24"/>
        </w:rPr>
      </w:pPr>
      <w:r>
        <w:rPr>
          <w:rFonts w:hint="eastAsia" w:ascii="宋体" w:hAnsi="宋体" w:cs="宋体"/>
          <w:color w:val="auto"/>
          <w:sz w:val="24"/>
          <w:szCs w:val="24"/>
        </w:rPr>
        <w:t>资料处理：依据国家下发储备区潜力图斑，套合土地利用总体规划成果（需扣除允建区及有条件建设区中潜力图斑）、生态保护红线（需扣除生态红线范围内潜力图斑）、已建成高标准农田范围（范围内潜力图斑优先划入储备区）、依法批准项目建设占用和补划范围（范围内潜力图斑需扣除）等，制作拟划入储备区潜力外业调查图便于开展外业核实举证。</w:t>
      </w:r>
    </w:p>
    <w:p>
      <w:pPr>
        <w:pStyle w:val="140"/>
        <w:tabs>
          <w:tab w:val="left" w:pos="1253"/>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2、确定储备区划定目标</w:t>
      </w:r>
    </w:p>
    <w:p>
      <w:pPr>
        <w:snapToGrid w:val="0"/>
        <w:spacing w:line="360" w:lineRule="auto"/>
        <w:ind w:right="113" w:firstLine="544"/>
        <w:rPr>
          <w:rFonts w:ascii="宋体" w:hAnsi="宋体" w:cs="宋体"/>
          <w:color w:val="auto"/>
          <w:sz w:val="24"/>
          <w:szCs w:val="24"/>
        </w:rPr>
      </w:pPr>
      <w:r>
        <w:rPr>
          <w:rFonts w:hint="eastAsia" w:ascii="宋体" w:hAnsi="宋体" w:cs="宋体"/>
          <w:color w:val="auto"/>
          <w:sz w:val="24"/>
          <w:szCs w:val="24"/>
        </w:rPr>
        <w:t>依据上级下发的储备区资源潜力成果和已建永久基本农田整备区成果，结合需整改补划图斑情况、未来一定时期（2－3 年内）重大建设项目、生态建设等占用需求，将未纳入永久基本农田管理的一般耕地， 按照“质量不降、布局稳定”要求，合理确定储备区划定规模（原则上划定面积不低于永久基本农田保护任务的 1%）。同时，应充分考虑城市周边范围内储备区规模，以确保永久基本农田补划需求。</w:t>
      </w:r>
    </w:p>
    <w:p>
      <w:pPr>
        <w:pStyle w:val="140"/>
        <w:tabs>
          <w:tab w:val="left" w:pos="1253"/>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3、开展实地核实</w:t>
      </w:r>
    </w:p>
    <w:p>
      <w:pPr>
        <w:snapToGrid w:val="0"/>
        <w:spacing w:line="360" w:lineRule="auto"/>
        <w:ind w:right="250" w:firstLine="480" w:firstLineChars="200"/>
        <w:rPr>
          <w:rFonts w:ascii="宋体" w:hAnsi="宋体" w:cs="宋体"/>
          <w:color w:val="auto"/>
          <w:sz w:val="24"/>
          <w:szCs w:val="24"/>
        </w:rPr>
      </w:pPr>
      <w:r>
        <w:rPr>
          <w:rFonts w:hint="eastAsia" w:ascii="宋体" w:hAnsi="宋体" w:cs="宋体"/>
          <w:color w:val="auto"/>
          <w:sz w:val="24"/>
          <w:szCs w:val="24"/>
        </w:rPr>
        <w:t>结合储备区划定规模，利用自然资源部下发的储备区实地核查软件，对拟划入储备区的耕地图斑逐块开展实地核查工作，并对实地核查成果进行核实和系统上传等。</w:t>
      </w:r>
    </w:p>
    <w:p>
      <w:pPr>
        <w:pStyle w:val="140"/>
        <w:tabs>
          <w:tab w:val="left" w:pos="1253"/>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4、编制储备区划定方案</w:t>
      </w:r>
    </w:p>
    <w:p>
      <w:pPr>
        <w:snapToGrid w:val="0"/>
        <w:spacing w:line="360" w:lineRule="auto"/>
        <w:ind w:right="124" w:firstLine="480" w:firstLineChars="200"/>
        <w:rPr>
          <w:rFonts w:ascii="宋体" w:hAnsi="宋体" w:cs="宋体"/>
          <w:color w:val="auto"/>
          <w:sz w:val="24"/>
          <w:szCs w:val="24"/>
        </w:rPr>
      </w:pPr>
      <w:r>
        <w:rPr>
          <w:rFonts w:hint="eastAsia" w:ascii="宋体" w:hAnsi="宋体" w:cs="宋体"/>
          <w:color w:val="auto"/>
          <w:sz w:val="24"/>
          <w:szCs w:val="24"/>
        </w:rPr>
        <w:t>依据《永久基本农田储备区划定工作要求》，结合划定目标任务、实地核查信息、土地利用总体规划、生态保护红线等成果，编制永久基本农田储备区划定工作方案。</w:t>
      </w:r>
    </w:p>
    <w:p>
      <w:pPr>
        <w:pStyle w:val="140"/>
        <w:tabs>
          <w:tab w:val="left" w:pos="1253"/>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5、建立储备区划定数据库</w:t>
      </w:r>
    </w:p>
    <w:p>
      <w:pPr>
        <w:snapToGrid w:val="0"/>
        <w:spacing w:line="360" w:lineRule="auto"/>
        <w:ind w:right="250" w:firstLine="480" w:firstLineChars="200"/>
        <w:rPr>
          <w:rFonts w:ascii="宋体" w:hAnsi="宋体" w:cs="宋体"/>
          <w:color w:val="auto"/>
          <w:sz w:val="24"/>
          <w:szCs w:val="24"/>
        </w:rPr>
      </w:pPr>
      <w:r>
        <w:rPr>
          <w:rFonts w:hint="eastAsia" w:ascii="宋体" w:hAnsi="宋体" w:cs="宋体"/>
          <w:color w:val="auto"/>
          <w:sz w:val="24"/>
          <w:szCs w:val="24"/>
        </w:rPr>
        <w:t>根据储备区划定的目标任务和实地核实结果，在 2017 年土地利用现状和已建永久基本农田整备区数据库的基础上，按照数据库建设要求，建立完善建安区永久基本农田储备区数据库。</w:t>
      </w:r>
    </w:p>
    <w:p>
      <w:pPr>
        <w:pStyle w:val="140"/>
        <w:tabs>
          <w:tab w:val="left" w:pos="1253"/>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6、储备区划定成果审查备案</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根据储备区数据库建设标准和成果审查细则，汇总储备区成果逐级提交到市级、省级、国家，审查通过后备案。</w:t>
      </w:r>
    </w:p>
    <w:p>
      <w:pPr>
        <w:snapToGrid w:val="0"/>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（三）</w:t>
      </w:r>
      <w:bookmarkStart w:id="2" w:name="（三）开展永久基本农田划定成果的核实整改工作"/>
      <w:bookmarkEnd w:id="2"/>
      <w:r>
        <w:rPr>
          <w:rFonts w:hint="eastAsia" w:ascii="宋体" w:hAnsi="宋体" w:cs="宋体"/>
          <w:b/>
          <w:color w:val="auto"/>
          <w:sz w:val="24"/>
          <w:szCs w:val="24"/>
        </w:rPr>
        <w:t>开展永久基本农田划定成果的核实整改工作</w:t>
      </w:r>
    </w:p>
    <w:p>
      <w:pPr>
        <w:pStyle w:val="140"/>
        <w:tabs>
          <w:tab w:val="left" w:pos="1379"/>
          <w:tab w:val="left" w:pos="1380"/>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1、开展实地核实</w:t>
      </w:r>
    </w:p>
    <w:p>
      <w:pPr>
        <w:snapToGrid w:val="0"/>
        <w:spacing w:line="360" w:lineRule="auto"/>
        <w:ind w:right="247" w:firstLine="480" w:firstLineChars="200"/>
        <w:rPr>
          <w:rFonts w:ascii="宋体" w:hAnsi="宋体" w:cs="宋体"/>
          <w:color w:val="auto"/>
          <w:sz w:val="24"/>
          <w:szCs w:val="24"/>
        </w:rPr>
      </w:pPr>
      <w:r>
        <w:rPr>
          <w:rFonts w:hint="eastAsia" w:ascii="宋体" w:hAnsi="宋体" w:cs="宋体"/>
          <w:color w:val="auto"/>
          <w:sz w:val="24"/>
          <w:szCs w:val="24"/>
        </w:rPr>
        <w:t>结合“三调”中永久基本农田专项调查，依据省、国家下发的永久基本农田变化图斑进行实地核实，提出分类处理意见，并协助管理者通过“河南省智慧耕地一体化监测监管平台在线核查系统”（以下简称“省平台”）、国家实地核实软件（以下简称“国家软件”）上传相关举证材料。</w:t>
      </w:r>
    </w:p>
    <w:p>
      <w:pPr>
        <w:pStyle w:val="140"/>
        <w:tabs>
          <w:tab w:val="left" w:pos="1379"/>
          <w:tab w:val="left" w:pos="1380"/>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2、编制整改补划方案</w:t>
      </w:r>
    </w:p>
    <w:p>
      <w:pPr>
        <w:snapToGrid w:val="0"/>
        <w:spacing w:line="360" w:lineRule="auto"/>
        <w:ind w:right="250" w:firstLine="480" w:firstLineChars="200"/>
        <w:rPr>
          <w:rFonts w:ascii="宋体" w:hAnsi="宋体" w:cs="宋体"/>
          <w:color w:val="auto"/>
          <w:sz w:val="24"/>
          <w:szCs w:val="24"/>
        </w:rPr>
      </w:pPr>
      <w:r>
        <w:rPr>
          <w:rFonts w:hint="eastAsia" w:ascii="宋体" w:hAnsi="宋体" w:cs="宋体"/>
          <w:color w:val="auto"/>
          <w:sz w:val="24"/>
          <w:szCs w:val="24"/>
        </w:rPr>
        <w:t>按照《永久基本农田整改补划方案编制要点》，结合实地核实提出的分类处理意见，完善永久基本农田划定有关情况表、永久基本田核实整改情况汇总表、永久基本农田各类划定不实情况表、违法违规建设占用永久基本农田情况表、违法违规占用破坏永久基本农田情况表、种植植物影响永久基本农田情况表、永久基本农田补划情况表等，编制永久基本农田整改补划方案。</w:t>
      </w:r>
    </w:p>
    <w:p>
      <w:pPr>
        <w:pStyle w:val="140"/>
        <w:tabs>
          <w:tab w:val="left" w:pos="1379"/>
          <w:tab w:val="left" w:pos="1380"/>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3、更新永久基本农田数据库</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按照《永久基本农田划定技术规程》和《永久基本农田数据库标准》（2019 版），结合永久基本农田整改补划结果、依法批准建设用地占用和补划永久基本农田方案，更新永久基本农田数据库。</w:t>
      </w:r>
    </w:p>
    <w:p>
      <w:pPr>
        <w:pStyle w:val="140"/>
        <w:tabs>
          <w:tab w:val="left" w:pos="1379"/>
          <w:tab w:val="left" w:pos="1380"/>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4、整改补划成果审查备案</w:t>
      </w:r>
    </w:p>
    <w:p>
      <w:pPr>
        <w:snapToGrid w:val="0"/>
        <w:spacing w:line="360" w:lineRule="auto"/>
        <w:ind w:right="327" w:firstLine="480" w:firstLineChars="200"/>
        <w:rPr>
          <w:rFonts w:ascii="宋体" w:hAnsi="宋体" w:cs="宋体"/>
          <w:color w:val="auto"/>
          <w:sz w:val="24"/>
          <w:szCs w:val="24"/>
        </w:rPr>
      </w:pPr>
      <w:r>
        <w:rPr>
          <w:rFonts w:hint="eastAsia" w:ascii="宋体" w:hAnsi="宋体" w:cs="宋体"/>
          <w:color w:val="auto"/>
          <w:sz w:val="24"/>
          <w:szCs w:val="24"/>
        </w:rPr>
        <w:t>根据永久基本农田整改补划要求和成果审查细则，汇总补划成果和更新基本农田数据库，逐级提交到市级、省级、国家，审查通过后备案。</w:t>
      </w:r>
    </w:p>
    <w:p>
      <w:pPr>
        <w:snapToGrid w:val="0"/>
        <w:spacing w:line="360" w:lineRule="auto"/>
        <w:ind w:left="540"/>
        <w:rPr>
          <w:rFonts w:ascii="宋体" w:hAnsi="宋体" w:cs="宋体"/>
          <w:b/>
          <w:color w:val="auto"/>
          <w:sz w:val="24"/>
          <w:szCs w:val="24"/>
        </w:rPr>
      </w:pPr>
      <w:r>
        <w:rPr>
          <w:rFonts w:hint="eastAsia" w:ascii="宋体" w:hAnsi="宋体" w:cs="宋体"/>
          <w:b/>
          <w:color w:val="auto"/>
          <w:sz w:val="24"/>
          <w:szCs w:val="24"/>
        </w:rPr>
        <w:t>（四）</w:t>
      </w:r>
      <w:bookmarkStart w:id="3" w:name="（四）汇交成果"/>
      <w:bookmarkEnd w:id="3"/>
      <w:r>
        <w:rPr>
          <w:rFonts w:hint="eastAsia" w:ascii="宋体" w:hAnsi="宋体" w:cs="宋体"/>
          <w:b/>
          <w:color w:val="auto"/>
          <w:sz w:val="24"/>
          <w:szCs w:val="24"/>
        </w:rPr>
        <w:t>汇交成果</w:t>
      </w:r>
    </w:p>
    <w:p>
      <w:pPr>
        <w:pStyle w:val="140"/>
        <w:tabs>
          <w:tab w:val="left" w:pos="1379"/>
          <w:tab w:val="left" w:pos="1380"/>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1、永久基本农田储备区划定成果</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（1）储备区划定目标任务及任务分解表；</w:t>
      </w:r>
    </w:p>
    <w:p>
      <w:pPr>
        <w:pStyle w:val="140"/>
        <w:tabs>
          <w:tab w:val="left" w:pos="1068"/>
        </w:tabs>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（2）永久基本农田储备区划定汇总情况表；</w:t>
      </w:r>
    </w:p>
    <w:p>
      <w:pPr>
        <w:pStyle w:val="140"/>
        <w:tabs>
          <w:tab w:val="left" w:pos="1068"/>
        </w:tabs>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（3）县（市、区）永久基本农田储备区划定方案；</w:t>
      </w:r>
    </w:p>
    <w:p>
      <w:pPr>
        <w:pStyle w:val="140"/>
        <w:tabs>
          <w:tab w:val="left" w:pos="1068"/>
        </w:tabs>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（4）县（市、区）永久基本农田储备区数据库成果；</w:t>
      </w:r>
    </w:p>
    <w:p>
      <w:pPr>
        <w:pStyle w:val="140"/>
        <w:tabs>
          <w:tab w:val="left" w:pos="1068"/>
        </w:tabs>
        <w:snapToGrid w:val="0"/>
        <w:spacing w:line="360" w:lineRule="auto"/>
        <w:ind w:firstLine="480"/>
        <w:rPr>
          <w:rFonts w:ascii="宋体" w:hAnsi="宋体" w:cs="宋体"/>
          <w:color w:val="auto"/>
          <w:sz w:val="24"/>
          <w:szCs w:val="24"/>
        </w:rPr>
      </w:pPr>
      <w:r>
        <w:rPr>
          <w:rFonts w:hint="eastAsia" w:ascii="宋体" w:hAnsi="宋体" w:cs="宋体"/>
          <w:color w:val="auto"/>
          <w:sz w:val="24"/>
          <w:szCs w:val="24"/>
        </w:rPr>
        <w:t>（5）县（市、区）永久基本农田储备区划定成果图件。</w:t>
      </w:r>
    </w:p>
    <w:p>
      <w:pPr>
        <w:pStyle w:val="140"/>
        <w:tabs>
          <w:tab w:val="left" w:pos="1379"/>
          <w:tab w:val="left" w:pos="1380"/>
        </w:tabs>
        <w:snapToGrid w:val="0"/>
        <w:spacing w:line="360" w:lineRule="auto"/>
        <w:ind w:firstLine="482"/>
        <w:rPr>
          <w:rFonts w:ascii="宋体" w:hAnsi="宋体" w:cs="宋体"/>
          <w:b/>
          <w:color w:val="auto"/>
          <w:sz w:val="24"/>
          <w:szCs w:val="24"/>
        </w:rPr>
      </w:pPr>
      <w:r>
        <w:rPr>
          <w:rFonts w:hint="eastAsia" w:ascii="宋体" w:hAnsi="宋体" w:cs="宋体"/>
          <w:b/>
          <w:color w:val="auto"/>
          <w:sz w:val="24"/>
          <w:szCs w:val="24"/>
        </w:rPr>
        <w:t>2、永久基本农田整改补划成果</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（1）永久基本农田整改补划方案</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（2）永久基本农田数据库更新成果</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（3）相关表格成果，主要包括：</w:t>
      </w:r>
    </w:p>
    <w:p>
      <w:pPr>
        <w:snapToGrid w:val="0"/>
        <w:spacing w:line="360" w:lineRule="auto"/>
        <w:ind w:left="664"/>
        <w:rPr>
          <w:rFonts w:ascii="宋体" w:hAnsi="宋体" w:cs="宋体"/>
          <w:color w:val="auto"/>
          <w:sz w:val="24"/>
          <w:szCs w:val="24"/>
        </w:rPr>
      </w:pPr>
      <w:r>
        <w:rPr>
          <w:rFonts w:cs="Calibri"/>
          <w:color w:val="auto"/>
          <w:sz w:val="24"/>
          <w:szCs w:val="24"/>
        </w:rPr>
        <w:t>①</w:t>
      </w:r>
      <w:r>
        <w:rPr>
          <w:rFonts w:hint="eastAsia" w:ascii="宋体" w:hAnsi="宋体" w:cs="宋体"/>
          <w:color w:val="auto"/>
          <w:sz w:val="24"/>
          <w:szCs w:val="24"/>
        </w:rPr>
        <w:t>永久基本农田划定有关情况表</w:t>
      </w:r>
    </w:p>
    <w:p>
      <w:pPr>
        <w:snapToGrid w:val="0"/>
        <w:spacing w:line="360" w:lineRule="auto"/>
        <w:ind w:left="664"/>
        <w:rPr>
          <w:rFonts w:ascii="宋体" w:hAnsi="宋体" w:cs="宋体"/>
          <w:color w:val="auto"/>
          <w:sz w:val="24"/>
          <w:szCs w:val="24"/>
        </w:rPr>
      </w:pPr>
      <w:r>
        <w:rPr>
          <w:rFonts w:cs="Calibri"/>
          <w:color w:val="auto"/>
          <w:sz w:val="24"/>
          <w:szCs w:val="24"/>
        </w:rPr>
        <w:t>②</w:t>
      </w:r>
      <w:r>
        <w:rPr>
          <w:rFonts w:hint="eastAsia" w:ascii="宋体" w:hAnsi="宋体" w:cs="宋体"/>
          <w:color w:val="auto"/>
          <w:sz w:val="24"/>
          <w:szCs w:val="24"/>
        </w:rPr>
        <w:t>永久基本田核实整改情况汇总表</w:t>
      </w:r>
    </w:p>
    <w:p>
      <w:pPr>
        <w:snapToGrid w:val="0"/>
        <w:spacing w:line="360" w:lineRule="auto"/>
        <w:ind w:left="664"/>
        <w:rPr>
          <w:rFonts w:ascii="宋体" w:hAnsi="宋体" w:cs="宋体"/>
          <w:color w:val="auto"/>
          <w:sz w:val="24"/>
          <w:szCs w:val="24"/>
        </w:rPr>
      </w:pPr>
      <w:r>
        <w:rPr>
          <w:rFonts w:cs="Calibri"/>
          <w:color w:val="auto"/>
          <w:sz w:val="24"/>
          <w:szCs w:val="24"/>
        </w:rPr>
        <w:t>③</w:t>
      </w:r>
      <w:r>
        <w:rPr>
          <w:rFonts w:hint="eastAsia" w:ascii="宋体" w:hAnsi="宋体" w:cs="宋体"/>
          <w:color w:val="auto"/>
          <w:sz w:val="24"/>
          <w:szCs w:val="24"/>
        </w:rPr>
        <w:t>永久基本农田各类划定不实情况表</w:t>
      </w:r>
    </w:p>
    <w:p>
      <w:pPr>
        <w:snapToGrid w:val="0"/>
        <w:spacing w:line="360" w:lineRule="auto"/>
        <w:ind w:left="664"/>
        <w:rPr>
          <w:rFonts w:ascii="宋体" w:hAnsi="宋体" w:cs="宋体"/>
          <w:color w:val="auto"/>
          <w:sz w:val="24"/>
          <w:szCs w:val="24"/>
        </w:rPr>
      </w:pPr>
      <w:r>
        <w:rPr>
          <w:rFonts w:hint="eastAsia" w:ascii="宋体" w:hAnsi="宋体" w:cs="宋体"/>
          <w:color w:val="auto"/>
          <w:sz w:val="24"/>
          <w:szCs w:val="24"/>
        </w:rPr>
        <w:t>④违法违规建设占用永久基本农田情况表</w:t>
      </w:r>
    </w:p>
    <w:p>
      <w:pPr>
        <w:snapToGrid w:val="0"/>
        <w:spacing w:line="360" w:lineRule="auto"/>
        <w:ind w:left="664"/>
        <w:rPr>
          <w:rFonts w:ascii="宋体" w:hAnsi="宋体" w:cs="宋体"/>
          <w:color w:val="auto"/>
          <w:sz w:val="24"/>
          <w:szCs w:val="24"/>
        </w:rPr>
      </w:pPr>
      <w:r>
        <w:rPr>
          <w:rFonts w:hint="eastAsia" w:ascii="宋体" w:hAnsi="宋体" w:cs="宋体"/>
          <w:color w:val="auto"/>
          <w:sz w:val="24"/>
          <w:szCs w:val="24"/>
        </w:rPr>
        <w:t>⑤违法违规占用破坏永久基本农田情况表</w:t>
      </w:r>
    </w:p>
    <w:p>
      <w:pPr>
        <w:snapToGrid w:val="0"/>
        <w:spacing w:line="360" w:lineRule="auto"/>
        <w:ind w:left="664"/>
        <w:rPr>
          <w:rFonts w:ascii="宋体" w:hAnsi="宋体" w:cs="宋体"/>
          <w:color w:val="auto"/>
          <w:sz w:val="24"/>
          <w:szCs w:val="24"/>
        </w:rPr>
      </w:pPr>
      <w:r>
        <w:rPr>
          <w:rFonts w:hint="eastAsia" w:ascii="宋体" w:hAnsi="宋体" w:cs="宋体"/>
          <w:color w:val="auto"/>
          <w:sz w:val="24"/>
          <w:szCs w:val="24"/>
        </w:rPr>
        <w:t>⑥种植植物影响永久基本农田情况表</w:t>
      </w:r>
    </w:p>
    <w:p>
      <w:pPr>
        <w:snapToGrid w:val="0"/>
        <w:spacing w:line="360" w:lineRule="auto"/>
        <w:ind w:left="664"/>
        <w:rPr>
          <w:rFonts w:ascii="宋体" w:hAnsi="宋体" w:cs="宋体"/>
          <w:color w:val="auto"/>
          <w:sz w:val="24"/>
          <w:szCs w:val="24"/>
        </w:rPr>
      </w:pPr>
      <w:r>
        <w:rPr>
          <w:rFonts w:hint="eastAsia" w:ascii="宋体" w:hAnsi="宋体" w:cs="宋体"/>
          <w:color w:val="auto"/>
          <w:sz w:val="24"/>
          <w:szCs w:val="24"/>
        </w:rPr>
        <w:t>⑦永久基本农田补划情况表</w:t>
      </w:r>
    </w:p>
    <w:p>
      <w:pPr>
        <w:snapToGrid w:val="0"/>
        <w:spacing w:line="360" w:lineRule="auto"/>
        <w:ind w:left="664"/>
        <w:rPr>
          <w:rFonts w:ascii="宋体" w:hAnsi="宋体" w:cs="宋体"/>
          <w:color w:val="auto"/>
          <w:sz w:val="24"/>
          <w:szCs w:val="24"/>
        </w:rPr>
      </w:pPr>
      <w:r>
        <w:rPr>
          <w:rFonts w:hint="eastAsia" w:ascii="宋体" w:hAnsi="宋体" w:cs="宋体"/>
          <w:color w:val="auto"/>
          <w:sz w:val="24"/>
          <w:szCs w:val="24"/>
        </w:rPr>
        <w:t>（4）图件成果</w:t>
      </w:r>
    </w:p>
    <w:p>
      <w:pPr>
        <w:snapToGrid w:val="0"/>
        <w:spacing w:line="360" w:lineRule="auto"/>
        <w:ind w:left="664"/>
        <w:rPr>
          <w:rFonts w:ascii="宋体" w:hAnsi="宋体" w:cs="宋体"/>
          <w:color w:val="auto"/>
          <w:sz w:val="24"/>
          <w:szCs w:val="24"/>
        </w:rPr>
      </w:pPr>
      <w:r>
        <w:rPr>
          <w:rFonts w:cs="Calibri"/>
          <w:color w:val="auto"/>
          <w:sz w:val="24"/>
          <w:szCs w:val="24"/>
        </w:rPr>
        <w:t>①</w:t>
      </w:r>
      <w:r>
        <w:rPr>
          <w:rFonts w:hint="eastAsia" w:ascii="宋体" w:hAnsi="宋体" w:cs="宋体"/>
          <w:color w:val="auto"/>
          <w:sz w:val="24"/>
          <w:szCs w:val="24"/>
        </w:rPr>
        <w:t>需整改永久基本农田分布示意图（包含城市周边范围线）</w:t>
      </w:r>
    </w:p>
    <w:p>
      <w:pPr>
        <w:snapToGrid w:val="0"/>
        <w:spacing w:line="360" w:lineRule="auto"/>
        <w:ind w:left="664"/>
        <w:rPr>
          <w:rFonts w:ascii="宋体" w:hAnsi="宋体" w:cs="宋体"/>
          <w:color w:val="auto"/>
          <w:sz w:val="24"/>
          <w:szCs w:val="24"/>
        </w:rPr>
      </w:pPr>
      <w:r>
        <w:rPr>
          <w:rFonts w:cs="Calibri"/>
          <w:color w:val="auto"/>
          <w:sz w:val="24"/>
          <w:szCs w:val="24"/>
        </w:rPr>
        <w:t>②</w:t>
      </w:r>
      <w:r>
        <w:rPr>
          <w:rFonts w:hint="eastAsia" w:ascii="宋体" w:hAnsi="宋体" w:cs="宋体"/>
          <w:color w:val="auto"/>
          <w:sz w:val="24"/>
          <w:szCs w:val="24"/>
        </w:rPr>
        <w:t>补划永久基本农田分布示意图（包含城市周边范围线）</w:t>
      </w:r>
    </w:p>
    <w:p>
      <w:pPr>
        <w:snapToGrid w:val="0"/>
        <w:spacing w:line="360" w:lineRule="auto"/>
        <w:ind w:left="664"/>
        <w:rPr>
          <w:rFonts w:ascii="宋体" w:hAnsi="宋体" w:cs="宋体"/>
          <w:color w:val="auto"/>
          <w:sz w:val="24"/>
          <w:szCs w:val="24"/>
        </w:rPr>
      </w:pPr>
      <w:r>
        <w:rPr>
          <w:rFonts w:cs="Calibri"/>
          <w:color w:val="auto"/>
          <w:sz w:val="24"/>
          <w:szCs w:val="24"/>
        </w:rPr>
        <w:t>③</w:t>
      </w:r>
      <w:r>
        <w:rPr>
          <w:rFonts w:hint="eastAsia" w:ascii="宋体" w:hAnsi="宋体" w:cs="宋体"/>
          <w:color w:val="auto"/>
          <w:sz w:val="24"/>
          <w:szCs w:val="24"/>
        </w:rPr>
        <w:t>县（市、区）补划永久基本农田拐点坐标表（TXT 电子报盘</w:t>
      </w:r>
    </w:p>
    <w:p>
      <w:pPr>
        <w:snapToGrid w:val="0"/>
        <w:spacing w:line="360" w:lineRule="auto"/>
        <w:ind w:left="120"/>
        <w:rPr>
          <w:rFonts w:ascii="宋体" w:hAnsi="宋体" w:cs="宋体"/>
          <w:color w:val="auto"/>
          <w:sz w:val="24"/>
          <w:szCs w:val="24"/>
        </w:rPr>
      </w:pPr>
      <w:r>
        <w:rPr>
          <w:rFonts w:hint="eastAsia" w:ascii="宋体" w:hAnsi="宋体" w:cs="宋体"/>
          <w:color w:val="auto"/>
          <w:sz w:val="24"/>
          <w:szCs w:val="24"/>
        </w:rPr>
        <w:t>格式）</w:t>
      </w:r>
    </w:p>
    <w:p>
      <w:pPr>
        <w:snapToGrid w:val="0"/>
        <w:spacing w:line="360" w:lineRule="auto"/>
        <w:ind w:left="664"/>
        <w:rPr>
          <w:rFonts w:ascii="宋体" w:hAnsi="宋体" w:cs="宋体"/>
          <w:color w:val="auto"/>
          <w:sz w:val="24"/>
          <w:szCs w:val="24"/>
        </w:rPr>
      </w:pPr>
      <w:r>
        <w:rPr>
          <w:rFonts w:hint="eastAsia" w:ascii="宋体" w:hAnsi="宋体" w:cs="宋体"/>
          <w:color w:val="auto"/>
          <w:sz w:val="24"/>
          <w:szCs w:val="24"/>
        </w:rPr>
        <w:t>（5）违法占用永久基本农田拆除图斑成果</w:t>
      </w:r>
    </w:p>
    <w:p>
      <w:pPr>
        <w:snapToGrid w:val="0"/>
        <w:spacing w:line="360" w:lineRule="auto"/>
        <w:ind w:left="664"/>
        <w:rPr>
          <w:rFonts w:ascii="宋体" w:hAnsi="宋体" w:cs="宋体"/>
          <w:color w:val="auto"/>
          <w:sz w:val="24"/>
          <w:szCs w:val="24"/>
        </w:rPr>
      </w:pPr>
      <w:r>
        <w:rPr>
          <w:rFonts w:cs="Calibri"/>
          <w:color w:val="auto"/>
          <w:sz w:val="24"/>
          <w:szCs w:val="24"/>
        </w:rPr>
        <w:t>①</w:t>
      </w:r>
      <w:r>
        <w:rPr>
          <w:rFonts w:hint="eastAsia" w:ascii="宋体" w:hAnsi="宋体" w:cs="宋体"/>
          <w:color w:val="auto"/>
          <w:sz w:val="24"/>
          <w:szCs w:val="24"/>
        </w:rPr>
        <w:t>永久基本农田违法违规占用图斑拆除承诺</w:t>
      </w:r>
    </w:p>
    <w:p>
      <w:pPr>
        <w:snapToGrid w:val="0"/>
        <w:spacing w:line="360" w:lineRule="auto"/>
        <w:ind w:left="120" w:right="117" w:firstLine="544"/>
        <w:rPr>
          <w:rFonts w:ascii="宋体" w:hAnsi="宋体" w:cs="宋体"/>
          <w:b/>
          <w:bCs/>
          <w:color w:val="auto"/>
          <w:kern w:val="0"/>
          <w:sz w:val="24"/>
          <w:szCs w:val="24"/>
        </w:rPr>
      </w:pPr>
      <w:r>
        <w:rPr>
          <w:rFonts w:cs="Calibri"/>
          <w:color w:val="auto"/>
          <w:sz w:val="24"/>
          <w:szCs w:val="24"/>
        </w:rPr>
        <w:t>②</w:t>
      </w:r>
      <w:r>
        <w:rPr>
          <w:rFonts w:hint="eastAsia" w:ascii="宋体" w:hAnsi="宋体" w:cs="宋体"/>
          <w:color w:val="auto"/>
          <w:sz w:val="24"/>
          <w:szCs w:val="24"/>
        </w:rPr>
        <w:t>省辖市、省直管县（市）永久基本农田违法违规占用图斑拆除情况表</w:t>
      </w:r>
    </w:p>
    <w:p>
      <w:pPr>
        <w:widowControl/>
        <w:spacing w:line="360" w:lineRule="auto"/>
        <w:contextualSpacing/>
        <w:jc w:val="left"/>
        <w:rPr>
          <w:rFonts w:ascii="宋体" w:hAnsi="宋体" w:cs="宋体"/>
          <w:b/>
          <w:bCs/>
          <w:color w:val="auto"/>
          <w:sz w:val="24"/>
          <w:szCs w:val="24"/>
        </w:rPr>
      </w:pPr>
      <w:r>
        <w:rPr>
          <w:rFonts w:hint="eastAsia" w:ascii="宋体" w:hAnsi="宋体" w:cs="宋体"/>
          <w:b/>
          <w:bCs/>
          <w:color w:val="auto"/>
          <w:kern w:val="0"/>
          <w:sz w:val="24"/>
          <w:szCs w:val="24"/>
        </w:rPr>
        <w:t>二、采购内容：</w:t>
      </w:r>
      <w:r>
        <w:rPr>
          <w:rFonts w:hint="eastAsia" w:ascii="宋体" w:hAnsi="宋体" w:cs="宋体"/>
          <w:color w:val="auto"/>
          <w:sz w:val="24"/>
          <w:szCs w:val="24"/>
          <w:shd w:val="clear" w:color="auto" w:fill="FFFFFF"/>
        </w:rPr>
        <w:t>建安区永久基本农田储备区划定及数据库建设、永久基本农田整改补划及数据库更新。</w:t>
      </w:r>
    </w:p>
    <w:p>
      <w:pPr>
        <w:pStyle w:val="32"/>
        <w:snapToGrid w:val="0"/>
        <w:rPr>
          <w:rFonts w:hint="eastAsia" w:ascii="宋体" w:hAnsi="宋体" w:cs="宋体"/>
          <w:b/>
          <w:bCs/>
          <w:color w:val="auto"/>
          <w:szCs w:val="24"/>
        </w:rPr>
      </w:pPr>
      <w:r>
        <w:rPr>
          <w:rFonts w:hint="eastAsia" w:ascii="宋体" w:hAnsi="宋体" w:cs="宋体"/>
          <w:b/>
          <w:bCs/>
          <w:color w:val="auto"/>
          <w:szCs w:val="24"/>
        </w:rPr>
        <w:t>三、资格要求：</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（一）符合《中华人民共和国政府采购法》第二十二条之规定；</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（二）投标单位须同时具备测绘主管部门颁发的测绘甲级资质、土地学会颁发的土地规划乙级（含）以上资质和农林行业（农业综合开发生态工程）专业乙级（含）以上资质 ，项目负责人须具有土地管理或测绘专业中级（含中级）及以上技术职称。</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（三）未被列入“信用中国</w:t>
      </w:r>
      <w:r>
        <w:rPr>
          <w:rFonts w:ascii="宋体" w:hAnsi="宋体" w:cs="宋体"/>
          <w:color w:val="auto"/>
          <w:kern w:val="0"/>
          <w:sz w:val="24"/>
          <w:szCs w:val="24"/>
        </w:rPr>
        <w:t>”</w:t>
      </w:r>
      <w:r>
        <w:rPr>
          <w:rFonts w:hint="eastAsia" w:ascii="宋体" w:hAnsi="宋体" w:cs="宋体"/>
          <w:color w:val="auto"/>
          <w:kern w:val="0"/>
          <w:sz w:val="24"/>
          <w:szCs w:val="24"/>
        </w:rPr>
        <w:t>网站</w:t>
      </w:r>
      <w:r>
        <w:rPr>
          <w:rFonts w:ascii="宋体" w:hAnsi="宋体" w:cs="宋体"/>
          <w:color w:val="auto"/>
          <w:kern w:val="0"/>
          <w:sz w:val="24"/>
          <w:szCs w:val="24"/>
        </w:rPr>
        <w:t>(www.creditchina.gov.cn)</w:t>
      </w:r>
      <w:r>
        <w:rPr>
          <w:rFonts w:hint="eastAsia" w:ascii="宋体" w:hAnsi="宋体" w:cs="宋体"/>
          <w:color w:val="auto"/>
          <w:kern w:val="0"/>
          <w:sz w:val="24"/>
          <w:szCs w:val="24"/>
        </w:rPr>
        <w:t>失信被执行人、重大税收违法案件当事人名单；</w:t>
      </w:r>
      <w:r>
        <w:rPr>
          <w:rFonts w:ascii="宋体" w:hAnsi="宋体" w:cs="宋体"/>
          <w:color w:val="auto"/>
          <w:kern w:val="0"/>
          <w:sz w:val="24"/>
          <w:szCs w:val="24"/>
        </w:rPr>
        <w:t>“</w:t>
      </w:r>
      <w:r>
        <w:rPr>
          <w:rFonts w:hint="eastAsia" w:ascii="宋体" w:hAnsi="宋体" w:cs="宋体"/>
          <w:color w:val="auto"/>
          <w:kern w:val="0"/>
          <w:sz w:val="24"/>
          <w:szCs w:val="24"/>
        </w:rPr>
        <w:t>中国政府采购网</w:t>
      </w:r>
      <w:r>
        <w:rPr>
          <w:rFonts w:ascii="宋体" w:hAnsi="宋体" w:cs="宋体"/>
          <w:color w:val="auto"/>
          <w:kern w:val="0"/>
          <w:sz w:val="24"/>
          <w:szCs w:val="24"/>
        </w:rPr>
        <w:t>” (www.ccgp.gov.cn)</w:t>
      </w:r>
      <w:r>
        <w:rPr>
          <w:rFonts w:hint="eastAsia" w:ascii="宋体" w:hAnsi="宋体" w:cs="宋体"/>
          <w:color w:val="auto"/>
          <w:kern w:val="0"/>
          <w:sz w:val="24"/>
          <w:szCs w:val="24"/>
        </w:rPr>
        <w:t>政府采购严重违法失信行为记录名单的投标人；</w:t>
      </w:r>
      <w:r>
        <w:rPr>
          <w:rFonts w:ascii="宋体" w:hAnsi="宋体" w:cs="宋体"/>
          <w:color w:val="auto"/>
          <w:kern w:val="0"/>
          <w:sz w:val="24"/>
          <w:szCs w:val="24"/>
        </w:rPr>
        <w:t>“</w:t>
      </w:r>
      <w:r>
        <w:rPr>
          <w:rFonts w:hint="eastAsia" w:ascii="宋体" w:hAnsi="宋体" w:cs="宋体"/>
          <w:color w:val="auto"/>
          <w:kern w:val="0"/>
          <w:sz w:val="24"/>
          <w:szCs w:val="24"/>
        </w:rPr>
        <w:t>中国社会组织公共服务平台</w:t>
      </w:r>
      <w:r>
        <w:rPr>
          <w:rFonts w:ascii="宋体" w:hAnsi="宋体" w:cs="宋体"/>
          <w:color w:val="auto"/>
          <w:kern w:val="0"/>
          <w:sz w:val="24"/>
          <w:szCs w:val="24"/>
        </w:rPr>
        <w:t>”</w:t>
      </w:r>
      <w:r>
        <w:rPr>
          <w:rFonts w:hint="eastAsia" w:ascii="宋体" w:hAnsi="宋体" w:cs="宋体"/>
          <w:color w:val="auto"/>
          <w:kern w:val="0"/>
          <w:sz w:val="24"/>
          <w:szCs w:val="24"/>
        </w:rPr>
        <w:t>网站（</w:t>
      </w:r>
      <w:r>
        <w:rPr>
          <w:rFonts w:ascii="宋体" w:hAnsi="宋体" w:cs="宋体"/>
          <w:color w:val="auto"/>
          <w:kern w:val="0"/>
          <w:sz w:val="24"/>
          <w:szCs w:val="24"/>
        </w:rPr>
        <w:t>www.chinanpo.gov.cn</w:t>
      </w:r>
      <w:r>
        <w:rPr>
          <w:rFonts w:hint="eastAsia" w:ascii="宋体" w:hAnsi="宋体" w:cs="宋体"/>
          <w:color w:val="auto"/>
          <w:kern w:val="0"/>
          <w:sz w:val="24"/>
          <w:szCs w:val="24"/>
        </w:rPr>
        <w:t>）严重违法失信名单的社会组织。</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（四）本次招标不接受联合体投标，不允许分包和转包。</w:t>
      </w:r>
    </w:p>
    <w:p>
      <w:pPr>
        <w:pStyle w:val="2"/>
        <w:snapToGrid w:val="0"/>
        <w:spacing w:line="560" w:lineRule="exact"/>
        <w:ind w:firstLine="0" w:firstLineChars="0"/>
        <w:rPr>
          <w:rFonts w:ascii="宋体" w:hAnsi="宋体" w:cs="宋体"/>
          <w:color w:val="auto"/>
          <w:sz w:val="24"/>
          <w:szCs w:val="24"/>
          <w:shd w:val="clear" w:color="auto" w:fill="FFFFFF"/>
        </w:rPr>
      </w:pPr>
      <w:r>
        <w:rPr>
          <w:rFonts w:hint="eastAsia" w:ascii="宋体" w:hAnsi="宋体" w:cs="宋体"/>
          <w:b/>
          <w:bCs/>
          <w:color w:val="auto"/>
          <w:sz w:val="24"/>
          <w:szCs w:val="24"/>
        </w:rPr>
        <w:t>四、采购预算：</w:t>
      </w:r>
      <w:r>
        <w:rPr>
          <w:rFonts w:hint="eastAsia" w:ascii="宋体" w:hAnsi="宋体" w:cs="宋体"/>
          <w:color w:val="auto"/>
          <w:sz w:val="24"/>
          <w:szCs w:val="24"/>
          <w:shd w:val="clear" w:color="auto" w:fill="FFFFFF"/>
        </w:rPr>
        <w:t>970000元</w:t>
      </w:r>
    </w:p>
    <w:p>
      <w:pPr>
        <w:pStyle w:val="2"/>
        <w:snapToGrid w:val="0"/>
        <w:spacing w:line="560" w:lineRule="exact"/>
        <w:ind w:firstLine="0" w:firstLineChars="0"/>
        <w:rPr>
          <w:rFonts w:ascii="宋体" w:hAnsi="宋体" w:cs="宋体"/>
          <w:color w:val="auto"/>
          <w:sz w:val="24"/>
          <w:szCs w:val="24"/>
          <w:shd w:val="clear" w:color="auto" w:fill="FFFFFF"/>
        </w:rPr>
      </w:pPr>
      <w:r>
        <w:rPr>
          <w:rFonts w:hint="eastAsia" w:ascii="宋体" w:hAnsi="宋体" w:cs="宋体"/>
          <w:b/>
          <w:bCs/>
          <w:color w:val="auto"/>
          <w:sz w:val="24"/>
          <w:szCs w:val="24"/>
        </w:rPr>
        <w:t>五、</w:t>
      </w:r>
      <w:r>
        <w:rPr>
          <w:rFonts w:hint="eastAsia" w:ascii="宋体" w:hAnsi="宋体" w:cs="宋体"/>
          <w:b/>
          <w:bCs/>
          <w:color w:val="auto"/>
          <w:sz w:val="28"/>
          <w:szCs w:val="28"/>
          <w:shd w:val="clear" w:color="auto" w:fill="FFFFFF"/>
        </w:rPr>
        <w:t>交付（服务、完工）时间</w:t>
      </w:r>
      <w:r>
        <w:rPr>
          <w:rFonts w:hint="eastAsia" w:ascii="宋体" w:hAnsi="宋体" w:cs="宋体"/>
          <w:b/>
          <w:bCs/>
          <w:color w:val="auto"/>
          <w:sz w:val="28"/>
          <w:szCs w:val="28"/>
          <w:shd w:val="clear" w:color="auto" w:fill="FFFFFF"/>
          <w:lang w:val="zh-CN"/>
        </w:rPr>
        <w:t>：</w:t>
      </w:r>
      <w:r>
        <w:rPr>
          <w:rFonts w:hint="eastAsia" w:ascii="宋体" w:hAnsi="宋体" w:cs="宋体"/>
          <w:color w:val="auto"/>
          <w:sz w:val="28"/>
          <w:szCs w:val="28"/>
          <w:highlight w:val="none"/>
          <w:shd w:val="clear" w:color="auto" w:fill="FFFFFF"/>
          <w:lang w:eastAsia="zh-CN"/>
        </w:rPr>
        <w:t>合同签订后60日历天</w:t>
      </w:r>
      <w:r>
        <w:rPr>
          <w:rFonts w:hint="eastAsia" w:ascii="宋体" w:hAnsi="宋体" w:cs="宋体"/>
          <w:color w:val="auto"/>
          <w:sz w:val="28"/>
          <w:szCs w:val="28"/>
          <w:highlight w:val="none"/>
          <w:shd w:val="clear" w:color="auto" w:fill="FFFFFF"/>
        </w:rPr>
        <w:t>。</w:t>
      </w:r>
    </w:p>
    <w:p>
      <w:pPr>
        <w:snapToGrid w:val="0"/>
        <w:spacing w:line="560" w:lineRule="exact"/>
        <w:jc w:val="right"/>
        <w:rPr>
          <w:rFonts w:ascii="宋体" w:hAnsi="宋体" w:cs="宋体"/>
          <w:color w:val="auto"/>
          <w:sz w:val="24"/>
          <w:szCs w:val="24"/>
          <w:shd w:val="clear" w:color="auto" w:fill="FFFFFF"/>
        </w:rPr>
      </w:pPr>
      <w:r>
        <w:rPr>
          <w:rFonts w:hint="eastAsia" w:ascii="宋体" w:hAnsi="宋体" w:cs="宋体"/>
          <w:color w:val="auto"/>
          <w:kern w:val="0"/>
          <w:sz w:val="24"/>
          <w:szCs w:val="24"/>
          <w:shd w:val="clear" w:color="auto" w:fill="FFFFFF"/>
        </w:rPr>
        <w:t xml:space="preserve">                             </w:t>
      </w:r>
    </w:p>
    <w:p>
      <w:pPr>
        <w:autoSpaceDE w:val="0"/>
        <w:autoSpaceDN w:val="0"/>
        <w:adjustRightInd w:val="0"/>
        <w:snapToGrid w:val="0"/>
        <w:spacing w:line="560" w:lineRule="exact"/>
        <w:jc w:val="left"/>
        <w:rPr>
          <w:rFonts w:ascii="宋体" w:hAnsi="宋体" w:cs="宋体"/>
          <w:b/>
          <w:bCs/>
          <w:color w:val="auto"/>
          <w:kern w:val="0"/>
          <w:sz w:val="24"/>
          <w:szCs w:val="24"/>
        </w:rPr>
      </w:pPr>
      <w:r>
        <w:rPr>
          <w:rFonts w:hint="eastAsia" w:ascii="宋体" w:hAnsi="宋体" w:cs="宋体"/>
          <w:b/>
          <w:bCs/>
          <w:color w:val="auto"/>
          <w:kern w:val="0"/>
          <w:sz w:val="24"/>
          <w:szCs w:val="24"/>
        </w:rPr>
        <w:t>备注：</w:t>
      </w:r>
    </w:p>
    <w:p>
      <w:pPr>
        <w:autoSpaceDE w:val="0"/>
        <w:autoSpaceDN w:val="0"/>
        <w:adjustRightInd w:val="0"/>
        <w:jc w:val="left"/>
        <w:rPr>
          <w:rFonts w:ascii="宋体" w:hAnsi="宋体" w:cs="宋体"/>
          <w:b/>
          <w:color w:val="auto"/>
          <w:kern w:val="0"/>
          <w:sz w:val="36"/>
          <w:szCs w:val="36"/>
        </w:rPr>
      </w:pPr>
      <w:r>
        <w:rPr>
          <w:rFonts w:hint="eastAsia" w:ascii="宋体" w:hAnsi="宋体" w:cs="宋体"/>
          <w:color w:val="auto"/>
          <w:kern w:val="0"/>
          <w:sz w:val="24"/>
          <w:szCs w:val="24"/>
        </w:rPr>
        <w:t>本项目中标人须在签订合同前按照中标合同金额的10%缴纳履约保证金。</w:t>
      </w:r>
    </w:p>
    <w:p>
      <w:pPr>
        <w:autoSpaceDE w:val="0"/>
        <w:autoSpaceDN w:val="0"/>
        <w:adjustRightInd w:val="0"/>
        <w:jc w:val="center"/>
        <w:rPr>
          <w:rFonts w:ascii="宋体" w:hAnsi="宋体" w:cs="宋体"/>
          <w:b/>
          <w:color w:val="auto"/>
          <w:kern w:val="0"/>
          <w:sz w:val="36"/>
          <w:szCs w:val="36"/>
        </w:rPr>
      </w:pPr>
      <w:r>
        <w:rPr>
          <w:rFonts w:hint="eastAsia" w:ascii="宋体" w:hAnsi="宋体" w:cs="宋体"/>
          <w:b/>
          <w:color w:val="auto"/>
          <w:kern w:val="0"/>
          <w:sz w:val="36"/>
          <w:szCs w:val="36"/>
        </w:rPr>
        <w:br w:type="page"/>
      </w:r>
      <w:r>
        <w:rPr>
          <w:rFonts w:hint="eastAsia" w:ascii="宋体" w:hAnsi="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sz w:val="24"/>
          <w:szCs w:val="24"/>
        </w:rPr>
      </w:pPr>
    </w:p>
    <w:p>
      <w:pPr>
        <w:autoSpaceDE w:val="0"/>
        <w:autoSpaceDN w:val="0"/>
        <w:adjustRightInd w:val="0"/>
        <w:spacing w:line="360" w:lineRule="auto"/>
        <w:ind w:right="-11" w:firstLine="482" w:firstLineChars="200"/>
        <w:jc w:val="left"/>
        <w:rPr>
          <w:rFonts w:ascii="宋体" w:hAnsi="宋体" w:cs="宋体"/>
          <w:b/>
          <w:color w:val="auto"/>
          <w:kern w:val="0"/>
          <w:sz w:val="24"/>
          <w:szCs w:val="24"/>
        </w:rPr>
      </w:pPr>
      <w:r>
        <w:rPr>
          <w:rFonts w:hint="eastAsia" w:ascii="宋体" w:hAnsi="宋体" w:cs="宋体"/>
          <w:b/>
          <w:color w:val="auto"/>
          <w:sz w:val="24"/>
          <w:szCs w:val="24"/>
        </w:rPr>
        <w:t>招标文件中凡标有★条款均为实质性要求条款，投标文件须完全响应，未实质响应的，按照无效投标处理。</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7"/>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2267" w:type="dxa"/>
            <w:vAlign w:val="center"/>
          </w:tcPr>
          <w:p>
            <w:pPr>
              <w:autoSpaceDE w:val="0"/>
              <w:autoSpaceDN w:val="0"/>
              <w:adjustRightInd w:val="0"/>
              <w:spacing w:line="276" w:lineRule="auto"/>
              <w:jc w:val="center"/>
              <w:rPr>
                <w:rFonts w:ascii="宋体" w:hAnsi="宋体" w:cs="宋体"/>
                <w:b/>
                <w:color w:val="auto"/>
                <w:sz w:val="24"/>
                <w:szCs w:val="24"/>
              </w:rPr>
            </w:pPr>
            <w:r>
              <w:rPr>
                <w:rFonts w:hint="eastAsia" w:ascii="宋体" w:hAnsi="宋体" w:cs="宋体"/>
                <w:b/>
                <w:color w:val="auto"/>
                <w:sz w:val="24"/>
                <w:szCs w:val="24"/>
              </w:rPr>
              <w:t>条款名称</w:t>
            </w:r>
          </w:p>
        </w:tc>
        <w:tc>
          <w:tcPr>
            <w:tcW w:w="5546" w:type="dxa"/>
            <w:vAlign w:val="center"/>
          </w:tcPr>
          <w:p>
            <w:pPr>
              <w:autoSpaceDE w:val="0"/>
              <w:autoSpaceDN w:val="0"/>
              <w:adjustRightInd w:val="0"/>
              <w:spacing w:line="276" w:lineRule="auto"/>
              <w:jc w:val="center"/>
              <w:rPr>
                <w:rFonts w:ascii="宋体" w:hAnsi="宋体" w:cs="宋体"/>
                <w:b/>
                <w:color w:val="auto"/>
                <w:sz w:val="24"/>
                <w:szCs w:val="24"/>
              </w:rPr>
            </w:pPr>
            <w:r>
              <w:rPr>
                <w:rFonts w:hint="eastAsia" w:ascii="宋体" w:hAnsi="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267"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采购项目</w:t>
            </w:r>
          </w:p>
        </w:tc>
        <w:tc>
          <w:tcPr>
            <w:tcW w:w="5546" w:type="dxa"/>
          </w:tcPr>
          <w:p>
            <w:pPr>
              <w:autoSpaceDE w:val="0"/>
              <w:autoSpaceDN w:val="0"/>
              <w:adjustRightInd w:val="0"/>
              <w:spacing w:line="360" w:lineRule="auto"/>
              <w:jc w:val="left"/>
              <w:rPr>
                <w:rFonts w:ascii="宋体" w:hAnsi="宋体" w:cs="宋体"/>
                <w:color w:val="auto"/>
                <w:sz w:val="24"/>
                <w:szCs w:val="24"/>
                <w:shd w:val="clear" w:color="auto" w:fill="FFFFFF"/>
              </w:rPr>
            </w:pPr>
            <w:r>
              <w:rPr>
                <w:rFonts w:hint="eastAsia" w:ascii="宋体" w:hAnsi="宋体" w:cs="宋体"/>
                <w:color w:val="auto"/>
                <w:sz w:val="24"/>
                <w:szCs w:val="24"/>
              </w:rPr>
              <w:t>项目名称：建安区永久基本农田核实整改补划及储备区划定项目</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项目编号：</w:t>
            </w:r>
            <w:r>
              <w:rPr>
                <w:rFonts w:hint="eastAsia" w:ascii="宋体" w:hAnsi="宋体" w:cs="宋体"/>
                <w:color w:val="auto"/>
                <w:sz w:val="24"/>
                <w:szCs w:val="24"/>
              </w:rPr>
              <w:t>建安政采公字〔2020〕5号</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项目内容：详见采购文件</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9"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267"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5546"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名称：许昌市自然资源和规划局建安区分局</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联系人：徐武军</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地址：许昌市建安区新元大道兴业大厦北楼</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电话：</w:t>
            </w:r>
            <w:r>
              <w:rPr>
                <w:rFonts w:hint="eastAsia" w:ascii="宋体" w:hAnsi="宋体" w:cs="宋体"/>
                <w:color w:val="auto"/>
                <w:sz w:val="24"/>
                <w:szCs w:val="24"/>
                <w:lang w:val="zh-CN"/>
              </w:rPr>
              <w:t>：</w:t>
            </w:r>
            <w:r>
              <w:rPr>
                <w:rFonts w:hint="eastAsia" w:ascii="宋体" w:hAnsi="宋体" w:cs="宋体"/>
                <w:color w:val="auto"/>
                <w:sz w:val="24"/>
                <w:szCs w:val="24"/>
              </w:rPr>
              <w:t>0374-5115588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3</w:t>
            </w:r>
          </w:p>
        </w:tc>
        <w:tc>
          <w:tcPr>
            <w:tcW w:w="2267"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代理机构</w:t>
            </w:r>
          </w:p>
        </w:tc>
        <w:tc>
          <w:tcPr>
            <w:tcW w:w="5546" w:type="dxa"/>
            <w:vAlign w:val="center"/>
          </w:tcPr>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名称：河南建标工程管理有限公司</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联系人：姚争妍</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地址：许昌市劳动路7号</w:t>
            </w:r>
          </w:p>
          <w:p>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电话：13598991969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4</w:t>
            </w:r>
          </w:p>
        </w:tc>
        <w:tc>
          <w:tcPr>
            <w:tcW w:w="2267"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投标人资格</w:t>
            </w:r>
          </w:p>
        </w:tc>
        <w:tc>
          <w:tcPr>
            <w:tcW w:w="5546" w:type="dxa"/>
            <w:vAlign w:val="center"/>
          </w:tcPr>
          <w:p>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一、法人或者其他组织的营业执照等证明文件，自然人的身份证明</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1、企业法人营业执照或营业执照</w:t>
            </w:r>
            <w:r>
              <w:rPr>
                <w:rFonts w:hint="eastAsia" w:asciiTheme="minorEastAsia" w:hAnsiTheme="minorEastAsia" w:eastAsiaTheme="minorEastAsia" w:cstheme="minorEastAsia"/>
                <w:color w:val="auto"/>
                <w:sz w:val="24"/>
                <w:szCs w:val="24"/>
              </w:rPr>
              <w:t>（分公司的营业执照需有独立法人）。</w:t>
            </w:r>
            <w:r>
              <w:rPr>
                <w:rFonts w:hint="eastAsia" w:asciiTheme="minorEastAsia" w:hAnsiTheme="minorEastAsia" w:eastAsiaTheme="minorEastAsia" w:cstheme="minorEastAsia"/>
                <w:color w:val="auto"/>
                <w:sz w:val="24"/>
                <w:szCs w:val="24"/>
                <w:lang w:val="zh-CN"/>
              </w:rPr>
              <w:t>（企业投标提供）</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2、事业单位法人证书。（事业单位投标提供）</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3、执业许可证。（非专业服务机构投标提供）</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4、个体工商户营业执照。（个体工商户投标提供）</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5、自然人身份证明。（自然人投标提供）</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（或三证合一或五证合一）</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二、财务状况报告相关材料</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1、第三方审计机构出具的2018年度经审计的财务报告</w:t>
            </w:r>
            <w:r>
              <w:rPr>
                <w:rFonts w:hint="eastAsia" w:asciiTheme="minorEastAsia" w:hAnsiTheme="minorEastAsia" w:eastAsiaTheme="minorEastAsia" w:cstheme="minorEastAsia"/>
                <w:color w:val="auto"/>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三、依法缴纳税收相关材料</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shd w:val="clear" w:color="auto" w:fill="FFFFFF"/>
              </w:rPr>
              <w:t>提供</w:t>
            </w:r>
            <w:r>
              <w:rPr>
                <w:rFonts w:hint="eastAsia" w:asciiTheme="minorEastAsia" w:hAnsiTheme="minorEastAsia" w:eastAsiaTheme="minorEastAsia" w:cstheme="minorEastAsia"/>
                <w:color w:val="auto"/>
                <w:sz w:val="24"/>
                <w:szCs w:val="24"/>
                <w:shd w:val="clear" w:color="auto" w:fill="FFFFFF"/>
                <w:lang w:val="zh-CN"/>
              </w:rPr>
              <w:t>税务登记证和</w:t>
            </w:r>
            <w:r>
              <w:rPr>
                <w:rFonts w:hint="eastAsia" w:asciiTheme="minorEastAsia" w:hAnsiTheme="minorEastAsia" w:eastAsiaTheme="minorEastAsia" w:cstheme="minorEastAsia"/>
                <w:color w:val="auto"/>
                <w:sz w:val="24"/>
                <w:szCs w:val="24"/>
                <w:shd w:val="clear" w:color="auto" w:fill="FFFFFF"/>
              </w:rPr>
              <w:t>投标截止时间前近半年中任意三个月的</w:t>
            </w:r>
            <w:r>
              <w:rPr>
                <w:rFonts w:hint="eastAsia" w:asciiTheme="minorEastAsia" w:hAnsiTheme="minorEastAsia" w:eastAsiaTheme="minorEastAsia" w:cstheme="minorEastAsia"/>
                <w:color w:val="auto"/>
                <w:sz w:val="24"/>
                <w:szCs w:val="24"/>
                <w:lang w:val="zh-CN"/>
              </w:rPr>
              <w:t>税收凭据。（依法免税的投标人，应提供相应文件证明依法免税）</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四、依法缴纳社会保障资金的证明材料</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shd w:val="clear" w:color="auto" w:fill="FFFFFF"/>
              </w:rPr>
              <w:t>提供投标截止时间前近半年中任意三个月的</w:t>
            </w:r>
            <w:r>
              <w:rPr>
                <w:rFonts w:hint="eastAsia" w:asciiTheme="minorEastAsia" w:hAnsiTheme="minorEastAsia" w:eastAsiaTheme="minorEastAsia" w:cstheme="minorEastAsia"/>
                <w:color w:val="auto"/>
                <w:sz w:val="24"/>
                <w:szCs w:val="24"/>
                <w:lang w:val="zh-CN"/>
              </w:rPr>
              <w:t>社会保险凭据。（依法不需要缴纳社会保障资金的投标人，应提供相应文件证明依法不需要缴纳社会保障资金）</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相关设备的购置证明、专业技术人员职称证书、用工合同等或者附投标人相关承诺函或声明。</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rPr>
              <w:t>六、</w:t>
            </w:r>
            <w:r>
              <w:rPr>
                <w:rFonts w:hint="eastAsia" w:asciiTheme="minorEastAsia" w:hAnsiTheme="minorEastAsia" w:eastAsiaTheme="minorEastAsia" w:cstheme="minorEastAsia"/>
                <w:b/>
                <w:bCs/>
                <w:color w:val="auto"/>
                <w:sz w:val="24"/>
                <w:szCs w:val="24"/>
                <w:lang w:val="zh-CN"/>
              </w:rPr>
              <w:t>参加政府采购活动前3年内在经营活动中没有重大违法记录的声明</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投标人“参加政府采购活动前3年内在经营活动中没有重大违法记录的书面声明”。重大违法记录，是指投标人因违法经营受到刑事处罚或者责令停产停业、吊销许可证或者执照、较大数额罚款等行政处罚。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(www.ccgp.gov.cn)政府采购严重违法失信行为记录名单的投标人；“中国社会组织公共服务平台”网站（www.chinanpo.gov.cn）严重违法失信社会组织名单的投标人（仅限社会组织）。</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1、查询渠道：“信用中国”网站（www.creditchina.gov.cn）和“中国政府采购网”（www.ccgp.gov.cn）；“中国社会组织公共服务平台”网站（www.chinanpo.gov.cn）；</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2、截止时间：同投标截止时间；</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3、信用信息查询记录和证据留存具体方式：经采购人确认的查询结果网页截图作为查询记录和证据，与其他采购文件一并保存；</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八、投标人资格要求</w:t>
            </w:r>
          </w:p>
          <w:p>
            <w:pPr>
              <w:pStyle w:val="32"/>
              <w:widowControl/>
              <w:shd w:val="clear" w:color="auto" w:fill="FFFFFF"/>
              <w:spacing w:line="360" w:lineRule="auto"/>
              <w:ind w:firstLine="480" w:firstLineChars="200"/>
              <w:rPr>
                <w:rFonts w:ascii="宋体" w:hAnsi="宋体" w:cs="宋体"/>
                <w:color w:val="auto"/>
                <w:szCs w:val="24"/>
              </w:rPr>
            </w:pPr>
            <w:r>
              <w:rPr>
                <w:rFonts w:hint="eastAsia" w:ascii="宋体" w:hAnsi="宋体" w:cs="宋体"/>
                <w:color w:val="auto"/>
                <w:szCs w:val="24"/>
                <w:shd w:val="clear" w:color="auto" w:fill="FFFFFF"/>
              </w:rPr>
              <w:t>投标单位须同时具备测绘主管部门颁发的测绘甲级资质、土地学会颁发的土地规划乙级（含）以上资质和农林行业（农业综合开发生态工程）专业乙级（含）以上资质 ，项目负责人须具有土地管理或测绘专业中级（含中级）及以上技术职称。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5</w:t>
            </w:r>
          </w:p>
        </w:tc>
        <w:tc>
          <w:tcPr>
            <w:tcW w:w="2267"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联合体投标</w:t>
            </w:r>
          </w:p>
        </w:tc>
        <w:tc>
          <w:tcPr>
            <w:tcW w:w="5546"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kern w:val="0"/>
                <w:sz w:val="24"/>
                <w:szCs w:val="24"/>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6</w:t>
            </w:r>
          </w:p>
        </w:tc>
        <w:tc>
          <w:tcPr>
            <w:tcW w:w="2267" w:type="dxa"/>
            <w:vAlign w:val="center"/>
          </w:tcPr>
          <w:p>
            <w:pPr>
              <w:autoSpaceDE w:val="0"/>
              <w:autoSpaceDN w:val="0"/>
              <w:adjustRightInd w:val="0"/>
              <w:spacing w:line="276" w:lineRule="auto"/>
              <w:jc w:val="center"/>
              <w:rPr>
                <w:rFonts w:ascii="宋体" w:hAnsi="宋体" w:cs="宋体"/>
                <w:b/>
                <w:color w:val="auto"/>
                <w:sz w:val="24"/>
                <w:szCs w:val="24"/>
                <w:lang w:val="zh-CN"/>
              </w:rPr>
            </w:pPr>
            <w:r>
              <w:rPr>
                <w:rFonts w:hint="eastAsia" w:ascii="宋体" w:hAnsi="宋体" w:cs="宋体"/>
                <w:b/>
                <w:color w:val="auto"/>
                <w:sz w:val="24"/>
                <w:szCs w:val="24"/>
                <w:lang w:val="zh-CN"/>
              </w:rPr>
              <w:t>最高限价</w:t>
            </w:r>
          </w:p>
        </w:tc>
        <w:tc>
          <w:tcPr>
            <w:tcW w:w="5546" w:type="dxa"/>
            <w:vAlign w:val="center"/>
          </w:tcPr>
          <w:p>
            <w:pPr>
              <w:autoSpaceDE w:val="0"/>
              <w:autoSpaceDN w:val="0"/>
              <w:adjustRightInd w:val="0"/>
              <w:spacing w:line="276" w:lineRule="auto"/>
              <w:rPr>
                <w:rFonts w:ascii="宋体" w:hAnsi="宋体" w:cs="宋体"/>
                <w:b/>
                <w:color w:val="auto"/>
                <w:kern w:val="0"/>
                <w:sz w:val="24"/>
                <w:szCs w:val="24"/>
              </w:rPr>
            </w:pPr>
            <w:r>
              <w:rPr>
                <w:rFonts w:hint="eastAsia" w:ascii="宋体" w:hAnsi="宋体" w:cs="宋体"/>
                <w:color w:val="auto"/>
                <w:sz w:val="24"/>
                <w:szCs w:val="24"/>
                <w:shd w:val="clear" w:color="auto" w:fill="FFFFFF"/>
              </w:rPr>
              <w:t>970000元，超出最高限价的投标无效。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7</w:t>
            </w:r>
          </w:p>
        </w:tc>
        <w:tc>
          <w:tcPr>
            <w:tcW w:w="2267"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现场考察</w:t>
            </w:r>
          </w:p>
        </w:tc>
        <w:tc>
          <w:tcPr>
            <w:tcW w:w="554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kern w:val="0"/>
                <w:sz w:val="24"/>
                <w:szCs w:val="24"/>
              </w:rPr>
              <w:t xml:space="preserve">不组织   </w:t>
            </w:r>
            <w:r>
              <w:rPr>
                <w:rFonts w:hint="eastAsia" w:ascii="宋体" w:hAnsi="宋体" w:cs="宋体"/>
                <w:color w:val="auto"/>
                <w:kern w:val="0"/>
                <w:sz w:val="24"/>
                <w:szCs w:val="24"/>
              </w:rPr>
              <w:sym w:font="Wingdings 2" w:char="00A3"/>
            </w:r>
            <w:r>
              <w:rPr>
                <w:rFonts w:hint="eastAsia" w:ascii="宋体" w:hAnsi="宋体" w:cs="宋体"/>
                <w:color w:val="auto"/>
                <w:kern w:val="0"/>
                <w:sz w:val="24"/>
                <w:szCs w:val="24"/>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8</w:t>
            </w:r>
          </w:p>
        </w:tc>
        <w:tc>
          <w:tcPr>
            <w:tcW w:w="2267"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开标前答疑会</w:t>
            </w:r>
          </w:p>
        </w:tc>
        <w:tc>
          <w:tcPr>
            <w:tcW w:w="5546" w:type="dxa"/>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9</w:t>
            </w:r>
          </w:p>
        </w:tc>
        <w:tc>
          <w:tcPr>
            <w:tcW w:w="2267"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进口产品参与</w:t>
            </w:r>
          </w:p>
        </w:tc>
        <w:tc>
          <w:tcPr>
            <w:tcW w:w="5546"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10</w:t>
            </w:r>
          </w:p>
        </w:tc>
        <w:tc>
          <w:tcPr>
            <w:tcW w:w="2267"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b/>
                <w:color w:val="auto"/>
                <w:sz w:val="24"/>
                <w:szCs w:val="24"/>
              </w:rPr>
              <w:t>★</w:t>
            </w:r>
            <w:r>
              <w:rPr>
                <w:rFonts w:hint="eastAsia" w:ascii="宋体" w:hAnsi="宋体" w:cs="宋体"/>
                <w:color w:val="auto"/>
                <w:sz w:val="24"/>
                <w:szCs w:val="24"/>
              </w:rPr>
              <w:t>投标有效期</w:t>
            </w:r>
          </w:p>
        </w:tc>
        <w:tc>
          <w:tcPr>
            <w:tcW w:w="5546" w:type="dxa"/>
            <w:vAlign w:val="center"/>
          </w:tcPr>
          <w:p>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宋体"/>
                <w:color w:val="auto"/>
                <w:sz w:val="24"/>
                <w:szCs w:val="24"/>
              </w:rPr>
              <w:t>）</w:t>
            </w:r>
          </w:p>
          <w:p>
            <w:pPr>
              <w:autoSpaceDE w:val="0"/>
              <w:autoSpaceDN w:val="0"/>
              <w:adjustRightInd w:val="0"/>
              <w:spacing w:line="360" w:lineRule="auto"/>
              <w:rPr>
                <w:rFonts w:ascii="宋体" w:hAnsi="宋体" w:cs="宋体"/>
                <w:color w:val="auto"/>
                <w:sz w:val="24"/>
                <w:szCs w:val="24"/>
              </w:rPr>
            </w:pPr>
            <w:r>
              <w:rPr>
                <w:rFonts w:hint="eastAsia" w:ascii="宋体" w:hAnsi="宋体" w:cs="宋体"/>
                <w:color w:val="auto"/>
                <w:sz w:val="24"/>
                <w:szCs w:val="24"/>
                <w:lang w:val="zh-CN"/>
              </w:rPr>
              <w:t>中标人投标有效期延至合同验收之日，</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11</w:t>
            </w:r>
          </w:p>
        </w:tc>
        <w:tc>
          <w:tcPr>
            <w:tcW w:w="2267" w:type="dxa"/>
            <w:vAlign w:val="center"/>
          </w:tcPr>
          <w:p>
            <w:pPr>
              <w:autoSpaceDE w:val="0"/>
              <w:autoSpaceDN w:val="0"/>
              <w:adjustRightInd w:val="0"/>
              <w:jc w:val="center"/>
              <w:rPr>
                <w:rFonts w:ascii="宋体" w:hAnsi="宋体" w:cs="宋体"/>
                <w:bCs/>
                <w:color w:val="auto"/>
                <w:sz w:val="24"/>
                <w:szCs w:val="24"/>
                <w:lang w:val="zh-CN"/>
              </w:rPr>
            </w:pPr>
            <w:r>
              <w:rPr>
                <w:rFonts w:hint="eastAsia" w:ascii="宋体" w:hAnsi="宋体" w:cs="宋体"/>
                <w:b/>
                <w:color w:val="auto"/>
                <w:sz w:val="24"/>
                <w:szCs w:val="24"/>
              </w:rPr>
              <w:t>★</w:t>
            </w:r>
            <w:r>
              <w:rPr>
                <w:rFonts w:hint="eastAsia" w:ascii="宋体" w:hAnsi="宋体" w:cs="宋体"/>
                <w:bCs/>
                <w:color w:val="auto"/>
                <w:sz w:val="24"/>
                <w:szCs w:val="24"/>
                <w:lang w:val="zh-CN"/>
              </w:rPr>
              <w:t>中标人将本项目的非主体、非关键性</w:t>
            </w:r>
          </w:p>
          <w:p>
            <w:pPr>
              <w:autoSpaceDE w:val="0"/>
              <w:autoSpaceDN w:val="0"/>
              <w:adjustRightInd w:val="0"/>
              <w:jc w:val="center"/>
              <w:rPr>
                <w:rFonts w:ascii="宋体" w:hAnsi="宋体" w:cs="宋体"/>
                <w:color w:val="auto"/>
                <w:sz w:val="24"/>
                <w:szCs w:val="24"/>
              </w:rPr>
            </w:pPr>
            <w:r>
              <w:rPr>
                <w:rFonts w:hint="eastAsia" w:ascii="宋体" w:hAnsi="宋体" w:cs="宋体"/>
                <w:bCs/>
                <w:color w:val="auto"/>
                <w:sz w:val="24"/>
                <w:szCs w:val="24"/>
                <w:lang w:val="zh-CN"/>
              </w:rPr>
              <w:t>工作分包</w:t>
            </w:r>
          </w:p>
        </w:tc>
        <w:tc>
          <w:tcPr>
            <w:tcW w:w="5546" w:type="dxa"/>
            <w:vAlign w:val="center"/>
          </w:tcPr>
          <w:p>
            <w:pPr>
              <w:autoSpaceDE w:val="0"/>
              <w:autoSpaceDN w:val="0"/>
              <w:adjustRightInd w:val="0"/>
              <w:spacing w:line="276" w:lineRule="auto"/>
              <w:rPr>
                <w:rFonts w:ascii="宋体" w:hAnsi="宋体" w:cs="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12</w:t>
            </w:r>
          </w:p>
        </w:tc>
        <w:tc>
          <w:tcPr>
            <w:tcW w:w="2267" w:type="dxa"/>
            <w:vAlign w:val="center"/>
          </w:tcPr>
          <w:p>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554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rPr>
              <w:t>2020年2月10日9时30分</w:t>
            </w:r>
            <w:r>
              <w:rPr>
                <w:rFonts w:hint="eastAsia" w:ascii="宋体" w:hAnsi="宋体" w:cs="宋体"/>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13</w:t>
            </w:r>
          </w:p>
        </w:tc>
        <w:tc>
          <w:tcPr>
            <w:tcW w:w="2267" w:type="dxa"/>
            <w:vAlign w:val="center"/>
          </w:tcPr>
          <w:p>
            <w:pPr>
              <w:autoSpaceDE w:val="0"/>
              <w:autoSpaceDN w:val="0"/>
              <w:adjustRightInd w:val="0"/>
              <w:jc w:val="center"/>
              <w:rPr>
                <w:rFonts w:ascii="宋体" w:hAnsi="宋体" w:cs="宋体"/>
                <w:color w:val="auto"/>
                <w:sz w:val="24"/>
                <w:szCs w:val="24"/>
              </w:rPr>
            </w:pPr>
            <w:r>
              <w:rPr>
                <w:rFonts w:hint="eastAsia" w:ascii="宋体" w:hAnsi="宋体" w:cs="宋体"/>
                <w:color w:val="auto"/>
                <w:sz w:val="24"/>
                <w:szCs w:val="24"/>
              </w:rPr>
              <w:t>递交投标文件</w:t>
            </w:r>
          </w:p>
          <w:p>
            <w:pPr>
              <w:autoSpaceDE w:val="0"/>
              <w:autoSpaceDN w:val="0"/>
              <w:adjustRightInd w:val="0"/>
              <w:jc w:val="center"/>
              <w:rPr>
                <w:rFonts w:ascii="宋体" w:hAnsi="宋体" w:cs="宋体"/>
                <w:color w:val="auto"/>
                <w:sz w:val="24"/>
                <w:szCs w:val="24"/>
              </w:rPr>
            </w:pPr>
            <w:r>
              <w:rPr>
                <w:rFonts w:hint="eastAsia" w:ascii="宋体" w:hAnsi="宋体" w:cs="宋体"/>
                <w:color w:val="auto"/>
                <w:sz w:val="24"/>
                <w:szCs w:val="24"/>
              </w:rPr>
              <w:t>及开标地点</w:t>
            </w:r>
          </w:p>
        </w:tc>
        <w:tc>
          <w:tcPr>
            <w:tcW w:w="554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许昌市建安区公共资源交易中心四楼</w:t>
            </w:r>
            <w:r>
              <w:rPr>
                <w:rFonts w:hint="eastAsia" w:ascii="宋体" w:hAnsi="宋体" w:cs="宋体"/>
                <w:bCs/>
                <w:color w:val="auto"/>
                <w:sz w:val="24"/>
                <w:szCs w:val="24"/>
              </w:rPr>
              <w:t>开标三室（建安区新元大道兴业大厦北四楼4163室）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15</w:t>
            </w:r>
          </w:p>
        </w:tc>
        <w:tc>
          <w:tcPr>
            <w:tcW w:w="2267"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公告发布</w:t>
            </w:r>
          </w:p>
        </w:tc>
        <w:tc>
          <w:tcPr>
            <w:tcW w:w="5546"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16</w:t>
            </w:r>
          </w:p>
        </w:tc>
        <w:tc>
          <w:tcPr>
            <w:tcW w:w="2267"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采购人澄清或修改招标文件时间</w:t>
            </w:r>
          </w:p>
        </w:tc>
        <w:tc>
          <w:tcPr>
            <w:tcW w:w="554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宋体"/>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17</w:t>
            </w:r>
          </w:p>
        </w:tc>
        <w:tc>
          <w:tcPr>
            <w:tcW w:w="2267"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投标人对采购文件质疑截止时间</w:t>
            </w:r>
          </w:p>
        </w:tc>
        <w:tc>
          <w:tcPr>
            <w:tcW w:w="554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18</w:t>
            </w:r>
          </w:p>
        </w:tc>
        <w:tc>
          <w:tcPr>
            <w:tcW w:w="2267"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投标文件份数</w:t>
            </w:r>
          </w:p>
        </w:tc>
        <w:tc>
          <w:tcPr>
            <w:tcW w:w="554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color w:val="auto"/>
                <w:sz w:val="24"/>
              </w:rPr>
              <w:fldChar w:fldCharType="begin"/>
            </w:r>
            <w:r>
              <w:rPr>
                <w:rFonts w:hint="eastAsia" w:ascii="宋体" w:hAnsi="宋体" w:cs="宋体"/>
                <w:b/>
                <w:color w:val="auto"/>
                <w:sz w:val="24"/>
              </w:rPr>
              <w:instrText xml:space="preserve">eq \o\ac(□,√)</w:instrText>
            </w:r>
            <w:r>
              <w:rPr>
                <w:rFonts w:hint="eastAsia" w:ascii="宋体" w:hAnsi="宋体" w:cs="宋体"/>
                <w:b/>
                <w:color w:val="auto"/>
                <w:sz w:val="24"/>
              </w:rPr>
              <w:fldChar w:fldCharType="end"/>
            </w:r>
            <w:r>
              <w:rPr>
                <w:rFonts w:hint="eastAsia" w:ascii="宋体" w:hAnsi="宋体" w:cs="宋体"/>
                <w:bCs/>
                <w:color w:val="auto"/>
                <w:sz w:val="24"/>
              </w:rPr>
              <w:t>电子投标文件：成功上传至《全国公共资源交易平台（河南省·许昌市）》公共资源交易系统加密电子投标文件1份</w:t>
            </w:r>
            <w:r>
              <w:rPr>
                <w:rFonts w:hint="eastAsia" w:ascii="宋体" w:hAnsi="宋体" w:cs="宋体"/>
                <w:bCs/>
                <w:color w:val="auto"/>
                <w:sz w:val="24"/>
                <w:lang w:val="zh-CN"/>
              </w:rPr>
              <w:t>（文件格式为： XXX公司XXX项目编号.file）。</w:t>
            </w:r>
            <w:r>
              <w:rPr>
                <w:rFonts w:hint="eastAsia" w:ascii="宋体" w:hAnsi="宋体" w:cs="宋体"/>
                <w:bCs/>
                <w:color w:val="auto"/>
                <w:sz w:val="24"/>
              </w:rPr>
              <w:t>使用电子介质存储的备份文件 2 份，建议U盘电子档备份文件，要求电子档有标签注明投标单位、项目编号。文件格式为：名称为“备份”的文件夹）。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19</w:t>
            </w:r>
          </w:p>
        </w:tc>
        <w:tc>
          <w:tcPr>
            <w:tcW w:w="2267"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投标文件的</w:t>
            </w:r>
          </w:p>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签署盖章</w:t>
            </w:r>
          </w:p>
        </w:tc>
        <w:tc>
          <w:tcPr>
            <w:tcW w:w="5546" w:type="dxa"/>
            <w:vAlign w:val="center"/>
          </w:tcPr>
          <w:p>
            <w:pPr>
              <w:autoSpaceDE w:val="0"/>
              <w:autoSpaceDN w:val="0"/>
              <w:adjustRightInd w:val="0"/>
              <w:spacing w:line="420" w:lineRule="exact"/>
              <w:rPr>
                <w:rFonts w:ascii="宋体" w:hAnsi="宋体" w:cs="宋体"/>
                <w:color w:val="auto"/>
                <w:sz w:val="24"/>
                <w:szCs w:val="24"/>
              </w:rPr>
            </w:pPr>
            <w:r>
              <w:rPr>
                <w:rFonts w:hint="eastAsia" w:ascii="宋体" w:hAnsi="宋体" w:cs="宋体"/>
                <w:b/>
                <w:color w:val="auto"/>
                <w:sz w:val="24"/>
              </w:rPr>
              <w:fldChar w:fldCharType="begin"/>
            </w:r>
            <w:r>
              <w:rPr>
                <w:rFonts w:hint="eastAsia" w:ascii="宋体" w:hAnsi="宋体" w:cs="宋体"/>
                <w:b/>
                <w:color w:val="auto"/>
                <w:sz w:val="24"/>
              </w:rPr>
              <w:instrText xml:space="preserve">eq \o\ac(□,√)</w:instrText>
            </w:r>
            <w:r>
              <w:rPr>
                <w:rFonts w:hint="eastAsia" w:ascii="宋体" w:hAnsi="宋体" w:cs="宋体"/>
                <w:b/>
                <w:color w:val="auto"/>
                <w:sz w:val="24"/>
              </w:rPr>
              <w:fldChar w:fldCharType="end"/>
            </w:r>
            <w:r>
              <w:rPr>
                <w:rFonts w:hint="eastAsia" w:ascii="宋体" w:hAnsi="宋体" w:cs="宋体"/>
                <w:color w:val="auto"/>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20</w:t>
            </w:r>
          </w:p>
        </w:tc>
        <w:tc>
          <w:tcPr>
            <w:tcW w:w="2267" w:type="dxa"/>
            <w:vAlign w:val="center"/>
          </w:tcPr>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评标委员会组建</w:t>
            </w:r>
          </w:p>
        </w:tc>
        <w:tc>
          <w:tcPr>
            <w:tcW w:w="554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lang w:val="zh-CN"/>
              </w:rPr>
              <w:t>由采购人代表和评审专家共五人组成，其中评审专家的人数不少于评标委员会成员总数的三分之二。评审专家从政府采购评审专家库中随机抽取。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21</w:t>
            </w:r>
          </w:p>
        </w:tc>
        <w:tc>
          <w:tcPr>
            <w:tcW w:w="2267"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color w:val="auto"/>
                <w:sz w:val="24"/>
                <w:szCs w:val="24"/>
              </w:rPr>
              <w:t>评标方法</w:t>
            </w:r>
          </w:p>
        </w:tc>
        <w:tc>
          <w:tcPr>
            <w:tcW w:w="554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综合评分法 </w:t>
            </w:r>
            <w:r>
              <w:rPr>
                <w:rFonts w:hint="eastAsia" w:ascii="宋体" w:hAnsi="宋体" w:cs="宋体"/>
                <w:b/>
                <w:bCs/>
                <w:color w:val="auto"/>
                <w:sz w:val="24"/>
                <w:szCs w:val="24"/>
                <w:lang w:val="zh-CN"/>
              </w:rPr>
              <w:t>□</w:t>
            </w:r>
            <w:r>
              <w:rPr>
                <w:rFonts w:hint="eastAsia" w:ascii="宋体" w:hAnsi="宋体" w:cs="宋体"/>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22</w:t>
            </w:r>
          </w:p>
        </w:tc>
        <w:tc>
          <w:tcPr>
            <w:tcW w:w="2267"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5546"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23</w:t>
            </w:r>
          </w:p>
        </w:tc>
        <w:tc>
          <w:tcPr>
            <w:tcW w:w="2267"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5546" w:type="dxa"/>
            <w:vAlign w:val="center"/>
          </w:tcPr>
          <w:p>
            <w:pPr>
              <w:autoSpaceDE w:val="0"/>
              <w:autoSpaceDN w:val="0"/>
              <w:adjustRightInd w:val="0"/>
              <w:spacing w:line="360" w:lineRule="auto"/>
              <w:rPr>
                <w:rFonts w:ascii="宋体" w:hAnsi="宋体" w:cs="宋体"/>
                <w:color w:val="auto"/>
                <w:kern w:val="0"/>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s="宋体"/>
                <w:color w:val="auto"/>
                <w:sz w:val="24"/>
                <w:szCs w:val="24"/>
              </w:rPr>
              <w:t>要求提交。</w:t>
            </w:r>
            <w:r>
              <w:rPr>
                <w:rFonts w:hint="eastAsia" w:ascii="宋体" w:hAnsi="宋体" w:cs="宋体"/>
                <w:b/>
                <w:bCs/>
                <w:color w:val="auto"/>
                <w:sz w:val="24"/>
                <w:szCs w:val="24"/>
              </w:rPr>
              <w:t>履约保证金的数额为不超过中标合同金额的10%。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24</w:t>
            </w:r>
          </w:p>
        </w:tc>
        <w:tc>
          <w:tcPr>
            <w:tcW w:w="2267"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5546"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25</w:t>
            </w:r>
          </w:p>
        </w:tc>
        <w:tc>
          <w:tcPr>
            <w:tcW w:w="2267"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5546" w:type="dxa"/>
            <w:vAlign w:val="center"/>
          </w:tcPr>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中标人在接到中标通知时，须向代理机构发送投标报价及分项报价一览表（包含主要中标标的的名称、规格型号、数量、单价、服务要求等）电子文档，联系电话：</w:t>
            </w:r>
            <w:r>
              <w:rPr>
                <w:rFonts w:hint="eastAsia" w:ascii="宋体" w:hAnsi="宋体" w:cs="宋体"/>
                <w:bCs/>
                <w:color w:val="auto"/>
                <w:sz w:val="24"/>
                <w:szCs w:val="24"/>
              </w:rPr>
              <w:t>13598991969</w:t>
            </w:r>
            <w:r>
              <w:rPr>
                <w:rFonts w:hint="eastAsia" w:ascii="宋体" w:hAnsi="宋体" w:cs="宋体"/>
                <w:bCs/>
                <w:color w:val="auto"/>
                <w:sz w:val="24"/>
                <w:szCs w:val="24"/>
                <w:lang w:val="zh-CN"/>
              </w:rPr>
              <w:t>，邮箱：</w:t>
            </w:r>
            <w:r>
              <w:rPr>
                <w:rFonts w:hint="eastAsia" w:ascii="宋体" w:hAnsi="宋体" w:cs="宋体"/>
                <w:bCs/>
                <w:color w:val="auto"/>
                <w:sz w:val="24"/>
                <w:szCs w:val="24"/>
              </w:rPr>
              <w:t>7119748@qq.com</w:t>
            </w:r>
            <w:r>
              <w:rPr>
                <w:rFonts w:hint="eastAsia" w:ascii="宋体" w:hAnsi="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cs="宋体"/>
                <w:color w:val="auto"/>
                <w:sz w:val="24"/>
                <w:szCs w:val="24"/>
              </w:rPr>
            </w:pPr>
            <w:r>
              <w:rPr>
                <w:rFonts w:hint="eastAsia" w:ascii="宋体" w:hAnsi="宋体" w:cs="宋体"/>
                <w:color w:val="auto"/>
                <w:sz w:val="24"/>
                <w:szCs w:val="24"/>
              </w:rPr>
              <w:t>26</w:t>
            </w:r>
          </w:p>
        </w:tc>
        <w:tc>
          <w:tcPr>
            <w:tcW w:w="2267"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5546" w:type="dxa"/>
            <w:vAlign w:val="center"/>
          </w:tcPr>
          <w:p>
            <w:pPr>
              <w:autoSpaceDE w:val="0"/>
              <w:autoSpaceDN w:val="0"/>
              <w:adjustRightInd w:val="0"/>
              <w:spacing w:line="360" w:lineRule="auto"/>
              <w:contextualSpacing/>
              <w:rPr>
                <w:rFonts w:ascii="宋体" w:hAnsi="宋体" w:cs="宋体"/>
                <w:color w:val="auto"/>
                <w:sz w:val="24"/>
              </w:rPr>
            </w:pPr>
            <w:r>
              <w:rPr>
                <w:rFonts w:hint="eastAsia" w:ascii="宋体" w:hAnsi="宋体" w:cs="宋体"/>
                <w:color w:val="auto"/>
                <w:sz w:val="24"/>
                <w:lang w:val="zh-CN"/>
              </w:rPr>
              <w:fldChar w:fldCharType="begin"/>
            </w:r>
            <w:r>
              <w:rPr>
                <w:rFonts w:hint="eastAsia" w:ascii="宋体" w:hAnsi="宋体" w:cs="宋体"/>
                <w:color w:val="auto"/>
                <w:sz w:val="24"/>
                <w:lang w:val="zh-CN"/>
              </w:rPr>
              <w:instrText xml:space="preserve">eq \o\ac(□,</w:instrText>
            </w:r>
            <w:r>
              <w:rPr>
                <w:rFonts w:hint="eastAsia" w:ascii="宋体" w:hAnsi="宋体" w:cs="宋体"/>
                <w:color w:val="auto"/>
                <w:position w:val="2"/>
                <w:sz w:val="16"/>
                <w:lang w:val="zh-CN"/>
              </w:rPr>
              <w:instrText xml:space="preserve">√</w:instrText>
            </w:r>
            <w:r>
              <w:rPr>
                <w:rFonts w:hint="eastAsia" w:ascii="宋体" w:hAnsi="宋体" w:cs="宋体"/>
                <w:color w:val="auto"/>
                <w:sz w:val="24"/>
                <w:lang w:val="zh-CN"/>
              </w:rPr>
              <w:instrText xml:space="preserve">)</w:instrText>
            </w:r>
            <w:r>
              <w:rPr>
                <w:rFonts w:hint="eastAsia" w:ascii="宋体" w:hAnsi="宋体" w:cs="宋体"/>
                <w:color w:val="auto"/>
                <w:sz w:val="24"/>
                <w:lang w:val="zh-CN"/>
              </w:rPr>
              <w:fldChar w:fldCharType="end"/>
            </w:r>
            <w:r>
              <w:rPr>
                <w:rFonts w:hint="eastAsia" w:ascii="宋体" w:hAnsi="宋体" w:cs="宋体"/>
                <w:color w:val="auto"/>
                <w:sz w:val="24"/>
                <w:lang w:val="zh-CN"/>
              </w:rPr>
              <w:t>是</w:t>
            </w:r>
            <w:r>
              <w:rPr>
                <w:rFonts w:hint="eastAsia" w:ascii="宋体" w:hAnsi="宋体" w:cs="宋体"/>
                <w:color w:val="auto"/>
                <w:sz w:val="24"/>
              </w:rPr>
              <w:t>,</w:t>
            </w:r>
            <w:r>
              <w:rPr>
                <w:rFonts w:hint="eastAsia" w:ascii="宋体" w:hAnsi="宋体" w:cs="宋体"/>
                <w:color w:val="auto"/>
                <w:sz w:val="24"/>
                <w:lang w:val="zh-CN"/>
              </w:rPr>
              <w:t>投标人投标时须提供加密电子投标文件、</w:t>
            </w:r>
            <w:r>
              <w:rPr>
                <w:rFonts w:hint="eastAsia" w:ascii="宋体" w:hAnsi="宋体" w:cs="宋体"/>
                <w:color w:val="auto"/>
                <w:sz w:val="24"/>
              </w:rPr>
              <w:t>存储有备份文件的电子介质2份</w:t>
            </w:r>
            <w:r>
              <w:rPr>
                <w:rFonts w:hint="eastAsia" w:ascii="宋体" w:hAnsi="宋体" w:cs="宋体"/>
                <w:color w:val="auto"/>
                <w:sz w:val="24"/>
                <w:lang w:val="zh-CN"/>
              </w:rPr>
              <w:t>。投标人资质、业绩、荣誉及相关人员证明材料</w:t>
            </w:r>
            <w:r>
              <w:rPr>
                <w:rFonts w:hint="eastAsia" w:ascii="宋体" w:hAnsi="宋体" w:cs="宋体"/>
                <w:color w:val="auto"/>
                <w:sz w:val="24"/>
              </w:rPr>
              <w:t>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ascii="宋体" w:hAnsi="宋体" w:cs="宋体"/>
                <w:color w:val="auto"/>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600" w:lineRule="exact"/>
              <w:jc w:val="center"/>
              <w:rPr>
                <w:rFonts w:ascii="宋体" w:hAnsi="宋体" w:cs="宋体"/>
                <w:color w:val="auto"/>
                <w:sz w:val="24"/>
                <w:szCs w:val="24"/>
              </w:rPr>
            </w:pPr>
            <w:r>
              <w:rPr>
                <w:rFonts w:hint="eastAsia" w:ascii="宋体" w:hAnsi="宋体" w:cs="宋体"/>
                <w:color w:val="auto"/>
                <w:sz w:val="24"/>
                <w:szCs w:val="24"/>
              </w:rPr>
              <w:t>27</w:t>
            </w:r>
          </w:p>
        </w:tc>
        <w:tc>
          <w:tcPr>
            <w:tcW w:w="2267" w:type="dxa"/>
            <w:vAlign w:val="center"/>
          </w:tcPr>
          <w:p>
            <w:pPr>
              <w:autoSpaceDE w:val="0"/>
              <w:autoSpaceDN w:val="0"/>
              <w:adjustRightInd w:val="0"/>
              <w:spacing w:line="600" w:lineRule="exact"/>
              <w:jc w:val="center"/>
              <w:rPr>
                <w:rFonts w:ascii="宋体" w:hAnsi="宋体" w:cs="宋体"/>
                <w:bCs/>
                <w:color w:val="auto"/>
                <w:sz w:val="24"/>
                <w:szCs w:val="24"/>
                <w:lang w:val="zh-CN"/>
              </w:rPr>
            </w:pPr>
            <w:r>
              <w:rPr>
                <w:rFonts w:hint="eastAsia" w:ascii="宋体" w:hAnsi="宋体" w:cs="宋体"/>
                <w:color w:val="auto"/>
                <w:sz w:val="24"/>
                <w:szCs w:val="24"/>
                <w:lang w:val="zh-CN"/>
              </w:rPr>
              <w:t>特别提示</w:t>
            </w:r>
          </w:p>
        </w:tc>
        <w:tc>
          <w:tcPr>
            <w:tcW w:w="5546" w:type="dxa"/>
            <w:vAlign w:val="center"/>
          </w:tcPr>
          <w:p>
            <w:pPr>
              <w:autoSpaceDE w:val="0"/>
              <w:autoSpaceDN w:val="0"/>
              <w:adjustRightInd w:val="0"/>
              <w:spacing w:line="600" w:lineRule="exact"/>
              <w:jc w:val="left"/>
              <w:rPr>
                <w:rFonts w:ascii="宋体" w:hAnsi="宋体" w:cs="宋体"/>
                <w:color w:val="auto"/>
                <w:sz w:val="24"/>
                <w:szCs w:val="24"/>
                <w:lang w:val="zh-CN"/>
              </w:rPr>
            </w:pPr>
            <w:r>
              <w:rPr>
                <w:rFonts w:hint="eastAsia" w:ascii="宋体" w:hAnsi="宋体" w:cs="宋体"/>
                <w:color w:val="auto"/>
                <w:sz w:val="24"/>
                <w:szCs w:val="24"/>
                <w:lang w:val="zh-CN"/>
              </w:rPr>
              <w:t>按照《关于推进全流程电子化交易和在线监管工作有关问题的通知》（许公管办[2019]3号）规定：不同</w:t>
            </w:r>
            <w:r>
              <w:rPr>
                <w:rFonts w:hint="eastAsia" w:ascii="宋体" w:hAnsi="宋体" w:cs="宋体"/>
                <w:color w:val="auto"/>
                <w:sz w:val="24"/>
                <w:szCs w:val="24"/>
              </w:rPr>
              <w:t>投标人电子投标文件记录的</w:t>
            </w:r>
            <w:r>
              <w:rPr>
                <w:rFonts w:hint="eastAsia" w:ascii="宋体" w:hAnsi="宋体" w:cs="宋体"/>
                <w:color w:val="auto"/>
                <w:sz w:val="24"/>
                <w:szCs w:val="24"/>
                <w:lang w:val="zh-CN"/>
              </w:rPr>
              <w:t>网卡MAC地址、CPU序号、硬盘序列号</w:t>
            </w:r>
            <w:r>
              <w:rPr>
                <w:rFonts w:hint="eastAsia" w:ascii="宋体" w:hAnsi="宋体" w:cs="宋体"/>
                <w:color w:val="auto"/>
                <w:sz w:val="24"/>
                <w:szCs w:val="24"/>
              </w:rPr>
              <w:t>等硬件特征码均相同</w:t>
            </w:r>
            <w:r>
              <w:rPr>
                <w:rFonts w:hint="eastAsia" w:ascii="宋体" w:hAnsi="宋体" w:cs="宋体"/>
                <w:color w:val="auto"/>
                <w:sz w:val="24"/>
                <w:szCs w:val="24"/>
                <w:lang w:val="zh-CN"/>
              </w:rPr>
              <w:t>时，视为‘不同投标人的投标文件由同一单位或者个人编制’或‘不同投标人委托同一单位或者个人办理响应事宜’，其投标无效。</w:t>
            </w:r>
          </w:p>
          <w:p>
            <w:pPr>
              <w:autoSpaceDE w:val="0"/>
              <w:autoSpaceDN w:val="0"/>
              <w:adjustRightInd w:val="0"/>
              <w:spacing w:line="600" w:lineRule="exact"/>
              <w:jc w:val="left"/>
              <w:rPr>
                <w:rFonts w:ascii="宋体" w:hAnsi="宋体" w:cs="宋体"/>
                <w:color w:val="auto"/>
                <w:sz w:val="24"/>
                <w:szCs w:val="24"/>
                <w:lang w:val="zh-CN"/>
              </w:rPr>
            </w:pPr>
            <w:r>
              <w:rPr>
                <w:rFonts w:hint="eastAsia" w:ascii="宋体" w:hAnsi="宋体" w:cs="宋体"/>
                <w:color w:val="auto"/>
                <w:sz w:val="24"/>
                <w:szCs w:val="24"/>
                <w:lang w:val="zh-CN"/>
              </w:rPr>
              <w:t>评审专家应严格按照要求查看“硬件特征码” 相关信息并进行评审，在评审报告中显示“不同投标人电子投标文件制作硬件特征码”是否雷同的分析及判定结果。</w:t>
            </w:r>
          </w:p>
        </w:tc>
      </w:tr>
    </w:tbl>
    <w:p>
      <w:pPr>
        <w:widowControl/>
        <w:spacing w:line="440" w:lineRule="exact"/>
        <w:jc w:val="left"/>
        <w:rPr>
          <w:rFonts w:ascii="宋体" w:hAnsi="宋体" w:cs="宋体"/>
          <w:b/>
          <w:color w:val="auto"/>
          <w:sz w:val="24"/>
          <w:szCs w:val="24"/>
        </w:rPr>
      </w:pPr>
    </w:p>
    <w:p>
      <w:pPr>
        <w:widowControl/>
        <w:jc w:val="center"/>
        <w:rPr>
          <w:rFonts w:ascii="宋体" w:hAnsi="宋体" w:cs="宋体"/>
          <w:b/>
          <w:color w:val="auto"/>
          <w:kern w:val="0"/>
          <w:sz w:val="36"/>
          <w:szCs w:val="36"/>
        </w:rPr>
      </w:pPr>
      <w:r>
        <w:rPr>
          <w:rFonts w:hint="eastAsia" w:ascii="宋体" w:hAnsi="宋体" w:cs="宋体"/>
          <w:b/>
          <w:color w:val="auto"/>
          <w:kern w:val="0"/>
          <w:sz w:val="36"/>
          <w:szCs w:val="36"/>
        </w:rPr>
        <w:br w:type="page"/>
      </w:r>
      <w:r>
        <w:rPr>
          <w:rFonts w:hint="eastAsia" w:ascii="宋体" w:hAnsi="宋体" w:cs="宋体"/>
          <w:b/>
          <w:color w:val="auto"/>
          <w:kern w:val="0"/>
          <w:sz w:val="36"/>
          <w:szCs w:val="36"/>
        </w:rPr>
        <w:t>第四章 投标人须知</w:t>
      </w:r>
    </w:p>
    <w:p>
      <w:pPr>
        <w:rPr>
          <w:rFonts w:ascii="宋体" w:hAnsi="宋体" w:cs="宋体"/>
          <w:color w:val="auto"/>
        </w:rPr>
      </w:pP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一、概念释义</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137"/>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本招标文件仅适用于本次“投标邀请”中所述采购项目。</w:t>
      </w:r>
    </w:p>
    <w:p>
      <w:pPr>
        <w:pStyle w:val="137"/>
        <w:numPr>
          <w:ilvl w:val="1"/>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本招标文件解释权属于“投标邀请”所述的采购人。</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137"/>
        <w:numPr>
          <w:ilvl w:val="0"/>
          <w:numId w:val="9"/>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“采购项目”：“投标人须知前附表”中所述的采购项目。</w:t>
      </w:r>
    </w:p>
    <w:p>
      <w:pPr>
        <w:pStyle w:val="137"/>
        <w:numPr>
          <w:ilvl w:val="1"/>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“招标人”：“投标人须知前附表”中所述的组织本次招标的代理机构和采购人。</w:t>
      </w:r>
    </w:p>
    <w:p>
      <w:pPr>
        <w:pStyle w:val="137"/>
        <w:numPr>
          <w:ilvl w:val="1"/>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“采购人或委托人”：是指依法进行政府采购的国家机关、事业单位、团体组织。采购人名称、地址、电话、联系人见“投标人须知前附表”。</w:t>
      </w:r>
    </w:p>
    <w:p>
      <w:pPr>
        <w:pStyle w:val="137"/>
        <w:numPr>
          <w:ilvl w:val="1"/>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采购代理机构及其分支机构不得在所代理的采购项目中投标或者代理投标，不得为所代理的采购项目的投标人参加本项目提供投标咨询。</w:t>
      </w:r>
    </w:p>
    <w:p>
      <w:pPr>
        <w:pStyle w:val="137"/>
        <w:numPr>
          <w:ilvl w:val="1"/>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pPr>
        <w:pStyle w:val="137"/>
        <w:numPr>
          <w:ilvl w:val="1"/>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37"/>
        <w:numPr>
          <w:ilvl w:val="1"/>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 招标文件中凡标有“★”的条款均系实质性要求条款。</w:t>
      </w:r>
    </w:p>
    <w:p>
      <w:pPr>
        <w:pStyle w:val="137"/>
        <w:numPr>
          <w:ilvl w:val="1"/>
          <w:numId w:val="8"/>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 “政府投资项目”：是指政府作为投资主体的投资项目，主要指公共事业、基础设施等方面的公益性项目。</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合格的投标人或供应商</w:t>
      </w:r>
    </w:p>
    <w:p>
      <w:pPr>
        <w:pStyle w:val="137"/>
        <w:numPr>
          <w:ilvl w:val="0"/>
          <w:numId w:val="9"/>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在中华人民共和国境内注册，具有本项目生产、制造、供应或服务实施能力，符合、承认并承诺履行本招标文件各项规定的法人、其他组织或者自然人。</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符合本项目“投标邀请”和“投标人须知前附表”中规定的合格投标人所必须具备的条件。</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政府采购活动中查询及使用投标人信用记录的具体要求为：投标人未被列入失信被执行人、重大税收违法案件当事人名单、政府采购严重违法失信行为记录名单、</w:t>
      </w:r>
      <w:r>
        <w:rPr>
          <w:rFonts w:hint="eastAsia" w:ascii="宋体" w:hAnsi="宋体" w:cs="宋体"/>
          <w:bCs/>
          <w:color w:val="auto"/>
          <w:sz w:val="24"/>
          <w:szCs w:val="24"/>
          <w:shd w:val="clear" w:color="auto" w:fill="FFFFFF"/>
        </w:rPr>
        <w:t>严重违法失信社会组织名单</w:t>
      </w:r>
      <w:r>
        <w:rPr>
          <w:rFonts w:hint="eastAsia" w:ascii="宋体" w:hAnsi="宋体" w:cs="宋体"/>
          <w:color w:val="auto"/>
          <w:kern w:val="0"/>
          <w:sz w:val="24"/>
          <w:szCs w:val="24"/>
        </w:rPr>
        <w:t>（联合体形式投标的，联合体成员存在不良信用记录，视同联合体存在不良信用记录）。</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单位负责人为同一人或者存在直接控股、管理关系的不同供应商，不得参加同一合同项下的政府采购活动；</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法律、行政法规规定的其他条件。</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合格的货物或服务</w:t>
      </w:r>
    </w:p>
    <w:p>
      <w:pPr>
        <w:pStyle w:val="137"/>
        <w:numPr>
          <w:ilvl w:val="0"/>
          <w:numId w:val="9"/>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投标人所提供的服务应当没有侵犯任何第三方的知识产权、技术秘密等合法权利，并符合国家法律法规、地方政策和行业规范。</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投标费用</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采购代理机构代理费用收取标准和方式</w:t>
      </w:r>
    </w:p>
    <w:p>
      <w:pPr>
        <w:pStyle w:val="137"/>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详见投标人须知前附表。</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二、招标文件说明</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招标文件构成</w:t>
      </w:r>
    </w:p>
    <w:p>
      <w:pPr>
        <w:pStyle w:val="137"/>
        <w:numPr>
          <w:ilvl w:val="0"/>
          <w:numId w:val="10"/>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招标文件由以下部分组成：</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（9）本项目招标文件的澄清、答复、修改、补充内容、相关文件规定、办法等（如有）</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进行全面的实质性响应，可能导致其投标被认定为投标无效。</w:t>
      </w:r>
    </w:p>
    <w:p>
      <w:pPr>
        <w:pStyle w:val="137"/>
        <w:numPr>
          <w:ilvl w:val="1"/>
          <w:numId w:val="8"/>
        </w:numPr>
        <w:autoSpaceDE w:val="0"/>
        <w:autoSpaceDN w:val="0"/>
        <w:spacing w:line="360" w:lineRule="auto"/>
        <w:ind w:left="4" w:hanging="4"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投标人应认真了解本次招标的具体工作要求、工作范围以及职责，了解一切  </w:t>
      </w:r>
    </w:p>
    <w:p>
      <w:pPr>
        <w:pStyle w:val="137"/>
        <w:autoSpaceDE w:val="0"/>
        <w:autoSpaceDN w:val="0"/>
        <w:spacing w:line="360" w:lineRule="auto"/>
        <w:ind w:left="479" w:leftChars="228"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可能影响投标报价的资料。一经中标，不得以不完全了解项目要求、项目情况等为借口而提出额外补偿等要求，否则，由此引起的一切后果由中标人负责。</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现场考察、开标前答疑会</w:t>
      </w:r>
    </w:p>
    <w:p>
      <w:pPr>
        <w:autoSpaceDE w:val="0"/>
        <w:autoSpaceDN w:val="0"/>
        <w:spacing w:line="360" w:lineRule="auto"/>
        <w:ind w:left="420"/>
        <w:contextualSpacing/>
        <w:rPr>
          <w:rFonts w:ascii="宋体" w:hAnsi="宋体" w:cs="宋体"/>
          <w:color w:val="auto"/>
          <w:kern w:val="0"/>
          <w:sz w:val="24"/>
          <w:szCs w:val="24"/>
        </w:rPr>
      </w:pPr>
      <w:r>
        <w:rPr>
          <w:rFonts w:hint="eastAsia" w:ascii="宋体" w:hAnsi="宋体" w:cs="宋体"/>
          <w:color w:val="auto"/>
          <w:kern w:val="0"/>
          <w:sz w:val="24"/>
          <w:szCs w:val="24"/>
        </w:rPr>
        <w:t>本次招标不组织现场考察，不召开标前答疑会。</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招标文件的澄清或修改</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11.1在投标截止期前，无论出于何种原因，招标人可主动地或在解答潜在投标人提出的澄清问题时对招标文件进行修改。</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11.3澄清或修改公告的内容为招标文件的组成部分，并对投标人具有约束力。当招标文件与澄清或修改公告就同一内容的表述不一致时，以最后发出的文件内容为准。</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11.4如果澄清或者修改发出的时间距规定的投标截止时间不足15日，招标人将顺延提交投标文件的截止时间。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三、投标文件的编制</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投标的语言及计量单位</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12.2投标计量单位，招标文件已有明确规定的，使用招标文件规定的计量单位；招标文件没有规定的，一律采用中华人民共和国法定计量单位。</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投标报价</w:t>
      </w:r>
    </w:p>
    <w:p>
      <w:pPr>
        <w:autoSpaceDE w:val="0"/>
        <w:autoSpaceDN w:val="0"/>
        <w:adjustRightInd w:val="0"/>
        <w:snapToGrid w:val="0"/>
        <w:spacing w:line="360" w:lineRule="auto"/>
        <w:ind w:left="425" w:hanging="424" w:hangingChars="177"/>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13.1本次招标项目的投标均以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adjustRightInd w:val="0"/>
        <w:snapToGrid w:val="0"/>
        <w:spacing w:line="360" w:lineRule="auto"/>
        <w:ind w:left="425" w:hanging="424" w:hangingChars="177"/>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13.2采购人不得向投标人索要或者接受其给予的赠品、回扣或者与采购无关的其他商品、服务。</w:t>
      </w:r>
    </w:p>
    <w:p>
      <w:pPr>
        <w:autoSpaceDE w:val="0"/>
        <w:autoSpaceDN w:val="0"/>
        <w:adjustRightInd w:val="0"/>
        <w:snapToGrid w:val="0"/>
        <w:spacing w:line="360" w:lineRule="auto"/>
        <w:ind w:left="425" w:hanging="424" w:hangingChars="177"/>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left="425" w:hanging="424" w:hangingChars="177"/>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hint="eastAsia" w:ascii="宋体" w:hAnsi="宋体" w:cs="宋体"/>
          <w:color w:val="auto"/>
          <w:kern w:val="0"/>
          <w:sz w:val="24"/>
          <w:szCs w:val="24"/>
        </w:rPr>
        <w:t>、国家规定检测、外发包</w:t>
      </w:r>
      <w:r>
        <w:rPr>
          <w:rFonts w:hint="eastAsia" w:cs="宋体" w:asciiTheme="minorEastAsia" w:hAnsiTheme="minorEastAsia"/>
          <w:color w:val="auto"/>
          <w:kern w:val="0"/>
          <w:sz w:val="24"/>
          <w:szCs w:val="24"/>
        </w:rPr>
        <w:t>、材料（含辅材）、管理、税费及利润等。</w:t>
      </w:r>
    </w:p>
    <w:p>
      <w:pPr>
        <w:autoSpaceDE w:val="0"/>
        <w:autoSpaceDN w:val="0"/>
        <w:adjustRightInd w:val="0"/>
        <w:snapToGrid w:val="0"/>
        <w:spacing w:line="360" w:lineRule="auto"/>
        <w:ind w:left="425" w:hanging="424" w:hangingChars="177"/>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13.5本项目所涉及的运输、施工</w:t>
      </w:r>
      <w:r>
        <w:rPr>
          <w:rFonts w:hint="eastAsia" w:ascii="宋体" w:hAnsi="宋体" w:cs="宋体"/>
          <w:color w:val="auto"/>
          <w:kern w:val="0"/>
          <w:sz w:val="24"/>
          <w:szCs w:val="24"/>
        </w:rPr>
        <w:t>、安装、集成、调试</w:t>
      </w:r>
      <w:r>
        <w:rPr>
          <w:rFonts w:hint="eastAsia" w:cs="宋体" w:asciiTheme="minorEastAsia" w:hAnsiTheme="minorEastAsia"/>
          <w:color w:val="auto"/>
          <w:kern w:val="0"/>
          <w:sz w:val="24"/>
          <w:szCs w:val="24"/>
        </w:rPr>
        <w:t>、验收、备品和工具等费用均包含在投标报价中。</w:t>
      </w:r>
    </w:p>
    <w:p>
      <w:pPr>
        <w:autoSpaceDE w:val="0"/>
        <w:autoSpaceDN w:val="0"/>
        <w:adjustRightInd w:val="0"/>
        <w:snapToGrid w:val="0"/>
        <w:spacing w:line="360" w:lineRule="auto"/>
        <w:ind w:left="425" w:hanging="424" w:hangingChars="177"/>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left="425" w:hanging="424" w:hangingChars="177"/>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left="425" w:hanging="424" w:hangingChars="177"/>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13.8最低报价不能作为中标的保证</w:t>
      </w:r>
      <w:r>
        <w:rPr>
          <w:rFonts w:hint="eastAsia" w:ascii="宋体" w:hAnsi="宋体" w:cs="宋体"/>
          <w:color w:val="auto"/>
          <w:kern w:val="0"/>
          <w:sz w:val="24"/>
          <w:szCs w:val="24"/>
        </w:rPr>
        <w:t>。</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投标有效期</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37"/>
        <w:autoSpaceDE w:val="0"/>
        <w:autoSpaceDN w:val="0"/>
        <w:spacing w:line="360" w:lineRule="auto"/>
        <w:ind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14.2投标有效期内投标人不得撤销投标文件。</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投标文件构成</w:t>
      </w:r>
    </w:p>
    <w:p>
      <w:pPr>
        <w:pStyle w:val="137"/>
        <w:autoSpaceDE w:val="0"/>
        <w:autoSpaceDN w:val="0"/>
        <w:spacing w:line="360" w:lineRule="auto"/>
        <w:ind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15.1投标文件的构成应符合法律法规及招标文件的要求。</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投标人应当按照招标文件的要求编制投标文件。投标文件应当对招标文件提出的要求和条件作出明确响应。</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投标文件由资格证明材料、符合性证明材料、其它材料等组成。</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投标人登录许昌公共资源交易系统下载“许昌投标文件制作系统SEARUN V1.1”，按招标文件要求根据所投标段制作电子投标文件。一个标段对应生成一个文件夹（xxxx项目xx标段）,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电子投标文件制作技术咨询：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投标文件格式</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16.1投标文件应参照招标文件（投标文件有关格式）的内容要求、编排顺序和格式要求。</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投标人应按招标文件提供的格式编写投标文件。招标文件未提供标准格式的投标人可自行拟定。</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投标保证金</w:t>
      </w:r>
    </w:p>
    <w:p>
      <w:pPr>
        <w:autoSpaceDE w:val="0"/>
        <w:autoSpaceDN w:val="0"/>
        <w:adjustRightInd w:val="0"/>
        <w:snapToGrid w:val="0"/>
        <w:spacing w:line="360" w:lineRule="auto"/>
        <w:ind w:left="480" w:hanging="480" w:hangingChars="200"/>
        <w:rPr>
          <w:rFonts w:ascii="宋体" w:hAnsi="宋体" w:cs="宋体"/>
          <w:color w:val="auto"/>
          <w:kern w:val="0"/>
          <w:sz w:val="24"/>
          <w:szCs w:val="24"/>
        </w:rPr>
      </w:pPr>
      <w:r>
        <w:rPr>
          <w:rFonts w:hint="eastAsia" w:ascii="宋体" w:hAnsi="宋体" w:cs="宋体"/>
          <w:color w:val="auto"/>
          <w:kern w:val="0"/>
          <w:sz w:val="24"/>
          <w:szCs w:val="24"/>
        </w:rPr>
        <w:t>17.1按照河南省《关于优化政府采购营商环境有关问题的通知》（豫财购（2019）4号文）的要求，本项目不收取投标保证金。</w:t>
      </w:r>
    </w:p>
    <w:p>
      <w:pPr>
        <w:pStyle w:val="137"/>
        <w:autoSpaceDE w:val="0"/>
        <w:autoSpaceDN w:val="0"/>
        <w:spacing w:line="360" w:lineRule="auto"/>
        <w:ind w:left="480" w:hanging="480" w:hangingChars="200"/>
        <w:contextualSpacing/>
        <w:rPr>
          <w:rFonts w:ascii="宋体" w:hAnsi="宋体" w:cs="宋体"/>
          <w:b/>
          <w:color w:val="auto"/>
          <w:kern w:val="0"/>
          <w:sz w:val="24"/>
          <w:szCs w:val="24"/>
        </w:rPr>
      </w:pPr>
      <w:r>
        <w:rPr>
          <w:rFonts w:hint="eastAsia" w:ascii="宋体" w:hAnsi="宋体" w:cs="宋体"/>
          <w:color w:val="auto"/>
          <w:kern w:val="0"/>
          <w:sz w:val="24"/>
          <w:szCs w:val="24"/>
        </w:rPr>
        <w:t>17.2供应商应按照招标文件要求，在投标文件中提供投标承诺函，明确所应当履行的责任和义务，诚信履约，并自觉接受行政监管部门的监督管理。</w:t>
      </w:r>
      <w:r>
        <w:rPr>
          <w:rFonts w:hint="eastAsia" w:ascii="宋体" w:hAnsi="宋体" w:cs="宋体"/>
          <w:b/>
          <w:color w:val="auto"/>
          <w:kern w:val="0"/>
          <w:sz w:val="24"/>
          <w:szCs w:val="24"/>
          <w:u w:val="single"/>
        </w:rPr>
        <w:t xml:space="preserve">                      </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投标文件的数量和签署盖章</w:t>
      </w:r>
    </w:p>
    <w:p>
      <w:pPr>
        <w:pStyle w:val="137"/>
        <w:autoSpaceDE w:val="0"/>
        <w:autoSpaceDN w:val="0"/>
        <w:spacing w:line="360" w:lineRule="auto"/>
        <w:ind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18.1 投标人应提交投标文件份数见“投标人须知前附表”。</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cs="宋体"/>
          <w:b/>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四、投标文件的递交</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投标文件的密封</w:t>
      </w:r>
    </w:p>
    <w:p>
      <w:pPr>
        <w:pStyle w:val="137"/>
        <w:autoSpaceDE w:val="0"/>
        <w:autoSpaceDN w:val="0"/>
        <w:spacing w:line="360" w:lineRule="auto"/>
        <w:ind w:left="480" w:hanging="480" w:hangingChars="200"/>
        <w:contextualSpacing/>
        <w:rPr>
          <w:rFonts w:ascii="宋体" w:hAnsi="宋体" w:cs="宋体"/>
          <w:b/>
          <w:bCs/>
          <w:color w:val="auto"/>
          <w:kern w:val="0"/>
          <w:sz w:val="24"/>
          <w:szCs w:val="24"/>
        </w:rPr>
      </w:pPr>
      <w:r>
        <w:rPr>
          <w:rFonts w:hint="eastAsia" w:ascii="宋体" w:hAnsi="宋体" w:cs="宋体"/>
          <w:color w:val="auto"/>
          <w:kern w:val="0"/>
          <w:sz w:val="24"/>
          <w:szCs w:val="24"/>
        </w:rPr>
        <w:t>19.1</w:t>
      </w:r>
      <w:r>
        <w:rPr>
          <w:rFonts w:hint="eastAsia" w:ascii="宋体" w:hAnsi="宋体" w:cs="宋体"/>
          <w:b/>
          <w:bCs/>
          <w:color w:val="auto"/>
          <w:kern w:val="0"/>
          <w:sz w:val="24"/>
          <w:szCs w:val="24"/>
        </w:rPr>
        <w:t>使用电子介质（U盘）存储的备份投标文件两份，须密封包装，包封上注明项目编号、项目名称、投标人名称，在投标截止时间前一并提交。</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投标文件如果未按规定密封，招标人将拒绝接收。</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投标截止时间</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20.1投标人必须在“投标邀请”和“投标人须知前附表”中规定的投标截止时间前，将所有投标文件送达招标文件指定的开标地点。</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招标人收到投标文件后，应当如实记载投标文件的送达时间和密封情况，签收保存，并向投标人出具签收回执。任何单位和个人不得在开标前开启投标文件。</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迟交的投标文件</w:t>
      </w:r>
    </w:p>
    <w:p>
      <w:pPr>
        <w:autoSpaceDE w:val="0"/>
        <w:autoSpaceDN w:val="0"/>
        <w:spacing w:line="360" w:lineRule="auto"/>
        <w:ind w:left="964" w:hanging="544"/>
        <w:contextualSpacing/>
        <w:rPr>
          <w:rFonts w:ascii="宋体" w:hAnsi="宋体" w:cs="宋体"/>
          <w:color w:val="auto"/>
          <w:kern w:val="0"/>
          <w:sz w:val="24"/>
          <w:szCs w:val="24"/>
        </w:rPr>
      </w:pPr>
      <w:r>
        <w:rPr>
          <w:rFonts w:hint="eastAsia" w:ascii="宋体" w:hAnsi="宋体" w:cs="宋体"/>
          <w:color w:val="auto"/>
          <w:kern w:val="0"/>
          <w:sz w:val="24"/>
          <w:szCs w:val="24"/>
        </w:rPr>
        <w:t>投标截止时间之后送达或上传的投标文件，招标人将拒绝接收。</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投标文件的修改和撤回</w:t>
      </w:r>
    </w:p>
    <w:p>
      <w:pPr>
        <w:pStyle w:val="137"/>
        <w:autoSpaceDE w:val="0"/>
        <w:autoSpaceDN w:val="0"/>
        <w:spacing w:line="360" w:lineRule="auto"/>
        <w:ind w:firstLine="0" w:firstLineChars="0"/>
        <w:contextualSpacing/>
        <w:jc w:val="left"/>
        <w:rPr>
          <w:rFonts w:ascii="宋体" w:hAnsi="宋体" w:cs="宋体"/>
          <w:color w:val="auto"/>
          <w:kern w:val="0"/>
          <w:sz w:val="24"/>
          <w:szCs w:val="24"/>
        </w:rPr>
      </w:pPr>
      <w:r>
        <w:rPr>
          <w:rFonts w:hint="eastAsia" w:ascii="宋体" w:hAnsi="宋体" w:cs="宋体"/>
          <w:color w:val="auto"/>
          <w:kern w:val="0"/>
          <w:sz w:val="24"/>
          <w:szCs w:val="24"/>
        </w:rPr>
        <w:t>22.1投标人在投标截止时间前，对所递交的投标文件进行补充、修改或者</w:t>
      </w:r>
    </w:p>
    <w:p>
      <w:pPr>
        <w:pStyle w:val="137"/>
        <w:autoSpaceDE w:val="0"/>
        <w:autoSpaceDN w:val="0"/>
        <w:spacing w:line="360" w:lineRule="auto"/>
        <w:ind w:left="-420" w:leftChars="-200" w:firstLine="960" w:firstLineChars="400"/>
        <w:contextualSpacing/>
        <w:rPr>
          <w:rFonts w:ascii="宋体" w:hAnsi="宋体" w:cs="宋体"/>
          <w:color w:val="auto"/>
          <w:kern w:val="0"/>
          <w:sz w:val="24"/>
          <w:szCs w:val="24"/>
        </w:rPr>
      </w:pPr>
      <w:r>
        <w:rPr>
          <w:rFonts w:hint="eastAsia" w:ascii="宋体" w:hAnsi="宋体" w:cs="宋体"/>
          <w:color w:val="auto"/>
          <w:kern w:val="0"/>
          <w:sz w:val="24"/>
          <w:szCs w:val="24"/>
        </w:rPr>
        <w:t>撤回的，须书面通知招标人。</w:t>
      </w:r>
    </w:p>
    <w:p>
      <w:pPr>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22.2投标人应当在投标截止时间前完成电子投标文件的提交，可以补充、修改或撤回。投标截止时间前未完成电子投标文件提交、取得“投标文件提交回执单”的，视为撤回投标文件。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22.3投标人补充、修改的内容并作为投标文件的组成部分。补充或修改应当按招标文件要求签署、盖章、密封、递交，并应注明“修改”或“补充”字样。</w:t>
      </w:r>
    </w:p>
    <w:p>
      <w:pPr>
        <w:pStyle w:val="137"/>
        <w:autoSpaceDE w:val="0"/>
        <w:autoSpaceDN w:val="0"/>
        <w:spacing w:line="360" w:lineRule="auto"/>
        <w:ind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 xml:space="preserve">22.4投标人在递交投标文件后，可以撤回其投标，但投标人必须在规定的投标截 </w:t>
      </w:r>
    </w:p>
    <w:p>
      <w:pPr>
        <w:pStyle w:val="137"/>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止时间前以书面形式告知招标人。</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22.5投标人不得在投标有效期内撤销投标文件。</w:t>
      </w:r>
    </w:p>
    <w:p>
      <w:pPr>
        <w:pStyle w:val="137"/>
        <w:autoSpaceDE w:val="0"/>
        <w:autoSpaceDN w:val="0"/>
        <w:spacing w:line="360" w:lineRule="auto"/>
        <w:ind w:left="480" w:hanging="480" w:hangingChars="200"/>
        <w:contextualSpacing/>
        <w:rPr>
          <w:rFonts w:ascii="宋体" w:hAnsi="宋体" w:cs="宋体"/>
          <w:bCs/>
          <w:color w:val="auto"/>
          <w:kern w:val="0"/>
          <w:sz w:val="24"/>
          <w:szCs w:val="24"/>
        </w:rPr>
      </w:pPr>
      <w:r>
        <w:rPr>
          <w:rFonts w:hint="eastAsia" w:ascii="宋体" w:hAnsi="宋体" w:cs="宋体"/>
          <w:bCs/>
          <w:color w:val="auto"/>
          <w:kern w:val="0"/>
          <w:sz w:val="24"/>
          <w:szCs w:val="24"/>
        </w:rPr>
        <w:t>22.6除投标人须知前附表另有规定外，投标人所提交的电子投标文件及电子介质存储的备份文件不予退还。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五、开标和评标</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开标</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23.1 招标人将按招标文件规定的时间和地点组织公开开标。开标由代理机构主持，</w:t>
      </w:r>
      <w:r>
        <w:rPr>
          <w:rFonts w:hint="eastAsia" w:ascii="宋体" w:hAnsi="宋体" w:cs="宋体"/>
          <w:b/>
          <w:bCs/>
          <w:color w:val="auto"/>
          <w:kern w:val="0"/>
          <w:sz w:val="24"/>
          <w:szCs w:val="24"/>
        </w:rPr>
        <w:t>投标人授权代表须持有效的授权委托书原件及身份证原件到达开标现场，在“投标人签到表”上签字确认</w:t>
      </w:r>
      <w:r>
        <w:rPr>
          <w:rFonts w:hint="eastAsia" w:ascii="宋体" w:hAnsi="宋体" w:cs="宋体"/>
          <w:color w:val="auto"/>
          <w:kern w:val="0"/>
          <w:sz w:val="24"/>
          <w:szCs w:val="24"/>
        </w:rPr>
        <w:t>。评标委员会成员不得参加开标活动。</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招标人应当对开标、评标现场活动进行全程录音录像。录音录像应当清晰可辨，音像资料作为采购文件一并存档。</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开标时，由投标人或者其推选的代表检查投标文件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（1）电子投标文件的解密</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全流程电子化交易项目电子投标文件采用双重加密。解密需分标段进行两次解密。</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b. 代理机构解密：代理机构按电子投标文件到达交易系统的先后顺序，使用本单位CA数字证书进行再次解密。</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（2）电子投标文件解密异常情况处理</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a. 因电子交易系统异常无法解密电子投标文件的，使用备份投标文件（电子介质存储）以人工方式进行。</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投标人不足3家的，不得开标。</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开标过程由采购代理机构负责记录，由参加开标的各投标人代表和相关工作人员签字确认后随采购文件一并存档。</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投标人未参加开标的，视同认可开标结果。</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资格审查</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开标结束后，采购人（采购代理机构）依法对投标人的资格进行审查。合格投标人不足3家的，不得评标。</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评标委员会的组成</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采购项目符合下列情形之一的，评标委员会成员人数应当为7人以上单数：</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（1）采购预算金额在1000万元以上；</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（2）技术复杂；</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（3）社会影响较大。</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评审专家对本单位的采购项目只能作为采购人代表参与评标。采购代理机构工作人员不得参加由本机构代理的政府采购项目的评标。</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评审专家与投标人存在下列利害关系之一的,应当回避:</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（2）与供应商的法定代表人或者负责人有夫妻、直系血亲、三代以内旁系血亲或者近姻亲关系；</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（3）与供应商有其他可能影响政府采购活动公平、公正进行的关系。</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采购人不得担任评标小组长。</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采购人可以在评标前说明项目背景和采购需求，说明内容不得含有歧视性、倾向性意见，不得超出招标文件所述范围。说明应当提交书面材料，并随采购文件一并存档。</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评标委员会成员名单在评标结果公告前应当保密。</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符合性审查</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26.1评标委员会依据有关法律法规和招标文件的规定，对符合资格的投标人的投标文件进行符合性审查，以确定其是否满足招标文件的实质性要求。</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审查、评价投标文件是否符合招标文件的商务、技术等实质性要求。</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可要求投标人对投标文件有关事项作出澄清或者说明。</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投标文件的澄清</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27.1对于投标文件中含义不明确、同类问题表述不一致或者有明显文字和计算错误的内容，评标委员会应当以书面形式要求投标人作出必要的澄清、说明或者补正。</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投标人的澄清文件是其投标文件的组成部分。</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投标文件报价出现前后不一致的修正</w:t>
      </w:r>
    </w:p>
    <w:p>
      <w:pPr>
        <w:pStyle w:val="137"/>
        <w:autoSpaceDE w:val="0"/>
        <w:autoSpaceDN w:val="0"/>
        <w:spacing w:line="360" w:lineRule="auto"/>
        <w:ind w:left="480" w:hanging="480" w:hangingChars="200"/>
        <w:contextualSpacing/>
        <w:rPr>
          <w:rFonts w:ascii="宋体" w:hAnsi="宋体" w:cs="宋体"/>
          <w:bCs/>
          <w:color w:val="auto"/>
          <w:kern w:val="0"/>
          <w:sz w:val="24"/>
          <w:szCs w:val="24"/>
        </w:rPr>
      </w:pPr>
      <w:r>
        <w:rPr>
          <w:rFonts w:hint="eastAsia" w:ascii="宋体" w:hAnsi="宋体" w:cs="宋体"/>
          <w:bCs/>
          <w:color w:val="auto"/>
          <w:kern w:val="0"/>
          <w:sz w:val="24"/>
          <w:szCs w:val="24"/>
        </w:rPr>
        <w:t>（1）投标文件中开标一览表(报价表)内容与投标文件中相应内容不一致的，以开标一览表(报价表)为准；</w:t>
      </w:r>
    </w:p>
    <w:p>
      <w:pPr>
        <w:pStyle w:val="137"/>
        <w:autoSpaceDE w:val="0"/>
        <w:autoSpaceDN w:val="0"/>
        <w:spacing w:line="360" w:lineRule="auto"/>
        <w:ind w:firstLine="0" w:firstLineChars="0"/>
        <w:contextualSpacing/>
        <w:rPr>
          <w:rFonts w:ascii="宋体" w:hAnsi="宋体" w:cs="宋体"/>
          <w:bCs/>
          <w:color w:val="auto"/>
          <w:kern w:val="0"/>
          <w:sz w:val="24"/>
          <w:szCs w:val="24"/>
        </w:rPr>
      </w:pPr>
      <w:r>
        <w:rPr>
          <w:rFonts w:hint="eastAsia" w:ascii="宋体" w:hAnsi="宋体" w:cs="宋体"/>
          <w:bCs/>
          <w:color w:val="auto"/>
          <w:kern w:val="0"/>
          <w:sz w:val="24"/>
          <w:szCs w:val="24"/>
        </w:rPr>
        <w:t>（2）大写金额和小写金额不一致的，以大写金额为准；</w:t>
      </w:r>
    </w:p>
    <w:p>
      <w:pPr>
        <w:pStyle w:val="137"/>
        <w:autoSpaceDE w:val="0"/>
        <w:autoSpaceDN w:val="0"/>
        <w:spacing w:line="360" w:lineRule="auto"/>
        <w:ind w:left="480" w:hanging="480" w:hangingChars="200"/>
        <w:contextualSpacing/>
        <w:rPr>
          <w:rFonts w:ascii="宋体" w:hAnsi="宋体" w:cs="宋体"/>
          <w:bCs/>
          <w:color w:val="auto"/>
          <w:kern w:val="0"/>
          <w:sz w:val="24"/>
          <w:szCs w:val="24"/>
        </w:rPr>
      </w:pPr>
      <w:r>
        <w:rPr>
          <w:rFonts w:hint="eastAsia" w:ascii="宋体" w:hAnsi="宋体" w:cs="宋体"/>
          <w:bCs/>
          <w:color w:val="auto"/>
          <w:kern w:val="0"/>
          <w:sz w:val="24"/>
          <w:szCs w:val="24"/>
        </w:rPr>
        <w:t>（3）单价金额小数点或者百分比有明显错位的，以开标一览表的总价为准，并修改单价；</w:t>
      </w:r>
    </w:p>
    <w:p>
      <w:pPr>
        <w:pStyle w:val="137"/>
        <w:autoSpaceDE w:val="0"/>
        <w:autoSpaceDN w:val="0"/>
        <w:spacing w:line="360" w:lineRule="auto"/>
        <w:ind w:left="480" w:hanging="480" w:hangingChars="200"/>
        <w:contextualSpacing/>
        <w:rPr>
          <w:rFonts w:ascii="宋体" w:hAnsi="宋体" w:cs="宋体"/>
          <w:bCs/>
          <w:color w:val="auto"/>
          <w:kern w:val="0"/>
          <w:sz w:val="24"/>
          <w:szCs w:val="24"/>
        </w:rPr>
      </w:pPr>
      <w:r>
        <w:rPr>
          <w:rFonts w:hint="eastAsia" w:ascii="宋体" w:hAnsi="宋体" w:cs="宋体"/>
          <w:bCs/>
          <w:color w:val="auto"/>
          <w:kern w:val="0"/>
          <w:sz w:val="24"/>
          <w:szCs w:val="24"/>
        </w:rPr>
        <w:t>（4）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投标无效情形</w:t>
      </w:r>
    </w:p>
    <w:p>
      <w:pPr>
        <w:pStyle w:val="137"/>
        <w:autoSpaceDE w:val="0"/>
        <w:autoSpaceDN w:val="0"/>
        <w:spacing w:line="360" w:lineRule="auto"/>
        <w:ind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29.1 投标文件属下列情况之一的，按照无效投标处理：</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（1）投标文件未按招标文件要求签署、盖章的；</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（2）不具备招标文件中规定的资格要求的；</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（3）报价超过招标文件中规定的预算金额或者最高限价的；</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（4）投标文件含有采购人不能接受的附加条件的。</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有下列情形之一的，视为投标人串通投标，其投标无效：</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（1）不同投标人的投标文件由同一单位或者个人编制；</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（2）不同投标人委托同一单位或者个人办理投标事宜；</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（3）不同投标人的投标文件载明的项目管理成员或者联系人员为同一人；</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（4）不同投标人的投标文件异常一致或者投标报价呈规律性差异；</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（5）不同投标人的投标文件相互混装；</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29.4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29.5</w:t>
      </w:r>
      <w:r>
        <w:rPr>
          <w:rFonts w:hint="eastAsia" w:ascii="宋体" w:hAnsi="宋体" w:cs="宋体"/>
          <w:b/>
          <w:bCs/>
          <w:color w:val="auto"/>
          <w:kern w:val="0"/>
          <w:sz w:val="24"/>
          <w:szCs w:val="24"/>
        </w:rPr>
        <w:t>按照《关于推进全流程电子化交易和在线监管工作有关问题的通知》（许公管办[2019]3号）规定，</w:t>
      </w:r>
      <w:r>
        <w:rPr>
          <w:rFonts w:hint="eastAsia" w:ascii="宋体" w:hAnsi="宋体" w:cs="宋体"/>
          <w:b/>
          <w:bCs/>
          <w:color w:val="auto"/>
          <w:kern w:val="0"/>
          <w:sz w:val="24"/>
          <w:szCs w:val="24"/>
          <w:lang w:val="zh-CN"/>
        </w:rPr>
        <w:t>不同</w:t>
      </w:r>
      <w:r>
        <w:rPr>
          <w:rFonts w:hint="eastAsia" w:ascii="宋体" w:hAnsi="宋体" w:cs="宋体"/>
          <w:b/>
          <w:bCs/>
          <w:color w:val="auto"/>
          <w:kern w:val="0"/>
          <w:sz w:val="24"/>
          <w:szCs w:val="24"/>
        </w:rPr>
        <w:t>投标人电子投标文件记录的</w:t>
      </w:r>
      <w:r>
        <w:rPr>
          <w:rFonts w:hint="eastAsia" w:ascii="宋体" w:hAnsi="宋体" w:cs="宋体"/>
          <w:b/>
          <w:bCs/>
          <w:color w:val="auto"/>
          <w:kern w:val="0"/>
          <w:sz w:val="24"/>
          <w:szCs w:val="24"/>
          <w:lang w:val="zh-CN"/>
        </w:rPr>
        <w:t>网卡MAC地址、CPU序号、硬盘序列号</w:t>
      </w:r>
      <w:r>
        <w:rPr>
          <w:rFonts w:hint="eastAsia" w:ascii="宋体" w:hAnsi="宋体" w:cs="宋体"/>
          <w:b/>
          <w:bCs/>
          <w:color w:val="auto"/>
          <w:kern w:val="0"/>
          <w:sz w:val="24"/>
          <w:szCs w:val="24"/>
        </w:rPr>
        <w:t>等硬件特征码均相同</w:t>
      </w:r>
      <w:r>
        <w:rPr>
          <w:rFonts w:hint="eastAsia" w:ascii="宋体" w:hAnsi="宋体" w:cs="宋体"/>
          <w:b/>
          <w:bCs/>
          <w:color w:val="auto"/>
          <w:kern w:val="0"/>
          <w:sz w:val="24"/>
          <w:szCs w:val="24"/>
          <w:lang w:val="zh-CN"/>
        </w:rPr>
        <w:t>时</w:t>
      </w:r>
      <w:r>
        <w:rPr>
          <w:rFonts w:hint="eastAsia" w:ascii="宋体" w:hAnsi="宋体" w:cs="宋体"/>
          <w:b/>
          <w:bCs/>
          <w:color w:val="auto"/>
          <w:kern w:val="0"/>
          <w:sz w:val="24"/>
          <w:szCs w:val="24"/>
        </w:rPr>
        <w:t>，视为‘不同投标人的投标文件由同一单位或者个人编制’或‘不同投标人委托同一单位或者个人办理响应事宜’，其投标无效。</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29.6法律、法规和招标文件规定的其他无效情形。</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投标文件的比较与评价</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评标委员会按照招标文件中规定的评标方法和标准，对符合性审查合格的投标文件进行商务和技术评估，综合比较与评价。</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评标方法、评标标准</w:t>
      </w:r>
    </w:p>
    <w:p>
      <w:pPr>
        <w:pStyle w:val="137"/>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本次评标具体评标方法、评标标准见（第六章资格审查与评标）</w:t>
      </w:r>
      <w:r>
        <w:rPr>
          <w:rFonts w:hint="eastAsia" w:ascii="宋体" w:hAnsi="宋体" w:cs="宋体"/>
          <w:color w:val="auto"/>
          <w:kern w:val="0"/>
          <w:sz w:val="24"/>
          <w:szCs w:val="24"/>
        </w:rPr>
        <w:t>。</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推荐中标候选人</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32.1 采用最低评标价法的，评标结果按投标报价由低到高顺序排列。投标报价相同的并列。投标文件满足招标文件全部实质性要求且投标报价最低的投标人为排名第一的中标候选人。</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评审意见无效情形</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评标委员会及其成员有下列行为之一的，其评审意见无效：</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（1）确定参与评标至评标结束前私自接触投标人；</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（2）接受投标人提出的与投标文件不一致的澄清或者说明，《投标人须知》第27条规定的情形除外；</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（3）违反评标纪律发表倾向性意见或者征询采购人的倾向性意见；</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（4）对需要专业判断的主观评审因素协商评分；</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（5）在评标过程中擅离职守，影响评标程序正常进行的；</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（6）记录、复制或者带走任何评标资料；</w:t>
      </w:r>
    </w:p>
    <w:p>
      <w:pPr>
        <w:autoSpaceDE w:val="0"/>
        <w:autoSpaceDN w:val="0"/>
        <w:spacing w:line="360" w:lineRule="auto"/>
        <w:ind w:left="420" w:leftChars="200"/>
        <w:contextualSpacing/>
        <w:rPr>
          <w:rFonts w:ascii="宋体" w:hAnsi="宋体" w:cs="宋体"/>
          <w:color w:val="auto"/>
          <w:kern w:val="0"/>
          <w:sz w:val="24"/>
          <w:szCs w:val="24"/>
        </w:rPr>
      </w:pPr>
      <w:r>
        <w:rPr>
          <w:rFonts w:hint="eastAsia" w:ascii="宋体" w:hAnsi="宋体" w:cs="宋体"/>
          <w:color w:val="auto"/>
          <w:kern w:val="0"/>
          <w:sz w:val="24"/>
          <w:szCs w:val="24"/>
        </w:rPr>
        <w:t>（7）其他不遵守评标纪律的行为。</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保密</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34.1 评审专家应当遵守评审工作纪律，不得泄露评审文件、评审情况和评审中获悉的商业秘密。</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宋体"/>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六、定标和授予合同</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确定中标人</w:t>
      </w:r>
    </w:p>
    <w:p>
      <w:pPr>
        <w:pStyle w:val="137"/>
        <w:autoSpaceDE w:val="0"/>
        <w:autoSpaceDN w:val="0"/>
        <w:spacing w:line="360" w:lineRule="auto"/>
        <w:ind w:left="720" w:hanging="720" w:hangingChars="300"/>
        <w:contextualSpacing/>
        <w:rPr>
          <w:rFonts w:ascii="宋体" w:hAnsi="宋体" w:cs="宋体"/>
          <w:color w:val="auto"/>
          <w:kern w:val="0"/>
          <w:sz w:val="24"/>
          <w:szCs w:val="24"/>
        </w:rPr>
      </w:pPr>
      <w:r>
        <w:rPr>
          <w:rFonts w:hint="eastAsia" w:ascii="宋体" w:hAnsi="宋体" w:cs="宋体"/>
          <w:color w:val="auto"/>
          <w:kern w:val="0"/>
          <w:sz w:val="24"/>
          <w:szCs w:val="24"/>
        </w:rPr>
        <w:t>35.1采购人应当自收到评标报告之日起5个工作日内，在评标报告确定的中标候</w:t>
      </w:r>
    </w:p>
    <w:p>
      <w:pPr>
        <w:pStyle w:val="137"/>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 xml:space="preserve">选人名单中按顺序确定中标人。中标候选人并列的，由采购人按照本招标文  </w:t>
      </w:r>
    </w:p>
    <w:p>
      <w:pPr>
        <w:pStyle w:val="137"/>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件32.2规定的方式确定。</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35.2采购人在收到评标报告5个工作日内未按评标报告推荐的中标候选人顺序确定中标人，又不能说明合法理由的，视同按评标报告推荐的顺序确定排名第一的中标候选人为中标人。</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中标公告、发出中标通知书</w:t>
      </w:r>
    </w:p>
    <w:p>
      <w:pPr>
        <w:pStyle w:val="137"/>
        <w:autoSpaceDE w:val="0"/>
        <w:autoSpaceDN w:val="0"/>
        <w:spacing w:line="360" w:lineRule="auto"/>
        <w:ind w:left="480" w:hanging="480" w:hangingChars="200"/>
        <w:contextualSpacing/>
        <w:rPr>
          <w:rFonts w:ascii="宋体" w:hAnsi="宋体" w:cs="宋体"/>
          <w:color w:val="auto"/>
          <w:kern w:val="0"/>
          <w:sz w:val="24"/>
          <w:szCs w:val="24"/>
        </w:rPr>
      </w:pPr>
      <w:r>
        <w:rPr>
          <w:rFonts w:hint="eastAsia" w:ascii="宋体" w:hAnsi="宋体" w:cs="宋体"/>
          <w:color w:val="auto"/>
          <w:kern w:val="0"/>
          <w:sz w:val="24"/>
          <w:szCs w:val="24"/>
        </w:rPr>
        <w:t>36.1采购人确认中标人后，招标人在公告中标结果的同时，向中标人发出中标通知书。</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中标通知书发出后，采购人不得违法改变中标结果，中标人无正当理由不得放弃中标。</w:t>
      </w:r>
    </w:p>
    <w:p>
      <w:pPr>
        <w:pStyle w:val="137"/>
        <w:numPr>
          <w:ilvl w:val="1"/>
          <w:numId w:val="8"/>
        </w:numPr>
        <w:autoSpaceDE w:val="0"/>
        <w:autoSpaceDN w:val="0"/>
        <w:spacing w:line="360" w:lineRule="auto"/>
        <w:ind w:left="544" w:firstLineChars="0"/>
        <w:contextualSpacing/>
        <w:rPr>
          <w:rFonts w:ascii="宋体" w:hAnsi="宋体" w:cs="宋体"/>
          <w:color w:val="auto"/>
          <w:kern w:val="0"/>
          <w:sz w:val="24"/>
          <w:szCs w:val="24"/>
        </w:rPr>
      </w:pPr>
      <w:r>
        <w:rPr>
          <w:rFonts w:hint="eastAsia" w:ascii="宋体" w:hAnsi="宋体" w:cs="宋体"/>
          <w:color w:val="auto"/>
          <w:kern w:val="0"/>
          <w:sz w:val="24"/>
          <w:szCs w:val="24"/>
        </w:rPr>
        <w:t>中标人在接到中标通知时，须向代理机构发送投标开标一览表及相关承诺函（包含主要中标标的的名称、服务要求等）电子文档，并同时通知代理机构联系人。</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质疑提出与答复</w:t>
      </w:r>
    </w:p>
    <w:p>
      <w:pPr>
        <w:tabs>
          <w:tab w:val="left" w:pos="1260"/>
        </w:tabs>
        <w:autoSpaceDE w:val="0"/>
        <w:autoSpaceDN w:val="0"/>
        <w:spacing w:line="360" w:lineRule="auto"/>
        <w:ind w:left="480" w:hanging="480" w:hangingChars="200"/>
        <w:contextualSpacing/>
        <w:rPr>
          <w:rFonts w:ascii="宋体" w:hAnsi="宋体" w:cs="宋体"/>
          <w:color w:val="auto"/>
          <w:sz w:val="24"/>
          <w:szCs w:val="24"/>
        </w:rPr>
      </w:pPr>
      <w:r>
        <w:rPr>
          <w:rFonts w:hint="eastAsia" w:ascii="宋体" w:hAnsi="宋体" w:cs="宋体"/>
          <w:color w:val="auto"/>
          <w:sz w:val="24"/>
          <w:szCs w:val="24"/>
        </w:rPr>
        <w:t>37.1供应商认为采购文件、采购过程和中标结果使自己的权益受到损害的，可以依法向采购人、采购代理机构提出质疑。提出质疑的供应商应当是参与本项目采购活动的供应商。</w:t>
      </w:r>
    </w:p>
    <w:p>
      <w:pPr>
        <w:tabs>
          <w:tab w:val="left" w:pos="1260"/>
        </w:tabs>
        <w:autoSpaceDE w:val="0"/>
        <w:autoSpaceDN w:val="0"/>
        <w:spacing w:line="360" w:lineRule="auto"/>
        <w:ind w:left="480" w:hanging="480" w:hangingChars="200"/>
        <w:contextualSpacing/>
        <w:rPr>
          <w:rFonts w:ascii="宋体" w:hAnsi="宋体" w:cs="宋体"/>
          <w:color w:val="auto"/>
          <w:sz w:val="24"/>
          <w:szCs w:val="24"/>
        </w:rPr>
      </w:pPr>
      <w:r>
        <w:rPr>
          <w:rFonts w:hint="eastAsia" w:ascii="宋体" w:hAnsi="宋体" w:cs="宋体"/>
          <w:color w:val="auto"/>
          <w:sz w:val="24"/>
          <w:szCs w:val="24"/>
        </w:rPr>
        <w:t>37.1.1 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tabs>
          <w:tab w:val="left" w:pos="1260"/>
        </w:tabs>
        <w:autoSpaceDE w:val="0"/>
        <w:autoSpaceDN w:val="0"/>
        <w:spacing w:line="360" w:lineRule="auto"/>
        <w:ind w:left="480" w:hanging="480" w:hangingChars="200"/>
        <w:contextualSpacing/>
        <w:rPr>
          <w:rFonts w:ascii="宋体" w:hAnsi="宋体" w:cs="宋体"/>
          <w:color w:val="auto"/>
          <w:sz w:val="24"/>
          <w:szCs w:val="24"/>
        </w:rPr>
      </w:pPr>
      <w:r>
        <w:rPr>
          <w:rFonts w:hint="eastAsia" w:ascii="宋体" w:hAnsi="宋体" w:cs="宋体"/>
          <w:color w:val="auto"/>
          <w:sz w:val="24"/>
          <w:szCs w:val="24"/>
        </w:rPr>
        <w:t>37.1.2 对采购过程提出质疑的，为各采购程序环节结束之日起七个工作日内，以书面形式向采购人和采购代理机构一次性提出；</w:t>
      </w:r>
    </w:p>
    <w:p>
      <w:pPr>
        <w:tabs>
          <w:tab w:val="left" w:pos="1260"/>
        </w:tabs>
        <w:autoSpaceDE w:val="0"/>
        <w:autoSpaceDN w:val="0"/>
        <w:spacing w:line="360" w:lineRule="auto"/>
        <w:ind w:left="480" w:hanging="480" w:hangingChars="200"/>
        <w:contextualSpacing/>
        <w:rPr>
          <w:rFonts w:ascii="宋体" w:hAnsi="宋体" w:cs="宋体"/>
          <w:color w:val="auto"/>
          <w:sz w:val="24"/>
          <w:szCs w:val="24"/>
        </w:rPr>
      </w:pPr>
      <w:r>
        <w:rPr>
          <w:rFonts w:hint="eastAsia" w:ascii="宋体" w:hAnsi="宋体" w:cs="宋体"/>
          <w:color w:val="auto"/>
          <w:sz w:val="24"/>
          <w:szCs w:val="24"/>
        </w:rPr>
        <w:t>37.1.3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left="480" w:hanging="480" w:hangingChars="200"/>
        <w:contextualSpacing/>
        <w:rPr>
          <w:rFonts w:ascii="宋体" w:hAnsi="宋体" w:cs="宋体"/>
          <w:color w:val="auto"/>
          <w:sz w:val="24"/>
          <w:szCs w:val="24"/>
        </w:rPr>
      </w:pPr>
      <w:r>
        <w:rPr>
          <w:rFonts w:hint="eastAsia" w:ascii="宋体" w:hAnsi="宋体" w:cs="宋体"/>
          <w:color w:val="auto"/>
          <w:sz w:val="24"/>
          <w:szCs w:val="24"/>
        </w:rPr>
        <w:t>37.2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宋体"/>
          <w:color w:val="auto"/>
          <w:sz w:val="24"/>
          <w:szCs w:val="24"/>
        </w:rPr>
      </w:pPr>
      <w:r>
        <w:rPr>
          <w:rFonts w:hint="eastAsia" w:ascii="宋体" w:hAnsi="宋体" w:cs="宋体"/>
          <w:color w:val="auto"/>
          <w:sz w:val="24"/>
          <w:szCs w:val="24"/>
        </w:rPr>
        <w:t xml:space="preserve">37.2.1 对采购文件提出的质疑，依法通过澄清或者修改可以继续开展采购  </w:t>
      </w:r>
    </w:p>
    <w:p>
      <w:pPr>
        <w:tabs>
          <w:tab w:val="left" w:pos="1260"/>
        </w:tabs>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活动的，澄清或者修改采购文件后继续开展采购活动；否则应当修改采购文</w:t>
      </w:r>
    </w:p>
    <w:p>
      <w:pPr>
        <w:tabs>
          <w:tab w:val="left" w:pos="1260"/>
        </w:tabs>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件后重新开展采购活动。</w:t>
      </w:r>
    </w:p>
    <w:p>
      <w:pPr>
        <w:tabs>
          <w:tab w:val="left" w:pos="1260"/>
        </w:tabs>
        <w:autoSpaceDE w:val="0"/>
        <w:autoSpaceDN w:val="0"/>
        <w:spacing w:line="360" w:lineRule="auto"/>
        <w:ind w:left="480" w:hanging="480" w:hangingChars="200"/>
        <w:contextualSpacing/>
        <w:rPr>
          <w:rFonts w:ascii="宋体" w:hAnsi="宋体" w:cs="宋体"/>
          <w:b/>
          <w:color w:val="auto"/>
          <w:kern w:val="0"/>
          <w:sz w:val="24"/>
          <w:szCs w:val="24"/>
        </w:rPr>
      </w:pPr>
      <w:r>
        <w:rPr>
          <w:rFonts w:hint="eastAsia" w:ascii="宋体" w:hAnsi="宋体" w:cs="宋体"/>
          <w:color w:val="auto"/>
          <w:sz w:val="24"/>
          <w:szCs w:val="24"/>
        </w:rPr>
        <w:t>37.2.2 对采购过程、中标结果提出的质疑，合格供应商符合法定数量时，可以从合格的中标候选人中另行确定中标供应商的，应当依法另行确定中标供应商；否则应当重新开展采购活动。</w:t>
      </w:r>
    </w:p>
    <w:p>
      <w:pPr>
        <w:pStyle w:val="137"/>
        <w:numPr>
          <w:ilvl w:val="0"/>
          <w:numId w:val="8"/>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签订合同</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bCs/>
          <w:color w:val="auto"/>
          <w:kern w:val="0"/>
          <w:sz w:val="24"/>
          <w:szCs w:val="24"/>
        </w:rPr>
      </w:pPr>
      <w:r>
        <w:rPr>
          <w:rFonts w:hint="eastAsia" w:ascii="宋体" w:hAnsi="宋体" w:cs="宋体"/>
          <w:b/>
          <w:bCs/>
          <w:color w:val="auto"/>
          <w:kern w:val="0"/>
          <w:sz w:val="24"/>
          <w:szCs w:val="24"/>
        </w:rPr>
        <w:t>39.履约保证金</w:t>
      </w:r>
    </w:p>
    <w:p>
      <w:pPr>
        <w:widowControl/>
        <w:spacing w:line="360" w:lineRule="auto"/>
        <w:jc w:val="left"/>
        <w:rPr>
          <w:rFonts w:cs="宋体" w:asciiTheme="minorEastAsia" w:hAnsiTheme="minorEastAsia"/>
          <w:b/>
          <w:color w:val="auto"/>
          <w:sz w:val="24"/>
          <w:szCs w:val="24"/>
        </w:rPr>
      </w:pPr>
      <w:r>
        <w:rPr>
          <w:rFonts w:hint="eastAsia" w:cs="宋体" w:asciiTheme="minorEastAsia" w:hAnsiTheme="minorEastAsia"/>
          <w:b/>
          <w:color w:val="auto"/>
          <w:sz w:val="24"/>
          <w:szCs w:val="24"/>
          <w:lang w:val="en-US" w:eastAsia="zh-CN"/>
        </w:rPr>
        <w:t>39</w:t>
      </w:r>
      <w:r>
        <w:rPr>
          <w:rFonts w:hint="eastAsia" w:cs="宋体" w:asciiTheme="minorEastAsia" w:hAnsiTheme="minorEastAsia"/>
          <w:b/>
          <w:color w:val="auto"/>
          <w:sz w:val="24"/>
          <w:szCs w:val="24"/>
        </w:rPr>
        <w:t>.1履约保证金提交方式及注意事项</w:t>
      </w:r>
    </w:p>
    <w:p>
      <w:pPr>
        <w:pStyle w:val="140"/>
        <w:widowControl/>
        <w:spacing w:line="360" w:lineRule="auto"/>
        <w:ind w:left="420" w:firstLine="480"/>
        <w:jc w:val="left"/>
        <w:rPr>
          <w:rFonts w:cs="宋体" w:asciiTheme="minorEastAsia" w:hAnsiTheme="minorEastAsia"/>
          <w:color w:val="auto"/>
          <w:sz w:val="24"/>
          <w:szCs w:val="24"/>
        </w:rPr>
      </w:pPr>
      <w:r>
        <w:rPr>
          <w:rFonts w:hint="eastAsia" w:cs="宋体" w:asciiTheme="minorEastAsia" w:hAnsiTheme="minorEastAsia"/>
          <w:color w:val="auto"/>
          <w:sz w:val="24"/>
          <w:szCs w:val="24"/>
        </w:rPr>
        <w:t>（1）以网银、银行转账支票、银行电汇、银行保函方式提交。</w:t>
      </w:r>
    </w:p>
    <w:p>
      <w:pPr>
        <w:pStyle w:val="140"/>
        <w:widowControl/>
        <w:spacing w:line="360" w:lineRule="auto"/>
        <w:ind w:left="420" w:firstLine="480"/>
        <w:jc w:val="left"/>
        <w:rPr>
          <w:rFonts w:cs="宋体" w:asciiTheme="minorEastAsia" w:hAnsiTheme="minorEastAsia"/>
          <w:color w:val="auto"/>
          <w:sz w:val="24"/>
          <w:szCs w:val="24"/>
        </w:rPr>
      </w:pPr>
      <w:r>
        <w:rPr>
          <w:rFonts w:hint="eastAsia" w:cs="宋体" w:asciiTheme="minorEastAsia" w:hAnsiTheme="minorEastAsia"/>
          <w:color w:val="auto"/>
          <w:sz w:val="24"/>
          <w:szCs w:val="24"/>
        </w:rPr>
        <w:t>（2）现金支票和现金不得作为履约保证金提交方式。</w:t>
      </w:r>
    </w:p>
    <w:p>
      <w:pPr>
        <w:pStyle w:val="140"/>
        <w:widowControl/>
        <w:spacing w:line="360" w:lineRule="auto"/>
        <w:ind w:left="420" w:firstLine="480"/>
        <w:jc w:val="left"/>
        <w:rPr>
          <w:rFonts w:cs="宋体" w:asciiTheme="minorEastAsia" w:hAnsiTheme="minorEastAsia"/>
          <w:color w:val="auto"/>
          <w:sz w:val="24"/>
          <w:szCs w:val="24"/>
        </w:rPr>
      </w:pPr>
      <w:r>
        <w:rPr>
          <w:rFonts w:hint="eastAsia" w:cs="宋体" w:asciiTheme="minorEastAsia" w:hAnsiTheme="minorEastAsia"/>
          <w:color w:val="auto"/>
          <w:sz w:val="24"/>
          <w:szCs w:val="24"/>
        </w:rPr>
        <w:t>（3）中标人必须通过其公司账户按照规定的方式提交，其名称应与中标单位的名称一致。</w:t>
      </w:r>
    </w:p>
    <w:p>
      <w:pPr>
        <w:pStyle w:val="140"/>
        <w:widowControl/>
        <w:spacing w:line="360" w:lineRule="auto"/>
        <w:ind w:left="420" w:firstLine="480"/>
        <w:jc w:val="left"/>
        <w:rPr>
          <w:rFonts w:cs="宋体" w:asciiTheme="minorEastAsia" w:hAnsiTheme="minorEastAsia"/>
          <w:color w:val="auto"/>
          <w:sz w:val="24"/>
          <w:szCs w:val="24"/>
        </w:rPr>
      </w:pPr>
      <w:r>
        <w:rPr>
          <w:rFonts w:hint="eastAsia" w:cs="宋体" w:asciiTheme="minorEastAsia" w:hAnsiTheme="minorEastAsia"/>
          <w:color w:val="auto"/>
          <w:sz w:val="24"/>
          <w:szCs w:val="24"/>
        </w:rPr>
        <w:t>（4）中标人在缴纳履约保证金时，必须在附言、备注和用途栏注明“项目编号及标段”，否则可能造成延迟退还。</w:t>
      </w:r>
    </w:p>
    <w:p>
      <w:pPr>
        <w:widowControl/>
        <w:spacing w:line="360" w:lineRule="auto"/>
        <w:jc w:val="left"/>
        <w:rPr>
          <w:rFonts w:cs="宋体" w:asciiTheme="minorEastAsia" w:hAnsiTheme="minorEastAsia"/>
          <w:b/>
          <w:color w:val="auto"/>
          <w:sz w:val="24"/>
          <w:szCs w:val="24"/>
        </w:rPr>
      </w:pPr>
      <w:r>
        <w:rPr>
          <w:rFonts w:hint="eastAsia" w:cs="宋体" w:asciiTheme="minorEastAsia" w:hAnsiTheme="minorEastAsia"/>
          <w:b/>
          <w:color w:val="auto"/>
          <w:sz w:val="24"/>
          <w:szCs w:val="24"/>
          <w:lang w:val="en-US" w:eastAsia="zh-CN"/>
        </w:rPr>
        <w:t>39</w:t>
      </w:r>
      <w:r>
        <w:rPr>
          <w:rFonts w:hint="eastAsia" w:cs="宋体" w:asciiTheme="minorEastAsia" w:hAnsiTheme="minorEastAsia"/>
          <w:b/>
          <w:color w:val="auto"/>
          <w:sz w:val="24"/>
          <w:szCs w:val="24"/>
        </w:rPr>
        <w:t>.2履约保证金提交比例和数额</w:t>
      </w:r>
    </w:p>
    <w:p>
      <w:pPr>
        <w:pStyle w:val="140"/>
        <w:widowControl/>
        <w:spacing w:line="360" w:lineRule="auto"/>
        <w:ind w:left="420" w:firstLine="480"/>
        <w:jc w:val="left"/>
        <w:rPr>
          <w:rFonts w:cs="宋体" w:asciiTheme="minorEastAsia" w:hAnsiTheme="minorEastAsia"/>
          <w:color w:val="auto"/>
          <w:sz w:val="24"/>
          <w:szCs w:val="24"/>
        </w:rPr>
      </w:pPr>
      <w:r>
        <w:rPr>
          <w:rFonts w:hint="eastAsia" w:cs="宋体" w:asciiTheme="minorEastAsia" w:hAnsiTheme="minorEastAsia"/>
          <w:color w:val="auto"/>
          <w:sz w:val="24"/>
          <w:szCs w:val="24"/>
        </w:rPr>
        <w:t>履约保证金数额不得超过中标合同金额的10%。</w:t>
      </w:r>
    </w:p>
    <w:p>
      <w:pPr>
        <w:widowControl/>
        <w:spacing w:line="360" w:lineRule="auto"/>
        <w:jc w:val="left"/>
        <w:rPr>
          <w:rFonts w:cs="宋体" w:asciiTheme="minorEastAsia" w:hAnsiTheme="minorEastAsia"/>
          <w:b/>
          <w:color w:val="auto"/>
          <w:sz w:val="24"/>
          <w:szCs w:val="24"/>
        </w:rPr>
      </w:pPr>
      <w:r>
        <w:rPr>
          <w:rFonts w:hint="eastAsia" w:cs="宋体" w:asciiTheme="minorEastAsia" w:hAnsiTheme="minorEastAsia"/>
          <w:b/>
          <w:color w:val="auto"/>
          <w:sz w:val="24"/>
          <w:szCs w:val="24"/>
          <w:lang w:val="en-US" w:eastAsia="zh-CN"/>
        </w:rPr>
        <w:t>39</w:t>
      </w:r>
      <w:r>
        <w:rPr>
          <w:rFonts w:hint="eastAsia" w:cs="宋体" w:asciiTheme="minorEastAsia" w:hAnsiTheme="minorEastAsia"/>
          <w:b/>
          <w:color w:val="auto"/>
          <w:sz w:val="24"/>
          <w:szCs w:val="24"/>
        </w:rPr>
        <w:t>.3履约保证金的退还</w:t>
      </w:r>
    </w:p>
    <w:p>
      <w:pPr>
        <w:pStyle w:val="140"/>
        <w:widowControl/>
        <w:spacing w:line="360" w:lineRule="auto"/>
        <w:ind w:left="420" w:firstLine="480"/>
        <w:jc w:val="left"/>
        <w:rPr>
          <w:rFonts w:cs="宋体" w:asciiTheme="minorEastAsia" w:hAnsiTheme="minorEastAsia"/>
          <w:color w:val="auto"/>
          <w:sz w:val="24"/>
          <w:szCs w:val="24"/>
        </w:rPr>
      </w:pPr>
      <w:r>
        <w:rPr>
          <w:rFonts w:hint="eastAsia" w:cs="宋体" w:asciiTheme="minorEastAsia" w:hAnsiTheme="minorEastAsia"/>
          <w:color w:val="auto"/>
          <w:sz w:val="24"/>
          <w:szCs w:val="24"/>
        </w:rPr>
        <w:t>（1）项目完工后，由招标人出具《履约保证金退还通知单》，中心财务凭《履约保证金退还通知单》在五个工作日内退还履约保证金及银行同期活期存款利息至中标人账户。</w:t>
      </w:r>
    </w:p>
    <w:p>
      <w:pPr>
        <w:pStyle w:val="140"/>
        <w:widowControl/>
        <w:spacing w:line="360" w:lineRule="auto"/>
        <w:ind w:left="420" w:firstLine="480"/>
        <w:jc w:val="left"/>
        <w:rPr>
          <w:rFonts w:cs="宋体" w:asciiTheme="minorEastAsia" w:hAnsiTheme="minorEastAsia"/>
          <w:color w:val="auto"/>
          <w:sz w:val="24"/>
          <w:szCs w:val="24"/>
        </w:rPr>
      </w:pPr>
      <w:r>
        <w:rPr>
          <w:rFonts w:hint="eastAsia" w:cs="宋体" w:asciiTheme="minorEastAsia" w:hAnsiTheme="minorEastAsia"/>
          <w:color w:val="auto"/>
          <w:sz w:val="24"/>
          <w:szCs w:val="24"/>
        </w:rPr>
        <w:t>（2）中标人因发生质疑、投诉、举报或有关部门立案调查的，中心依据相关行政监督部门的意见暂停退还或没收其履约保证金，待行政监督部门对相关情况处置后，按照有关规定办理。</w:t>
      </w:r>
    </w:p>
    <w:p>
      <w:pPr>
        <w:widowControl/>
        <w:jc w:val="center"/>
        <w:rPr>
          <w:rFonts w:ascii="仿宋" w:hAnsi="仿宋" w:eastAsia="仿宋" w:cs="仿宋"/>
          <w:color w:val="auto"/>
          <w:sz w:val="36"/>
          <w:szCs w:val="36"/>
        </w:rPr>
      </w:pPr>
      <w:r>
        <w:rPr>
          <w:rFonts w:hint="eastAsia" w:ascii="仿宋" w:hAnsi="仿宋" w:eastAsia="仿宋" w:cs="仿宋"/>
          <w:color w:val="auto"/>
          <w:sz w:val="36"/>
          <w:szCs w:val="36"/>
        </w:rPr>
        <w:t>履约保证金退还通知单</w:t>
      </w:r>
    </w:p>
    <w:tbl>
      <w:tblPr>
        <w:tblStyle w:val="3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项目编号</w:t>
            </w:r>
          </w:p>
        </w:tc>
        <w:tc>
          <w:tcPr>
            <w:tcW w:w="4140" w:type="dxa"/>
            <w:gridSpan w:val="2"/>
            <w:vAlign w:val="center"/>
          </w:tcPr>
          <w:p>
            <w:pPr>
              <w:spacing w:line="360" w:lineRule="exact"/>
              <w:jc w:val="center"/>
              <w:rPr>
                <w:rFonts w:ascii="仿宋" w:hAnsi="仿宋" w:eastAsia="仿宋" w:cs="仿宋"/>
                <w:color w:val="auto"/>
                <w:sz w:val="24"/>
                <w:szCs w:val="24"/>
              </w:rPr>
            </w:pPr>
          </w:p>
        </w:tc>
        <w:tc>
          <w:tcPr>
            <w:tcW w:w="1440" w:type="dxa"/>
            <w:gridSpan w:val="2"/>
            <w:vAlign w:val="center"/>
          </w:tcPr>
          <w:p>
            <w:pPr>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是否完工</w:t>
            </w:r>
          </w:p>
        </w:tc>
        <w:tc>
          <w:tcPr>
            <w:tcW w:w="2162" w:type="dxa"/>
            <w:vAlign w:val="center"/>
          </w:tcPr>
          <w:p>
            <w:pPr>
              <w:spacing w:line="360" w:lineRule="exact"/>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中标企业名称</w:t>
            </w:r>
          </w:p>
        </w:tc>
        <w:tc>
          <w:tcPr>
            <w:tcW w:w="7742" w:type="dxa"/>
            <w:gridSpan w:val="5"/>
            <w:vAlign w:val="center"/>
          </w:tcPr>
          <w:p>
            <w:pPr>
              <w:spacing w:line="360" w:lineRule="exac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开户银行</w:t>
            </w:r>
          </w:p>
        </w:tc>
        <w:tc>
          <w:tcPr>
            <w:tcW w:w="3780" w:type="dxa"/>
            <w:vAlign w:val="center"/>
          </w:tcPr>
          <w:p>
            <w:pPr>
              <w:rPr>
                <w:rFonts w:ascii="仿宋" w:hAnsi="仿宋" w:eastAsia="仿宋" w:cs="仿宋"/>
                <w:color w:val="auto"/>
                <w:sz w:val="24"/>
                <w:szCs w:val="24"/>
              </w:rPr>
            </w:pPr>
          </w:p>
        </w:tc>
        <w:tc>
          <w:tcPr>
            <w:tcW w:w="722" w:type="dxa"/>
            <w:gridSpan w:val="2"/>
            <w:vAlign w:val="center"/>
          </w:tcPr>
          <w:p>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账号</w:t>
            </w:r>
          </w:p>
        </w:tc>
        <w:tc>
          <w:tcPr>
            <w:tcW w:w="3240" w:type="dxa"/>
            <w:gridSpan w:val="2"/>
            <w:vAlign w:val="center"/>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金额</w:t>
            </w:r>
          </w:p>
        </w:tc>
        <w:tc>
          <w:tcPr>
            <w:tcW w:w="7742" w:type="dxa"/>
            <w:gridSpan w:val="5"/>
            <w:vAlign w:val="center"/>
          </w:tcPr>
          <w:p>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color w:val="auto"/>
                <w:sz w:val="24"/>
                <w:szCs w:val="24"/>
              </w:rPr>
            </w:pPr>
          </w:p>
          <w:p>
            <w:pPr>
              <w:jc w:val="center"/>
              <w:rPr>
                <w:rFonts w:ascii="仿宋" w:hAnsi="仿宋" w:eastAsia="仿宋" w:cs="仿宋"/>
                <w:color w:val="auto"/>
                <w:sz w:val="24"/>
                <w:szCs w:val="24"/>
              </w:rPr>
            </w:pPr>
          </w:p>
          <w:p>
            <w:pPr>
              <w:ind w:firstLine="840" w:firstLineChars="350"/>
              <w:rPr>
                <w:rFonts w:ascii="仿宋" w:hAnsi="仿宋" w:eastAsia="仿宋" w:cs="仿宋"/>
                <w:color w:val="auto"/>
                <w:sz w:val="24"/>
                <w:szCs w:val="24"/>
              </w:rPr>
            </w:pPr>
            <w:r>
              <w:rPr>
                <w:rFonts w:hint="eastAsia" w:ascii="仿宋" w:hAnsi="仿宋" w:eastAsia="仿宋" w:cs="仿宋"/>
                <w:color w:val="auto"/>
                <w:sz w:val="24"/>
                <w:szCs w:val="24"/>
              </w:rPr>
              <w:t>主要负责人签字 ：                           盖  章：</w:t>
            </w:r>
          </w:p>
          <w:p>
            <w:pPr>
              <w:jc w:val="center"/>
              <w:rPr>
                <w:rFonts w:ascii="仿宋" w:hAnsi="仿宋" w:eastAsia="仿宋" w:cs="仿宋"/>
                <w:color w:val="auto"/>
                <w:sz w:val="24"/>
                <w:szCs w:val="24"/>
              </w:rPr>
            </w:pPr>
          </w:p>
          <w:p>
            <w:pPr>
              <w:ind w:right="480" w:firstLine="5880" w:firstLineChars="2450"/>
              <w:rPr>
                <w:rFonts w:ascii="仿宋" w:hAnsi="仿宋" w:eastAsia="仿宋" w:cs="仿宋"/>
                <w:color w:val="auto"/>
                <w:sz w:val="24"/>
                <w:szCs w:val="24"/>
              </w:rPr>
            </w:pPr>
            <w:r>
              <w:rPr>
                <w:rFonts w:hint="eastAsia" w:ascii="仿宋" w:hAnsi="仿宋" w:eastAsia="仿宋" w:cs="仿宋"/>
                <w:color w:val="auto"/>
                <w:sz w:val="24"/>
                <w:szCs w:val="24"/>
              </w:rPr>
              <w:t>年   月   日</w:t>
            </w:r>
          </w:p>
        </w:tc>
      </w:tr>
    </w:tbl>
    <w:p>
      <w:pPr>
        <w:tabs>
          <w:tab w:val="left" w:pos="1260"/>
        </w:tabs>
        <w:autoSpaceDE w:val="0"/>
        <w:autoSpaceDN w:val="0"/>
        <w:spacing w:line="360" w:lineRule="auto"/>
        <w:ind w:left="3370" w:leftChars="228" w:hanging="2891" w:hangingChars="800"/>
        <w:contextualSpacing/>
        <w:jc w:val="center"/>
        <w:rPr>
          <w:rFonts w:ascii="宋体" w:hAnsi="宋体" w:cs="宋体"/>
          <w:b/>
          <w:color w:val="auto"/>
          <w:kern w:val="0"/>
          <w:sz w:val="36"/>
          <w:szCs w:val="36"/>
        </w:rPr>
      </w:pPr>
    </w:p>
    <w:p>
      <w:pPr>
        <w:tabs>
          <w:tab w:val="left" w:pos="1260"/>
        </w:tabs>
        <w:autoSpaceDE w:val="0"/>
        <w:autoSpaceDN w:val="0"/>
        <w:spacing w:line="360" w:lineRule="auto"/>
        <w:ind w:left="3370" w:leftChars="228" w:hanging="2891" w:hangingChars="800"/>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第五章 政府采购政策功能</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72" w:firstLineChars="196"/>
        <w:contextualSpacing/>
        <w:rPr>
          <w:rFonts w:ascii="宋体" w:hAnsi="宋体" w:cs="宋体"/>
          <w:b/>
          <w:bCs/>
          <w:color w:val="auto"/>
          <w:sz w:val="24"/>
          <w:szCs w:val="24"/>
        </w:rPr>
      </w:pPr>
      <w:r>
        <w:rPr>
          <w:rFonts w:hint="eastAsia" w:ascii="宋体" w:hAnsi="宋体" w:cs="宋体"/>
          <w:b/>
          <w:bCs/>
          <w:color w:val="auto"/>
          <w:sz w:val="24"/>
          <w:szCs w:val="24"/>
        </w:rPr>
        <w:t>一、促进中小企业发展</w:t>
      </w:r>
    </w:p>
    <w:p>
      <w:pPr>
        <w:topLinePunct/>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宋体"/>
          <w:color w:val="auto"/>
          <w:sz w:val="24"/>
          <w:szCs w:val="24"/>
        </w:rPr>
      </w:pPr>
      <w:r>
        <w:rPr>
          <w:rFonts w:hint="eastAsia" w:ascii="宋体" w:hAnsi="宋体" w:cs="宋体"/>
          <w:b/>
          <w:bCs/>
          <w:color w:val="auto"/>
          <w:sz w:val="24"/>
          <w:szCs w:val="24"/>
        </w:rPr>
        <w:t>二、支持监狱企业发展</w:t>
      </w:r>
    </w:p>
    <w:p>
      <w:pPr>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按照财政部、司法部发布的《关于政府采购支持监狱企业发展有关问题的通知》（</w:t>
      </w:r>
      <w:bookmarkStart w:id="4" w:name="OLE_LINK6"/>
      <w:r>
        <w:rPr>
          <w:rFonts w:hint="eastAsia" w:ascii="宋体" w:hAnsi="宋体" w:cs="宋体"/>
          <w:color w:val="auto"/>
          <w:sz w:val="24"/>
          <w:szCs w:val="24"/>
        </w:rPr>
        <w:t>财库[2014]68号</w:t>
      </w:r>
      <w:bookmarkEnd w:id="4"/>
      <w:r>
        <w:rPr>
          <w:rFonts w:hint="eastAsia" w:ascii="宋体" w:hAnsi="宋体" w:cs="宋体"/>
          <w:color w:val="auto"/>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bCs/>
          <w:color w:val="auto"/>
          <w:sz w:val="24"/>
          <w:szCs w:val="24"/>
        </w:rPr>
      </w:pPr>
      <w:r>
        <w:rPr>
          <w:rFonts w:hint="eastAsia" w:ascii="宋体" w:hAnsi="宋体" w:cs="宋体"/>
          <w:b/>
          <w:bCs/>
          <w:color w:val="auto"/>
          <w:sz w:val="24"/>
          <w:szCs w:val="24"/>
        </w:rPr>
        <w:t>三、促进残疾人就业</w:t>
      </w:r>
    </w:p>
    <w:p>
      <w:pPr>
        <w:pStyle w:val="21"/>
        <w:spacing w:line="360" w:lineRule="auto"/>
        <w:ind w:firstLine="480" w:firstLineChars="200"/>
        <w:contextualSpacing/>
        <w:rPr>
          <w:rFonts w:hAnsi="宋体" w:cs="宋体"/>
          <w:color w:val="auto"/>
          <w:sz w:val="24"/>
          <w:szCs w:val="24"/>
        </w:rPr>
      </w:pPr>
      <w:r>
        <w:rPr>
          <w:rFonts w:hint="eastAsia" w:hAnsi="宋体" w:cs="宋体"/>
          <w:color w:val="auto"/>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1"/>
        <w:spacing w:line="360" w:lineRule="auto"/>
        <w:ind w:firstLine="480" w:firstLineChars="200"/>
        <w:contextualSpacing/>
        <w:rPr>
          <w:rFonts w:hAnsi="宋体" w:cs="宋体"/>
          <w:color w:val="auto"/>
          <w:sz w:val="24"/>
          <w:szCs w:val="24"/>
        </w:rPr>
      </w:pPr>
      <w:r>
        <w:rPr>
          <w:rFonts w:hint="eastAsia" w:hAnsi="宋体" w:cs="宋体"/>
          <w:color w:val="auto"/>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440" w:lineRule="exact"/>
        <w:jc w:val="left"/>
        <w:rPr>
          <w:rFonts w:ascii="宋体" w:hAnsi="宋体" w:cs="宋体"/>
          <w:color w:val="auto"/>
          <w:sz w:val="24"/>
          <w:szCs w:val="24"/>
        </w:rPr>
      </w:pPr>
      <w:r>
        <w:rPr>
          <w:rFonts w:hint="eastAsia" w:ascii="宋体" w:hAnsi="宋体" w:cs="宋体"/>
          <w:color w:val="auto"/>
          <w:sz w:val="24"/>
          <w:szCs w:val="24"/>
        </w:rPr>
        <w:t>3、中标人为残疾人福利性单位的，招标人应当随中标结果同时公告其《残疾人福利性单位声明函》，接受社会监督。</w:t>
      </w:r>
    </w:p>
    <w:p>
      <w:pPr>
        <w:widowControl/>
        <w:spacing w:line="440" w:lineRule="exact"/>
        <w:jc w:val="left"/>
        <w:rPr>
          <w:rFonts w:ascii="宋体" w:hAnsi="宋体" w:cs="宋体"/>
          <w:color w:val="auto"/>
          <w:sz w:val="24"/>
          <w:szCs w:val="24"/>
        </w:rPr>
      </w:pPr>
      <w:r>
        <w:rPr>
          <w:rFonts w:hint="eastAsia" w:ascii="宋体" w:hAnsi="宋体" w:cs="宋体"/>
          <w:color w:val="auto"/>
          <w:sz w:val="24"/>
          <w:szCs w:val="24"/>
        </w:rPr>
        <w:t xml:space="preserve">    </w:t>
      </w:r>
    </w:p>
    <w:p>
      <w:pPr>
        <w:jc w:val="center"/>
        <w:rPr>
          <w:rFonts w:ascii="宋体" w:hAnsi="宋体" w:cs="宋体"/>
          <w:b/>
          <w:color w:val="auto"/>
          <w:kern w:val="0"/>
          <w:sz w:val="36"/>
          <w:szCs w:val="36"/>
        </w:rPr>
      </w:pPr>
      <w:r>
        <w:rPr>
          <w:rFonts w:hint="eastAsia" w:ascii="宋体" w:hAnsi="宋体" w:cs="宋体"/>
          <w:b/>
          <w:color w:val="auto"/>
          <w:sz w:val="44"/>
          <w:szCs w:val="44"/>
        </w:rPr>
        <w:br w:type="page"/>
      </w:r>
      <w:r>
        <w:rPr>
          <w:rFonts w:hint="eastAsia" w:ascii="宋体" w:hAnsi="宋体" w:cs="宋体"/>
          <w:b/>
          <w:color w:val="auto"/>
          <w:kern w:val="0"/>
          <w:sz w:val="36"/>
          <w:szCs w:val="36"/>
        </w:rPr>
        <w:t>第六章 资格审查与评标</w:t>
      </w:r>
    </w:p>
    <w:p>
      <w:pPr>
        <w:rPr>
          <w:rFonts w:ascii="宋体" w:hAnsi="宋体" w:cs="宋体"/>
          <w:color w:val="auto"/>
          <w:lang w:val="zh-CN"/>
        </w:rPr>
      </w:pPr>
    </w:p>
    <w:p>
      <w:pPr>
        <w:pStyle w:val="136"/>
        <w:spacing w:line="360" w:lineRule="auto"/>
        <w:contextualSpacing/>
        <w:jc w:val="center"/>
        <w:rPr>
          <w:rFonts w:ascii="宋体" w:hAnsi="宋体" w:cs="宋体"/>
          <w:b/>
          <w:color w:val="auto"/>
          <w:sz w:val="32"/>
          <w:szCs w:val="32"/>
          <w:lang w:val="zh-CN"/>
        </w:rPr>
      </w:pPr>
      <w:r>
        <w:rPr>
          <w:rFonts w:hint="eastAsia" w:ascii="宋体" w:hAnsi="宋体" w:cs="宋体"/>
          <w:b/>
          <w:color w:val="auto"/>
          <w:sz w:val="32"/>
          <w:szCs w:val="32"/>
          <w:lang w:val="zh-CN"/>
        </w:rPr>
        <w:t>一、资格审查</w:t>
      </w:r>
    </w:p>
    <w:p>
      <w:pPr>
        <w:pStyle w:val="13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（一）开标结束后，采购人（采购代理机构）依法对投标人资格进行审查。</w:t>
      </w:r>
    </w:p>
    <w:p>
      <w:pPr>
        <w:spacing w:line="360" w:lineRule="auto"/>
        <w:ind w:right="420" w:rightChars="200"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宋体"/>
          <w:color w:val="auto"/>
          <w:lang w:val="zh-CN"/>
        </w:rPr>
      </w:pPr>
      <w:r>
        <w:rPr>
          <w:rFonts w:hint="eastAsia" w:ascii="宋体" w:hAnsi="宋体" w:cs="宋体"/>
          <w:color w:val="auto"/>
          <w:sz w:val="24"/>
          <w:szCs w:val="24"/>
          <w:lang w:val="zh-CN"/>
        </w:rPr>
        <w:t>（三）</w:t>
      </w:r>
      <w:r>
        <w:rPr>
          <w:rFonts w:hint="eastAsia" w:ascii="宋体" w:hAnsi="宋体" w:cs="宋体"/>
          <w:b/>
          <w:bCs/>
          <w:color w:val="auto"/>
          <w:sz w:val="24"/>
          <w:szCs w:val="24"/>
          <w:lang w:val="zh-CN"/>
        </w:rPr>
        <w:t>资格审查中所涉及到的证书及材料，均须在电子投标文件中提供原件扫描件或图片</w:t>
      </w:r>
      <w:r>
        <w:rPr>
          <w:rFonts w:hint="eastAsia" w:ascii="宋体" w:hAnsi="宋体" w:cs="宋体"/>
          <w:color w:val="auto"/>
          <w:sz w:val="24"/>
          <w:szCs w:val="24"/>
          <w:lang w:val="zh-CN"/>
        </w:rPr>
        <w:t>。</w:t>
      </w:r>
    </w:p>
    <w:tbl>
      <w:tblPr>
        <w:tblStyle w:val="3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w:t>
            </w:r>
            <w:r>
              <w:rPr>
                <w:rFonts w:hint="eastAsia" w:ascii="宋体" w:hAnsi="宋体" w:cs="宋体"/>
                <w:bCs/>
                <w:color w:val="auto"/>
                <w:sz w:val="24"/>
                <w:szCs w:val="24"/>
              </w:rPr>
              <w:t>（分公司的营业执照需有独立法人）。</w:t>
            </w:r>
            <w:r>
              <w:rPr>
                <w:rFonts w:hint="eastAsia" w:ascii="宋体" w:hAnsi="宋体" w:cs="宋体"/>
                <w:bCs/>
                <w:color w:val="auto"/>
                <w:sz w:val="24"/>
                <w:szCs w:val="24"/>
                <w:lang w:val="zh-CN"/>
              </w:rPr>
              <w:t>（企业投标提供）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宋体"/>
                <w:bCs/>
                <w:color w:val="auto"/>
                <w:sz w:val="24"/>
                <w:szCs w:val="24"/>
                <w:lang w:val="zh-CN"/>
              </w:rPr>
            </w:pPr>
            <w:r>
              <w:rPr>
                <w:rFonts w:hint="eastAsia" w:ascii="宋体" w:hAnsi="宋体" w:cs="宋体"/>
                <w:bCs/>
                <w:color w:val="auto"/>
                <w:sz w:val="24"/>
                <w:szCs w:val="24"/>
              </w:rPr>
              <w:t>（或三证合一或五证合一）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jc w:val="left"/>
              <w:rPr>
                <w:rFonts w:ascii="宋体" w:hAnsi="宋体" w:cs="宋体"/>
                <w:b/>
                <w:color w:val="auto"/>
                <w:sz w:val="24"/>
                <w:szCs w:val="24"/>
              </w:rPr>
            </w:pPr>
            <w:r>
              <w:rPr>
                <w:rFonts w:hint="eastAsia" w:ascii="宋体" w:hAnsi="宋体" w:cs="宋体"/>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color w:val="auto"/>
                <w:sz w:val="24"/>
                <w:szCs w:val="24"/>
              </w:rPr>
              <w:t>1、第三方审计机构出具的2018年度经审计的财务报告</w:t>
            </w:r>
            <w:r>
              <w:rPr>
                <w:rFonts w:hint="eastAsia" w:ascii="宋体" w:hAnsi="宋体" w:cs="宋体"/>
                <w:bCs/>
                <w:color w:val="auto"/>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cs="宋体"/>
                <w:b/>
                <w:color w:val="auto"/>
                <w:sz w:val="24"/>
                <w:szCs w:val="24"/>
              </w:rPr>
            </w:pPr>
            <w:r>
              <w:rPr>
                <w:rFonts w:hint="eastAsia" w:ascii="宋体" w:hAnsi="宋体" w:cs="宋体"/>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color w:val="auto"/>
                <w:sz w:val="24"/>
                <w:szCs w:val="24"/>
              </w:rPr>
            </w:pPr>
            <w:r>
              <w:rPr>
                <w:rFonts w:hint="eastAsia" w:ascii="宋体" w:hAnsi="宋体" w:cs="宋体"/>
                <w:b/>
                <w:color w:val="auto"/>
                <w:sz w:val="24"/>
                <w:szCs w:val="24"/>
              </w:rPr>
              <w:t>三、依法缴纳税收相关材料</w:t>
            </w:r>
          </w:p>
          <w:p>
            <w:pPr>
              <w:spacing w:line="360" w:lineRule="auto"/>
              <w:rPr>
                <w:rFonts w:ascii="宋体" w:hAnsi="宋体" w:cs="宋体"/>
                <w:b/>
                <w:color w:val="auto"/>
                <w:sz w:val="24"/>
                <w:szCs w:val="24"/>
              </w:rPr>
            </w:pPr>
            <w:r>
              <w:rPr>
                <w:rFonts w:hint="eastAsia" w:ascii="宋体" w:hAnsi="宋体" w:cs="宋体"/>
                <w:bCs/>
                <w:color w:val="auto"/>
                <w:sz w:val="24"/>
                <w:szCs w:val="24"/>
                <w:lang w:val="zh-CN"/>
              </w:rPr>
              <w:t>税务登记证和</w:t>
            </w:r>
            <w:r>
              <w:rPr>
                <w:rFonts w:hint="eastAsia" w:ascii="宋体" w:hAnsi="宋体" w:cs="宋体"/>
                <w:color w:val="auto"/>
                <w:sz w:val="24"/>
                <w:szCs w:val="24"/>
                <w:shd w:val="clear" w:color="auto" w:fill="FFFFFF"/>
              </w:rPr>
              <w:t>投标截止时间前近半年中任意三个月的</w:t>
            </w:r>
            <w:r>
              <w:rPr>
                <w:rFonts w:hint="eastAsia" w:ascii="宋体" w:hAnsi="宋体" w:cs="宋体"/>
                <w:bCs/>
                <w:color w:val="auto"/>
                <w:sz w:val="24"/>
                <w:szCs w:val="24"/>
                <w:lang w:val="zh-CN"/>
              </w:rPr>
              <w:t>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color w:val="auto"/>
                <w:sz w:val="24"/>
                <w:szCs w:val="24"/>
                <w:shd w:val="clear" w:color="auto" w:fill="FFFFFF"/>
              </w:rPr>
              <w:t>投标截止时间前近半年中任意三个月</w:t>
            </w:r>
            <w:r>
              <w:rPr>
                <w:rFonts w:hint="eastAsia" w:ascii="宋体" w:hAnsi="宋体" w:cs="宋体"/>
                <w:bCs/>
                <w:color w:val="auto"/>
                <w:sz w:val="24"/>
                <w:szCs w:val="24"/>
                <w:lang w:val="zh-CN"/>
              </w:rPr>
              <w:t>的缴纳社会保险凭据。（依法不需要缴纳社会保障资金的投标人，应提供相应文件证明依法不需要缴纳社会保障资金）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color w:val="auto"/>
                <w:kern w:val="0"/>
                <w:sz w:val="24"/>
                <w:szCs w:val="24"/>
                <w:lang w:val="zh-CN"/>
              </w:rPr>
            </w:pPr>
            <w:r>
              <w:rPr>
                <w:rFonts w:hint="eastAsia" w:ascii="宋体" w:hAnsi="宋体" w:cs="宋体"/>
                <w:b/>
                <w:color w:val="auto"/>
                <w:kern w:val="0"/>
                <w:sz w:val="24"/>
                <w:szCs w:val="24"/>
                <w:lang w:val="zh-CN"/>
              </w:rPr>
              <w:t>五、履行合同所必须的设备和专业技术能力的证明材料</w:t>
            </w:r>
          </w:p>
          <w:p>
            <w:pPr>
              <w:autoSpaceDE w:val="0"/>
              <w:autoSpaceDN w:val="0"/>
              <w:adjustRightInd w:val="0"/>
              <w:spacing w:line="360" w:lineRule="auto"/>
              <w:ind w:right="-11"/>
              <w:rPr>
                <w:rFonts w:ascii="宋体" w:hAnsi="宋体" w:cs="宋体"/>
                <w:color w:val="auto"/>
              </w:rPr>
            </w:pPr>
            <w:r>
              <w:rPr>
                <w:rFonts w:hint="eastAsia" w:ascii="宋体" w:hAnsi="宋体" w:cs="宋体"/>
                <w:bCs/>
                <w:color w:val="auto"/>
                <w:kern w:val="0"/>
                <w:sz w:val="24"/>
                <w:szCs w:val="24"/>
                <w:lang w:val="zh-CN"/>
              </w:rPr>
              <w:t>相关设备的购置证明、专业技术人员职称证书原件、用工合同原件等或者附投标人相关承诺函或声明（格式自拟）。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hint="eastAsia"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jc w:val="left"/>
              <w:rPr>
                <w:rFonts w:ascii="仿宋" w:hAnsi="仿宋" w:eastAsia="仿宋"/>
                <w:b/>
                <w:bCs/>
                <w:color w:val="auto"/>
                <w:sz w:val="24"/>
                <w:szCs w:val="24"/>
              </w:rPr>
            </w:pPr>
            <w:r>
              <w:rPr>
                <w:rFonts w:hint="eastAsia" w:ascii="宋体" w:hAnsi="宋体" w:cs="宋体"/>
                <w:b/>
                <w:color w:val="auto"/>
                <w:sz w:val="24"/>
                <w:szCs w:val="24"/>
              </w:rPr>
              <w:t>七、</w:t>
            </w:r>
            <w:r>
              <w:rPr>
                <w:rFonts w:hint="eastAsia" w:ascii="宋体" w:hAnsi="宋体" w:cs="宋体"/>
                <w:b/>
                <w:bCs/>
                <w:color w:val="auto"/>
                <w:sz w:val="24"/>
                <w:szCs w:val="24"/>
                <w:lang w:val="zh-CN"/>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(www.ccgp.gov.cn)政府采购严重违法失信行为记录名单的投标人；“中国社会组织公共服务平台”网站（www.chinanpo.gov.cn）严重违法失信社会组织名单的投标人（仅限社会组织）。</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1、查询渠道：“信用中国”网站（www.creditchina.gov.cn）和“中国政府采购网”（www.ccgp.gov.cn）；“中国社会组织公共服务平台”网站（www.chinanpo.gov.cn）；</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2、截止时间：同投标截止时间；</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jc w:val="left"/>
              <w:rPr>
                <w:rFonts w:ascii="宋体" w:hAnsi="宋体" w:cs="宋体"/>
                <w:bCs/>
                <w:color w:val="auto"/>
                <w:sz w:val="24"/>
                <w:szCs w:val="24"/>
              </w:rPr>
            </w:pPr>
            <w:r>
              <w:rPr>
                <w:rFonts w:hint="eastAsia" w:ascii="宋体" w:hAnsi="宋体" w:cs="宋体"/>
                <w:bCs/>
                <w:color w:val="auto"/>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jc w:val="left"/>
              <w:rPr>
                <w:rFonts w:ascii="宋体" w:hAnsi="宋体" w:cs="宋体"/>
                <w:b/>
                <w:bCs/>
                <w:color w:val="auto"/>
                <w:sz w:val="24"/>
                <w:szCs w:val="24"/>
                <w:lang w:val="zh-CN"/>
              </w:rPr>
            </w:pPr>
            <w:r>
              <w:rPr>
                <w:rFonts w:hint="eastAsia" w:ascii="宋体" w:hAnsi="宋体" w:cs="宋体"/>
                <w:b/>
                <w:bCs/>
                <w:color w:val="auto"/>
                <w:sz w:val="24"/>
                <w:szCs w:val="24"/>
                <w:lang w:val="zh-CN"/>
              </w:rPr>
              <w:t>八、投标人资格要求</w:t>
            </w:r>
          </w:p>
          <w:p>
            <w:pPr>
              <w:autoSpaceDE w:val="0"/>
              <w:autoSpaceDN w:val="0"/>
              <w:spacing w:line="360" w:lineRule="auto"/>
              <w:contextualSpacing/>
              <w:rPr>
                <w:rFonts w:ascii="仿宋" w:hAnsi="仿宋" w:eastAsia="仿宋"/>
                <w:color w:val="auto"/>
                <w:sz w:val="24"/>
                <w:szCs w:val="24"/>
              </w:rPr>
            </w:pPr>
            <w:r>
              <w:rPr>
                <w:rFonts w:hint="eastAsia" w:ascii="宋体" w:hAnsi="宋体" w:cs="宋体"/>
                <w:color w:val="auto"/>
                <w:sz w:val="24"/>
                <w:szCs w:val="24"/>
                <w:shd w:val="clear" w:color="auto" w:fill="FFFFFF"/>
              </w:rPr>
              <w:t>投标单位须同时具备测绘主管部门颁发的测绘甲级资质、土地学会颁发的土地规划乙级（含）以上资质和农林行业（农业综合开发生态工程）专业乙级（含）以上资质 ，项目负责人须具有土地管理或测绘专业中级（含中级）及以上技术职称。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spacing w:line="360" w:lineRule="auto"/>
              <w:contextualSpacing/>
              <w:rPr>
                <w:rFonts w:ascii="宋体" w:hAnsi="宋体" w:cs="宋体"/>
                <w:b/>
                <w:bCs/>
                <w:color w:val="auto"/>
                <w:sz w:val="24"/>
                <w:szCs w:val="24"/>
                <w:lang w:val="zh-CN"/>
              </w:rPr>
            </w:pPr>
            <w:r>
              <w:rPr>
                <w:rFonts w:hint="eastAsia" w:ascii="宋体" w:hAnsi="宋体" w:cs="宋体"/>
                <w:b/>
                <w:bCs/>
                <w:color w:val="auto"/>
                <w:sz w:val="24"/>
                <w:szCs w:val="24"/>
                <w:lang w:val="zh-CN"/>
              </w:rPr>
              <w:t>九、投标报价</w:t>
            </w:r>
          </w:p>
          <w:p>
            <w:pPr>
              <w:autoSpaceDE w:val="0"/>
              <w:autoSpaceDN w:val="0"/>
              <w:spacing w:line="360" w:lineRule="auto"/>
              <w:contextualSpacing/>
              <w:rPr>
                <w:rFonts w:ascii="宋体" w:hAnsi="宋体" w:cs="宋体"/>
                <w:color w:val="auto"/>
                <w:sz w:val="24"/>
                <w:szCs w:val="24"/>
                <w:lang w:val="zh-CN"/>
              </w:rPr>
            </w:pPr>
            <w:r>
              <w:rPr>
                <w:rFonts w:hint="eastAsia" w:ascii="宋体" w:hAnsi="宋体" w:cs="宋体"/>
                <w:color w:val="auto"/>
                <w:sz w:val="24"/>
                <w:szCs w:val="24"/>
              </w:rPr>
              <w:t>不得超出招标文件中规定的预算金额和最高限价。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宋体"/>
                <w:bCs/>
                <w:color w:val="auto"/>
                <w:sz w:val="24"/>
                <w:szCs w:val="24"/>
              </w:rPr>
            </w:pPr>
            <w:r>
              <w:rPr>
                <w:rFonts w:hint="eastAsia" w:ascii="宋体" w:hAnsi="宋体" w:cs="宋体"/>
                <w:b/>
                <w:color w:val="auto"/>
                <w:sz w:val="24"/>
                <w:szCs w:val="24"/>
              </w:rPr>
              <w:t>十、提供法定代表人身份证明或法定代表人授权委托书及被授权人身份证明。</w:t>
            </w:r>
          </w:p>
        </w:tc>
      </w:tr>
    </w:tbl>
    <w:p>
      <w:pPr>
        <w:jc w:val="center"/>
        <w:rPr>
          <w:rFonts w:ascii="宋体" w:hAnsi="宋体" w:cs="宋体"/>
          <w:b/>
          <w:color w:val="auto"/>
          <w:sz w:val="32"/>
          <w:szCs w:val="32"/>
          <w:lang w:val="zh-CN"/>
        </w:rPr>
      </w:pPr>
    </w:p>
    <w:p>
      <w:pPr>
        <w:jc w:val="center"/>
        <w:rPr>
          <w:rFonts w:ascii="宋体" w:hAnsi="宋体" w:cs="宋体"/>
          <w:b/>
          <w:color w:val="auto"/>
          <w:szCs w:val="24"/>
          <w:lang w:val="zh-CN"/>
        </w:rPr>
      </w:pPr>
      <w:r>
        <w:rPr>
          <w:rFonts w:hint="eastAsia" w:ascii="宋体" w:hAnsi="宋体" w:cs="宋体"/>
          <w:b/>
          <w:color w:val="auto"/>
          <w:sz w:val="32"/>
          <w:szCs w:val="32"/>
          <w:lang w:val="zh-CN"/>
        </w:rPr>
        <w:t>二、评标</w:t>
      </w:r>
    </w:p>
    <w:p>
      <w:pPr>
        <w:pStyle w:val="136"/>
        <w:spacing w:line="360" w:lineRule="auto"/>
        <w:ind w:firstLine="482" w:firstLineChars="200"/>
        <w:contextualSpacing/>
        <w:rPr>
          <w:rFonts w:ascii="宋体" w:hAnsi="宋体" w:cs="宋体"/>
          <w:b/>
          <w:color w:val="auto"/>
          <w:szCs w:val="24"/>
          <w:lang w:val="zh-CN"/>
        </w:rPr>
      </w:pPr>
      <w:r>
        <w:rPr>
          <w:rFonts w:hint="eastAsia" w:ascii="宋体" w:hAnsi="宋体" w:cs="宋体"/>
          <w:b/>
          <w:color w:val="auto"/>
          <w:szCs w:val="24"/>
          <w:lang w:val="zh-CN"/>
        </w:rPr>
        <w:t>（一）评标方法</w:t>
      </w:r>
    </w:p>
    <w:p>
      <w:pPr>
        <w:pStyle w:val="13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本项目采用综合评分法。总分为100分。</w:t>
      </w:r>
    </w:p>
    <w:p>
      <w:pPr>
        <w:pStyle w:val="136"/>
        <w:spacing w:line="360" w:lineRule="auto"/>
        <w:ind w:firstLine="482" w:firstLineChars="200"/>
        <w:contextualSpacing/>
        <w:rPr>
          <w:rFonts w:ascii="宋体" w:hAnsi="宋体" w:cs="宋体"/>
          <w:b/>
          <w:color w:val="auto"/>
          <w:szCs w:val="24"/>
          <w:lang w:val="zh-CN"/>
        </w:rPr>
      </w:pPr>
      <w:r>
        <w:rPr>
          <w:rFonts w:hint="eastAsia" w:ascii="宋体" w:hAnsi="宋体" w:cs="宋体"/>
          <w:b/>
          <w:color w:val="auto"/>
          <w:szCs w:val="24"/>
          <w:lang w:val="zh-CN"/>
        </w:rPr>
        <w:t>（二）评标委员会负责具体评标事务，并独立履行下列职责</w:t>
      </w:r>
    </w:p>
    <w:p>
      <w:pPr>
        <w:pStyle w:val="136"/>
        <w:spacing w:line="360" w:lineRule="auto"/>
        <w:ind w:firstLine="482" w:firstLineChars="200"/>
        <w:contextualSpacing/>
        <w:jc w:val="left"/>
        <w:rPr>
          <w:rFonts w:ascii="宋体" w:hAnsi="宋体" w:cs="宋体"/>
          <w:b/>
          <w:color w:val="auto"/>
          <w:szCs w:val="24"/>
          <w:lang w:val="zh-CN"/>
        </w:rPr>
      </w:pPr>
      <w:r>
        <w:rPr>
          <w:rFonts w:hint="eastAsia" w:ascii="宋体" w:hAnsi="宋体" w:cs="宋体"/>
          <w:b/>
          <w:color w:val="auto"/>
          <w:szCs w:val="24"/>
          <w:lang w:val="zh-CN"/>
        </w:rPr>
        <w:t>1、审查、评价投标文件是否符合招标文件的商务、技术等实质性要求；</w:t>
      </w:r>
    </w:p>
    <w:p>
      <w:pPr>
        <w:pStyle w:val="136"/>
        <w:spacing w:line="360" w:lineRule="auto"/>
        <w:ind w:firstLine="480" w:firstLineChars="200"/>
        <w:contextualSpacing/>
        <w:jc w:val="left"/>
        <w:rPr>
          <w:rFonts w:ascii="宋体" w:hAnsi="宋体" w:cs="宋体"/>
          <w:color w:val="auto"/>
          <w:szCs w:val="24"/>
          <w:lang w:val="zh-CN"/>
        </w:rPr>
      </w:pPr>
      <w:r>
        <w:rPr>
          <w:rFonts w:hint="eastAsia" w:ascii="宋体" w:hAnsi="宋体" w:cs="宋体"/>
          <w:color w:val="auto"/>
          <w:szCs w:val="24"/>
          <w:lang w:val="zh-CN"/>
        </w:rPr>
        <w:t>1）评标委员会对符合资格的投标人的投标文件进行符合性审查，以确定其是否满足招标文件的商务、技术等实质性要求。</w:t>
      </w:r>
    </w:p>
    <w:p>
      <w:pPr>
        <w:pStyle w:val="136"/>
        <w:spacing w:line="360" w:lineRule="auto"/>
        <w:ind w:firstLine="480" w:firstLineChars="200"/>
        <w:contextualSpacing/>
        <w:rPr>
          <w:rFonts w:ascii="宋体" w:hAnsi="宋体" w:cs="宋体"/>
          <w:color w:val="auto"/>
          <w:szCs w:val="24"/>
        </w:rPr>
      </w:pPr>
      <w:r>
        <w:rPr>
          <w:rFonts w:hint="eastAsia" w:ascii="宋体" w:hAnsi="宋体" w:cs="宋体"/>
          <w:color w:val="auto"/>
          <w:szCs w:val="24"/>
          <w:lang w:val="zh-CN"/>
        </w:rPr>
        <w:t>2）</w:t>
      </w:r>
      <w:r>
        <w:rPr>
          <w:rFonts w:hint="eastAsia" w:ascii="宋体" w:hAnsi="宋体" w:cs="宋体"/>
          <w:color w:val="auto"/>
          <w:szCs w:val="24"/>
        </w:rPr>
        <w:t>在评审过程中</w:t>
      </w:r>
      <w:r>
        <w:rPr>
          <w:rFonts w:hint="eastAsia" w:ascii="宋体" w:hAnsi="宋体" w:cs="宋体"/>
          <w:color w:val="auto"/>
          <w:szCs w:val="24"/>
          <w:lang w:val="zh-CN"/>
        </w:rPr>
        <w:t>评标委员会判断投标文件的响应性仅基于投标文件本身而不依靠外部证据。</w:t>
      </w:r>
    </w:p>
    <w:p>
      <w:pPr>
        <w:pStyle w:val="136"/>
        <w:spacing w:line="360" w:lineRule="auto"/>
        <w:ind w:firstLine="482" w:firstLineChars="200"/>
        <w:contextualSpacing/>
        <w:jc w:val="left"/>
        <w:rPr>
          <w:rFonts w:ascii="宋体" w:hAnsi="宋体" w:cs="宋体"/>
          <w:b/>
          <w:bCs/>
          <w:color w:val="auto"/>
          <w:szCs w:val="24"/>
          <w:lang w:val="zh-CN"/>
        </w:rPr>
      </w:pPr>
      <w:r>
        <w:rPr>
          <w:rFonts w:hint="eastAsia" w:ascii="宋体" w:hAnsi="宋体" w:cs="宋体"/>
          <w:b/>
          <w:bCs/>
          <w:color w:val="auto"/>
          <w:szCs w:val="24"/>
          <w:lang w:val="zh-CN"/>
        </w:rPr>
        <w:t>注：符合性审查中所涉及到的证书及材料，均须在电子投标文件中提供原件扫描件或图片。</w:t>
      </w:r>
    </w:p>
    <w:p>
      <w:pPr>
        <w:pStyle w:val="136"/>
        <w:spacing w:line="360" w:lineRule="auto"/>
        <w:ind w:firstLine="482" w:firstLineChars="200"/>
        <w:contextualSpacing/>
        <w:rPr>
          <w:rFonts w:ascii="宋体" w:hAnsi="宋体" w:cs="宋体"/>
          <w:b/>
          <w:color w:val="auto"/>
          <w:szCs w:val="24"/>
          <w:lang w:val="zh-CN"/>
        </w:rPr>
      </w:pPr>
      <w:r>
        <w:rPr>
          <w:rFonts w:hint="eastAsia" w:ascii="宋体" w:hAnsi="宋体" w:cs="宋体"/>
          <w:b/>
          <w:color w:val="auto"/>
          <w:szCs w:val="24"/>
          <w:lang w:val="zh-CN"/>
        </w:rPr>
        <w:t>2、要求投标人对投标文件有关事项作出澄清或者说明；</w:t>
      </w:r>
    </w:p>
    <w:p>
      <w:pPr>
        <w:pStyle w:val="13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6"/>
        <w:spacing w:line="360" w:lineRule="auto"/>
        <w:ind w:firstLine="465"/>
        <w:contextualSpacing/>
        <w:jc w:val="left"/>
        <w:rPr>
          <w:rFonts w:ascii="宋体" w:hAnsi="宋体" w:cs="宋体"/>
          <w:b/>
          <w:color w:val="auto"/>
          <w:szCs w:val="24"/>
          <w:lang w:val="zh-CN"/>
        </w:rPr>
      </w:pPr>
      <w:r>
        <w:rPr>
          <w:rFonts w:hint="eastAsia" w:ascii="宋体" w:hAnsi="宋体" w:cs="宋体"/>
          <w:b/>
          <w:color w:val="auto"/>
          <w:szCs w:val="24"/>
          <w:lang w:val="zh-CN"/>
        </w:rPr>
        <w:t>3、对投标文件进行比较和评价；</w:t>
      </w:r>
    </w:p>
    <w:p>
      <w:pPr>
        <w:pStyle w:val="136"/>
        <w:spacing w:line="360" w:lineRule="auto"/>
        <w:ind w:firstLine="480" w:firstLineChars="200"/>
        <w:contextualSpacing/>
        <w:rPr>
          <w:rFonts w:ascii="宋体" w:hAnsi="宋体" w:cs="宋体"/>
          <w:color w:val="auto"/>
          <w:szCs w:val="24"/>
          <w:lang w:val="zh-CN"/>
        </w:rPr>
      </w:pPr>
      <w:r>
        <w:rPr>
          <w:rFonts w:hint="eastAsia" w:ascii="宋体" w:hAnsi="宋体" w:cs="宋体"/>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136"/>
        <w:spacing w:line="360" w:lineRule="auto"/>
        <w:ind w:firstLine="482" w:firstLineChars="200"/>
        <w:contextualSpacing/>
        <w:rPr>
          <w:rFonts w:ascii="宋体" w:hAnsi="宋体" w:cs="宋体"/>
          <w:color w:val="auto"/>
          <w:szCs w:val="24"/>
          <w:lang w:val="zh-CN"/>
        </w:rPr>
      </w:pPr>
      <w:r>
        <w:rPr>
          <w:rFonts w:hint="eastAsia" w:ascii="宋体" w:hAnsi="宋体" w:cs="宋体"/>
          <w:b/>
          <w:bCs/>
          <w:color w:val="auto"/>
          <w:szCs w:val="24"/>
          <w:lang w:val="zh-CN"/>
        </w:rPr>
        <w:t>注：评标标准中所涉及到的证书及材料，均应在电子投标文件中提供原件扫描件或图片。</w:t>
      </w:r>
    </w:p>
    <w:p>
      <w:pPr>
        <w:tabs>
          <w:tab w:val="left" w:pos="1260"/>
        </w:tabs>
        <w:autoSpaceDE w:val="0"/>
        <w:autoSpaceDN w:val="0"/>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（1）投标无效情形</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f.不同投标人电子投标文件制作硬件特征码（网卡MAC地址、CPU序号、硬盘序列号等）雷同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zh-CN"/>
        </w:rPr>
        <w:t>）法律、法规和招标文件规定的其他无效情形。</w:t>
      </w:r>
    </w:p>
    <w:p>
      <w:pPr>
        <w:tabs>
          <w:tab w:val="left" w:pos="1260"/>
        </w:tabs>
        <w:autoSpaceDE w:val="0"/>
        <w:autoSpaceDN w:val="0"/>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2</w:t>
      </w:r>
      <w:r>
        <w:rPr>
          <w:rFonts w:hint="eastAsia" w:ascii="宋体" w:hAnsi="宋体" w:cs="宋体"/>
          <w:b/>
          <w:color w:val="auto"/>
          <w:sz w:val="24"/>
          <w:szCs w:val="24"/>
          <w:lang w:val="zh-CN"/>
        </w:rPr>
        <w:t>）评标标准</w:t>
      </w:r>
    </w:p>
    <w:p>
      <w:pPr>
        <w:widowControl/>
        <w:spacing w:line="360" w:lineRule="auto"/>
        <w:ind w:firstLine="360" w:firstLineChars="150"/>
        <w:jc w:val="left"/>
        <w:rPr>
          <w:rFonts w:ascii="宋体" w:hAnsi="宋体" w:cs="宋体"/>
          <w:color w:val="auto"/>
          <w:sz w:val="24"/>
          <w:szCs w:val="24"/>
          <w:lang w:val="zh-CN"/>
        </w:rPr>
      </w:pPr>
      <w:r>
        <w:rPr>
          <w:rFonts w:hint="eastAsia" w:ascii="宋体" w:hAnsi="宋体" w:cs="宋体"/>
          <w:color w:val="auto"/>
          <w:sz w:val="24"/>
          <w:szCs w:val="24"/>
          <w:lang w:val="zh-CN"/>
        </w:rPr>
        <w:t>（一）评标方法：最低评标价法□ 综合评分法☑</w:t>
      </w:r>
    </w:p>
    <w:p>
      <w:pPr>
        <w:widowControl/>
        <w:spacing w:line="360" w:lineRule="auto"/>
        <w:ind w:firstLine="360" w:firstLineChars="150"/>
        <w:jc w:val="left"/>
        <w:rPr>
          <w:rFonts w:ascii="宋体" w:hAnsi="宋体" w:cs="宋体"/>
          <w:color w:val="auto"/>
          <w:sz w:val="24"/>
          <w:szCs w:val="24"/>
        </w:rPr>
      </w:pPr>
      <w:r>
        <w:rPr>
          <w:rFonts w:hint="eastAsia" w:ascii="宋体" w:hAnsi="宋体" w:cs="宋体"/>
          <w:color w:val="auto"/>
          <w:sz w:val="24"/>
          <w:szCs w:val="24"/>
          <w:lang w:val="zh-CN"/>
        </w:rPr>
        <w:t>（二）综合评分法评标标准：</w:t>
      </w:r>
    </w:p>
    <w:tbl>
      <w:tblPr>
        <w:tblStyle w:val="35"/>
        <w:tblW w:w="9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1"/>
        <w:gridCol w:w="23"/>
        <w:gridCol w:w="6720"/>
        <w:gridCol w:w="34"/>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94" w:type="dxa"/>
            <w:gridSpan w:val="2"/>
            <w:vAlign w:val="center"/>
          </w:tcPr>
          <w:p>
            <w:pPr>
              <w:pStyle w:val="135"/>
              <w:spacing w:line="520" w:lineRule="exact"/>
              <w:ind w:left="147" w:right="143"/>
              <w:jc w:val="center"/>
              <w:rPr>
                <w:color w:val="auto"/>
                <w:sz w:val="24"/>
                <w:szCs w:val="24"/>
              </w:rPr>
            </w:pPr>
            <w:r>
              <w:rPr>
                <w:rFonts w:hint="eastAsia"/>
                <w:color w:val="auto"/>
                <w:sz w:val="24"/>
                <w:szCs w:val="24"/>
              </w:rPr>
              <w:t>分值构成</w:t>
            </w:r>
          </w:p>
          <w:p>
            <w:pPr>
              <w:pStyle w:val="135"/>
              <w:spacing w:line="520" w:lineRule="exact"/>
              <w:ind w:left="147" w:right="143"/>
              <w:jc w:val="center"/>
              <w:rPr>
                <w:color w:val="auto"/>
                <w:sz w:val="24"/>
                <w:szCs w:val="24"/>
              </w:rPr>
            </w:pPr>
            <w:r>
              <w:rPr>
                <w:rFonts w:hint="eastAsia"/>
                <w:color w:val="auto"/>
                <w:w w:val="120"/>
                <w:sz w:val="24"/>
                <w:szCs w:val="24"/>
              </w:rPr>
              <w:t>(</w:t>
            </w:r>
            <w:r>
              <w:rPr>
                <w:rFonts w:hint="eastAsia"/>
                <w:color w:val="auto"/>
                <w:sz w:val="24"/>
                <w:szCs w:val="24"/>
              </w:rPr>
              <w:t>总100分</w:t>
            </w:r>
            <w:r>
              <w:rPr>
                <w:rFonts w:hint="eastAsia"/>
                <w:color w:val="auto"/>
                <w:w w:val="120"/>
                <w:sz w:val="24"/>
                <w:szCs w:val="24"/>
              </w:rPr>
              <w:t>)</w:t>
            </w:r>
          </w:p>
        </w:tc>
        <w:tc>
          <w:tcPr>
            <w:tcW w:w="7786" w:type="dxa"/>
            <w:gridSpan w:val="3"/>
            <w:vAlign w:val="center"/>
          </w:tcPr>
          <w:p>
            <w:pPr>
              <w:spacing w:line="360" w:lineRule="auto"/>
              <w:ind w:firstLine="600" w:firstLineChars="250"/>
              <w:rPr>
                <w:rFonts w:ascii="宋体"/>
                <w:color w:val="auto"/>
                <w:sz w:val="24"/>
                <w:szCs w:val="24"/>
              </w:rPr>
            </w:pPr>
            <w:r>
              <w:rPr>
                <w:rFonts w:hint="eastAsia" w:ascii="宋体" w:hAnsi="宋体"/>
                <w:color w:val="auto"/>
                <w:sz w:val="24"/>
                <w:szCs w:val="24"/>
              </w:rPr>
              <w:t>价格分值：</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10  </w:t>
            </w:r>
            <w:r>
              <w:rPr>
                <w:rFonts w:hint="eastAsia" w:ascii="宋体" w:hAnsi="宋体"/>
                <w:color w:val="auto"/>
                <w:sz w:val="24"/>
                <w:szCs w:val="24"/>
              </w:rPr>
              <w:t>分</w:t>
            </w:r>
          </w:p>
          <w:p>
            <w:pPr>
              <w:pStyle w:val="135"/>
              <w:tabs>
                <w:tab w:val="left" w:pos="2265"/>
                <w:tab w:val="left" w:pos="2745"/>
              </w:tabs>
              <w:spacing w:line="520" w:lineRule="exact"/>
              <w:ind w:left="585"/>
              <w:rPr>
                <w:color w:val="auto"/>
                <w:sz w:val="24"/>
                <w:szCs w:val="24"/>
              </w:rPr>
            </w:pPr>
            <w:r>
              <w:rPr>
                <w:rFonts w:hint="eastAsia"/>
                <w:color w:val="auto"/>
                <w:sz w:val="24"/>
                <w:szCs w:val="24"/>
              </w:rPr>
              <w:t>商务部分：</w:t>
            </w:r>
            <w:r>
              <w:rPr>
                <w:rFonts w:hint="eastAsia"/>
                <w:color w:val="auto"/>
                <w:sz w:val="24"/>
                <w:szCs w:val="24"/>
                <w:u w:val="single"/>
              </w:rPr>
              <w:t xml:space="preserve"> </w:t>
            </w:r>
            <w:r>
              <w:rPr>
                <w:rFonts w:hint="eastAsia"/>
                <w:color w:val="auto"/>
                <w:sz w:val="24"/>
                <w:szCs w:val="24"/>
                <w:u w:val="single"/>
              </w:rPr>
              <w:tab/>
            </w:r>
            <w:r>
              <w:rPr>
                <w:rFonts w:hint="eastAsia"/>
                <w:color w:val="auto"/>
                <w:sz w:val="24"/>
                <w:szCs w:val="24"/>
                <w:u w:val="single"/>
                <w:lang w:val="en-US"/>
              </w:rPr>
              <w:t>60</w:t>
            </w:r>
            <w:r>
              <w:rPr>
                <w:rFonts w:hint="eastAsia"/>
                <w:color w:val="auto"/>
                <w:sz w:val="24"/>
                <w:szCs w:val="24"/>
                <w:u w:val="single"/>
              </w:rPr>
              <w:tab/>
            </w:r>
            <w:r>
              <w:rPr>
                <w:rFonts w:hint="eastAsia"/>
                <w:color w:val="auto"/>
                <w:sz w:val="24"/>
                <w:szCs w:val="24"/>
              </w:rPr>
              <w:t>分</w:t>
            </w:r>
          </w:p>
          <w:p>
            <w:pPr>
              <w:pStyle w:val="135"/>
              <w:tabs>
                <w:tab w:val="left" w:pos="2265"/>
                <w:tab w:val="left" w:pos="2745"/>
              </w:tabs>
              <w:spacing w:line="520" w:lineRule="exact"/>
              <w:ind w:left="585"/>
              <w:rPr>
                <w:color w:val="auto"/>
                <w:sz w:val="24"/>
                <w:szCs w:val="24"/>
              </w:rPr>
            </w:pPr>
            <w:r>
              <w:rPr>
                <w:rFonts w:hint="eastAsia"/>
                <w:color w:val="auto"/>
                <w:sz w:val="24"/>
                <w:szCs w:val="24"/>
              </w:rPr>
              <w:t>技术部分：</w:t>
            </w:r>
            <w:r>
              <w:rPr>
                <w:rFonts w:hint="eastAsia"/>
                <w:color w:val="auto"/>
                <w:sz w:val="24"/>
                <w:szCs w:val="24"/>
                <w:u w:val="single"/>
              </w:rPr>
              <w:t xml:space="preserve"> </w:t>
            </w:r>
            <w:r>
              <w:rPr>
                <w:rFonts w:hint="eastAsia"/>
                <w:color w:val="auto"/>
                <w:sz w:val="24"/>
                <w:szCs w:val="24"/>
                <w:u w:val="single"/>
              </w:rPr>
              <w:tab/>
            </w:r>
            <w:r>
              <w:rPr>
                <w:rFonts w:hint="eastAsia"/>
                <w:color w:val="auto"/>
                <w:sz w:val="24"/>
                <w:szCs w:val="24"/>
                <w:u w:val="single"/>
                <w:lang w:val="en-US"/>
              </w:rPr>
              <w:t>30</w:t>
            </w:r>
            <w:r>
              <w:rPr>
                <w:rFonts w:hint="eastAsia"/>
                <w:color w:val="auto"/>
                <w:sz w:val="24"/>
                <w:szCs w:val="24"/>
                <w:u w:val="single"/>
              </w:rPr>
              <w:t xml:space="preserve">  </w:t>
            </w:r>
            <w:r>
              <w:rPr>
                <w:rFonts w:hint="eastAsia"/>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94" w:type="dxa"/>
            <w:gridSpan w:val="2"/>
            <w:vAlign w:val="center"/>
          </w:tcPr>
          <w:p>
            <w:pPr>
              <w:pStyle w:val="135"/>
              <w:spacing w:line="520" w:lineRule="exact"/>
              <w:ind w:left="147" w:right="143"/>
              <w:jc w:val="center"/>
              <w:rPr>
                <w:color w:val="auto"/>
                <w:sz w:val="24"/>
                <w:szCs w:val="24"/>
              </w:rPr>
            </w:pPr>
            <w:r>
              <w:rPr>
                <w:rFonts w:hint="eastAsia"/>
                <w:color w:val="auto"/>
                <w:sz w:val="24"/>
                <w:szCs w:val="24"/>
              </w:rPr>
              <w:t>评分因素</w:t>
            </w:r>
          </w:p>
        </w:tc>
        <w:tc>
          <w:tcPr>
            <w:tcW w:w="6720" w:type="dxa"/>
            <w:tcBorders>
              <w:right w:val="single" w:color="auto" w:sz="4" w:space="0"/>
            </w:tcBorders>
            <w:vAlign w:val="center"/>
          </w:tcPr>
          <w:p>
            <w:pPr>
              <w:spacing w:line="360" w:lineRule="auto"/>
              <w:ind w:firstLine="602" w:firstLineChars="250"/>
              <w:rPr>
                <w:rFonts w:ascii="宋体" w:hAnsi="宋体"/>
                <w:color w:val="auto"/>
                <w:sz w:val="24"/>
                <w:szCs w:val="24"/>
              </w:rPr>
            </w:pPr>
            <w:r>
              <w:rPr>
                <w:rFonts w:hint="eastAsia" w:ascii="宋体" w:hAnsi="宋体" w:cs="宋体"/>
                <w:b/>
                <w:color w:val="auto"/>
                <w:kern w:val="0"/>
                <w:sz w:val="24"/>
              </w:rPr>
              <w:t>评分标准</w:t>
            </w:r>
          </w:p>
        </w:tc>
        <w:tc>
          <w:tcPr>
            <w:tcW w:w="1066" w:type="dxa"/>
            <w:gridSpan w:val="2"/>
            <w:tcBorders>
              <w:right w:val="single" w:color="auto" w:sz="4" w:space="0"/>
            </w:tcBorders>
            <w:vAlign w:val="center"/>
          </w:tcPr>
          <w:p>
            <w:pPr>
              <w:spacing w:line="360" w:lineRule="auto"/>
              <w:ind w:firstLine="240" w:firstLineChars="100"/>
              <w:rPr>
                <w:rFonts w:ascii="宋体" w:hAnsi="宋体"/>
                <w:color w:val="auto"/>
                <w:sz w:val="24"/>
                <w:szCs w:val="24"/>
              </w:rPr>
            </w:pPr>
            <w:r>
              <w:rPr>
                <w:rFonts w:hint="eastAsia" w:ascii="宋体" w:hAnsi="宋体" w:cs="宋体"/>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94" w:type="dxa"/>
            <w:gridSpan w:val="2"/>
            <w:vAlign w:val="center"/>
          </w:tcPr>
          <w:p>
            <w:pPr>
              <w:widowControl/>
              <w:spacing w:line="330" w:lineRule="atLeast"/>
              <w:jc w:val="center"/>
              <w:rPr>
                <w:rFonts w:ascii="宋体" w:hAnsi="宋体" w:cs="宋体"/>
                <w:color w:val="auto"/>
              </w:rPr>
            </w:pPr>
            <w:bookmarkStart w:id="5" w:name="OLE_LINK1" w:colFirst="1" w:colLast="1"/>
            <w:r>
              <w:rPr>
                <w:rFonts w:hint="eastAsia" w:ascii="宋体" w:hAnsi="宋体" w:cs="宋体"/>
                <w:color w:val="auto"/>
                <w:kern w:val="0"/>
                <w:sz w:val="24"/>
              </w:rPr>
              <w:t>投标报价评分标准</w:t>
            </w:r>
          </w:p>
        </w:tc>
        <w:tc>
          <w:tcPr>
            <w:tcW w:w="6720" w:type="dxa"/>
            <w:tcBorders>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评标基准价：满足招标文件要求的有效投标报价中，最低的投标报价为评标基准价。</w:t>
            </w:r>
          </w:p>
          <w:p>
            <w:pPr>
              <w:spacing w:line="360" w:lineRule="auto"/>
              <w:rPr>
                <w:rFonts w:ascii="宋体" w:hAnsi="宋体" w:cs="宋体"/>
                <w:color w:val="auto"/>
              </w:rPr>
            </w:pPr>
            <w:r>
              <w:rPr>
                <w:rFonts w:hint="eastAsia" w:ascii="宋体" w:hAnsi="宋体" w:cs="宋体"/>
                <w:color w:val="auto"/>
                <w:sz w:val="24"/>
              </w:rPr>
              <w:t>投标报价得分=（评标基准价/投标报价）×10</w:t>
            </w:r>
          </w:p>
        </w:tc>
        <w:tc>
          <w:tcPr>
            <w:tcW w:w="1066" w:type="dxa"/>
            <w:gridSpan w:val="2"/>
            <w:tcBorders>
              <w:left w:val="single" w:color="auto" w:sz="4" w:space="0"/>
            </w:tcBorders>
            <w:vAlign w:val="center"/>
          </w:tcPr>
          <w:p>
            <w:pPr>
              <w:widowControl/>
              <w:spacing w:line="330" w:lineRule="atLeast"/>
              <w:jc w:val="center"/>
              <w:rPr>
                <w:rFonts w:ascii="宋体" w:hAnsi="宋体" w:cs="宋体"/>
                <w:color w:val="auto"/>
              </w:rPr>
            </w:pPr>
            <w:r>
              <w:rPr>
                <w:rFonts w:hint="eastAsia" w:ascii="宋体" w:hAnsi="宋体" w:cs="宋体"/>
                <w:color w:val="auto"/>
                <w:kern w:val="0"/>
                <w:sz w:val="24"/>
              </w:rPr>
              <w:t>10分</w:t>
            </w:r>
          </w:p>
        </w:tc>
      </w:tr>
      <w:bookmarkEnd w:id="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580" w:type="dxa"/>
            <w:gridSpan w:val="5"/>
            <w:vAlign w:val="center"/>
          </w:tcPr>
          <w:p>
            <w:pPr>
              <w:pStyle w:val="135"/>
              <w:spacing w:line="520" w:lineRule="exact"/>
              <w:ind w:left="4"/>
              <w:jc w:val="center"/>
              <w:rPr>
                <w:color w:val="auto"/>
                <w:sz w:val="24"/>
                <w:szCs w:val="24"/>
              </w:rPr>
            </w:pPr>
            <w:r>
              <w:rPr>
                <w:rFonts w:hint="eastAsia"/>
                <w:color w:val="auto"/>
                <w:sz w:val="24"/>
                <w:szCs w:val="24"/>
              </w:rPr>
              <w:t>商务部分（满分</w:t>
            </w:r>
            <w:r>
              <w:rPr>
                <w:rFonts w:hint="eastAsia"/>
                <w:color w:val="auto"/>
                <w:sz w:val="24"/>
                <w:szCs w:val="24"/>
                <w:u w:val="single"/>
              </w:rPr>
              <w:t xml:space="preserve">   </w:t>
            </w:r>
            <w:r>
              <w:rPr>
                <w:rFonts w:hint="eastAsia"/>
                <w:color w:val="auto"/>
                <w:sz w:val="24"/>
                <w:szCs w:val="24"/>
                <w:u w:val="single"/>
                <w:lang w:val="en-US"/>
              </w:rPr>
              <w:t>60</w:t>
            </w:r>
            <w:r>
              <w:rPr>
                <w:rFonts w:hint="eastAsia"/>
                <w:color w:val="auto"/>
                <w:sz w:val="24"/>
                <w:szCs w:val="24"/>
                <w:u w:val="single"/>
              </w:rPr>
              <w:t xml:space="preserve">  </w:t>
            </w:r>
            <w:r>
              <w:rPr>
                <w:rFonts w:hint="eastAsia"/>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771" w:type="dxa"/>
            <w:vAlign w:val="center"/>
          </w:tcPr>
          <w:p>
            <w:pPr>
              <w:pStyle w:val="135"/>
              <w:spacing w:line="520" w:lineRule="exact"/>
              <w:ind w:right="143"/>
              <w:jc w:val="center"/>
              <w:rPr>
                <w:color w:val="auto"/>
                <w:sz w:val="24"/>
                <w:szCs w:val="24"/>
              </w:rPr>
            </w:pPr>
            <w:r>
              <w:rPr>
                <w:rFonts w:hint="eastAsia"/>
                <w:color w:val="auto"/>
                <w:sz w:val="24"/>
                <w:szCs w:val="24"/>
              </w:rPr>
              <w:t>评分因素</w:t>
            </w:r>
          </w:p>
        </w:tc>
        <w:tc>
          <w:tcPr>
            <w:tcW w:w="6777" w:type="dxa"/>
            <w:gridSpan w:val="3"/>
            <w:vAlign w:val="center"/>
          </w:tcPr>
          <w:p>
            <w:pPr>
              <w:pStyle w:val="135"/>
              <w:spacing w:line="520" w:lineRule="exact"/>
              <w:ind w:left="125" w:right="125"/>
              <w:jc w:val="center"/>
              <w:rPr>
                <w:color w:val="auto"/>
                <w:sz w:val="24"/>
                <w:szCs w:val="24"/>
              </w:rPr>
            </w:pPr>
            <w:r>
              <w:rPr>
                <w:rFonts w:hint="eastAsia"/>
                <w:color w:val="auto"/>
                <w:sz w:val="24"/>
                <w:szCs w:val="24"/>
              </w:rPr>
              <w:t>评标标准</w:t>
            </w:r>
          </w:p>
        </w:tc>
        <w:tc>
          <w:tcPr>
            <w:tcW w:w="1032" w:type="dxa"/>
            <w:vAlign w:val="center"/>
          </w:tcPr>
          <w:p>
            <w:pPr>
              <w:pStyle w:val="135"/>
              <w:spacing w:line="520" w:lineRule="exact"/>
              <w:ind w:left="179" w:right="174"/>
              <w:jc w:val="center"/>
              <w:rPr>
                <w:color w:val="auto"/>
                <w:sz w:val="24"/>
                <w:szCs w:val="24"/>
              </w:rPr>
            </w:pPr>
            <w:r>
              <w:rPr>
                <w:rFonts w:hint="eastAsia"/>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1771" w:type="dxa"/>
            <w:vAlign w:val="center"/>
          </w:tcPr>
          <w:p>
            <w:pPr>
              <w:pStyle w:val="135"/>
              <w:spacing w:line="520" w:lineRule="exact"/>
              <w:ind w:right="81"/>
              <w:jc w:val="center"/>
              <w:rPr>
                <w:color w:val="auto"/>
                <w:sz w:val="24"/>
                <w:szCs w:val="24"/>
              </w:rPr>
            </w:pPr>
            <w:r>
              <w:rPr>
                <w:rFonts w:hint="eastAsia"/>
                <w:color w:val="auto"/>
                <w:sz w:val="24"/>
                <w:szCs w:val="24"/>
              </w:rPr>
              <w:t>企业综合实力</w:t>
            </w:r>
          </w:p>
          <w:p>
            <w:pPr>
              <w:pStyle w:val="135"/>
              <w:spacing w:line="520" w:lineRule="exact"/>
              <w:ind w:right="81"/>
              <w:jc w:val="center"/>
              <w:rPr>
                <w:color w:val="auto"/>
                <w:sz w:val="24"/>
                <w:szCs w:val="24"/>
                <w:lang w:val="en-US"/>
              </w:rPr>
            </w:pPr>
            <w:r>
              <w:rPr>
                <w:rFonts w:hint="eastAsia"/>
                <w:color w:val="auto"/>
                <w:sz w:val="24"/>
                <w:szCs w:val="24"/>
              </w:rPr>
              <w:t>（</w:t>
            </w:r>
            <w:r>
              <w:rPr>
                <w:rFonts w:hint="eastAsia"/>
                <w:color w:val="auto"/>
                <w:sz w:val="24"/>
                <w:szCs w:val="24"/>
                <w:lang w:val="en-US"/>
              </w:rPr>
              <w:t>15分）</w:t>
            </w:r>
          </w:p>
        </w:tc>
        <w:tc>
          <w:tcPr>
            <w:tcW w:w="6777" w:type="dxa"/>
            <w:gridSpan w:val="3"/>
            <w:vAlign w:val="center"/>
          </w:tcPr>
          <w:p>
            <w:pPr>
              <w:pStyle w:val="135"/>
              <w:numPr>
                <w:ilvl w:val="0"/>
                <w:numId w:val="11"/>
              </w:numPr>
              <w:spacing w:line="520" w:lineRule="exact"/>
              <w:ind w:left="104"/>
              <w:rPr>
                <w:color w:val="auto"/>
                <w:sz w:val="24"/>
                <w:szCs w:val="24"/>
              </w:rPr>
            </w:pPr>
            <w:r>
              <w:rPr>
                <w:color w:val="auto"/>
                <w:sz w:val="24"/>
                <w:szCs w:val="24"/>
              </w:rPr>
              <w:t>投标人同时具有ISO9001质量管理体系认证、ISO14001环境管理体系认证、OHSAS18001职业安全健康管理体系认证</w:t>
            </w:r>
            <w:r>
              <w:rPr>
                <w:rFonts w:hint="eastAsia"/>
                <w:color w:val="auto"/>
                <w:sz w:val="24"/>
                <w:szCs w:val="24"/>
              </w:rPr>
              <w:t>的</w:t>
            </w:r>
            <w:r>
              <w:rPr>
                <w:color w:val="auto"/>
                <w:sz w:val="24"/>
                <w:szCs w:val="24"/>
              </w:rPr>
              <w:t>得3分</w:t>
            </w:r>
            <w:r>
              <w:rPr>
                <w:rFonts w:hint="eastAsia"/>
                <w:color w:val="auto"/>
                <w:sz w:val="24"/>
                <w:szCs w:val="24"/>
              </w:rPr>
              <w:t>，缺少任何一项该项不得分</w:t>
            </w:r>
            <w:r>
              <w:rPr>
                <w:color w:val="auto"/>
                <w:sz w:val="24"/>
                <w:szCs w:val="24"/>
              </w:rPr>
              <w:t>。注：投标人提供有效的三体系认证证书和网页截图（中国认证认可监督管理委员会</w:t>
            </w:r>
            <w:r>
              <w:rPr>
                <w:color w:val="auto"/>
              </w:rPr>
              <w:fldChar w:fldCharType="begin"/>
            </w:r>
            <w:r>
              <w:rPr>
                <w:color w:val="auto"/>
              </w:rPr>
              <w:instrText xml:space="preserve"> HYPERLINK "http://www.cnca.gov.cn/%E4%B8%AD" \h </w:instrText>
            </w:r>
            <w:r>
              <w:rPr>
                <w:color w:val="auto"/>
              </w:rPr>
              <w:fldChar w:fldCharType="separate"/>
            </w:r>
            <w:r>
              <w:rPr>
                <w:color w:val="auto"/>
                <w:sz w:val="24"/>
                <w:szCs w:val="24"/>
              </w:rPr>
              <w:t>http://www.cnca.gov.cn/中</w:t>
            </w:r>
            <w:r>
              <w:rPr>
                <w:color w:val="auto"/>
                <w:sz w:val="24"/>
                <w:szCs w:val="24"/>
              </w:rPr>
              <w:fldChar w:fldCharType="end"/>
            </w:r>
            <w:r>
              <w:rPr>
                <w:color w:val="auto"/>
                <w:sz w:val="24"/>
                <w:szCs w:val="24"/>
              </w:rPr>
              <w:t>的认证认可业务信息统一查询平台），且附在投标文件中，否则不得分。</w:t>
            </w:r>
          </w:p>
          <w:p>
            <w:pPr>
              <w:pStyle w:val="135"/>
              <w:numPr>
                <w:ilvl w:val="0"/>
                <w:numId w:val="11"/>
              </w:numPr>
              <w:spacing w:line="520" w:lineRule="exact"/>
              <w:ind w:left="104"/>
              <w:rPr>
                <w:color w:val="auto"/>
                <w:sz w:val="24"/>
                <w:szCs w:val="24"/>
              </w:rPr>
            </w:pPr>
            <w:r>
              <w:rPr>
                <w:color w:val="auto"/>
                <w:sz w:val="24"/>
                <w:szCs w:val="24"/>
              </w:rPr>
              <w:t>投标人具有AAA级信用等级证书和企业信用评估报告的得</w:t>
            </w:r>
            <w:r>
              <w:rPr>
                <w:rFonts w:hint="eastAsia"/>
                <w:color w:val="auto"/>
                <w:sz w:val="24"/>
                <w:szCs w:val="24"/>
              </w:rPr>
              <w:t>2</w:t>
            </w:r>
            <w:r>
              <w:rPr>
                <w:color w:val="auto"/>
                <w:sz w:val="24"/>
                <w:szCs w:val="24"/>
              </w:rPr>
              <w:t>分，非AAA级的不得分。注：信用等级以信用评估报告为准，信用评估报告在投标文件中提供扫描件，要求如下：①河南省投标人应提供经河南省信用建设促进会备案认可的信用评级机构出具的信用评估报告；信用评</w:t>
            </w:r>
            <w:r>
              <w:rPr>
                <w:color w:val="auto"/>
                <w:spacing w:val="-12"/>
                <w:sz w:val="24"/>
                <w:szCs w:val="24"/>
              </w:rPr>
              <w:t>级机构以“信用河南网</w:t>
            </w:r>
            <w:r>
              <w:rPr>
                <w:color w:val="auto"/>
                <w:spacing w:val="-152"/>
                <w:sz w:val="24"/>
                <w:szCs w:val="24"/>
              </w:rPr>
              <w:t>”</w:t>
            </w:r>
            <w:r>
              <w:rPr>
                <w:color w:val="auto"/>
                <w:spacing w:val="-3"/>
                <w:sz w:val="24"/>
                <w:szCs w:val="24"/>
              </w:rPr>
              <w:t>（</w:t>
            </w:r>
            <w:r>
              <w:rPr>
                <w:color w:val="auto"/>
                <w:spacing w:val="-1"/>
                <w:sz w:val="24"/>
                <w:szCs w:val="24"/>
              </w:rPr>
              <w:t>网址</w:t>
            </w:r>
            <w:r>
              <w:rPr>
                <w:color w:val="auto"/>
              </w:rPr>
              <w:fldChar w:fldCharType="begin"/>
            </w:r>
            <w:r>
              <w:rPr>
                <w:color w:val="auto"/>
              </w:rPr>
              <w:instrText xml:space="preserve"> HYPERLINK "http://www.xyhnw.com/" \h </w:instrText>
            </w:r>
            <w:r>
              <w:rPr>
                <w:color w:val="auto"/>
              </w:rPr>
              <w:fldChar w:fldCharType="separate"/>
            </w:r>
            <w:r>
              <w:rPr>
                <w:color w:val="auto"/>
                <w:spacing w:val="-1"/>
                <w:sz w:val="24"/>
                <w:szCs w:val="24"/>
              </w:rPr>
              <w:t>htt</w:t>
            </w:r>
            <w:r>
              <w:rPr>
                <w:color w:val="auto"/>
                <w:spacing w:val="-3"/>
                <w:sz w:val="24"/>
                <w:szCs w:val="24"/>
              </w:rPr>
              <w:t>p</w:t>
            </w:r>
            <w:r>
              <w:rPr>
                <w:color w:val="auto"/>
                <w:spacing w:val="-1"/>
                <w:sz w:val="24"/>
                <w:szCs w:val="24"/>
              </w:rPr>
              <w:t>://ww</w:t>
            </w:r>
            <w:r>
              <w:rPr>
                <w:color w:val="auto"/>
                <w:spacing w:val="-3"/>
                <w:sz w:val="24"/>
                <w:szCs w:val="24"/>
              </w:rPr>
              <w:t>w</w:t>
            </w:r>
            <w:r>
              <w:rPr>
                <w:color w:val="auto"/>
                <w:spacing w:val="-1"/>
                <w:sz w:val="24"/>
                <w:szCs w:val="24"/>
              </w:rPr>
              <w:t>.xyhn</w:t>
            </w:r>
            <w:r>
              <w:rPr>
                <w:color w:val="auto"/>
                <w:spacing w:val="-3"/>
                <w:sz w:val="24"/>
                <w:szCs w:val="24"/>
              </w:rPr>
              <w:t>w</w:t>
            </w:r>
            <w:r>
              <w:rPr>
                <w:color w:val="auto"/>
                <w:spacing w:val="-1"/>
                <w:sz w:val="24"/>
                <w:szCs w:val="24"/>
              </w:rPr>
              <w:t>.com</w:t>
            </w:r>
            <w:r>
              <w:rPr>
                <w:color w:val="auto"/>
                <w:spacing w:val="-3"/>
                <w:sz w:val="24"/>
                <w:szCs w:val="24"/>
              </w:rPr>
              <w:t>/</w:t>
            </w:r>
            <w:r>
              <w:rPr>
                <w:color w:val="auto"/>
                <w:spacing w:val="-3"/>
                <w:sz w:val="24"/>
                <w:szCs w:val="24"/>
              </w:rPr>
              <w:fldChar w:fldCharType="end"/>
            </w:r>
            <w:r>
              <w:rPr>
                <w:color w:val="auto"/>
                <w:sz w:val="24"/>
                <w:szCs w:val="24"/>
              </w:rPr>
              <w:t>）</w:t>
            </w:r>
            <w:r>
              <w:rPr>
                <w:color w:val="auto"/>
                <w:spacing w:val="-4"/>
                <w:sz w:val="24"/>
                <w:szCs w:val="24"/>
              </w:rPr>
              <w:t>公布的“河南省社会信用服务机构备案及考评合格机构公告”为准。②外省投标人应提供经省级以上社会信用</w:t>
            </w:r>
            <w:r>
              <w:rPr>
                <w:color w:val="auto"/>
                <w:spacing w:val="-3"/>
                <w:sz w:val="24"/>
                <w:szCs w:val="24"/>
              </w:rPr>
              <w:t>管理部门备案认可的信用评级机</w:t>
            </w:r>
            <w:r>
              <w:rPr>
                <w:color w:val="auto"/>
                <w:sz w:val="24"/>
                <w:szCs w:val="24"/>
              </w:rPr>
              <w:t>构出具的信用评估报告，并同时出具信用评级机构相应的资质材料。</w:t>
            </w:r>
          </w:p>
          <w:p>
            <w:pPr>
              <w:pStyle w:val="135"/>
              <w:numPr>
                <w:ilvl w:val="0"/>
                <w:numId w:val="11"/>
              </w:numPr>
              <w:spacing w:line="520" w:lineRule="exact"/>
              <w:ind w:left="104"/>
              <w:rPr>
                <w:color w:val="auto"/>
                <w:sz w:val="24"/>
                <w:szCs w:val="24"/>
              </w:rPr>
            </w:pPr>
            <w:r>
              <w:rPr>
                <w:color w:val="auto"/>
                <w:sz w:val="24"/>
                <w:szCs w:val="24"/>
              </w:rPr>
              <w:t>投标人同时具有省级以上（含省级）科技部门颁发的有效期内的省级科技型中小企业证书和高新技术企业证书，每提供一项得2分，最多得</w:t>
            </w:r>
            <w:r>
              <w:rPr>
                <w:rFonts w:hint="eastAsia"/>
                <w:color w:val="auto"/>
                <w:sz w:val="24"/>
                <w:szCs w:val="24"/>
              </w:rPr>
              <w:t>4</w:t>
            </w:r>
            <w:r>
              <w:rPr>
                <w:color w:val="auto"/>
                <w:sz w:val="24"/>
                <w:szCs w:val="24"/>
              </w:rPr>
              <w:t>分。</w:t>
            </w:r>
          </w:p>
          <w:p>
            <w:pPr>
              <w:pStyle w:val="135"/>
              <w:numPr>
                <w:ilvl w:val="0"/>
                <w:numId w:val="11"/>
              </w:numPr>
              <w:spacing w:line="520" w:lineRule="exact"/>
              <w:ind w:left="104"/>
              <w:rPr>
                <w:color w:val="auto"/>
                <w:sz w:val="24"/>
                <w:szCs w:val="24"/>
              </w:rPr>
            </w:pPr>
            <w:r>
              <w:rPr>
                <w:color w:val="auto"/>
                <w:sz w:val="24"/>
                <w:szCs w:val="24"/>
              </w:rPr>
              <w:t>投标人具有软件产品登记证书和软件企业证书的得</w:t>
            </w:r>
            <w:r>
              <w:rPr>
                <w:rFonts w:hint="eastAsia"/>
                <w:color w:val="auto"/>
                <w:sz w:val="24"/>
                <w:szCs w:val="24"/>
              </w:rPr>
              <w:t>2</w:t>
            </w:r>
            <w:r>
              <w:rPr>
                <w:color w:val="auto"/>
                <w:sz w:val="24"/>
                <w:szCs w:val="24"/>
              </w:rPr>
              <w:t>分。</w:t>
            </w:r>
          </w:p>
          <w:p>
            <w:pPr>
              <w:pStyle w:val="135"/>
              <w:numPr>
                <w:ilvl w:val="0"/>
                <w:numId w:val="11"/>
              </w:numPr>
              <w:spacing w:line="520" w:lineRule="exact"/>
              <w:ind w:left="104"/>
              <w:rPr>
                <w:color w:val="auto"/>
                <w:sz w:val="24"/>
                <w:szCs w:val="24"/>
              </w:rPr>
            </w:pPr>
            <w:r>
              <w:rPr>
                <w:color w:val="auto"/>
                <w:sz w:val="24"/>
                <w:szCs w:val="24"/>
              </w:rPr>
              <w:t>投标人具有省级及以上保密局和国防单位联合颁发的保密资格证书的得</w:t>
            </w:r>
            <w:r>
              <w:rPr>
                <w:rFonts w:hint="eastAsia"/>
                <w:color w:val="auto"/>
                <w:sz w:val="24"/>
                <w:szCs w:val="24"/>
              </w:rPr>
              <w:t>4</w:t>
            </w:r>
            <w:r>
              <w:rPr>
                <w:color w:val="auto"/>
                <w:sz w:val="24"/>
                <w:szCs w:val="24"/>
              </w:rPr>
              <w:t>分。</w:t>
            </w:r>
          </w:p>
        </w:tc>
        <w:tc>
          <w:tcPr>
            <w:tcW w:w="1032" w:type="dxa"/>
            <w:vAlign w:val="center"/>
          </w:tcPr>
          <w:p>
            <w:pPr>
              <w:pStyle w:val="135"/>
              <w:spacing w:line="520" w:lineRule="exact"/>
              <w:ind w:left="179" w:right="176"/>
              <w:jc w:val="center"/>
              <w:rPr>
                <w:color w:val="auto"/>
                <w:sz w:val="24"/>
                <w:szCs w:val="24"/>
              </w:rPr>
            </w:pPr>
            <w:r>
              <w:rPr>
                <w:rFonts w:hint="eastAsia"/>
                <w:color w:val="auto"/>
                <w:sz w:val="24"/>
                <w:szCs w:val="24"/>
                <w:lang w:val="en-US"/>
              </w:rPr>
              <w:t>15</w:t>
            </w:r>
            <w:r>
              <w:rPr>
                <w:rFonts w:hint="eastAsia"/>
                <w:color w:val="auto"/>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1771" w:type="dxa"/>
            <w:vAlign w:val="center"/>
          </w:tcPr>
          <w:p>
            <w:pPr>
              <w:pStyle w:val="135"/>
              <w:ind w:left="148"/>
              <w:jc w:val="center"/>
              <w:rPr>
                <w:color w:val="auto"/>
                <w:sz w:val="24"/>
                <w:szCs w:val="24"/>
              </w:rPr>
            </w:pPr>
            <w:r>
              <w:rPr>
                <w:color w:val="auto"/>
                <w:sz w:val="24"/>
                <w:szCs w:val="24"/>
              </w:rPr>
              <w:t>人员配备</w:t>
            </w:r>
          </w:p>
          <w:p>
            <w:pPr>
              <w:pStyle w:val="135"/>
              <w:spacing w:before="112"/>
              <w:ind w:left="148"/>
              <w:jc w:val="center"/>
              <w:rPr>
                <w:color w:val="auto"/>
                <w:sz w:val="24"/>
                <w:szCs w:val="24"/>
                <w:lang w:val="en-US"/>
              </w:rPr>
            </w:pPr>
            <w:r>
              <w:rPr>
                <w:rFonts w:hint="eastAsia"/>
                <w:color w:val="auto"/>
                <w:sz w:val="24"/>
                <w:szCs w:val="24"/>
              </w:rPr>
              <w:t>（</w:t>
            </w:r>
            <w:r>
              <w:rPr>
                <w:rFonts w:hint="eastAsia"/>
                <w:color w:val="auto"/>
                <w:sz w:val="24"/>
                <w:szCs w:val="24"/>
                <w:lang w:val="en-US"/>
              </w:rPr>
              <w:t>12分）</w:t>
            </w:r>
          </w:p>
        </w:tc>
        <w:tc>
          <w:tcPr>
            <w:tcW w:w="6777" w:type="dxa"/>
            <w:gridSpan w:val="3"/>
          </w:tcPr>
          <w:p>
            <w:pPr>
              <w:pStyle w:val="135"/>
              <w:spacing w:line="333" w:lineRule="auto"/>
              <w:ind w:left="107" w:right="93"/>
              <w:rPr>
                <w:color w:val="auto"/>
                <w:sz w:val="24"/>
                <w:szCs w:val="24"/>
                <w:lang w:val="en-US"/>
              </w:rPr>
            </w:pPr>
            <w:r>
              <w:rPr>
                <w:color w:val="auto"/>
                <w:spacing w:val="-3"/>
                <w:sz w:val="24"/>
                <w:szCs w:val="24"/>
              </w:rPr>
              <w:t>投标人除项目负责人外，每增加一名中级以上职称人员</w:t>
            </w:r>
            <w:r>
              <w:rPr>
                <w:color w:val="auto"/>
                <w:spacing w:val="-1"/>
                <w:sz w:val="24"/>
                <w:szCs w:val="24"/>
              </w:rPr>
              <w:t>加2</w:t>
            </w:r>
            <w:r>
              <w:rPr>
                <w:color w:val="auto"/>
                <w:spacing w:val="-7"/>
                <w:sz w:val="24"/>
                <w:szCs w:val="24"/>
              </w:rPr>
              <w:t>分，最多加</w:t>
            </w:r>
            <w:r>
              <w:rPr>
                <w:color w:val="auto"/>
                <w:spacing w:val="-1"/>
                <w:sz w:val="24"/>
                <w:szCs w:val="24"/>
              </w:rPr>
              <w:t>12</w:t>
            </w:r>
            <w:r>
              <w:rPr>
                <w:color w:val="auto"/>
                <w:spacing w:val="-10"/>
                <w:sz w:val="24"/>
                <w:szCs w:val="24"/>
              </w:rPr>
              <w:t>分，没有不得分。</w:t>
            </w:r>
            <w:r>
              <w:rPr>
                <w:color w:val="auto"/>
                <w:sz w:val="24"/>
                <w:szCs w:val="24"/>
              </w:rPr>
              <w:t>（</w:t>
            </w:r>
            <w:r>
              <w:rPr>
                <w:color w:val="auto"/>
                <w:spacing w:val="-3"/>
                <w:sz w:val="24"/>
                <w:szCs w:val="24"/>
              </w:rPr>
              <w:t>需提供技术人员近三个月的个人社保证明和职称证网站查询截图</w:t>
            </w:r>
            <w:r>
              <w:rPr>
                <w:color w:val="auto"/>
                <w:sz w:val="24"/>
                <w:szCs w:val="24"/>
              </w:rPr>
              <w:t>）</w:t>
            </w:r>
          </w:p>
        </w:tc>
        <w:tc>
          <w:tcPr>
            <w:tcW w:w="1032" w:type="dxa"/>
            <w:vAlign w:val="center"/>
          </w:tcPr>
          <w:p>
            <w:pPr>
              <w:pStyle w:val="135"/>
              <w:spacing w:line="520" w:lineRule="exact"/>
              <w:ind w:left="179" w:right="176"/>
              <w:jc w:val="center"/>
              <w:rPr>
                <w:color w:val="auto"/>
                <w:sz w:val="24"/>
                <w:szCs w:val="24"/>
              </w:rPr>
            </w:pPr>
            <w:r>
              <w:rPr>
                <w:rFonts w:hint="eastAsia"/>
                <w:color w:val="auto"/>
                <w:sz w:val="24"/>
                <w:szCs w:val="24"/>
                <w:lang w:val="en-US"/>
              </w:rPr>
              <w:t>12</w:t>
            </w:r>
            <w:r>
              <w:rPr>
                <w:rFonts w:hint="eastAsia"/>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71" w:type="dxa"/>
            <w:vAlign w:val="center"/>
          </w:tcPr>
          <w:p>
            <w:pPr>
              <w:pStyle w:val="135"/>
              <w:spacing w:before="177"/>
              <w:ind w:left="148"/>
              <w:jc w:val="center"/>
              <w:rPr>
                <w:color w:val="auto"/>
                <w:sz w:val="24"/>
                <w:szCs w:val="24"/>
              </w:rPr>
            </w:pPr>
            <w:r>
              <w:rPr>
                <w:color w:val="auto"/>
                <w:sz w:val="24"/>
                <w:szCs w:val="24"/>
              </w:rPr>
              <w:t>企业荣誉</w:t>
            </w:r>
          </w:p>
          <w:p>
            <w:pPr>
              <w:pStyle w:val="135"/>
              <w:spacing w:before="112"/>
              <w:ind w:left="148"/>
              <w:jc w:val="center"/>
              <w:rPr>
                <w:color w:val="auto"/>
                <w:sz w:val="24"/>
                <w:szCs w:val="24"/>
              </w:rPr>
            </w:pPr>
            <w:r>
              <w:rPr>
                <w:color w:val="auto"/>
                <w:sz w:val="24"/>
                <w:szCs w:val="24"/>
              </w:rPr>
              <w:t>（</w:t>
            </w:r>
            <w:r>
              <w:rPr>
                <w:rFonts w:hint="eastAsia"/>
                <w:color w:val="auto"/>
                <w:sz w:val="24"/>
                <w:szCs w:val="24"/>
              </w:rPr>
              <w:t>12</w:t>
            </w:r>
            <w:r>
              <w:rPr>
                <w:color w:val="auto"/>
                <w:sz w:val="24"/>
                <w:szCs w:val="24"/>
              </w:rPr>
              <w:t>分）</w:t>
            </w:r>
          </w:p>
        </w:tc>
        <w:tc>
          <w:tcPr>
            <w:tcW w:w="6777" w:type="dxa"/>
            <w:gridSpan w:val="3"/>
          </w:tcPr>
          <w:p>
            <w:pPr>
              <w:pStyle w:val="135"/>
              <w:spacing w:before="63" w:line="333" w:lineRule="auto"/>
              <w:ind w:left="148" w:right="196"/>
              <w:rPr>
                <w:color w:val="auto"/>
                <w:sz w:val="24"/>
                <w:szCs w:val="24"/>
              </w:rPr>
            </w:pPr>
            <w:r>
              <w:rPr>
                <w:rFonts w:hint="eastAsia"/>
                <w:color w:val="auto"/>
                <w:sz w:val="24"/>
                <w:szCs w:val="24"/>
                <w:lang w:val="en-US"/>
              </w:rPr>
              <w:t>1、</w:t>
            </w:r>
            <w:r>
              <w:rPr>
                <w:color w:val="auto"/>
                <w:sz w:val="24"/>
                <w:szCs w:val="24"/>
              </w:rPr>
              <w:t>2016年以来投标人获得过省级及以上地理信息产业30 强单位荣誉证书和上级下发红头文件的得</w:t>
            </w:r>
            <w:r>
              <w:rPr>
                <w:rFonts w:hint="eastAsia"/>
                <w:color w:val="auto"/>
                <w:sz w:val="24"/>
                <w:szCs w:val="24"/>
              </w:rPr>
              <w:t>2</w:t>
            </w:r>
            <w:r>
              <w:rPr>
                <w:color w:val="auto"/>
                <w:sz w:val="24"/>
                <w:szCs w:val="24"/>
              </w:rPr>
              <w:t>分；没有则不得分。</w:t>
            </w:r>
          </w:p>
          <w:p>
            <w:pPr>
              <w:pStyle w:val="135"/>
              <w:numPr>
                <w:ilvl w:val="0"/>
                <w:numId w:val="12"/>
              </w:numPr>
              <w:spacing w:before="24"/>
              <w:ind w:left="148"/>
              <w:rPr>
                <w:color w:val="auto"/>
                <w:sz w:val="24"/>
                <w:szCs w:val="24"/>
              </w:rPr>
            </w:pPr>
            <w:r>
              <w:rPr>
                <w:color w:val="auto"/>
                <w:sz w:val="24"/>
                <w:szCs w:val="24"/>
              </w:rPr>
              <w:t>投标人2015年以来获得中国地理信息产业协会颁发的中国地理信息产业最具活力中小企业证书的</w:t>
            </w:r>
            <w:r>
              <w:rPr>
                <w:rFonts w:hint="eastAsia"/>
                <w:color w:val="auto"/>
                <w:sz w:val="24"/>
                <w:szCs w:val="24"/>
              </w:rPr>
              <w:t>，每有一年获得过</w:t>
            </w:r>
            <w:r>
              <w:rPr>
                <w:color w:val="auto"/>
                <w:sz w:val="24"/>
                <w:szCs w:val="24"/>
              </w:rPr>
              <w:t>的得</w:t>
            </w:r>
            <w:r>
              <w:rPr>
                <w:rFonts w:hint="eastAsia"/>
                <w:color w:val="auto"/>
                <w:sz w:val="24"/>
                <w:szCs w:val="24"/>
              </w:rPr>
              <w:t>2</w:t>
            </w:r>
            <w:r>
              <w:rPr>
                <w:color w:val="auto"/>
                <w:sz w:val="24"/>
                <w:szCs w:val="24"/>
              </w:rPr>
              <w:t>分</w:t>
            </w:r>
            <w:r>
              <w:rPr>
                <w:rFonts w:hint="eastAsia"/>
                <w:color w:val="auto"/>
                <w:sz w:val="24"/>
                <w:szCs w:val="24"/>
              </w:rPr>
              <w:t>，最多得4分</w:t>
            </w:r>
            <w:r>
              <w:rPr>
                <w:color w:val="auto"/>
                <w:sz w:val="24"/>
                <w:szCs w:val="24"/>
              </w:rPr>
              <w:t>。</w:t>
            </w:r>
          </w:p>
          <w:p>
            <w:pPr>
              <w:pStyle w:val="135"/>
              <w:numPr>
                <w:ilvl w:val="0"/>
                <w:numId w:val="12"/>
              </w:numPr>
              <w:spacing w:before="24"/>
              <w:ind w:left="148"/>
              <w:rPr>
                <w:color w:val="auto"/>
                <w:sz w:val="24"/>
                <w:szCs w:val="24"/>
              </w:rPr>
            </w:pPr>
            <w:r>
              <w:rPr>
                <w:rFonts w:hint="eastAsia"/>
                <w:color w:val="auto"/>
                <w:sz w:val="24"/>
                <w:szCs w:val="24"/>
              </w:rPr>
              <w:t>投标人2016年以来获得过省级及以上主管部门或相关协会颁发的科技进步奖或优质测绘工程奖的，每有一个项目获奖的得1.5分，最多得6分。</w:t>
            </w:r>
            <w:r>
              <w:rPr>
                <w:color w:val="auto"/>
                <w:sz w:val="24"/>
                <w:szCs w:val="24"/>
              </w:rPr>
              <w:t>（</w:t>
            </w:r>
            <w:r>
              <w:rPr>
                <w:rFonts w:hint="eastAsia"/>
                <w:color w:val="auto"/>
                <w:sz w:val="24"/>
                <w:szCs w:val="24"/>
              </w:rPr>
              <w:t>投标文件中须提供获奖</w:t>
            </w:r>
            <w:r>
              <w:rPr>
                <w:color w:val="auto"/>
                <w:sz w:val="24"/>
                <w:szCs w:val="24"/>
              </w:rPr>
              <w:t>证书</w:t>
            </w:r>
            <w:r>
              <w:rPr>
                <w:rFonts w:hint="eastAsia"/>
                <w:color w:val="auto"/>
                <w:sz w:val="24"/>
                <w:szCs w:val="24"/>
              </w:rPr>
              <w:t>或者红头文件</w:t>
            </w:r>
            <w:r>
              <w:rPr>
                <w:color w:val="auto"/>
                <w:sz w:val="24"/>
                <w:szCs w:val="24"/>
              </w:rPr>
              <w:t>）</w:t>
            </w:r>
          </w:p>
        </w:tc>
        <w:tc>
          <w:tcPr>
            <w:tcW w:w="1032" w:type="dxa"/>
            <w:vAlign w:val="center"/>
          </w:tcPr>
          <w:p>
            <w:pPr>
              <w:pStyle w:val="135"/>
              <w:spacing w:line="520" w:lineRule="exact"/>
              <w:ind w:left="269"/>
              <w:rPr>
                <w:color w:val="auto"/>
                <w:sz w:val="24"/>
                <w:szCs w:val="24"/>
              </w:rPr>
            </w:pPr>
            <w:r>
              <w:rPr>
                <w:rFonts w:hint="eastAsia"/>
                <w:color w:val="auto"/>
                <w:sz w:val="24"/>
                <w:szCs w:val="24"/>
                <w:lang w:val="en-US"/>
              </w:rPr>
              <w:t>12</w:t>
            </w:r>
            <w:r>
              <w:rPr>
                <w:rFonts w:hint="eastAsia"/>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1771" w:type="dxa"/>
            <w:vAlign w:val="center"/>
          </w:tcPr>
          <w:p>
            <w:pPr>
              <w:pStyle w:val="135"/>
              <w:spacing w:line="333" w:lineRule="auto"/>
              <w:ind w:left="148" w:right="249"/>
              <w:jc w:val="center"/>
              <w:rPr>
                <w:color w:val="auto"/>
                <w:sz w:val="24"/>
                <w:szCs w:val="24"/>
              </w:rPr>
            </w:pPr>
            <w:r>
              <w:rPr>
                <w:color w:val="auto"/>
                <w:sz w:val="24"/>
                <w:szCs w:val="24"/>
              </w:rPr>
              <w:t>土地类软件研发能力（</w:t>
            </w:r>
            <w:r>
              <w:rPr>
                <w:rFonts w:hint="eastAsia"/>
                <w:color w:val="auto"/>
                <w:sz w:val="24"/>
                <w:szCs w:val="24"/>
                <w:lang w:val="en-US"/>
              </w:rPr>
              <w:t>3</w:t>
            </w:r>
            <w:r>
              <w:rPr>
                <w:color w:val="auto"/>
                <w:sz w:val="24"/>
                <w:szCs w:val="24"/>
              </w:rPr>
              <w:t>分）</w:t>
            </w:r>
          </w:p>
        </w:tc>
        <w:tc>
          <w:tcPr>
            <w:tcW w:w="6777" w:type="dxa"/>
            <w:gridSpan w:val="3"/>
          </w:tcPr>
          <w:p>
            <w:pPr>
              <w:pStyle w:val="135"/>
              <w:spacing w:before="65" w:line="333" w:lineRule="auto"/>
              <w:ind w:left="148" w:right="93"/>
              <w:rPr>
                <w:color w:val="auto"/>
                <w:sz w:val="24"/>
                <w:szCs w:val="24"/>
              </w:rPr>
            </w:pPr>
            <w:r>
              <w:rPr>
                <w:color w:val="auto"/>
                <w:spacing w:val="-3"/>
                <w:sz w:val="24"/>
                <w:szCs w:val="24"/>
              </w:rPr>
              <w:t>自</w:t>
            </w:r>
            <w:r>
              <w:rPr>
                <w:color w:val="auto"/>
                <w:spacing w:val="-1"/>
                <w:sz w:val="24"/>
                <w:szCs w:val="24"/>
              </w:rPr>
              <w:t>2016</w:t>
            </w:r>
            <w:r>
              <w:rPr>
                <w:color w:val="auto"/>
                <w:spacing w:val="-3"/>
                <w:sz w:val="24"/>
                <w:szCs w:val="24"/>
              </w:rPr>
              <w:t>年以来，每具有一项基本农田、土地整治、自然资源或土地方面的计算机软件著作权登记证书的得</w:t>
            </w:r>
            <w:r>
              <w:rPr>
                <w:rFonts w:hint="eastAsia"/>
                <w:color w:val="auto"/>
                <w:sz w:val="24"/>
                <w:szCs w:val="24"/>
                <w:lang w:val="en-US"/>
              </w:rPr>
              <w:t>1</w:t>
            </w:r>
            <w:r>
              <w:rPr>
                <w:color w:val="auto"/>
                <w:spacing w:val="-3"/>
                <w:sz w:val="24"/>
                <w:szCs w:val="24"/>
              </w:rPr>
              <w:t>分，最多得</w:t>
            </w:r>
            <w:r>
              <w:rPr>
                <w:rFonts w:hint="eastAsia"/>
                <w:color w:val="auto"/>
                <w:spacing w:val="-1"/>
                <w:sz w:val="24"/>
                <w:szCs w:val="24"/>
                <w:lang w:val="en-US"/>
              </w:rPr>
              <w:t>3</w:t>
            </w:r>
            <w:r>
              <w:rPr>
                <w:color w:val="auto"/>
                <w:spacing w:val="-3"/>
                <w:sz w:val="24"/>
                <w:szCs w:val="24"/>
              </w:rPr>
              <w:t>分，没有不得分。</w:t>
            </w:r>
          </w:p>
        </w:tc>
        <w:tc>
          <w:tcPr>
            <w:tcW w:w="1032" w:type="dxa"/>
            <w:vAlign w:val="center"/>
          </w:tcPr>
          <w:p>
            <w:pPr>
              <w:pStyle w:val="135"/>
              <w:spacing w:line="520" w:lineRule="exact"/>
              <w:ind w:left="179" w:right="176"/>
              <w:jc w:val="center"/>
              <w:rPr>
                <w:color w:val="auto"/>
                <w:sz w:val="24"/>
                <w:szCs w:val="24"/>
              </w:rPr>
            </w:pPr>
            <w:r>
              <w:rPr>
                <w:rFonts w:hint="eastAsia"/>
                <w:color w:val="auto"/>
                <w:sz w:val="24"/>
                <w:szCs w:val="24"/>
                <w:lang w:val="en-US"/>
              </w:rPr>
              <w:t>3</w:t>
            </w:r>
            <w:r>
              <w:rPr>
                <w:rFonts w:hint="eastAsia"/>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1771" w:type="dxa"/>
            <w:vAlign w:val="center"/>
          </w:tcPr>
          <w:p>
            <w:pPr>
              <w:pStyle w:val="135"/>
              <w:ind w:left="148"/>
              <w:jc w:val="center"/>
              <w:rPr>
                <w:color w:val="auto"/>
                <w:sz w:val="24"/>
                <w:szCs w:val="24"/>
              </w:rPr>
            </w:pPr>
            <w:r>
              <w:rPr>
                <w:color w:val="auto"/>
                <w:sz w:val="24"/>
                <w:szCs w:val="24"/>
              </w:rPr>
              <w:t>类似业绩</w:t>
            </w:r>
          </w:p>
          <w:p>
            <w:pPr>
              <w:pStyle w:val="135"/>
              <w:spacing w:before="110"/>
              <w:ind w:left="148"/>
              <w:jc w:val="center"/>
              <w:rPr>
                <w:color w:val="auto"/>
                <w:sz w:val="24"/>
                <w:szCs w:val="24"/>
              </w:rPr>
            </w:pPr>
            <w:r>
              <w:rPr>
                <w:color w:val="auto"/>
                <w:sz w:val="24"/>
                <w:szCs w:val="24"/>
              </w:rPr>
              <w:t>（15分）</w:t>
            </w:r>
          </w:p>
        </w:tc>
        <w:tc>
          <w:tcPr>
            <w:tcW w:w="6777" w:type="dxa"/>
            <w:gridSpan w:val="3"/>
          </w:tcPr>
          <w:p>
            <w:pPr>
              <w:pStyle w:val="135"/>
              <w:spacing w:line="333" w:lineRule="auto"/>
              <w:ind w:left="148" w:right="96"/>
              <w:rPr>
                <w:color w:val="auto"/>
                <w:sz w:val="24"/>
                <w:szCs w:val="24"/>
              </w:rPr>
            </w:pPr>
            <w:r>
              <w:rPr>
                <w:color w:val="auto"/>
                <w:spacing w:val="-4"/>
                <w:sz w:val="24"/>
                <w:szCs w:val="24"/>
              </w:rPr>
              <w:t>投标人承担过类似工作业绩</w:t>
            </w:r>
            <w:r>
              <w:rPr>
                <w:color w:val="auto"/>
                <w:spacing w:val="-3"/>
                <w:sz w:val="24"/>
                <w:szCs w:val="24"/>
              </w:rPr>
              <w:t>（</w:t>
            </w:r>
            <w:r>
              <w:rPr>
                <w:color w:val="auto"/>
                <w:spacing w:val="-4"/>
                <w:sz w:val="24"/>
                <w:szCs w:val="24"/>
              </w:rPr>
              <w:t>如</w:t>
            </w:r>
            <w:r>
              <w:rPr>
                <w:color w:val="auto"/>
                <w:spacing w:val="-5"/>
                <w:sz w:val="24"/>
                <w:szCs w:val="24"/>
              </w:rPr>
              <w:t>两区划定、永</w:t>
            </w:r>
            <w:r>
              <w:rPr>
                <w:color w:val="auto"/>
                <w:spacing w:val="-3"/>
                <w:sz w:val="24"/>
                <w:szCs w:val="24"/>
              </w:rPr>
              <w:t>久基本农田划定等相关工作</w:t>
            </w:r>
            <w:r>
              <w:rPr>
                <w:color w:val="auto"/>
                <w:spacing w:val="-4"/>
                <w:sz w:val="24"/>
                <w:szCs w:val="24"/>
              </w:rPr>
              <w:t>）</w:t>
            </w:r>
            <w:r>
              <w:rPr>
                <w:color w:val="auto"/>
                <w:spacing w:val="-3"/>
                <w:sz w:val="24"/>
                <w:szCs w:val="24"/>
              </w:rPr>
              <w:t>，每有</w:t>
            </w:r>
            <w:r>
              <w:rPr>
                <w:color w:val="auto"/>
                <w:sz w:val="24"/>
                <w:szCs w:val="24"/>
              </w:rPr>
              <w:t>1</w:t>
            </w:r>
            <w:r>
              <w:rPr>
                <w:color w:val="auto"/>
                <w:spacing w:val="-2"/>
                <w:sz w:val="24"/>
                <w:szCs w:val="24"/>
              </w:rPr>
              <w:t>项得</w:t>
            </w:r>
            <w:r>
              <w:rPr>
                <w:color w:val="auto"/>
                <w:sz w:val="24"/>
                <w:szCs w:val="24"/>
              </w:rPr>
              <w:t>3</w:t>
            </w:r>
            <w:r>
              <w:rPr>
                <w:color w:val="auto"/>
                <w:spacing w:val="-3"/>
                <w:sz w:val="24"/>
                <w:szCs w:val="24"/>
              </w:rPr>
              <w:t>分，最多</w:t>
            </w:r>
            <w:r>
              <w:rPr>
                <w:color w:val="auto"/>
                <w:sz w:val="24"/>
                <w:szCs w:val="24"/>
              </w:rPr>
              <w:t>15</w:t>
            </w:r>
            <w:r>
              <w:rPr>
                <w:color w:val="auto"/>
                <w:spacing w:val="-1"/>
                <w:sz w:val="24"/>
                <w:szCs w:val="24"/>
              </w:rPr>
              <w:t>分。</w:t>
            </w:r>
            <w:r>
              <w:rPr>
                <w:rFonts w:hint="eastAsia"/>
                <w:color w:val="auto"/>
                <w:sz w:val="24"/>
                <w:szCs w:val="24"/>
              </w:rPr>
              <w:t>（投标文件中须提供</w:t>
            </w:r>
            <w:r>
              <w:rPr>
                <w:color w:val="auto"/>
                <w:spacing w:val="-4"/>
                <w:sz w:val="24"/>
                <w:szCs w:val="24"/>
              </w:rPr>
              <w:t>中标通知书、合同协议书及网上查询</w:t>
            </w:r>
            <w:r>
              <w:rPr>
                <w:rFonts w:hint="eastAsia"/>
                <w:color w:val="auto"/>
                <w:spacing w:val="-4"/>
                <w:sz w:val="24"/>
                <w:szCs w:val="24"/>
              </w:rPr>
              <w:t>网</w:t>
            </w:r>
            <w:r>
              <w:rPr>
                <w:color w:val="auto"/>
                <w:spacing w:val="-4"/>
                <w:sz w:val="24"/>
                <w:szCs w:val="24"/>
              </w:rPr>
              <w:t>页</w:t>
            </w:r>
            <w:r>
              <w:rPr>
                <w:rFonts w:hint="eastAsia"/>
                <w:color w:val="auto"/>
                <w:spacing w:val="-4"/>
                <w:sz w:val="24"/>
                <w:szCs w:val="24"/>
              </w:rPr>
              <w:t>）</w:t>
            </w:r>
          </w:p>
        </w:tc>
        <w:tc>
          <w:tcPr>
            <w:tcW w:w="1032" w:type="dxa"/>
            <w:vAlign w:val="center"/>
          </w:tcPr>
          <w:p>
            <w:pPr>
              <w:pStyle w:val="135"/>
              <w:spacing w:line="520" w:lineRule="exact"/>
              <w:ind w:left="179" w:right="176"/>
              <w:jc w:val="center"/>
              <w:rPr>
                <w:color w:val="auto"/>
                <w:sz w:val="24"/>
                <w:szCs w:val="24"/>
                <w:lang w:val="en-US"/>
              </w:rPr>
            </w:pPr>
            <w:r>
              <w:rPr>
                <w:rFonts w:hint="eastAsia"/>
                <w:color w:val="auto"/>
                <w:sz w:val="24"/>
                <w:szCs w:val="24"/>
                <w:lang w:val="en-US"/>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jc w:val="center"/>
        </w:trPr>
        <w:tc>
          <w:tcPr>
            <w:tcW w:w="1771" w:type="dxa"/>
          </w:tcPr>
          <w:p>
            <w:pPr>
              <w:pStyle w:val="135"/>
              <w:rPr>
                <w:rFonts w:ascii="Calibri"/>
                <w:color w:val="auto"/>
                <w:sz w:val="24"/>
                <w:szCs w:val="24"/>
              </w:rPr>
            </w:pPr>
          </w:p>
          <w:p>
            <w:pPr>
              <w:pStyle w:val="135"/>
              <w:spacing w:before="10"/>
              <w:rPr>
                <w:rFonts w:ascii="Calibri"/>
                <w:color w:val="auto"/>
                <w:sz w:val="24"/>
                <w:szCs w:val="24"/>
              </w:rPr>
            </w:pPr>
          </w:p>
          <w:p>
            <w:pPr>
              <w:pStyle w:val="135"/>
              <w:spacing w:before="1"/>
              <w:ind w:left="107"/>
              <w:rPr>
                <w:color w:val="auto"/>
                <w:sz w:val="24"/>
                <w:szCs w:val="24"/>
              </w:rPr>
            </w:pPr>
            <w:r>
              <w:rPr>
                <w:color w:val="auto"/>
                <w:sz w:val="24"/>
                <w:szCs w:val="24"/>
              </w:rPr>
              <w:t>仪器配备(</w:t>
            </w:r>
            <w:r>
              <w:rPr>
                <w:rFonts w:hint="eastAsia"/>
                <w:color w:val="auto"/>
                <w:sz w:val="24"/>
                <w:szCs w:val="24"/>
              </w:rPr>
              <w:t>3</w:t>
            </w:r>
            <w:r>
              <w:rPr>
                <w:color w:val="auto"/>
                <w:sz w:val="24"/>
                <w:szCs w:val="24"/>
              </w:rPr>
              <w:t>分）</w:t>
            </w:r>
          </w:p>
        </w:tc>
        <w:tc>
          <w:tcPr>
            <w:tcW w:w="6777" w:type="dxa"/>
            <w:gridSpan w:val="3"/>
          </w:tcPr>
          <w:p>
            <w:pPr>
              <w:pStyle w:val="135"/>
              <w:spacing w:line="333" w:lineRule="auto"/>
              <w:ind w:left="148" w:right="96"/>
              <w:rPr>
                <w:color w:val="auto"/>
                <w:sz w:val="24"/>
                <w:szCs w:val="24"/>
              </w:rPr>
            </w:pPr>
            <w:r>
              <w:rPr>
                <w:color w:val="auto"/>
                <w:spacing w:val="-2"/>
                <w:sz w:val="24"/>
                <w:szCs w:val="24"/>
              </w:rPr>
              <w:t xml:space="preserve">GPS 接收机 20 台（含）以上且全站仪 10 台（含）以上的得 </w:t>
            </w:r>
            <w:r>
              <w:rPr>
                <w:rFonts w:hint="eastAsia"/>
                <w:color w:val="auto"/>
                <w:spacing w:val="-2"/>
                <w:sz w:val="24"/>
                <w:szCs w:val="24"/>
              </w:rPr>
              <w:t>3</w:t>
            </w:r>
            <w:r>
              <w:rPr>
                <w:color w:val="auto"/>
                <w:spacing w:val="-2"/>
                <w:sz w:val="24"/>
                <w:szCs w:val="24"/>
              </w:rPr>
              <w:t>分；GPS 接收机设备在 20 台以下或全站仪 10 台以下的得</w:t>
            </w:r>
            <w:r>
              <w:rPr>
                <w:rFonts w:hint="eastAsia"/>
                <w:color w:val="auto"/>
                <w:spacing w:val="-2"/>
                <w:sz w:val="24"/>
                <w:szCs w:val="24"/>
              </w:rPr>
              <w:t>1</w:t>
            </w:r>
            <w:r>
              <w:rPr>
                <w:color w:val="auto"/>
                <w:spacing w:val="-2"/>
                <w:sz w:val="24"/>
                <w:szCs w:val="24"/>
              </w:rPr>
              <w:t>分。此项满分</w:t>
            </w:r>
            <w:r>
              <w:rPr>
                <w:rFonts w:hint="eastAsia"/>
                <w:color w:val="auto"/>
                <w:spacing w:val="-2"/>
                <w:sz w:val="24"/>
                <w:szCs w:val="24"/>
              </w:rPr>
              <w:t>3</w:t>
            </w:r>
            <w:r>
              <w:rPr>
                <w:color w:val="auto"/>
                <w:spacing w:val="-2"/>
                <w:sz w:val="24"/>
                <w:szCs w:val="24"/>
              </w:rPr>
              <w:t>分。（提供仪器检定证书或发票）</w:t>
            </w:r>
          </w:p>
        </w:tc>
        <w:tc>
          <w:tcPr>
            <w:tcW w:w="1032" w:type="dxa"/>
            <w:vAlign w:val="center"/>
          </w:tcPr>
          <w:p>
            <w:pPr>
              <w:pStyle w:val="135"/>
              <w:spacing w:line="520" w:lineRule="exact"/>
              <w:ind w:left="179" w:right="176"/>
              <w:jc w:val="center"/>
              <w:rPr>
                <w:color w:val="auto"/>
                <w:sz w:val="24"/>
                <w:szCs w:val="24"/>
                <w:lang w:val="en-US"/>
              </w:rPr>
            </w:pPr>
            <w:r>
              <w:rPr>
                <w:rFonts w:hint="eastAsia"/>
                <w:color w:val="auto"/>
                <w:sz w:val="24"/>
                <w:szCs w:val="24"/>
                <w:lang w:val="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9580" w:type="dxa"/>
            <w:gridSpan w:val="5"/>
            <w:vAlign w:val="center"/>
          </w:tcPr>
          <w:p>
            <w:pPr>
              <w:pStyle w:val="135"/>
              <w:tabs>
                <w:tab w:val="left" w:pos="2294"/>
              </w:tabs>
              <w:spacing w:line="520" w:lineRule="exact"/>
              <w:ind w:left="4"/>
              <w:jc w:val="center"/>
              <w:rPr>
                <w:color w:val="auto"/>
                <w:sz w:val="24"/>
                <w:szCs w:val="24"/>
              </w:rPr>
            </w:pPr>
            <w:r>
              <w:rPr>
                <w:rFonts w:hint="eastAsia"/>
                <w:color w:val="auto"/>
                <w:sz w:val="24"/>
                <w:szCs w:val="24"/>
              </w:rPr>
              <w:t>技术部分（满分</w:t>
            </w:r>
            <w:r>
              <w:rPr>
                <w:rFonts w:hint="eastAsia"/>
                <w:color w:val="auto"/>
                <w:sz w:val="24"/>
                <w:szCs w:val="24"/>
                <w:u w:val="single"/>
              </w:rPr>
              <w:t xml:space="preserve"> </w:t>
            </w:r>
            <w:r>
              <w:rPr>
                <w:rFonts w:hint="eastAsia"/>
                <w:color w:val="auto"/>
                <w:sz w:val="24"/>
                <w:szCs w:val="24"/>
                <w:u w:val="single"/>
                <w:lang w:val="en-US"/>
              </w:rPr>
              <w:t>30</w:t>
            </w:r>
            <w:r>
              <w:rPr>
                <w:rFonts w:hint="eastAsia"/>
                <w:color w:val="auto"/>
                <w:sz w:val="24"/>
                <w:szCs w:val="24"/>
                <w:u w:val="single"/>
              </w:rPr>
              <w:tab/>
            </w:r>
            <w:r>
              <w:rPr>
                <w:rFonts w:hint="eastAsia"/>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771" w:type="dxa"/>
            <w:vAlign w:val="center"/>
          </w:tcPr>
          <w:p>
            <w:pPr>
              <w:pStyle w:val="135"/>
              <w:spacing w:line="520" w:lineRule="exact"/>
              <w:ind w:right="389"/>
              <w:jc w:val="right"/>
              <w:rPr>
                <w:color w:val="auto"/>
                <w:sz w:val="24"/>
                <w:szCs w:val="24"/>
              </w:rPr>
            </w:pPr>
            <w:r>
              <w:rPr>
                <w:rFonts w:hint="eastAsia"/>
                <w:color w:val="auto"/>
                <w:sz w:val="24"/>
                <w:szCs w:val="24"/>
              </w:rPr>
              <w:t>评分因素</w:t>
            </w:r>
          </w:p>
        </w:tc>
        <w:tc>
          <w:tcPr>
            <w:tcW w:w="6777" w:type="dxa"/>
            <w:gridSpan w:val="3"/>
            <w:vAlign w:val="center"/>
          </w:tcPr>
          <w:p>
            <w:pPr>
              <w:pStyle w:val="135"/>
              <w:spacing w:line="520" w:lineRule="exact"/>
              <w:ind w:left="125" w:right="125"/>
              <w:jc w:val="center"/>
              <w:rPr>
                <w:color w:val="auto"/>
                <w:sz w:val="24"/>
                <w:szCs w:val="24"/>
              </w:rPr>
            </w:pPr>
            <w:r>
              <w:rPr>
                <w:rFonts w:hint="eastAsia"/>
                <w:color w:val="auto"/>
                <w:sz w:val="24"/>
                <w:szCs w:val="24"/>
              </w:rPr>
              <w:t>评标标准</w:t>
            </w:r>
          </w:p>
        </w:tc>
        <w:tc>
          <w:tcPr>
            <w:tcW w:w="1032" w:type="dxa"/>
            <w:vAlign w:val="center"/>
          </w:tcPr>
          <w:p>
            <w:pPr>
              <w:pStyle w:val="135"/>
              <w:spacing w:line="520" w:lineRule="exact"/>
              <w:ind w:left="179" w:right="174"/>
              <w:jc w:val="center"/>
              <w:rPr>
                <w:color w:val="auto"/>
                <w:sz w:val="24"/>
                <w:szCs w:val="24"/>
              </w:rPr>
            </w:pPr>
            <w:r>
              <w:rPr>
                <w:rFonts w:hint="eastAsia"/>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71" w:type="dxa"/>
            <w:vMerge w:val="restart"/>
            <w:vAlign w:val="center"/>
          </w:tcPr>
          <w:p>
            <w:pPr>
              <w:pStyle w:val="135"/>
              <w:spacing w:line="520" w:lineRule="exact"/>
              <w:ind w:right="151"/>
              <w:jc w:val="center"/>
              <w:rPr>
                <w:color w:val="auto"/>
                <w:sz w:val="24"/>
                <w:szCs w:val="24"/>
              </w:rPr>
            </w:pPr>
            <w:r>
              <w:rPr>
                <w:rFonts w:hint="eastAsia"/>
                <w:color w:val="auto"/>
                <w:sz w:val="24"/>
                <w:szCs w:val="24"/>
              </w:rPr>
              <w:t>投标文件的规范程度</w:t>
            </w:r>
          </w:p>
        </w:tc>
        <w:tc>
          <w:tcPr>
            <w:tcW w:w="6777" w:type="dxa"/>
            <w:gridSpan w:val="3"/>
            <w:vAlign w:val="center"/>
          </w:tcPr>
          <w:p>
            <w:pPr>
              <w:pStyle w:val="135"/>
              <w:spacing w:line="520" w:lineRule="exact"/>
              <w:ind w:left="104"/>
              <w:rPr>
                <w:color w:val="auto"/>
                <w:sz w:val="24"/>
                <w:szCs w:val="24"/>
              </w:rPr>
            </w:pPr>
            <w:r>
              <w:rPr>
                <w:rFonts w:hint="eastAsia"/>
                <w:color w:val="auto"/>
                <w:spacing w:val="-10"/>
                <w:sz w:val="24"/>
                <w:szCs w:val="24"/>
              </w:rPr>
              <w:t xml:space="preserve">1、投标文件的编制符合招标文件的规定，装订整齐规范的，得 </w:t>
            </w:r>
            <w:r>
              <w:rPr>
                <w:rFonts w:hint="eastAsia"/>
                <w:color w:val="auto"/>
                <w:spacing w:val="-10"/>
                <w:sz w:val="24"/>
                <w:szCs w:val="24"/>
                <w:lang w:val="en-US"/>
              </w:rPr>
              <w:t>1</w:t>
            </w:r>
            <w:r>
              <w:rPr>
                <w:rFonts w:hint="eastAsia"/>
                <w:color w:val="auto"/>
                <w:spacing w:val="-10"/>
                <w:sz w:val="24"/>
                <w:szCs w:val="24"/>
              </w:rPr>
              <w:t>分</w:t>
            </w:r>
            <w:r>
              <w:rPr>
                <w:rFonts w:hint="eastAsia"/>
                <w:color w:val="auto"/>
                <w:sz w:val="24"/>
                <w:szCs w:val="24"/>
              </w:rPr>
              <w:t>。</w:t>
            </w:r>
          </w:p>
        </w:tc>
        <w:tc>
          <w:tcPr>
            <w:tcW w:w="1032" w:type="dxa"/>
            <w:vMerge w:val="restart"/>
            <w:vAlign w:val="center"/>
          </w:tcPr>
          <w:p>
            <w:pPr>
              <w:pStyle w:val="135"/>
              <w:spacing w:line="520" w:lineRule="exact"/>
              <w:jc w:val="center"/>
              <w:rPr>
                <w:color w:val="auto"/>
                <w:sz w:val="24"/>
                <w:szCs w:val="24"/>
              </w:rPr>
            </w:pPr>
            <w:r>
              <w:rPr>
                <w:rFonts w:hint="eastAsia"/>
                <w:color w:val="auto"/>
                <w:sz w:val="24"/>
                <w:szCs w:val="24"/>
                <w:lang w:val="en-US"/>
              </w:rPr>
              <w:t>2</w:t>
            </w:r>
            <w:r>
              <w:rPr>
                <w:rFonts w:hint="eastAsia"/>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71" w:type="dxa"/>
            <w:vMerge w:val="continue"/>
            <w:tcBorders>
              <w:top w:val="nil"/>
            </w:tcBorders>
            <w:vAlign w:val="center"/>
          </w:tcPr>
          <w:p>
            <w:pPr>
              <w:spacing w:line="520" w:lineRule="exact"/>
              <w:rPr>
                <w:rFonts w:ascii="宋体" w:hAnsi="宋体" w:cs="宋体"/>
                <w:color w:val="auto"/>
                <w:sz w:val="24"/>
                <w:szCs w:val="24"/>
              </w:rPr>
            </w:pPr>
          </w:p>
        </w:tc>
        <w:tc>
          <w:tcPr>
            <w:tcW w:w="6777" w:type="dxa"/>
            <w:gridSpan w:val="3"/>
            <w:vAlign w:val="center"/>
          </w:tcPr>
          <w:p>
            <w:pPr>
              <w:pStyle w:val="135"/>
              <w:spacing w:line="520" w:lineRule="exact"/>
              <w:ind w:left="104"/>
              <w:rPr>
                <w:color w:val="auto"/>
                <w:sz w:val="24"/>
                <w:szCs w:val="24"/>
              </w:rPr>
            </w:pPr>
            <w:r>
              <w:rPr>
                <w:rFonts w:hint="eastAsia"/>
                <w:color w:val="auto"/>
                <w:sz w:val="24"/>
                <w:szCs w:val="24"/>
              </w:rPr>
              <w:t>2</w:t>
            </w:r>
            <w:r>
              <w:rPr>
                <w:rFonts w:hint="eastAsia"/>
                <w:color w:val="auto"/>
                <w:spacing w:val="-10"/>
                <w:sz w:val="24"/>
                <w:szCs w:val="24"/>
              </w:rPr>
              <w:t>、投标人编制投标文件逻辑严紧、描述规范、无文字错误</w:t>
            </w:r>
            <w:r>
              <w:rPr>
                <w:rFonts w:hint="eastAsia"/>
                <w:color w:val="auto"/>
                <w:sz w:val="24"/>
                <w:szCs w:val="24"/>
              </w:rPr>
              <w:t>的，得</w:t>
            </w:r>
            <w:r>
              <w:rPr>
                <w:rFonts w:hint="eastAsia"/>
                <w:color w:val="auto"/>
                <w:sz w:val="24"/>
                <w:szCs w:val="24"/>
                <w:lang w:val="en-US"/>
              </w:rPr>
              <w:t>1</w:t>
            </w:r>
            <w:r>
              <w:rPr>
                <w:rFonts w:hint="eastAsia"/>
                <w:color w:val="auto"/>
                <w:sz w:val="24"/>
                <w:szCs w:val="24"/>
              </w:rPr>
              <w:t>分。</w:t>
            </w:r>
          </w:p>
        </w:tc>
        <w:tc>
          <w:tcPr>
            <w:tcW w:w="1032" w:type="dxa"/>
            <w:vMerge w:val="continue"/>
            <w:tcBorders>
              <w:top w:val="nil"/>
            </w:tcBorders>
            <w:vAlign w:val="center"/>
          </w:tcPr>
          <w:p>
            <w:pPr>
              <w:spacing w:line="520" w:lineRule="exact"/>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1771" w:type="dxa"/>
            <w:vMerge w:val="restart"/>
            <w:vAlign w:val="center"/>
          </w:tcPr>
          <w:p>
            <w:pPr>
              <w:pStyle w:val="135"/>
              <w:spacing w:line="520" w:lineRule="exact"/>
              <w:ind w:left="398" w:right="151" w:hanging="240"/>
              <w:jc w:val="center"/>
              <w:rPr>
                <w:color w:val="auto"/>
                <w:sz w:val="24"/>
                <w:szCs w:val="24"/>
              </w:rPr>
            </w:pPr>
            <w:r>
              <w:rPr>
                <w:rFonts w:hint="eastAsia"/>
                <w:color w:val="auto"/>
                <w:sz w:val="24"/>
                <w:szCs w:val="24"/>
              </w:rPr>
              <w:t>技术方案</w:t>
            </w:r>
          </w:p>
        </w:tc>
        <w:tc>
          <w:tcPr>
            <w:tcW w:w="6777" w:type="dxa"/>
            <w:gridSpan w:val="3"/>
          </w:tcPr>
          <w:p>
            <w:pPr>
              <w:pStyle w:val="135"/>
              <w:spacing w:before="141" w:line="333" w:lineRule="auto"/>
              <w:ind w:left="148" w:right="168"/>
              <w:rPr>
                <w:color w:val="auto"/>
                <w:sz w:val="24"/>
                <w:szCs w:val="24"/>
              </w:rPr>
            </w:pPr>
            <w:r>
              <w:rPr>
                <w:color w:val="auto"/>
                <w:sz w:val="24"/>
                <w:szCs w:val="24"/>
              </w:rPr>
              <w:t>1、项目组织机构、项目主要人员岗位职责、人员安排计划及主要仪器设备计划，（0-</w:t>
            </w:r>
            <w:r>
              <w:rPr>
                <w:rFonts w:hint="eastAsia"/>
                <w:color w:val="auto"/>
                <w:sz w:val="24"/>
                <w:szCs w:val="24"/>
                <w:lang w:val="en-US"/>
              </w:rPr>
              <w:t>6</w:t>
            </w:r>
            <w:r>
              <w:rPr>
                <w:color w:val="auto"/>
                <w:sz w:val="24"/>
                <w:szCs w:val="24"/>
              </w:rPr>
              <w:t>分）。优得</w:t>
            </w:r>
            <w:r>
              <w:rPr>
                <w:rFonts w:hint="eastAsia"/>
                <w:color w:val="auto"/>
                <w:sz w:val="24"/>
                <w:szCs w:val="24"/>
                <w:lang w:val="en-US"/>
              </w:rPr>
              <w:t>5</w:t>
            </w:r>
            <w:r>
              <w:rPr>
                <w:color w:val="auto"/>
                <w:sz w:val="24"/>
                <w:szCs w:val="24"/>
              </w:rPr>
              <w:t>-</w:t>
            </w:r>
            <w:r>
              <w:rPr>
                <w:rFonts w:hint="eastAsia"/>
                <w:color w:val="auto"/>
                <w:sz w:val="24"/>
                <w:szCs w:val="24"/>
                <w:lang w:val="en-US"/>
              </w:rPr>
              <w:t>6</w:t>
            </w:r>
            <w:r>
              <w:rPr>
                <w:color w:val="auto"/>
                <w:sz w:val="24"/>
                <w:szCs w:val="24"/>
              </w:rPr>
              <w:t>分，良得</w:t>
            </w:r>
            <w:r>
              <w:rPr>
                <w:rFonts w:hint="eastAsia"/>
                <w:color w:val="auto"/>
                <w:sz w:val="24"/>
                <w:szCs w:val="24"/>
                <w:lang w:val="en-US"/>
              </w:rPr>
              <w:t>3</w:t>
            </w:r>
            <w:r>
              <w:rPr>
                <w:color w:val="auto"/>
                <w:sz w:val="24"/>
                <w:szCs w:val="24"/>
              </w:rPr>
              <w:t>-</w:t>
            </w:r>
            <w:r>
              <w:rPr>
                <w:rFonts w:hint="eastAsia"/>
                <w:color w:val="auto"/>
                <w:sz w:val="24"/>
                <w:szCs w:val="24"/>
                <w:lang w:val="en-US"/>
              </w:rPr>
              <w:t>4</w:t>
            </w:r>
            <w:r>
              <w:rPr>
                <w:color w:val="auto"/>
                <w:sz w:val="24"/>
                <w:szCs w:val="24"/>
              </w:rPr>
              <w:t>分，差得0-</w:t>
            </w:r>
            <w:r>
              <w:rPr>
                <w:rFonts w:hint="eastAsia"/>
                <w:color w:val="auto"/>
                <w:sz w:val="24"/>
                <w:szCs w:val="24"/>
                <w:lang w:val="en-US"/>
              </w:rPr>
              <w:t>2</w:t>
            </w:r>
            <w:r>
              <w:rPr>
                <w:color w:val="auto"/>
                <w:sz w:val="24"/>
                <w:szCs w:val="24"/>
              </w:rPr>
              <w:t>分，差、没有的不得分。</w:t>
            </w:r>
          </w:p>
        </w:tc>
        <w:tc>
          <w:tcPr>
            <w:tcW w:w="1032" w:type="dxa"/>
            <w:vMerge w:val="restart"/>
            <w:vAlign w:val="center"/>
          </w:tcPr>
          <w:p>
            <w:pPr>
              <w:pStyle w:val="135"/>
              <w:spacing w:line="520" w:lineRule="exact"/>
              <w:jc w:val="center"/>
              <w:rPr>
                <w:color w:val="auto"/>
                <w:sz w:val="24"/>
                <w:szCs w:val="24"/>
              </w:rPr>
            </w:pPr>
            <w:r>
              <w:rPr>
                <w:rFonts w:hint="eastAsia"/>
                <w:color w:val="auto"/>
                <w:sz w:val="24"/>
                <w:szCs w:val="24"/>
                <w:lang w:val="en-US"/>
              </w:rPr>
              <w:t>28</w:t>
            </w:r>
            <w:r>
              <w:rPr>
                <w:rFonts w:hint="eastAsia"/>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771" w:type="dxa"/>
            <w:vMerge w:val="continue"/>
            <w:vAlign w:val="center"/>
          </w:tcPr>
          <w:p>
            <w:pPr>
              <w:spacing w:line="520" w:lineRule="exact"/>
              <w:rPr>
                <w:rFonts w:ascii="宋体" w:hAnsi="宋体" w:cs="宋体"/>
                <w:color w:val="auto"/>
                <w:sz w:val="24"/>
                <w:szCs w:val="24"/>
              </w:rPr>
            </w:pPr>
          </w:p>
        </w:tc>
        <w:tc>
          <w:tcPr>
            <w:tcW w:w="6777" w:type="dxa"/>
            <w:gridSpan w:val="3"/>
          </w:tcPr>
          <w:p>
            <w:pPr>
              <w:pStyle w:val="135"/>
              <w:spacing w:before="64"/>
              <w:ind w:left="148"/>
              <w:rPr>
                <w:color w:val="auto"/>
                <w:sz w:val="24"/>
                <w:szCs w:val="24"/>
              </w:rPr>
            </w:pPr>
            <w:r>
              <w:rPr>
                <w:color w:val="auto"/>
                <w:sz w:val="24"/>
                <w:szCs w:val="24"/>
              </w:rPr>
              <w:t>2、项目实施工作安排计划、确保项目质量的技术和组织措施、确保项目工期</w:t>
            </w:r>
          </w:p>
          <w:p>
            <w:pPr>
              <w:pStyle w:val="135"/>
              <w:spacing w:line="400" w:lineRule="atLeast"/>
              <w:ind w:left="148" w:right="168"/>
              <w:rPr>
                <w:color w:val="auto"/>
                <w:sz w:val="24"/>
                <w:szCs w:val="24"/>
              </w:rPr>
            </w:pPr>
            <w:r>
              <w:rPr>
                <w:color w:val="auto"/>
                <w:sz w:val="24"/>
                <w:szCs w:val="24"/>
              </w:rPr>
              <w:t>的技术和组织措施，（0-6分）。优得</w:t>
            </w:r>
            <w:r>
              <w:rPr>
                <w:rFonts w:hint="eastAsia"/>
                <w:color w:val="auto"/>
                <w:sz w:val="24"/>
                <w:szCs w:val="24"/>
                <w:lang w:val="en-US"/>
              </w:rPr>
              <w:t>5</w:t>
            </w:r>
            <w:r>
              <w:rPr>
                <w:color w:val="auto"/>
                <w:sz w:val="24"/>
                <w:szCs w:val="24"/>
              </w:rPr>
              <w:t>-</w:t>
            </w:r>
            <w:r>
              <w:rPr>
                <w:rFonts w:hint="eastAsia"/>
                <w:color w:val="auto"/>
                <w:sz w:val="24"/>
                <w:szCs w:val="24"/>
                <w:lang w:val="en-US"/>
              </w:rPr>
              <w:t>6</w:t>
            </w:r>
            <w:r>
              <w:rPr>
                <w:color w:val="auto"/>
                <w:sz w:val="24"/>
                <w:szCs w:val="24"/>
              </w:rPr>
              <w:t>分，良得</w:t>
            </w:r>
            <w:r>
              <w:rPr>
                <w:rFonts w:hint="eastAsia"/>
                <w:color w:val="auto"/>
                <w:sz w:val="24"/>
                <w:szCs w:val="24"/>
                <w:lang w:val="en-US"/>
              </w:rPr>
              <w:t>3</w:t>
            </w:r>
            <w:r>
              <w:rPr>
                <w:color w:val="auto"/>
                <w:sz w:val="24"/>
                <w:szCs w:val="24"/>
              </w:rPr>
              <w:t>-</w:t>
            </w:r>
            <w:r>
              <w:rPr>
                <w:rFonts w:hint="eastAsia"/>
                <w:color w:val="auto"/>
                <w:sz w:val="24"/>
                <w:szCs w:val="24"/>
                <w:lang w:val="en-US"/>
              </w:rPr>
              <w:t>4</w:t>
            </w:r>
            <w:r>
              <w:rPr>
                <w:color w:val="auto"/>
                <w:sz w:val="24"/>
                <w:szCs w:val="24"/>
              </w:rPr>
              <w:t>分，差得0-</w:t>
            </w:r>
            <w:r>
              <w:rPr>
                <w:rFonts w:hint="eastAsia"/>
                <w:color w:val="auto"/>
                <w:sz w:val="24"/>
                <w:szCs w:val="24"/>
                <w:lang w:val="en-US"/>
              </w:rPr>
              <w:t>2</w:t>
            </w:r>
            <w:r>
              <w:rPr>
                <w:color w:val="auto"/>
                <w:sz w:val="24"/>
                <w:szCs w:val="24"/>
              </w:rPr>
              <w:t>分，差、没有的不得分。</w:t>
            </w:r>
          </w:p>
        </w:tc>
        <w:tc>
          <w:tcPr>
            <w:tcW w:w="1032" w:type="dxa"/>
            <w:vMerge w:val="continue"/>
            <w:vAlign w:val="center"/>
          </w:tcPr>
          <w:p>
            <w:pPr>
              <w:spacing w:line="520" w:lineRule="exact"/>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1771" w:type="dxa"/>
            <w:vMerge w:val="continue"/>
            <w:vAlign w:val="center"/>
          </w:tcPr>
          <w:p>
            <w:pPr>
              <w:spacing w:line="520" w:lineRule="exact"/>
              <w:rPr>
                <w:rFonts w:ascii="宋体" w:hAnsi="宋体" w:cs="宋体"/>
                <w:color w:val="auto"/>
                <w:sz w:val="24"/>
                <w:szCs w:val="24"/>
              </w:rPr>
            </w:pPr>
          </w:p>
        </w:tc>
        <w:tc>
          <w:tcPr>
            <w:tcW w:w="6777" w:type="dxa"/>
            <w:gridSpan w:val="3"/>
          </w:tcPr>
          <w:p>
            <w:pPr>
              <w:pStyle w:val="135"/>
              <w:spacing w:before="64"/>
              <w:ind w:left="148"/>
              <w:rPr>
                <w:color w:val="auto"/>
                <w:sz w:val="24"/>
                <w:szCs w:val="24"/>
              </w:rPr>
            </w:pPr>
            <w:r>
              <w:rPr>
                <w:color w:val="auto"/>
                <w:sz w:val="24"/>
                <w:szCs w:val="24"/>
              </w:rPr>
              <w:t>3、确保安全及文明施工的技术和组织措施、项目实施技术措施、项目实施难</w:t>
            </w:r>
          </w:p>
          <w:p>
            <w:pPr>
              <w:pStyle w:val="135"/>
              <w:spacing w:line="400" w:lineRule="atLeast"/>
              <w:ind w:left="148" w:right="168"/>
              <w:rPr>
                <w:color w:val="auto"/>
                <w:sz w:val="24"/>
                <w:szCs w:val="24"/>
              </w:rPr>
            </w:pPr>
            <w:r>
              <w:rPr>
                <w:color w:val="auto"/>
                <w:sz w:val="24"/>
                <w:szCs w:val="24"/>
              </w:rPr>
              <w:t>点及关键过程分析，（0-6分）。优得</w:t>
            </w:r>
            <w:r>
              <w:rPr>
                <w:rFonts w:hint="eastAsia"/>
                <w:color w:val="auto"/>
                <w:sz w:val="24"/>
                <w:szCs w:val="24"/>
                <w:lang w:val="en-US"/>
              </w:rPr>
              <w:t>5</w:t>
            </w:r>
            <w:r>
              <w:rPr>
                <w:color w:val="auto"/>
                <w:sz w:val="24"/>
                <w:szCs w:val="24"/>
              </w:rPr>
              <w:t>-</w:t>
            </w:r>
            <w:r>
              <w:rPr>
                <w:rFonts w:hint="eastAsia"/>
                <w:color w:val="auto"/>
                <w:sz w:val="24"/>
                <w:szCs w:val="24"/>
                <w:lang w:val="en-US"/>
              </w:rPr>
              <w:t>6</w:t>
            </w:r>
            <w:r>
              <w:rPr>
                <w:color w:val="auto"/>
                <w:sz w:val="24"/>
                <w:szCs w:val="24"/>
              </w:rPr>
              <w:t>分，良得</w:t>
            </w:r>
            <w:r>
              <w:rPr>
                <w:rFonts w:hint="eastAsia"/>
                <w:color w:val="auto"/>
                <w:sz w:val="24"/>
                <w:szCs w:val="24"/>
                <w:lang w:val="en-US"/>
              </w:rPr>
              <w:t>3</w:t>
            </w:r>
            <w:r>
              <w:rPr>
                <w:color w:val="auto"/>
                <w:sz w:val="24"/>
                <w:szCs w:val="24"/>
              </w:rPr>
              <w:t>-</w:t>
            </w:r>
            <w:r>
              <w:rPr>
                <w:rFonts w:hint="eastAsia"/>
                <w:color w:val="auto"/>
                <w:sz w:val="24"/>
                <w:szCs w:val="24"/>
                <w:lang w:val="en-US"/>
              </w:rPr>
              <w:t>4</w:t>
            </w:r>
            <w:r>
              <w:rPr>
                <w:color w:val="auto"/>
                <w:sz w:val="24"/>
                <w:szCs w:val="24"/>
              </w:rPr>
              <w:t>分，差得0-</w:t>
            </w:r>
            <w:r>
              <w:rPr>
                <w:rFonts w:hint="eastAsia"/>
                <w:color w:val="auto"/>
                <w:sz w:val="24"/>
                <w:szCs w:val="24"/>
                <w:lang w:val="en-US"/>
              </w:rPr>
              <w:t>2</w:t>
            </w:r>
            <w:r>
              <w:rPr>
                <w:color w:val="auto"/>
                <w:sz w:val="24"/>
                <w:szCs w:val="24"/>
              </w:rPr>
              <w:t>分</w:t>
            </w:r>
            <w:r>
              <w:rPr>
                <w:rFonts w:hint="eastAsia"/>
                <w:color w:val="auto"/>
                <w:sz w:val="24"/>
                <w:szCs w:val="24"/>
              </w:rPr>
              <w:t>，</w:t>
            </w:r>
            <w:r>
              <w:rPr>
                <w:color w:val="auto"/>
                <w:sz w:val="24"/>
                <w:szCs w:val="24"/>
              </w:rPr>
              <w:t>差、没有的不得分。</w:t>
            </w:r>
          </w:p>
        </w:tc>
        <w:tc>
          <w:tcPr>
            <w:tcW w:w="1032" w:type="dxa"/>
            <w:vMerge w:val="continue"/>
            <w:vAlign w:val="center"/>
          </w:tcPr>
          <w:p>
            <w:pPr>
              <w:spacing w:line="520" w:lineRule="exact"/>
              <w:rPr>
                <w:rFonts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1771" w:type="dxa"/>
            <w:vMerge w:val="continue"/>
            <w:vAlign w:val="center"/>
          </w:tcPr>
          <w:p>
            <w:pPr>
              <w:pStyle w:val="135"/>
              <w:spacing w:line="520" w:lineRule="exact"/>
              <w:rPr>
                <w:color w:val="auto"/>
                <w:sz w:val="24"/>
                <w:szCs w:val="24"/>
              </w:rPr>
            </w:pPr>
          </w:p>
        </w:tc>
        <w:tc>
          <w:tcPr>
            <w:tcW w:w="6777" w:type="dxa"/>
            <w:gridSpan w:val="3"/>
          </w:tcPr>
          <w:p>
            <w:pPr>
              <w:pStyle w:val="135"/>
              <w:spacing w:line="400" w:lineRule="exact"/>
              <w:ind w:left="148" w:right="168"/>
              <w:rPr>
                <w:color w:val="auto"/>
                <w:sz w:val="24"/>
                <w:szCs w:val="24"/>
              </w:rPr>
            </w:pPr>
            <w:r>
              <w:rPr>
                <w:color w:val="auto"/>
                <w:sz w:val="24"/>
                <w:szCs w:val="24"/>
              </w:rPr>
              <w:t>4、项目成果管理及保证措施、降低成本、缩短工期、提高质量的建议和措施的可行性，（0-</w:t>
            </w:r>
            <w:r>
              <w:rPr>
                <w:rFonts w:hint="eastAsia"/>
                <w:color w:val="auto"/>
                <w:sz w:val="24"/>
                <w:szCs w:val="24"/>
                <w:lang w:val="en-US"/>
              </w:rPr>
              <w:t>5</w:t>
            </w:r>
            <w:r>
              <w:rPr>
                <w:color w:val="auto"/>
                <w:sz w:val="24"/>
                <w:szCs w:val="24"/>
              </w:rPr>
              <w:t>分）。优得4-5分，良得2-3分，差得0-1 分，差、没有的不得分</w:t>
            </w:r>
          </w:p>
        </w:tc>
        <w:tc>
          <w:tcPr>
            <w:tcW w:w="1032" w:type="dxa"/>
            <w:vMerge w:val="continue"/>
            <w:vAlign w:val="center"/>
          </w:tcPr>
          <w:p>
            <w:pPr>
              <w:pStyle w:val="135"/>
              <w:spacing w:line="520" w:lineRule="exact"/>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771" w:type="dxa"/>
            <w:vMerge w:val="continue"/>
            <w:vAlign w:val="center"/>
          </w:tcPr>
          <w:p>
            <w:pPr>
              <w:spacing w:line="520" w:lineRule="exact"/>
              <w:rPr>
                <w:rFonts w:ascii="宋体" w:hAnsi="宋体" w:cs="宋体"/>
                <w:color w:val="auto"/>
                <w:sz w:val="24"/>
                <w:szCs w:val="24"/>
              </w:rPr>
            </w:pPr>
          </w:p>
        </w:tc>
        <w:tc>
          <w:tcPr>
            <w:tcW w:w="6777" w:type="dxa"/>
            <w:gridSpan w:val="3"/>
          </w:tcPr>
          <w:p>
            <w:pPr>
              <w:pStyle w:val="135"/>
              <w:spacing w:before="60" w:line="333" w:lineRule="auto"/>
              <w:ind w:left="148" w:right="168"/>
              <w:rPr>
                <w:color w:val="auto"/>
                <w:sz w:val="24"/>
                <w:szCs w:val="24"/>
              </w:rPr>
            </w:pPr>
            <w:r>
              <w:rPr>
                <w:rFonts w:hint="eastAsia"/>
                <w:color w:val="auto"/>
                <w:sz w:val="24"/>
                <w:szCs w:val="24"/>
                <w:lang w:val="en-US"/>
              </w:rPr>
              <w:t>5、</w:t>
            </w:r>
            <w:r>
              <w:rPr>
                <w:color w:val="auto"/>
                <w:sz w:val="24"/>
                <w:szCs w:val="24"/>
              </w:rPr>
              <w:t>根据供应商对拟派项目人员、质量、售后等服务承诺酌情评分。（0-5分）优得4-5分，良得2-3分，差得0-1,差、没有的不得分。</w:t>
            </w:r>
          </w:p>
        </w:tc>
        <w:tc>
          <w:tcPr>
            <w:tcW w:w="1032" w:type="dxa"/>
            <w:vMerge w:val="continue"/>
            <w:vAlign w:val="center"/>
          </w:tcPr>
          <w:p>
            <w:pPr>
              <w:spacing w:line="520" w:lineRule="exact"/>
              <w:rPr>
                <w:rFonts w:ascii="宋体" w:hAnsi="宋体" w:cs="宋体"/>
                <w:color w:val="auto"/>
                <w:sz w:val="24"/>
                <w:szCs w:val="24"/>
              </w:rPr>
            </w:pPr>
          </w:p>
        </w:tc>
      </w:tr>
    </w:tbl>
    <w:p>
      <w:pPr>
        <w:rPr>
          <w:rFonts w:hint="eastAsia" w:ascii="宋体" w:hAnsi="宋体" w:cs="宋体"/>
          <w:b/>
          <w:color w:val="auto"/>
          <w:szCs w:val="21"/>
          <w:lang w:val="zh-CN"/>
        </w:rPr>
      </w:pPr>
      <w:r>
        <w:rPr>
          <w:rFonts w:hint="eastAsia" w:ascii="宋体" w:hAnsi="宋体" w:cs="宋体"/>
          <w:b/>
          <w:color w:val="auto"/>
          <w:szCs w:val="21"/>
          <w:lang w:val="zh-CN"/>
        </w:rPr>
        <w:t>注：评标标准中所涉及到的证书及材料，均应在电子投标文件中提供原件扫描件（或图片）。</w:t>
      </w:r>
    </w:p>
    <w:p>
      <w:pPr>
        <w:pStyle w:val="2"/>
        <w:ind w:firstLine="210"/>
        <w:rPr>
          <w:color w:val="auto"/>
          <w:lang w:val="zh-CN"/>
        </w:rPr>
      </w:pP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2823" w:type="dxa"/>
            <w:tcBorders>
              <w:left w:val="nil"/>
            </w:tcBorders>
            <w:vAlign w:val="center"/>
          </w:tcPr>
          <w:p>
            <w:pPr>
              <w:jc w:val="center"/>
              <w:rPr>
                <w:rFonts w:ascii="宋体" w:hAnsi="宋体" w:cs="宋体"/>
                <w:b/>
                <w:bCs/>
                <w:color w:val="auto"/>
                <w:sz w:val="24"/>
                <w:szCs w:val="24"/>
              </w:rPr>
            </w:pPr>
            <w:r>
              <w:rPr>
                <w:rFonts w:hint="eastAsia" w:ascii="宋体" w:hAnsi="宋体" w:cs="宋体"/>
                <w:b/>
                <w:bCs/>
                <w:color w:val="auto"/>
                <w:sz w:val="24"/>
                <w:szCs w:val="24"/>
              </w:rPr>
              <w:t>情形</w:t>
            </w:r>
          </w:p>
        </w:tc>
        <w:tc>
          <w:tcPr>
            <w:tcW w:w="2552" w:type="dxa"/>
            <w:tcBorders>
              <w:left w:val="nil"/>
            </w:tcBorders>
            <w:vAlign w:val="center"/>
          </w:tcPr>
          <w:p>
            <w:pPr>
              <w:jc w:val="center"/>
              <w:rPr>
                <w:rFonts w:ascii="宋体" w:hAnsi="宋体" w:cs="宋体"/>
                <w:b/>
                <w:bCs/>
                <w:color w:val="auto"/>
                <w:sz w:val="24"/>
                <w:szCs w:val="24"/>
              </w:rPr>
            </w:pPr>
            <w:r>
              <w:rPr>
                <w:rFonts w:hint="eastAsia" w:ascii="宋体" w:hAnsi="宋体" w:cs="宋体"/>
                <w:b/>
                <w:bCs/>
                <w:color w:val="auto"/>
                <w:sz w:val="24"/>
                <w:szCs w:val="24"/>
              </w:rPr>
              <w:t>价格扣除比例</w:t>
            </w:r>
          </w:p>
        </w:tc>
        <w:tc>
          <w:tcPr>
            <w:tcW w:w="2835" w:type="dxa"/>
            <w:tcBorders>
              <w:left w:val="nil"/>
            </w:tcBorders>
            <w:vAlign w:val="center"/>
          </w:tcPr>
          <w:p>
            <w:pPr>
              <w:jc w:val="center"/>
              <w:rPr>
                <w:rFonts w:ascii="宋体" w:hAnsi="宋体" w:cs="宋体"/>
                <w:b/>
                <w:bCs/>
                <w:color w:val="auto"/>
                <w:sz w:val="24"/>
                <w:szCs w:val="24"/>
              </w:rPr>
            </w:pPr>
            <w:r>
              <w:rPr>
                <w:rFonts w:hint="eastAsia" w:ascii="宋体" w:hAnsi="宋体" w:cs="宋体"/>
                <w:b/>
                <w:bCs/>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21"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1</w:t>
            </w:r>
          </w:p>
        </w:tc>
        <w:tc>
          <w:tcPr>
            <w:tcW w:w="2823" w:type="dxa"/>
            <w:tcBorders>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非联合体投标人</w:t>
            </w:r>
          </w:p>
          <w:p>
            <w:pPr>
              <w:jc w:val="center"/>
              <w:rPr>
                <w:rFonts w:ascii="宋体" w:hAnsi="宋体" w:cs="宋体"/>
                <w:b/>
                <w:bCs/>
                <w:color w:val="auto"/>
                <w:sz w:val="24"/>
                <w:szCs w:val="24"/>
              </w:rPr>
            </w:pPr>
            <w:r>
              <w:rPr>
                <w:rFonts w:hint="eastAsia" w:ascii="宋体" w:hAnsi="宋体" w:cs="宋体"/>
                <w:color w:val="auto"/>
                <w:sz w:val="24"/>
                <w:szCs w:val="24"/>
              </w:rPr>
              <w:t>（投标人须为中小企业）</w:t>
            </w:r>
          </w:p>
        </w:tc>
        <w:tc>
          <w:tcPr>
            <w:tcW w:w="2552" w:type="dxa"/>
            <w:tcBorders>
              <w:left w:val="nil"/>
            </w:tcBorders>
            <w:vAlign w:val="center"/>
          </w:tcPr>
          <w:p>
            <w:pPr>
              <w:jc w:val="center"/>
              <w:rPr>
                <w:rFonts w:ascii="宋体" w:hAnsi="宋体" w:cs="宋体"/>
                <w:b/>
                <w:bCs/>
                <w:color w:val="auto"/>
                <w:sz w:val="24"/>
                <w:szCs w:val="24"/>
              </w:rPr>
            </w:pPr>
            <w:r>
              <w:rPr>
                <w:rFonts w:hint="eastAsia" w:ascii="宋体" w:hAnsi="宋体" w:cs="宋体"/>
                <w:color w:val="auto"/>
                <w:sz w:val="24"/>
                <w:szCs w:val="24"/>
              </w:rPr>
              <w:t>对小型和微型企业产品的价格扣除</w:t>
            </w:r>
            <w:r>
              <w:rPr>
                <w:rFonts w:hint="eastAsia" w:ascii="宋体" w:hAnsi="宋体" w:cs="宋体"/>
                <w:color w:val="auto"/>
                <w:sz w:val="24"/>
                <w:szCs w:val="24"/>
                <w:u w:val="single"/>
              </w:rPr>
              <w:t>6</w:t>
            </w:r>
            <w:r>
              <w:rPr>
                <w:rFonts w:hint="eastAsia" w:ascii="宋体" w:hAnsi="宋体" w:cs="宋体"/>
                <w:color w:val="auto"/>
                <w:sz w:val="24"/>
                <w:szCs w:val="24"/>
              </w:rPr>
              <w:t>%</w:t>
            </w:r>
          </w:p>
        </w:tc>
        <w:tc>
          <w:tcPr>
            <w:tcW w:w="2835" w:type="dxa"/>
            <w:vMerge w:val="restart"/>
            <w:tcBorders>
              <w:top w:val="nil"/>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评标价格＝投标报价—小型和微型企业产品的价格×6%</w:t>
            </w:r>
          </w:p>
          <w:p>
            <w:pPr>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21"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2</w:t>
            </w:r>
          </w:p>
        </w:tc>
        <w:tc>
          <w:tcPr>
            <w:tcW w:w="2823" w:type="dxa"/>
            <w:tcBorders>
              <w:left w:val="nil"/>
            </w:tcBorders>
            <w:vAlign w:val="center"/>
          </w:tcPr>
          <w:p>
            <w:pPr>
              <w:jc w:val="center"/>
              <w:rPr>
                <w:rFonts w:ascii="宋体" w:hAnsi="宋体" w:cs="宋体"/>
                <w:b/>
                <w:bCs/>
                <w:color w:val="auto"/>
                <w:sz w:val="24"/>
                <w:szCs w:val="24"/>
              </w:rPr>
            </w:pPr>
            <w:r>
              <w:rPr>
                <w:rFonts w:hint="eastAsia" w:ascii="宋体" w:hAnsi="宋体" w:cs="宋体"/>
                <w:color w:val="auto"/>
                <w:sz w:val="24"/>
                <w:szCs w:val="24"/>
              </w:rPr>
              <w:t>联合体各方均为小型、微型企业</w:t>
            </w:r>
          </w:p>
        </w:tc>
        <w:tc>
          <w:tcPr>
            <w:tcW w:w="2552" w:type="dxa"/>
            <w:tcBorders>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对小型和微型企业产品的价格扣除</w:t>
            </w:r>
            <w:r>
              <w:rPr>
                <w:rFonts w:hint="eastAsia" w:ascii="宋体" w:hAnsi="宋体" w:cs="宋体"/>
                <w:color w:val="auto"/>
                <w:sz w:val="24"/>
                <w:szCs w:val="24"/>
                <w:u w:val="single"/>
              </w:rPr>
              <w:t>6</w:t>
            </w:r>
            <w:r>
              <w:rPr>
                <w:rFonts w:hint="eastAsia" w:ascii="宋体" w:hAnsi="宋体" w:cs="宋体"/>
                <w:color w:val="auto"/>
                <w:sz w:val="24"/>
                <w:szCs w:val="24"/>
              </w:rPr>
              <w:t>%</w:t>
            </w:r>
          </w:p>
          <w:p>
            <w:pPr>
              <w:jc w:val="center"/>
              <w:rPr>
                <w:rFonts w:ascii="宋体" w:hAnsi="宋体" w:cs="宋体"/>
                <w:b/>
                <w:bCs/>
                <w:color w:val="auto"/>
                <w:sz w:val="24"/>
                <w:szCs w:val="24"/>
              </w:rPr>
            </w:pPr>
            <w:r>
              <w:rPr>
                <w:rFonts w:hint="eastAsia" w:ascii="宋体" w:hAnsi="宋体" w:cs="宋体"/>
                <w:color w:val="auto"/>
                <w:sz w:val="24"/>
                <w:szCs w:val="24"/>
              </w:rPr>
              <w:t>（不再享受序号3的价格折扣）</w:t>
            </w:r>
          </w:p>
        </w:tc>
        <w:tc>
          <w:tcPr>
            <w:tcW w:w="2835" w:type="dxa"/>
            <w:vMerge w:val="continue"/>
            <w:tcBorders>
              <w:top w:val="nil"/>
              <w:left w:val="nil"/>
            </w:tcBorders>
            <w:vAlign w:val="center"/>
          </w:tcPr>
          <w:p>
            <w:pPr>
              <w:widowControl/>
              <w:jc w:val="left"/>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21"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3</w:t>
            </w:r>
          </w:p>
        </w:tc>
        <w:tc>
          <w:tcPr>
            <w:tcW w:w="2823" w:type="dxa"/>
            <w:tcBorders>
              <w:left w:val="nil"/>
            </w:tcBorders>
            <w:vAlign w:val="center"/>
          </w:tcPr>
          <w:p>
            <w:pPr>
              <w:jc w:val="center"/>
              <w:rPr>
                <w:rFonts w:ascii="宋体" w:hAnsi="宋体" w:cs="宋体"/>
                <w:b/>
                <w:bCs/>
                <w:color w:val="auto"/>
                <w:sz w:val="24"/>
                <w:szCs w:val="24"/>
              </w:rPr>
            </w:pPr>
            <w:r>
              <w:rPr>
                <w:rFonts w:hint="eastAsia" w:ascii="宋体" w:hAnsi="宋体" w:cs="宋体"/>
                <w:color w:val="auto"/>
                <w:sz w:val="24"/>
                <w:szCs w:val="24"/>
              </w:rPr>
              <w:t>联合体一方为小型、微型企业且小型、微型企业协议合同金额占联合体协议合同总金额30%以上的</w:t>
            </w:r>
          </w:p>
        </w:tc>
        <w:tc>
          <w:tcPr>
            <w:tcW w:w="2552" w:type="dxa"/>
            <w:tcBorders>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对联合体总金额扣除</w:t>
            </w:r>
          </w:p>
          <w:p>
            <w:pPr>
              <w:jc w:val="center"/>
              <w:rPr>
                <w:rFonts w:ascii="宋体" w:hAnsi="宋体" w:cs="宋体"/>
                <w:b/>
                <w:bCs/>
                <w:color w:val="auto"/>
                <w:sz w:val="24"/>
                <w:szCs w:val="24"/>
              </w:rPr>
            </w:pPr>
            <w:r>
              <w:rPr>
                <w:rFonts w:hint="eastAsia" w:ascii="宋体" w:hAnsi="宋体" w:cs="宋体"/>
                <w:color w:val="auto"/>
                <w:sz w:val="24"/>
                <w:szCs w:val="24"/>
                <w:u w:val="single"/>
              </w:rPr>
              <w:t> 2 </w:t>
            </w:r>
            <w:r>
              <w:rPr>
                <w:rFonts w:hint="eastAsia" w:ascii="宋体" w:hAnsi="宋体" w:cs="宋体"/>
                <w:color w:val="auto"/>
                <w:sz w:val="24"/>
                <w:szCs w:val="24"/>
              </w:rPr>
              <w:t>%</w:t>
            </w:r>
          </w:p>
        </w:tc>
        <w:tc>
          <w:tcPr>
            <w:tcW w:w="2835" w:type="dxa"/>
            <w:tcBorders>
              <w:left w:val="nil"/>
            </w:tcBorders>
            <w:vAlign w:val="center"/>
          </w:tcPr>
          <w:p>
            <w:pPr>
              <w:jc w:val="center"/>
              <w:rPr>
                <w:rFonts w:ascii="宋体" w:hAnsi="宋体" w:cs="宋体"/>
                <w:color w:val="auto"/>
                <w:sz w:val="24"/>
                <w:szCs w:val="24"/>
                <w:u w:val="single"/>
              </w:rPr>
            </w:pPr>
            <w:r>
              <w:rPr>
                <w:rFonts w:hint="eastAsia" w:ascii="宋体" w:hAnsi="宋体" w:cs="宋体"/>
                <w:color w:val="auto"/>
                <w:sz w:val="24"/>
                <w:szCs w:val="24"/>
              </w:rPr>
              <w:t>评标价格＝投标报价×(1-</w:t>
            </w:r>
            <w:r>
              <w:rPr>
                <w:rFonts w:hint="eastAsia" w:ascii="宋体" w:hAnsi="宋体" w:cs="宋体"/>
                <w:color w:val="auto"/>
                <w:sz w:val="24"/>
                <w:szCs w:val="24"/>
                <w:u w:val="single"/>
              </w:rPr>
              <w:t>2%)</w:t>
            </w:r>
          </w:p>
          <w:p>
            <w:pPr>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1"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4</w:t>
            </w:r>
          </w:p>
        </w:tc>
        <w:tc>
          <w:tcPr>
            <w:tcW w:w="2823" w:type="dxa"/>
            <w:tcBorders>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监狱企业</w:t>
            </w:r>
          </w:p>
        </w:tc>
        <w:tc>
          <w:tcPr>
            <w:tcW w:w="2552" w:type="dxa"/>
            <w:tcBorders>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视同小型、微型企业</w:t>
            </w:r>
          </w:p>
          <w:p>
            <w:pPr>
              <w:jc w:val="center"/>
              <w:rPr>
                <w:rFonts w:ascii="宋体" w:hAnsi="宋体" w:cs="宋体"/>
                <w:color w:val="auto"/>
                <w:sz w:val="24"/>
                <w:szCs w:val="24"/>
              </w:rPr>
            </w:pPr>
            <w:r>
              <w:rPr>
                <w:rFonts w:hint="eastAsia" w:ascii="宋体" w:hAnsi="宋体" w:cs="宋体"/>
                <w:color w:val="auto"/>
                <w:sz w:val="24"/>
                <w:szCs w:val="24"/>
              </w:rPr>
              <w:t>对监狱企业产品价格扣除</w:t>
            </w:r>
            <w:r>
              <w:rPr>
                <w:rFonts w:hint="eastAsia" w:ascii="宋体" w:hAnsi="宋体" w:cs="宋体"/>
                <w:color w:val="auto"/>
                <w:sz w:val="24"/>
                <w:szCs w:val="24"/>
                <w:u w:val="single"/>
              </w:rPr>
              <w:t>6</w:t>
            </w:r>
            <w:r>
              <w:rPr>
                <w:rFonts w:hint="eastAsia" w:ascii="宋体" w:hAnsi="宋体" w:cs="宋体"/>
                <w:color w:val="auto"/>
                <w:sz w:val="24"/>
                <w:szCs w:val="24"/>
              </w:rPr>
              <w:t>%</w:t>
            </w:r>
          </w:p>
        </w:tc>
        <w:tc>
          <w:tcPr>
            <w:tcW w:w="2835" w:type="dxa"/>
            <w:tcBorders>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cs="宋体"/>
                <w:b/>
                <w:bCs/>
                <w:color w:val="auto"/>
                <w:sz w:val="24"/>
                <w:szCs w:val="24"/>
              </w:rPr>
            </w:pPr>
            <w:r>
              <w:rPr>
                <w:rFonts w:hint="eastAsia" w:ascii="宋体" w:hAnsi="宋体" w:cs="宋体"/>
                <w:b/>
                <w:bCs/>
                <w:color w:val="auto"/>
                <w:sz w:val="24"/>
                <w:szCs w:val="24"/>
              </w:rPr>
              <w:t>5</w:t>
            </w:r>
          </w:p>
        </w:tc>
        <w:tc>
          <w:tcPr>
            <w:tcW w:w="2823" w:type="dxa"/>
            <w:tcBorders>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残疾人福利性单位</w:t>
            </w:r>
          </w:p>
        </w:tc>
        <w:tc>
          <w:tcPr>
            <w:tcW w:w="2552" w:type="dxa"/>
            <w:tcBorders>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视同小型、微型企业</w:t>
            </w:r>
          </w:p>
          <w:p>
            <w:pPr>
              <w:jc w:val="center"/>
              <w:rPr>
                <w:rFonts w:ascii="宋体" w:hAnsi="宋体" w:cs="宋体"/>
                <w:color w:val="auto"/>
                <w:sz w:val="24"/>
                <w:szCs w:val="24"/>
              </w:rPr>
            </w:pPr>
            <w:r>
              <w:rPr>
                <w:rFonts w:hint="eastAsia" w:ascii="宋体" w:hAnsi="宋体" w:cs="宋体"/>
                <w:color w:val="auto"/>
                <w:sz w:val="24"/>
                <w:szCs w:val="24"/>
              </w:rPr>
              <w:t>对残疾人福利性单位产品价格扣除</w:t>
            </w:r>
            <w:r>
              <w:rPr>
                <w:rFonts w:hint="eastAsia" w:ascii="宋体" w:hAnsi="宋体" w:cs="宋体"/>
                <w:color w:val="auto"/>
                <w:sz w:val="24"/>
                <w:szCs w:val="24"/>
                <w:u w:val="single"/>
              </w:rPr>
              <w:t>6</w:t>
            </w:r>
            <w:r>
              <w:rPr>
                <w:rFonts w:hint="eastAsia" w:ascii="宋体" w:hAnsi="宋体" w:cs="宋体"/>
                <w:color w:val="auto"/>
                <w:sz w:val="24"/>
                <w:szCs w:val="24"/>
              </w:rPr>
              <w:t>%</w:t>
            </w:r>
          </w:p>
        </w:tc>
        <w:tc>
          <w:tcPr>
            <w:tcW w:w="2835" w:type="dxa"/>
            <w:tcBorders>
              <w:left w:val="nil"/>
            </w:tcBorders>
            <w:vAlign w:val="center"/>
          </w:tcPr>
          <w:p>
            <w:pPr>
              <w:jc w:val="center"/>
              <w:rPr>
                <w:rFonts w:ascii="宋体" w:hAnsi="宋体" w:cs="宋体"/>
                <w:color w:val="auto"/>
                <w:sz w:val="24"/>
                <w:szCs w:val="24"/>
              </w:rPr>
            </w:pPr>
            <w:r>
              <w:rPr>
                <w:rFonts w:hint="eastAsia" w:ascii="宋体" w:hAnsi="宋体" w:cs="宋体"/>
                <w:color w:val="auto"/>
                <w:sz w:val="24"/>
                <w:szCs w:val="24"/>
              </w:rPr>
              <w:t>评标价格＝投标报价—残疾人福利性单位产品的价格×6%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931" w:type="dxa"/>
            <w:gridSpan w:val="4"/>
            <w:vAlign w:val="center"/>
          </w:tcPr>
          <w:p>
            <w:pPr>
              <w:widowControl/>
              <w:adjustRightInd w:val="0"/>
              <w:spacing w:line="360" w:lineRule="auto"/>
              <w:ind w:left="-2" w:leftChars="-1" w:firstLine="480" w:firstLineChars="200"/>
              <w:jc w:val="left"/>
              <w:rPr>
                <w:rFonts w:ascii="宋体" w:hAnsi="宋体" w:cs="宋体"/>
                <w:color w:val="auto"/>
                <w:sz w:val="24"/>
                <w:szCs w:val="24"/>
              </w:rPr>
            </w:pPr>
            <w:r>
              <w:rPr>
                <w:rFonts w:hint="eastAsia" w:ascii="宋体" w:hAnsi="宋体" w:cs="宋体"/>
                <w:color w:val="auto"/>
                <w:sz w:val="24"/>
                <w:szCs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宋体"/>
                <w:color w:val="auto"/>
                <w:sz w:val="24"/>
                <w:szCs w:val="24"/>
              </w:rPr>
            </w:pPr>
            <w:r>
              <w:rPr>
                <w:rFonts w:hint="eastAsia" w:ascii="宋体" w:hAnsi="宋体" w:cs="宋体"/>
                <w:color w:val="auto"/>
                <w:sz w:val="24"/>
                <w:szCs w:val="24"/>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hAnsi="宋体" w:cs="宋体"/>
                <w:color w:val="auto"/>
                <w:sz w:val="24"/>
                <w:szCs w:val="24"/>
              </w:rPr>
            </w:pPr>
            <w:r>
              <w:rPr>
                <w:rFonts w:hint="eastAsia" w:ascii="宋体" w:hAnsi="宋体" w:cs="宋体"/>
                <w:color w:val="auto"/>
                <w:sz w:val="24"/>
                <w:szCs w:val="24"/>
              </w:rPr>
              <w:t>评标基准价=评标价格的最低价</w:t>
            </w:r>
          </w:p>
          <w:p>
            <w:pPr>
              <w:adjustRightInd w:val="0"/>
              <w:spacing w:line="360" w:lineRule="auto"/>
              <w:ind w:left="-88" w:leftChars="-42" w:firstLine="513" w:firstLineChars="214"/>
              <w:jc w:val="left"/>
              <w:rPr>
                <w:rFonts w:ascii="宋体" w:hAnsi="宋体" w:cs="宋体"/>
                <w:color w:val="auto"/>
                <w:sz w:val="24"/>
                <w:szCs w:val="24"/>
              </w:rPr>
            </w:pPr>
            <w:r>
              <w:rPr>
                <w:rFonts w:hint="eastAsia" w:ascii="宋体" w:hAnsi="宋体" w:cs="宋体"/>
                <w:color w:val="auto"/>
                <w:sz w:val="24"/>
                <w:szCs w:val="24"/>
              </w:rPr>
              <w:t>其他投标报价得分=（评标基准价/评标价格）×评标标准中价格分值</w:t>
            </w:r>
          </w:p>
        </w:tc>
      </w:tr>
    </w:tbl>
    <w:p>
      <w:pPr>
        <w:spacing w:line="360" w:lineRule="auto"/>
        <w:rPr>
          <w:rFonts w:ascii="宋体" w:hAnsi="宋体" w:cs="宋体"/>
          <w:color w:val="auto"/>
          <w:sz w:val="24"/>
          <w:szCs w:val="24"/>
        </w:rPr>
      </w:pPr>
      <w:r>
        <w:rPr>
          <w:rFonts w:hint="eastAsia" w:ascii="宋体" w:hAnsi="宋体" w:cs="宋体"/>
          <w:color w:val="auto"/>
          <w:sz w:val="24"/>
          <w:szCs w:val="24"/>
        </w:rPr>
        <w:t>备注：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a、不接受联合体投标的项目，本表中第2项、第3项情形不适用。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b、小型和微型企业产品包括货物及其提供的服务与工程。</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d、残疾人福利性单位属于小型、微型企业的，不重复享受政策。</w:t>
      </w:r>
    </w:p>
    <w:p>
      <w:pPr>
        <w:pStyle w:val="136"/>
        <w:spacing w:line="360" w:lineRule="auto"/>
        <w:ind w:firstLine="482" w:firstLineChars="200"/>
        <w:contextualSpacing/>
        <w:rPr>
          <w:rFonts w:ascii="宋体" w:hAnsi="宋体" w:cs="宋体"/>
          <w:color w:val="auto"/>
          <w:szCs w:val="24"/>
          <w:lang w:val="zh-CN"/>
        </w:rPr>
      </w:pPr>
      <w:r>
        <w:rPr>
          <w:rFonts w:hint="eastAsia" w:ascii="宋体" w:hAnsi="宋体" w:cs="宋体"/>
          <w:b/>
          <w:color w:val="auto"/>
          <w:szCs w:val="24"/>
          <w:lang w:val="zh-CN"/>
        </w:rPr>
        <w:t>（3）评标结果汇总完成后，除下列情形外，任何人不得修改评标结果：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1） 分值汇总计算错误的；</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（4）评标委员会争议处理</w:t>
      </w:r>
    </w:p>
    <w:p>
      <w:pPr>
        <w:tabs>
          <w:tab w:val="left" w:pos="1260"/>
        </w:tabs>
        <w:autoSpaceDE w:val="0"/>
        <w:autoSpaceDN w:val="0"/>
        <w:spacing w:line="360" w:lineRule="auto"/>
        <w:ind w:firstLine="480" w:firstLineChars="200"/>
        <w:contextualSpacing/>
        <w:rPr>
          <w:rFonts w:ascii="宋体" w:hAnsi="宋体" w:cs="宋体"/>
          <w:color w:val="auto"/>
          <w:sz w:val="24"/>
          <w:szCs w:val="24"/>
          <w:lang w:val="zh-CN"/>
        </w:rPr>
      </w:pPr>
      <w:r>
        <w:rPr>
          <w:rFonts w:hint="eastAsia" w:ascii="宋体" w:hAnsi="宋体" w:cs="宋体"/>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4、</w:t>
      </w:r>
      <w:r>
        <w:rPr>
          <w:rFonts w:hint="eastAsia" w:ascii="宋体" w:hAnsi="宋体" w:cs="宋体"/>
          <w:b/>
          <w:bCs/>
          <w:color w:val="auto"/>
          <w:sz w:val="24"/>
          <w:szCs w:val="24"/>
        </w:rPr>
        <w:t>确定中标候选人名单，以及根据采购人委托直接确定中标人。</w:t>
      </w:r>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pStyle w:val="21"/>
        <w:spacing w:line="360" w:lineRule="auto"/>
        <w:contextualSpacing/>
        <w:jc w:val="center"/>
        <w:outlineLvl w:val="0"/>
        <w:rPr>
          <w:rFonts w:hAnsi="宋体" w:cs="宋体"/>
          <w:b/>
          <w:color w:val="auto"/>
          <w:kern w:val="0"/>
          <w:sz w:val="36"/>
          <w:szCs w:val="36"/>
        </w:rPr>
      </w:pPr>
      <w:r>
        <w:rPr>
          <w:rFonts w:hint="eastAsia" w:hAnsi="宋体" w:cs="宋体"/>
          <w:b/>
          <w:color w:val="auto"/>
          <w:kern w:val="0"/>
          <w:sz w:val="36"/>
          <w:szCs w:val="36"/>
        </w:rPr>
        <w:t>第七章合同条款及格式</w:t>
      </w:r>
    </w:p>
    <w:p>
      <w:pPr>
        <w:spacing w:line="360" w:lineRule="auto"/>
        <w:jc w:val="center"/>
        <w:rPr>
          <w:rFonts w:ascii="宋体" w:cs="微软雅黑"/>
          <w:b/>
          <w:color w:val="auto"/>
          <w:szCs w:val="21"/>
        </w:rPr>
      </w:pPr>
      <w:r>
        <w:rPr>
          <w:rFonts w:hint="eastAsia" w:ascii="宋体" w:cs="微软雅黑"/>
          <w:b/>
          <w:color w:val="auto"/>
          <w:szCs w:val="21"/>
        </w:rPr>
        <w:t>（此合同仅供参考。以最终采购人与中标人签定的合同条款为准进行公示，</w:t>
      </w:r>
    </w:p>
    <w:p>
      <w:pPr>
        <w:spacing w:line="360" w:lineRule="auto"/>
        <w:jc w:val="center"/>
        <w:rPr>
          <w:rFonts w:ascii="宋体" w:cs="微软雅黑"/>
          <w:b/>
          <w:color w:val="auto"/>
          <w:szCs w:val="21"/>
        </w:rPr>
      </w:pPr>
      <w:r>
        <w:rPr>
          <w:rFonts w:hint="eastAsia" w:ascii="宋体" w:cs="微软雅黑"/>
          <w:b/>
          <w:color w:val="auto"/>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 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2.适用范围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 xml:space="preserve"> 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3.技术规格和标准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4.合同期限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hint="eastAsia" w:ascii="宋体" w:cs="宋体"/>
          <w:color w:val="auto"/>
          <w:sz w:val="24"/>
          <w:lang w:val="zh-CN"/>
        </w:rPr>
        <w:tab/>
      </w:r>
      <w:r>
        <w:rPr>
          <w:rFonts w:hint="eastAsia" w:ascii="宋体" w:cs="宋体"/>
          <w:color w:val="auto"/>
          <w:sz w:val="24"/>
          <w:lang w:val="zh-CN"/>
        </w:rPr>
        <w:t>年</w:t>
      </w:r>
      <w:r>
        <w:rPr>
          <w:rFonts w:hint="eastAsia" w:ascii="宋体" w:cs="宋体"/>
          <w:color w:val="auto"/>
          <w:sz w:val="24"/>
          <w:lang w:val="zh-CN"/>
        </w:rPr>
        <w:tab/>
      </w:r>
      <w:r>
        <w:rPr>
          <w:rFonts w:hint="eastAsia" w:ascii="宋体" w:cs="宋体"/>
          <w:color w:val="auto"/>
          <w:sz w:val="24"/>
          <w:lang w:val="zh-CN"/>
        </w:rPr>
        <w:t>月</w:t>
      </w:r>
      <w:r>
        <w:rPr>
          <w:rFonts w:hint="eastAsia" w:ascii="宋体" w:cs="宋体"/>
          <w:color w:val="auto"/>
          <w:sz w:val="24"/>
          <w:lang w:val="zh-CN"/>
        </w:rPr>
        <w:tab/>
      </w:r>
      <w:r>
        <w:rPr>
          <w:rFonts w:hint="eastAsia" w:ascii="宋体" w:cs="宋体"/>
          <w:color w:val="auto"/>
          <w:sz w:val="24"/>
          <w:lang w:val="zh-CN"/>
        </w:rPr>
        <w:t>日起至</w:t>
      </w:r>
      <w:r>
        <w:rPr>
          <w:rFonts w:hint="eastAsia" w:ascii="宋体" w:cs="宋体"/>
          <w:color w:val="auto"/>
          <w:sz w:val="24"/>
          <w:lang w:val="zh-CN"/>
        </w:rPr>
        <w:tab/>
      </w:r>
      <w:r>
        <w:rPr>
          <w:rFonts w:hint="eastAsia" w:ascii="宋体" w:cs="宋体"/>
          <w:color w:val="auto"/>
          <w:sz w:val="24"/>
          <w:lang w:val="zh-CN"/>
        </w:rPr>
        <w:t>年</w:t>
      </w:r>
      <w:r>
        <w:rPr>
          <w:rFonts w:hint="eastAsia" w:ascii="宋体" w:cs="宋体"/>
          <w:color w:val="auto"/>
          <w:sz w:val="24"/>
          <w:lang w:val="zh-CN"/>
        </w:rPr>
        <w:tab/>
      </w:r>
      <w:r>
        <w:rPr>
          <w:rFonts w:hint="eastAsia" w:ascii="宋体" w:cs="宋体"/>
          <w:color w:val="auto"/>
          <w:sz w:val="24"/>
          <w:lang w:val="zh-CN"/>
        </w:rPr>
        <w:t>月</w:t>
      </w:r>
      <w:r>
        <w:rPr>
          <w:rFonts w:hint="eastAsia"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5.价格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6.索赔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7.不可抗力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8.履约保证金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9.争议的解决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10.合同终止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10.2 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10.2.1发生不可抗力时。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11.合同修改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12.适用法律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13.主导语言与计量单位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14.合同生效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rPr>
          <w:rFonts w:ascii="宋体" w:hAnsi="宋体" w:cs="宋体"/>
          <w:b/>
          <w:bCs/>
          <w:color w:val="auto"/>
          <w:kern w:val="0"/>
          <w:sz w:val="36"/>
          <w:szCs w:val="36"/>
        </w:rPr>
      </w:pPr>
      <w:r>
        <w:rPr>
          <w:rFonts w:hint="eastAsia" w:ascii="宋体" w:hAnsi="宋体" w:cs="宋体"/>
          <w:b/>
          <w:bCs/>
          <w:color w:val="auto"/>
          <w:kern w:val="0"/>
          <w:sz w:val="36"/>
          <w:szCs w:val="36"/>
        </w:rPr>
        <w:br w:type="page"/>
      </w:r>
    </w:p>
    <w:p>
      <w:pPr>
        <w:pStyle w:val="21"/>
        <w:spacing w:line="360" w:lineRule="auto"/>
        <w:contextualSpacing/>
        <w:jc w:val="center"/>
        <w:rPr>
          <w:rFonts w:hAnsi="宋体" w:cs="宋体"/>
          <w:b/>
          <w:color w:val="auto"/>
          <w:kern w:val="0"/>
          <w:sz w:val="36"/>
          <w:szCs w:val="36"/>
        </w:rPr>
      </w:pPr>
      <w:r>
        <w:rPr>
          <w:rFonts w:hint="eastAsia" w:hAnsi="宋体" w:cs="宋体"/>
          <w:b/>
          <w:color w:val="auto"/>
          <w:kern w:val="0"/>
          <w:sz w:val="36"/>
          <w:szCs w:val="36"/>
        </w:rPr>
        <w:t>第八章 投标文件有关格式</w:t>
      </w:r>
    </w:p>
    <w:p>
      <w:pPr>
        <w:spacing w:line="440" w:lineRule="exact"/>
        <w:rPr>
          <w:rStyle w:val="114"/>
          <w:rFonts w:ascii="宋体" w:hAnsi="宋体" w:eastAsia="宋体" w:cs="宋体"/>
          <w:color w:val="auto"/>
        </w:rPr>
      </w:pPr>
    </w:p>
    <w:p>
      <w:pPr>
        <w:spacing w:line="440" w:lineRule="exact"/>
        <w:jc w:val="right"/>
        <w:rPr>
          <w:rStyle w:val="114"/>
          <w:rFonts w:ascii="宋体" w:hAnsi="宋体" w:eastAsia="宋体" w:cs="宋体"/>
          <w:color w:val="auto"/>
        </w:rPr>
      </w:pPr>
      <w:bookmarkStart w:id="6" w:name="_Toc5131"/>
      <w:bookmarkStart w:id="7" w:name="_Toc16238"/>
      <w:bookmarkStart w:id="8" w:name="_Toc12595"/>
      <w:bookmarkStart w:id="9" w:name="_Toc14398"/>
    </w:p>
    <w:bookmarkEnd w:id="6"/>
    <w:bookmarkEnd w:id="7"/>
    <w:bookmarkEnd w:id="8"/>
    <w:bookmarkEnd w:id="9"/>
    <w:p>
      <w:pPr>
        <w:spacing w:line="440" w:lineRule="exact"/>
        <w:rPr>
          <w:rStyle w:val="114"/>
          <w:rFonts w:ascii="宋体" w:hAnsi="宋体" w:eastAsia="宋体" w:cs="宋体"/>
          <w:color w:val="auto"/>
        </w:rPr>
      </w:pPr>
    </w:p>
    <w:p>
      <w:pPr>
        <w:spacing w:line="440" w:lineRule="exact"/>
        <w:rPr>
          <w:rFonts w:ascii="宋体" w:hAnsi="宋体" w:cs="宋体"/>
          <w:color w:val="auto"/>
          <w:sz w:val="28"/>
          <w:szCs w:val="28"/>
          <w:u w:val="single"/>
        </w:rPr>
      </w:pPr>
    </w:p>
    <w:p>
      <w:pPr>
        <w:spacing w:line="440" w:lineRule="exact"/>
        <w:jc w:val="center"/>
        <w:rPr>
          <w:rFonts w:ascii="宋体" w:hAnsi="宋体" w:cs="宋体"/>
          <w:b/>
          <w:bCs/>
          <w:color w:val="auto"/>
          <w:sz w:val="40"/>
          <w:szCs w:val="40"/>
          <w:u w:val="single"/>
        </w:rPr>
      </w:pPr>
      <w:bookmarkStart w:id="10" w:name="_Toc3199"/>
      <w:r>
        <w:rPr>
          <w:rFonts w:hint="eastAsia" w:ascii="宋体" w:hAnsi="宋体" w:cs="宋体"/>
          <w:b/>
          <w:bCs/>
          <w:color w:val="auto"/>
          <w:sz w:val="40"/>
          <w:szCs w:val="40"/>
          <w:u w:val="single"/>
        </w:rPr>
        <w:t xml:space="preserve">            （项目名称）</w:t>
      </w:r>
      <w:bookmarkEnd w:id="10"/>
      <w:r>
        <w:rPr>
          <w:rFonts w:hint="eastAsia" w:ascii="宋体" w:hAnsi="宋体" w:cs="宋体"/>
          <w:b/>
          <w:bCs/>
          <w:color w:val="auto"/>
          <w:sz w:val="40"/>
          <w:szCs w:val="40"/>
          <w:u w:val="single"/>
        </w:rPr>
        <w:t xml:space="preserve">   </w:t>
      </w:r>
    </w:p>
    <w:p>
      <w:pPr>
        <w:spacing w:line="440" w:lineRule="exact"/>
        <w:jc w:val="center"/>
        <w:rPr>
          <w:rFonts w:ascii="宋体" w:hAnsi="宋体" w:cs="宋体"/>
          <w:color w:val="auto"/>
          <w:sz w:val="28"/>
          <w:szCs w:val="28"/>
          <w:u w:val="single"/>
        </w:rPr>
      </w:pPr>
    </w:p>
    <w:p>
      <w:pPr>
        <w:spacing w:line="440" w:lineRule="exact"/>
        <w:rPr>
          <w:rFonts w:ascii="宋体" w:hAnsi="宋体" w:cs="宋体"/>
          <w:color w:val="auto"/>
          <w:sz w:val="20"/>
          <w:szCs w:val="20"/>
        </w:rPr>
      </w:pPr>
    </w:p>
    <w:p>
      <w:pPr>
        <w:jc w:val="center"/>
        <w:rPr>
          <w:rFonts w:ascii="宋体" w:hAnsi="宋体" w:cs="宋体"/>
          <w:color w:val="auto"/>
          <w:sz w:val="84"/>
          <w:szCs w:val="84"/>
        </w:rPr>
      </w:pPr>
    </w:p>
    <w:p>
      <w:pPr>
        <w:jc w:val="center"/>
        <w:rPr>
          <w:rFonts w:ascii="宋体" w:hAnsi="宋体" w:cs="宋体"/>
          <w:b/>
          <w:bCs/>
          <w:color w:val="auto"/>
          <w:sz w:val="72"/>
          <w:szCs w:val="72"/>
        </w:rPr>
      </w:pPr>
      <w:bookmarkStart w:id="11" w:name="_Toc20681"/>
      <w:r>
        <w:rPr>
          <w:rFonts w:hint="eastAsia" w:ascii="宋体" w:hAnsi="宋体" w:cs="宋体"/>
          <w:b/>
          <w:bCs/>
          <w:color w:val="auto"/>
          <w:sz w:val="72"/>
          <w:szCs w:val="72"/>
        </w:rPr>
        <w:t>投 标 文 件</w:t>
      </w:r>
      <w:bookmarkEnd w:id="11"/>
    </w:p>
    <w:p>
      <w:pPr>
        <w:spacing w:line="440" w:lineRule="exact"/>
        <w:rPr>
          <w:rFonts w:ascii="宋体" w:hAnsi="宋体" w:cs="宋体"/>
          <w:color w:val="auto"/>
          <w:sz w:val="28"/>
          <w:szCs w:val="28"/>
        </w:rPr>
      </w:pPr>
    </w:p>
    <w:p>
      <w:pPr>
        <w:spacing w:line="440" w:lineRule="exact"/>
        <w:jc w:val="center"/>
        <w:rPr>
          <w:rFonts w:ascii="宋体" w:hAnsi="宋体" w:cs="宋体"/>
          <w:b/>
          <w:bCs/>
          <w:color w:val="auto"/>
          <w:sz w:val="28"/>
          <w:szCs w:val="28"/>
        </w:rPr>
      </w:pPr>
      <w:bookmarkStart w:id="12" w:name="_Toc12236"/>
      <w:r>
        <w:rPr>
          <w:rFonts w:hint="eastAsia" w:ascii="宋体" w:hAnsi="宋体" w:cs="宋体"/>
          <w:b/>
          <w:bCs/>
          <w:color w:val="auto"/>
          <w:sz w:val="28"/>
          <w:szCs w:val="28"/>
        </w:rPr>
        <w:t>项目编号：</w:t>
      </w:r>
      <w:bookmarkEnd w:id="12"/>
    </w:p>
    <w:p>
      <w:pPr>
        <w:pStyle w:val="3"/>
        <w:rPr>
          <w:rFonts w:ascii="宋体" w:hAnsi="宋体" w:cs="宋体"/>
          <w:color w:val="auto"/>
          <w:sz w:val="28"/>
          <w:szCs w:val="28"/>
        </w:rPr>
      </w:pPr>
    </w:p>
    <w:p>
      <w:pPr>
        <w:pStyle w:val="3"/>
        <w:rPr>
          <w:rFonts w:ascii="宋体" w:hAnsi="宋体" w:cs="宋体"/>
          <w:color w:val="auto"/>
          <w:sz w:val="28"/>
          <w:szCs w:val="28"/>
        </w:rPr>
      </w:pPr>
    </w:p>
    <w:p>
      <w:pPr>
        <w:pStyle w:val="3"/>
        <w:rPr>
          <w:rFonts w:ascii="宋体" w:hAnsi="宋体" w:cs="宋体"/>
          <w:color w:val="auto"/>
          <w:sz w:val="28"/>
          <w:szCs w:val="28"/>
        </w:rPr>
      </w:pPr>
    </w:p>
    <w:p>
      <w:pPr>
        <w:pStyle w:val="3"/>
        <w:rPr>
          <w:rFonts w:ascii="宋体" w:hAnsi="宋体" w:cs="宋体"/>
          <w:color w:val="auto"/>
          <w:sz w:val="28"/>
          <w:szCs w:val="28"/>
        </w:rPr>
      </w:pPr>
    </w:p>
    <w:p>
      <w:pPr>
        <w:pStyle w:val="3"/>
        <w:rPr>
          <w:rFonts w:ascii="宋体" w:hAnsi="宋体" w:cs="宋体"/>
          <w:color w:val="auto"/>
          <w:sz w:val="28"/>
          <w:szCs w:val="28"/>
        </w:rPr>
      </w:pPr>
    </w:p>
    <w:p>
      <w:pPr>
        <w:pStyle w:val="3"/>
        <w:rPr>
          <w:rFonts w:ascii="宋体" w:hAnsi="宋体" w:cs="宋体"/>
          <w:color w:val="auto"/>
          <w:sz w:val="28"/>
          <w:szCs w:val="28"/>
        </w:rPr>
      </w:pPr>
    </w:p>
    <w:p>
      <w:pPr>
        <w:pStyle w:val="3"/>
        <w:rPr>
          <w:rFonts w:ascii="宋体" w:hAnsi="宋体" w:cs="宋体"/>
          <w:color w:val="auto"/>
          <w:sz w:val="28"/>
          <w:szCs w:val="28"/>
        </w:rPr>
      </w:pPr>
    </w:p>
    <w:p>
      <w:pPr>
        <w:pStyle w:val="3"/>
        <w:rPr>
          <w:rFonts w:ascii="宋体" w:hAnsi="宋体" w:cs="宋体"/>
          <w:color w:val="auto"/>
          <w:sz w:val="28"/>
          <w:szCs w:val="28"/>
        </w:rPr>
      </w:pPr>
    </w:p>
    <w:p>
      <w:pPr>
        <w:pStyle w:val="3"/>
        <w:rPr>
          <w:rFonts w:ascii="宋体" w:hAnsi="宋体" w:cs="宋体"/>
          <w:color w:val="auto"/>
          <w:sz w:val="28"/>
          <w:szCs w:val="28"/>
        </w:rPr>
      </w:pPr>
    </w:p>
    <w:p>
      <w:pPr>
        <w:pStyle w:val="3"/>
        <w:rPr>
          <w:rFonts w:ascii="宋体" w:hAnsi="宋体" w:cs="宋体"/>
          <w:color w:val="auto"/>
          <w:sz w:val="28"/>
          <w:szCs w:val="28"/>
        </w:rPr>
      </w:pPr>
    </w:p>
    <w:p>
      <w:pPr>
        <w:spacing w:line="360" w:lineRule="auto"/>
        <w:rPr>
          <w:rFonts w:ascii="宋体" w:hAnsi="宋体" w:cs="宋体"/>
          <w:color w:val="auto"/>
          <w:sz w:val="28"/>
          <w:szCs w:val="28"/>
        </w:rPr>
      </w:pPr>
    </w:p>
    <w:p>
      <w:pPr>
        <w:spacing w:line="360" w:lineRule="auto"/>
        <w:ind w:left="1079" w:leftChars="514"/>
        <w:rPr>
          <w:rFonts w:ascii="宋体" w:hAnsi="宋体" w:cs="宋体"/>
          <w:b/>
          <w:bCs/>
          <w:color w:val="auto"/>
          <w:sz w:val="30"/>
          <w:szCs w:val="30"/>
          <w:u w:val="single"/>
        </w:rPr>
      </w:pPr>
      <w:bookmarkStart w:id="13" w:name="_Toc8591"/>
      <w:r>
        <w:rPr>
          <w:rFonts w:hint="eastAsia" w:ascii="宋体" w:hAnsi="宋体" w:cs="宋体"/>
          <w:b/>
          <w:bCs/>
          <w:color w:val="auto"/>
          <w:sz w:val="30"/>
          <w:szCs w:val="30"/>
        </w:rPr>
        <w:t>投标人：（盖单位章）</w:t>
      </w:r>
      <w:bookmarkEnd w:id="13"/>
    </w:p>
    <w:p>
      <w:pPr>
        <w:spacing w:line="360" w:lineRule="auto"/>
        <w:ind w:left="1079" w:leftChars="514"/>
        <w:rPr>
          <w:rFonts w:ascii="宋体" w:hAnsi="宋体" w:cs="宋体"/>
          <w:b/>
          <w:bCs/>
          <w:color w:val="auto"/>
          <w:sz w:val="30"/>
          <w:szCs w:val="30"/>
        </w:rPr>
      </w:pPr>
      <w:bookmarkStart w:id="14" w:name="_Toc10390"/>
      <w:r>
        <w:rPr>
          <w:rFonts w:hint="eastAsia" w:ascii="宋体" w:hAnsi="宋体" w:cs="宋体"/>
          <w:b/>
          <w:bCs/>
          <w:color w:val="auto"/>
          <w:sz w:val="30"/>
          <w:szCs w:val="30"/>
        </w:rPr>
        <w:t>法定代表人或其委托代理人：（签字或盖章）</w:t>
      </w:r>
      <w:bookmarkEnd w:id="14"/>
    </w:p>
    <w:p>
      <w:pPr>
        <w:spacing w:line="360" w:lineRule="auto"/>
        <w:ind w:left="1079" w:leftChars="514"/>
        <w:rPr>
          <w:rFonts w:ascii="宋体" w:hAnsi="宋体" w:cs="宋体"/>
          <w:b/>
          <w:bCs/>
          <w:color w:val="auto"/>
          <w:sz w:val="30"/>
          <w:szCs w:val="30"/>
        </w:rPr>
      </w:pPr>
      <w:r>
        <w:rPr>
          <w:rFonts w:hint="eastAsia" w:ascii="宋体" w:hAnsi="宋体" w:cs="宋体"/>
          <w:b/>
          <w:bCs/>
          <w:color w:val="auto"/>
          <w:sz w:val="30"/>
          <w:szCs w:val="30"/>
        </w:rPr>
        <w:t>日  期：      年     月    日</w:t>
      </w:r>
      <w:bookmarkStart w:id="15" w:name="_Toc174185203"/>
      <w:bookmarkStart w:id="16" w:name="_Toc184023138"/>
      <w:bookmarkStart w:id="17" w:name="_Toc186274126"/>
    </w:p>
    <w:p>
      <w:pPr>
        <w:spacing w:line="440" w:lineRule="exact"/>
        <w:ind w:left="1079" w:leftChars="514"/>
        <w:jc w:val="left"/>
        <w:rPr>
          <w:rFonts w:ascii="宋体" w:hAnsi="宋体" w:cs="宋体"/>
          <w:b/>
          <w:color w:val="auto"/>
          <w:sz w:val="36"/>
          <w:szCs w:val="36"/>
          <w:lang w:val="zh-CN"/>
        </w:rPr>
      </w:pPr>
    </w:p>
    <w:p>
      <w:pPr>
        <w:spacing w:line="440" w:lineRule="exact"/>
        <w:ind w:left="1079" w:leftChars="514"/>
        <w:jc w:val="left"/>
        <w:rPr>
          <w:rFonts w:ascii="宋体" w:hAnsi="宋体" w:cs="宋体"/>
          <w:b/>
          <w:color w:val="auto"/>
          <w:sz w:val="36"/>
          <w:szCs w:val="36"/>
          <w:lang w:val="zh-CN"/>
        </w:rPr>
      </w:pPr>
    </w:p>
    <w:p>
      <w:pPr>
        <w:spacing w:line="440" w:lineRule="exact"/>
        <w:ind w:left="1079" w:leftChars="514"/>
        <w:jc w:val="left"/>
        <w:rPr>
          <w:rFonts w:ascii="宋体" w:hAnsi="宋体" w:cs="宋体"/>
          <w:b/>
          <w:color w:val="auto"/>
          <w:sz w:val="36"/>
          <w:szCs w:val="36"/>
          <w:lang w:val="zh-CN"/>
        </w:rPr>
      </w:pPr>
    </w:p>
    <w:p>
      <w:pPr>
        <w:spacing w:line="440" w:lineRule="exact"/>
        <w:ind w:left="1079" w:leftChars="514"/>
        <w:jc w:val="left"/>
        <w:rPr>
          <w:rFonts w:ascii="宋体" w:hAnsi="宋体" w:cs="宋体"/>
          <w:b/>
          <w:color w:val="auto"/>
          <w:sz w:val="36"/>
          <w:szCs w:val="36"/>
          <w:lang w:val="zh-CN"/>
        </w:rPr>
      </w:pPr>
    </w:p>
    <w:bookmarkEnd w:id="15"/>
    <w:bookmarkEnd w:id="16"/>
    <w:bookmarkEnd w:id="17"/>
    <w:p>
      <w:pPr>
        <w:pStyle w:val="21"/>
        <w:spacing w:line="360" w:lineRule="auto"/>
        <w:jc w:val="center"/>
        <w:rPr>
          <w:b/>
          <w:snapToGrid w:val="0"/>
          <w:color w:val="auto"/>
          <w:sz w:val="36"/>
          <w:szCs w:val="36"/>
        </w:rPr>
      </w:pPr>
      <w:r>
        <w:rPr>
          <w:rFonts w:hint="eastAsia"/>
          <w:b/>
          <w:snapToGrid w:val="0"/>
          <w:color w:val="auto"/>
          <w:sz w:val="36"/>
          <w:szCs w:val="36"/>
        </w:rPr>
        <w:t>一、开标一览表</w:t>
      </w:r>
    </w:p>
    <w:p>
      <w:pPr>
        <w:spacing w:before="50" w:after="120" w:afterLines="50" w:line="360" w:lineRule="auto"/>
        <w:contextualSpacing/>
        <w:jc w:val="left"/>
        <w:rPr>
          <w:rFonts w:ascii="宋体" w:hAnsi="宋体"/>
          <w:color w:val="auto"/>
          <w:szCs w:val="21"/>
        </w:rPr>
      </w:pPr>
      <w:r>
        <w:rPr>
          <w:rFonts w:hint="eastAsia" w:ascii="宋体" w:hAnsi="宋体"/>
          <w:color w:val="auto"/>
          <w:szCs w:val="21"/>
        </w:rPr>
        <w:t>项目编号：</w:t>
      </w:r>
    </w:p>
    <w:p>
      <w:pPr>
        <w:spacing w:line="360" w:lineRule="auto"/>
        <w:contextualSpacing/>
        <w:rPr>
          <w:rFonts w:ascii="宋体" w:hAnsi="宋体"/>
          <w:color w:val="auto"/>
          <w:szCs w:val="21"/>
        </w:rPr>
      </w:pPr>
      <w:r>
        <w:rPr>
          <w:rFonts w:hint="eastAsia" w:ascii="宋体" w:hAnsi="宋体"/>
          <w:color w:val="auto"/>
          <w:szCs w:val="21"/>
        </w:rPr>
        <w:t xml:space="preserve">项目名称：                                                      </w:t>
      </w:r>
    </w:p>
    <w:tbl>
      <w:tblPr>
        <w:tblStyle w:val="35"/>
        <w:tblW w:w="9515" w:type="dxa"/>
        <w:tblInd w:w="0" w:type="dxa"/>
        <w:tblLayout w:type="fixed"/>
        <w:tblCellMar>
          <w:top w:w="0" w:type="dxa"/>
          <w:left w:w="108" w:type="dxa"/>
          <w:bottom w:w="0" w:type="dxa"/>
          <w:right w:w="108" w:type="dxa"/>
        </w:tblCellMar>
      </w:tblPr>
      <w:tblGrid>
        <w:gridCol w:w="2150"/>
        <w:gridCol w:w="7365"/>
      </w:tblGrid>
      <w:tr>
        <w:tblPrEx>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lang w:val="zh-CN"/>
              </w:rPr>
            </w:pPr>
            <w:r>
              <w:rPr>
                <w:rFonts w:hint="eastAsia" w:ascii="宋体" w:hAnsi="宋体" w:cs="宋体"/>
                <w:color w:val="auto"/>
                <w:szCs w:val="21"/>
                <w:lang w:val="zh-CN"/>
              </w:rPr>
              <w:t>投标报价（元）</w:t>
            </w:r>
          </w:p>
        </w:tc>
        <w:tc>
          <w:tcPr>
            <w:tcW w:w="7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color w:val="auto"/>
              </w:rPr>
            </w:pPr>
            <w:r>
              <w:rPr>
                <w:rFonts w:hint="eastAsia"/>
                <w:color w:val="auto"/>
              </w:rPr>
              <w:t>大写：</w:t>
            </w:r>
            <w:r>
              <w:rPr>
                <w:rFonts w:hint="eastAsia"/>
                <w:color w:val="auto"/>
                <w:u w:val="single"/>
              </w:rPr>
              <w:t xml:space="preserve">          </w:t>
            </w:r>
            <w:r>
              <w:rPr>
                <w:rFonts w:hint="eastAsia"/>
                <w:color w:val="auto"/>
              </w:rPr>
              <w:t>元</w:t>
            </w:r>
          </w:p>
          <w:p>
            <w:pPr>
              <w:pStyle w:val="2"/>
              <w:ind w:firstLine="0" w:firstLineChars="0"/>
              <w:rPr>
                <w:color w:val="auto"/>
              </w:rPr>
            </w:pPr>
            <w:r>
              <w:rPr>
                <w:rFonts w:hint="eastAsia" w:ascii="宋体" w:hAnsi="宋体" w:cs="宋体"/>
                <w:color w:val="auto"/>
                <w:szCs w:val="21"/>
              </w:rPr>
              <w:t>小写：</w:t>
            </w:r>
            <w:r>
              <w:rPr>
                <w:rFonts w:hint="eastAsia"/>
                <w:color w:val="auto"/>
                <w:u w:val="single"/>
              </w:rPr>
              <w:t xml:space="preserve">          </w:t>
            </w:r>
            <w:r>
              <w:rPr>
                <w:rFonts w:hint="eastAsia"/>
                <w:color w:val="auto"/>
              </w:rPr>
              <w:t>元</w:t>
            </w:r>
          </w:p>
        </w:tc>
      </w:tr>
      <w:tr>
        <w:tblPrEx>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lang w:val="zh-CN"/>
              </w:rPr>
            </w:pPr>
            <w:r>
              <w:rPr>
                <w:rFonts w:hint="eastAsia" w:ascii="宋体" w:hAnsi="宋体" w:cs="宋体"/>
                <w:color w:val="auto"/>
                <w:szCs w:val="21"/>
                <w:lang w:val="zh-CN"/>
              </w:rPr>
              <w:t>交付日期</w:t>
            </w:r>
          </w:p>
        </w:tc>
        <w:tc>
          <w:tcPr>
            <w:tcW w:w="7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Cs w:val="21"/>
              </w:rPr>
            </w:pPr>
          </w:p>
        </w:tc>
      </w:tr>
      <w:tr>
        <w:tblPrEx>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lang w:val="zh-CN"/>
              </w:rPr>
            </w:pPr>
            <w:r>
              <w:rPr>
                <w:rFonts w:hint="eastAsia" w:ascii="宋体" w:hAnsi="宋体" w:cs="宋体"/>
                <w:color w:val="auto"/>
                <w:szCs w:val="21"/>
                <w:lang w:val="zh-CN"/>
              </w:rPr>
              <w:t>质量标准</w:t>
            </w:r>
          </w:p>
        </w:tc>
        <w:tc>
          <w:tcPr>
            <w:tcW w:w="7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Cs w:val="21"/>
              </w:rPr>
            </w:pPr>
          </w:p>
        </w:tc>
      </w:tr>
      <w:tr>
        <w:tblPrEx>
          <w:tblCellMar>
            <w:top w:w="0" w:type="dxa"/>
            <w:left w:w="108" w:type="dxa"/>
            <w:bottom w:w="0" w:type="dxa"/>
            <w:right w:w="108" w:type="dxa"/>
          </w:tblCellMar>
        </w:tblPrEx>
        <w:trPr>
          <w:trHeight w:val="1470" w:hRule="atLeast"/>
        </w:trPr>
        <w:tc>
          <w:tcPr>
            <w:tcW w:w="21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color w:val="auto"/>
                <w:szCs w:val="21"/>
                <w:lang w:val="zh-CN"/>
              </w:rPr>
            </w:pPr>
            <w:r>
              <w:rPr>
                <w:rFonts w:hint="eastAsia" w:ascii="宋体" w:hAnsi="宋体" w:cs="宋体"/>
                <w:color w:val="auto"/>
                <w:szCs w:val="21"/>
                <w:lang w:val="zh-CN"/>
              </w:rPr>
              <w:t>备注</w:t>
            </w:r>
          </w:p>
        </w:tc>
        <w:tc>
          <w:tcPr>
            <w:tcW w:w="7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Cs w:val="21"/>
              </w:rPr>
            </w:pPr>
          </w:p>
        </w:tc>
      </w:tr>
    </w:tbl>
    <w:p>
      <w:pPr>
        <w:autoSpaceDE w:val="0"/>
        <w:autoSpaceDN w:val="0"/>
        <w:adjustRightInd w:val="0"/>
        <w:spacing w:line="480" w:lineRule="auto"/>
        <w:rPr>
          <w:rFonts w:ascii="宋体" w:hAnsi="宋体" w:cs="宋体"/>
          <w:color w:val="auto"/>
          <w:szCs w:val="21"/>
          <w:lang w:val="zh-CN"/>
        </w:rPr>
      </w:pP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投标人名称：</w:t>
      </w:r>
      <w:r>
        <w:rPr>
          <w:rFonts w:hint="eastAsia" w:ascii="宋体" w:hAnsi="宋体" w:cs="宋体"/>
          <w:color w:val="auto"/>
          <w:szCs w:val="21"/>
          <w:u w:val="single"/>
          <w:lang w:val="zh-CN"/>
        </w:rPr>
        <w:t xml:space="preserve">     （全称）   </w:t>
      </w:r>
      <w:r>
        <w:rPr>
          <w:rFonts w:hint="eastAsia" w:ascii="宋体" w:hAnsi="宋体" w:cs="宋体"/>
          <w:color w:val="auto"/>
          <w:szCs w:val="21"/>
          <w:lang w:val="zh-CN"/>
        </w:rPr>
        <w:t>（公章）：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投标人法定代表人（或授权代表）签字：</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日期：</w:t>
      </w:r>
      <w:r>
        <w:rPr>
          <w:rFonts w:ascii="宋体" w:hAnsi="宋体" w:cs="宋体"/>
          <w:color w:val="auto"/>
          <w:szCs w:val="21"/>
          <w:lang w:val="zh-CN"/>
        </w:rPr>
        <w:t xml:space="preserve">    </w:t>
      </w:r>
      <w:r>
        <w:rPr>
          <w:rFonts w:hint="eastAsia" w:ascii="宋体" w:hAnsi="宋体" w:cs="宋体"/>
          <w:color w:val="auto"/>
          <w:szCs w:val="21"/>
          <w:lang w:val="zh-CN"/>
        </w:rPr>
        <w:t>年</w:t>
      </w:r>
      <w:r>
        <w:rPr>
          <w:rFonts w:ascii="宋体" w:hAnsi="宋体" w:cs="宋体"/>
          <w:color w:val="auto"/>
          <w:szCs w:val="21"/>
          <w:lang w:val="zh-CN"/>
        </w:rPr>
        <w:t xml:space="preserve">    </w:t>
      </w:r>
      <w:r>
        <w:rPr>
          <w:rFonts w:hint="eastAsia" w:ascii="宋体" w:hAnsi="宋体" w:cs="宋体"/>
          <w:color w:val="auto"/>
          <w:szCs w:val="21"/>
          <w:lang w:val="zh-CN"/>
        </w:rPr>
        <w:t>月</w:t>
      </w:r>
      <w:r>
        <w:rPr>
          <w:rFonts w:ascii="宋体" w:hAnsi="宋体" w:cs="宋体"/>
          <w:color w:val="auto"/>
          <w:szCs w:val="21"/>
          <w:lang w:val="zh-CN"/>
        </w:rPr>
        <w:t xml:space="preserve">    </w:t>
      </w:r>
      <w:r>
        <w:rPr>
          <w:rFonts w:hint="eastAsia" w:ascii="宋体" w:hAnsi="宋体" w:cs="宋体"/>
          <w:color w:val="auto"/>
          <w:szCs w:val="21"/>
          <w:lang w:val="zh-CN"/>
        </w:rPr>
        <w:t>日</w:t>
      </w:r>
    </w:p>
    <w:p>
      <w:pPr>
        <w:autoSpaceDE w:val="0"/>
        <w:autoSpaceDN w:val="0"/>
        <w:adjustRightInd w:val="0"/>
        <w:spacing w:line="480" w:lineRule="auto"/>
        <w:rPr>
          <w:rFonts w:ascii="宋体" w:hAnsi="宋体" w:cs="宋体"/>
          <w:b/>
          <w:bCs/>
          <w:color w:val="auto"/>
          <w:sz w:val="44"/>
          <w:szCs w:val="44"/>
          <w:lang w:val="zh-CN"/>
        </w:rPr>
      </w:pPr>
      <w:r>
        <w:rPr>
          <w:rFonts w:hint="eastAsia" w:ascii="宋体" w:hAnsi="宋体" w:cs="宋体"/>
          <w:color w:val="auto"/>
          <w:szCs w:val="21"/>
          <w:lang w:val="zh-CN"/>
        </w:rPr>
        <w:t>注：交付日期指完成该项目的最终时间。</w:t>
      </w:r>
    </w:p>
    <w:p>
      <w:pPr>
        <w:autoSpaceDE w:val="0"/>
        <w:autoSpaceDN w:val="0"/>
        <w:adjustRightInd w:val="0"/>
        <w:spacing w:line="360" w:lineRule="auto"/>
        <w:jc w:val="center"/>
        <w:rPr>
          <w:rFonts w:ascii="宋体" w:hAnsi="宋体" w:cs="宋体"/>
          <w:b/>
          <w:bCs/>
          <w:color w:val="auto"/>
          <w:sz w:val="44"/>
          <w:szCs w:val="44"/>
          <w:lang w:val="zh-CN"/>
        </w:rPr>
      </w:pPr>
    </w:p>
    <w:p>
      <w:pPr>
        <w:autoSpaceDE w:val="0"/>
        <w:autoSpaceDN w:val="0"/>
        <w:adjustRightInd w:val="0"/>
        <w:spacing w:line="360" w:lineRule="auto"/>
        <w:jc w:val="center"/>
        <w:rPr>
          <w:rFonts w:ascii="宋体" w:hAnsi="宋体" w:cs="宋体"/>
          <w:b/>
          <w:bCs/>
          <w:color w:val="auto"/>
          <w:sz w:val="44"/>
          <w:szCs w:val="44"/>
          <w:lang w:val="zh-CN"/>
        </w:rPr>
      </w:pPr>
    </w:p>
    <w:p>
      <w:pPr>
        <w:rPr>
          <w:rFonts w:ascii="宋体" w:hAnsi="宋体" w:cs="宋体"/>
          <w:b/>
          <w:bCs/>
          <w:color w:val="auto"/>
          <w:sz w:val="44"/>
          <w:szCs w:val="44"/>
          <w:lang w:val="zh-CN"/>
        </w:rPr>
      </w:pPr>
      <w:r>
        <w:rPr>
          <w:rFonts w:hint="eastAsia" w:ascii="宋体" w:hAnsi="宋体" w:cs="宋体"/>
          <w:b/>
          <w:bCs/>
          <w:color w:val="auto"/>
          <w:sz w:val="44"/>
          <w:szCs w:val="44"/>
          <w:lang w:val="zh-CN"/>
        </w:rPr>
        <w:br w:type="page"/>
      </w:r>
    </w:p>
    <w:p>
      <w:pPr>
        <w:autoSpaceDE w:val="0"/>
        <w:autoSpaceDN w:val="0"/>
        <w:adjustRightInd w:val="0"/>
        <w:spacing w:line="360" w:lineRule="auto"/>
        <w:jc w:val="center"/>
        <w:rPr>
          <w:rFonts w:ascii="宋体" w:hAnsi="宋体" w:cs="宋体"/>
          <w:b/>
          <w:bCs/>
          <w:color w:val="auto"/>
          <w:sz w:val="44"/>
          <w:szCs w:val="44"/>
          <w:lang w:val="zh-CN"/>
        </w:rPr>
      </w:pPr>
      <w:r>
        <w:rPr>
          <w:rFonts w:hint="eastAsia" w:ascii="宋体" w:hAnsi="宋体" w:cs="宋体"/>
          <w:b/>
          <w:bCs/>
          <w:color w:val="auto"/>
          <w:sz w:val="44"/>
          <w:szCs w:val="44"/>
          <w:lang w:val="zh-CN"/>
        </w:rPr>
        <w:t>二、资格审查证明材料</w:t>
      </w:r>
    </w:p>
    <w:p>
      <w:pPr>
        <w:pStyle w:val="21"/>
        <w:spacing w:line="360" w:lineRule="auto"/>
        <w:jc w:val="center"/>
        <w:rPr>
          <w:rFonts w:hAnsi="宋体" w:cs="宋体"/>
          <w:b/>
          <w:snapToGrid w:val="0"/>
          <w:color w:val="auto"/>
          <w:kern w:val="0"/>
          <w:sz w:val="36"/>
          <w:szCs w:val="36"/>
        </w:rPr>
      </w:pPr>
      <w:r>
        <w:rPr>
          <w:rFonts w:hint="eastAsia" w:hAnsi="宋体" w:cs="宋体"/>
          <w:b/>
          <w:snapToGrid w:val="0"/>
          <w:color w:val="auto"/>
          <w:kern w:val="0"/>
          <w:sz w:val="36"/>
          <w:szCs w:val="36"/>
        </w:rPr>
        <w:t>2.1 投 标 函</w:t>
      </w:r>
    </w:p>
    <w:p>
      <w:pPr>
        <w:adjustRightInd w:val="0"/>
        <w:spacing w:line="360" w:lineRule="auto"/>
        <w:contextualSpacing/>
        <w:rPr>
          <w:rFonts w:ascii="宋体" w:hAnsi="宋体" w:cs="宋体"/>
          <w:b/>
          <w:snapToGrid w:val="0"/>
          <w:color w:val="auto"/>
          <w:kern w:val="0"/>
          <w:sz w:val="24"/>
          <w:szCs w:val="24"/>
        </w:rPr>
      </w:pPr>
      <w:r>
        <w:rPr>
          <w:rFonts w:hint="eastAsia" w:ascii="宋体" w:hAnsi="宋体" w:cs="宋体"/>
          <w:snapToGrid w:val="0"/>
          <w:color w:val="auto"/>
          <w:kern w:val="0"/>
          <w:sz w:val="24"/>
          <w:szCs w:val="24"/>
        </w:rPr>
        <w:t>致：</w:t>
      </w:r>
      <w:r>
        <w:rPr>
          <w:rFonts w:hint="eastAsia" w:ascii="宋体" w:hAnsi="宋体" w:cs="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cs="宋体"/>
          <w:snapToGrid w:val="0"/>
          <w:color w:val="auto"/>
          <w:kern w:val="0"/>
          <w:sz w:val="24"/>
          <w:szCs w:val="24"/>
        </w:rPr>
      </w:pPr>
      <w:r>
        <w:rPr>
          <w:rFonts w:hint="eastAsia" w:ascii="宋体" w:hAnsi="宋体" w:cs="宋体"/>
          <w:snapToGrid w:val="0"/>
          <w:color w:val="auto"/>
          <w:kern w:val="0"/>
          <w:sz w:val="24"/>
          <w:szCs w:val="24"/>
        </w:rPr>
        <w:t>根据贵方</w:t>
      </w:r>
      <w:r>
        <w:rPr>
          <w:rFonts w:hint="eastAsia" w:ascii="宋体" w:hAnsi="宋体" w:cs="宋体"/>
          <w:snapToGrid w:val="0"/>
          <w:color w:val="auto"/>
          <w:kern w:val="0"/>
          <w:sz w:val="24"/>
          <w:szCs w:val="24"/>
          <w:u w:val="single"/>
        </w:rPr>
        <w:t xml:space="preserve">        （项目名称、项目编号）</w:t>
      </w:r>
      <w:r>
        <w:rPr>
          <w:rFonts w:hint="eastAsia" w:ascii="宋体" w:hAnsi="宋体" w:cs="宋体"/>
          <w:snapToGrid w:val="0"/>
          <w:color w:val="auto"/>
          <w:kern w:val="0"/>
          <w:sz w:val="24"/>
          <w:szCs w:val="24"/>
        </w:rPr>
        <w:t>采购的招标公告及投标邀请，_______（姓名和职务）被正式授权并代表投标人</w:t>
      </w:r>
      <w:r>
        <w:rPr>
          <w:rFonts w:hint="eastAsia" w:ascii="宋体" w:hAnsi="宋体" w:cs="宋体"/>
          <w:snapToGrid w:val="0"/>
          <w:color w:val="auto"/>
          <w:kern w:val="0"/>
          <w:sz w:val="24"/>
          <w:szCs w:val="24"/>
          <w:u w:val="single"/>
        </w:rPr>
        <w:t>（投标人名称、地址）</w:t>
      </w:r>
      <w:r>
        <w:rPr>
          <w:rFonts w:hint="eastAsia" w:ascii="宋体" w:hAnsi="宋体" w:cs="宋体"/>
          <w:snapToGrid w:val="0"/>
          <w:color w:val="auto"/>
          <w:kern w:val="0"/>
          <w:sz w:val="24"/>
          <w:szCs w:val="24"/>
        </w:rPr>
        <w:t>提交。</w:t>
      </w:r>
    </w:p>
    <w:p>
      <w:pPr>
        <w:pStyle w:val="21"/>
        <w:adjustRightInd w:val="0"/>
        <w:spacing w:line="360" w:lineRule="auto"/>
        <w:ind w:firstLine="480" w:firstLineChars="200"/>
        <w:contextualSpacing/>
        <w:rPr>
          <w:rFonts w:hAnsi="宋体" w:cs="宋体"/>
          <w:snapToGrid w:val="0"/>
          <w:color w:val="auto"/>
          <w:kern w:val="0"/>
          <w:sz w:val="24"/>
          <w:szCs w:val="24"/>
        </w:rPr>
      </w:pPr>
      <w:r>
        <w:rPr>
          <w:rFonts w:hint="eastAsia" w:hAnsi="宋体" w:cs="宋体"/>
          <w:snapToGrid w:val="0"/>
          <w:color w:val="auto"/>
          <w:kern w:val="0"/>
          <w:sz w:val="24"/>
          <w:szCs w:val="24"/>
        </w:rPr>
        <w:t>我方确认收到贵方提供的（项目名称、项目编号）招标文件的全部内容。</w:t>
      </w:r>
    </w:p>
    <w:p>
      <w:pPr>
        <w:pStyle w:val="21"/>
        <w:adjustRightInd w:val="0"/>
        <w:spacing w:line="360" w:lineRule="auto"/>
        <w:ind w:firstLine="480" w:firstLineChars="200"/>
        <w:contextualSpacing/>
        <w:rPr>
          <w:rFonts w:hAnsi="宋体" w:cs="宋体"/>
          <w:snapToGrid w:val="0"/>
          <w:color w:val="auto"/>
          <w:kern w:val="0"/>
          <w:sz w:val="24"/>
          <w:szCs w:val="24"/>
        </w:rPr>
      </w:pPr>
      <w:r>
        <w:rPr>
          <w:rFonts w:hint="eastAsia" w:hAnsi="宋体" w:cs="宋体"/>
          <w:snapToGrid w:val="0"/>
          <w:color w:val="auto"/>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int="eastAsia" w:hAnsi="宋体" w:cs="宋体"/>
          <w:color w:val="auto"/>
          <w:sz w:val="24"/>
          <w:szCs w:val="24"/>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i/>
          <w:snapToGrid w:val="0"/>
          <w:color w:val="auto"/>
          <w:kern w:val="0"/>
          <w:sz w:val="24"/>
          <w:szCs w:val="24"/>
          <w:u w:val="single"/>
        </w:rPr>
        <w:t xml:space="preserve">(投标人名称)     </w:t>
      </w:r>
      <w:r>
        <w:rPr>
          <w:rFonts w:hint="eastAsia" w:ascii="宋体" w:hAnsi="宋体" w:cs="宋体"/>
          <w:snapToGrid w:val="0"/>
          <w:color w:val="auto"/>
          <w:kern w:val="0"/>
          <w:sz w:val="24"/>
          <w:szCs w:val="24"/>
        </w:rPr>
        <w:t>作为投标人正式授权</w:t>
      </w:r>
      <w:r>
        <w:rPr>
          <w:rFonts w:hint="eastAsia" w:ascii="宋体" w:hAnsi="宋体" w:cs="宋体"/>
          <w:i/>
          <w:snapToGrid w:val="0"/>
          <w:color w:val="auto"/>
          <w:kern w:val="0"/>
          <w:sz w:val="24"/>
          <w:szCs w:val="24"/>
          <w:u w:val="single"/>
        </w:rPr>
        <w:t xml:space="preserve">(授权代表全名, 职务)       </w:t>
      </w:r>
      <w:r>
        <w:rPr>
          <w:rFonts w:hint="eastAsia" w:ascii="宋体" w:hAnsi="宋体" w:cs="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cs="宋体"/>
          <w:snapToGrid w:val="0"/>
          <w:color w:val="auto"/>
          <w:kern w:val="0"/>
          <w:sz w:val="24"/>
          <w:szCs w:val="24"/>
        </w:rPr>
      </w:pPr>
      <w:r>
        <w:rPr>
          <w:rFonts w:hint="eastAsia" w:ascii="宋体" w:hAnsi="宋体" w:cs="宋体"/>
          <w:snapToGrid w:val="0"/>
          <w:color w:val="auto"/>
          <w:kern w:val="0"/>
          <w:sz w:val="24"/>
          <w:szCs w:val="24"/>
        </w:rPr>
        <w:t>在此提交的投标文件，</w:t>
      </w:r>
      <w:r>
        <w:rPr>
          <w:rFonts w:hint="eastAsia" w:ascii="宋体" w:hAnsi="宋体" w:cs="宋体"/>
          <w:b/>
          <w:bCs/>
          <w:snapToGrid w:val="0"/>
          <w:color w:val="auto"/>
          <w:kern w:val="0"/>
          <w:sz w:val="24"/>
          <w:szCs w:val="24"/>
        </w:rPr>
        <w:t>电子投标文件</w:t>
      </w:r>
      <w:r>
        <w:rPr>
          <w:rFonts w:hint="eastAsia" w:ascii="宋体" w:hAnsi="宋体" w:cs="宋体"/>
          <w:b/>
          <w:bCs/>
          <w:snapToGrid w:val="0"/>
          <w:color w:val="auto"/>
          <w:kern w:val="0"/>
          <w:sz w:val="24"/>
          <w:szCs w:val="24"/>
          <w:u w:val="single"/>
        </w:rPr>
        <w:t>1</w:t>
      </w:r>
      <w:r>
        <w:rPr>
          <w:rFonts w:hint="eastAsia" w:ascii="宋体" w:hAnsi="宋体" w:cs="宋体"/>
          <w:b/>
          <w:bCs/>
          <w:snapToGrid w:val="0"/>
          <w:color w:val="auto"/>
          <w:kern w:val="0"/>
          <w:sz w:val="24"/>
          <w:szCs w:val="24"/>
        </w:rPr>
        <w:t>份，使用电子介质（U盘）存储的备份投标文件</w:t>
      </w:r>
      <w:r>
        <w:rPr>
          <w:rFonts w:hint="eastAsia" w:ascii="宋体" w:hAnsi="宋体" w:cs="宋体"/>
          <w:b/>
          <w:bCs/>
          <w:snapToGrid w:val="0"/>
          <w:color w:val="auto"/>
          <w:kern w:val="0"/>
          <w:sz w:val="24"/>
          <w:szCs w:val="24"/>
          <w:u w:val="single"/>
        </w:rPr>
        <w:t>2</w:t>
      </w:r>
      <w:r>
        <w:rPr>
          <w:rFonts w:hint="eastAsia" w:ascii="宋体" w:hAnsi="宋体" w:cs="宋体"/>
          <w:b/>
          <w:bCs/>
          <w:snapToGrid w:val="0"/>
          <w:color w:val="auto"/>
          <w:kern w:val="0"/>
          <w:sz w:val="24"/>
          <w:szCs w:val="24"/>
        </w:rPr>
        <w:t>份</w:t>
      </w:r>
      <w:r>
        <w:rPr>
          <w:rFonts w:hint="eastAsia" w:ascii="宋体" w:hAnsi="宋体" w:cs="宋体"/>
          <w:snapToGrid w:val="0"/>
          <w:color w:val="auto"/>
          <w:kern w:val="0"/>
          <w:sz w:val="24"/>
          <w:szCs w:val="24"/>
        </w:rPr>
        <w:t>。</w:t>
      </w:r>
    </w:p>
    <w:p>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二、本投标文件的有效期为投标截止时间起</w:t>
      </w:r>
      <w:r>
        <w:rPr>
          <w:rFonts w:hint="eastAsia" w:ascii="宋体" w:hAnsi="宋体" w:cs="宋体"/>
          <w:b/>
          <w:bCs/>
          <w:color w:val="auto"/>
          <w:sz w:val="24"/>
          <w:szCs w:val="24"/>
          <w:u w:val="single"/>
        </w:rPr>
        <w:t>60</w:t>
      </w:r>
      <w:r>
        <w:rPr>
          <w:rFonts w:hint="eastAsia" w:ascii="宋体" w:hAnsi="宋体" w:cs="宋体"/>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三、我方同意按照贵方可能提出的要求而提供与投标有关的任何其它数据、信息或资料。</w:t>
      </w:r>
    </w:p>
    <w:p>
      <w:pPr>
        <w:pStyle w:val="32"/>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四、我方理解贵方不一定接受最低投标价或任何贵方可能收到的投标。</w:t>
      </w:r>
    </w:p>
    <w:p>
      <w:pPr>
        <w:pStyle w:val="32"/>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五、我方如果中标，将保证履行招标文件及其澄清、修改文件（如果有）中的全部责任和义务，按质、按量、按期完成《项目需求》及《合同书》中的全部任务。</w:t>
      </w:r>
    </w:p>
    <w:p>
      <w:pPr>
        <w:pStyle w:val="32"/>
        <w:adjustRightInd w:val="0"/>
        <w:spacing w:line="360" w:lineRule="auto"/>
        <w:ind w:firstLine="480" w:firstLineChars="200"/>
        <w:contextualSpacing/>
        <w:rPr>
          <w:rFonts w:ascii="宋体" w:hAnsi="宋体" w:cs="宋体"/>
          <w:color w:val="auto"/>
          <w:szCs w:val="24"/>
        </w:rPr>
      </w:pPr>
      <w:r>
        <w:rPr>
          <w:rFonts w:hint="eastAsia" w:ascii="宋体" w:hAnsi="宋体" w:cs="宋体"/>
          <w:color w:val="auto"/>
          <w:szCs w:val="24"/>
        </w:rPr>
        <w:t>六、我方在此保证所提交的所有文件和全部说明是真实的和正确的。</w:t>
      </w:r>
    </w:p>
    <w:p>
      <w:pPr>
        <w:pStyle w:val="21"/>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八、我方具备《政府采购法》第二十二条规定的条件；承诺如下：</w:t>
      </w:r>
    </w:p>
    <w:p>
      <w:pPr>
        <w:pStyle w:val="21"/>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（5）符合法律、行政法规规定的其他条件。</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以上内容如有虚假或与事实不符的，评审委员会可将我方做无效投标处理，我方愿意承担相应的法律责任。</w:t>
      </w:r>
    </w:p>
    <w:p>
      <w:pPr>
        <w:pStyle w:val="21"/>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九、我方具备履行合同所必需的设备和专业技术能力。</w:t>
      </w:r>
    </w:p>
    <w:p>
      <w:pPr>
        <w:pStyle w:val="21"/>
        <w:adjustRightInd w:val="0"/>
        <w:spacing w:line="360" w:lineRule="auto"/>
        <w:ind w:firstLine="480" w:firstLineChars="200"/>
        <w:contextualSpacing/>
        <w:rPr>
          <w:rFonts w:hAnsi="宋体" w:cs="宋体"/>
          <w:color w:val="auto"/>
          <w:sz w:val="24"/>
          <w:szCs w:val="24"/>
        </w:rPr>
      </w:pPr>
      <w:r>
        <w:rPr>
          <w:rFonts w:hint="eastAsia" w:hAnsi="宋体" w:cs="宋体"/>
          <w:snapToGrid w:val="0"/>
          <w:color w:val="auto"/>
          <w:kern w:val="0"/>
          <w:sz w:val="24"/>
          <w:szCs w:val="24"/>
        </w:rPr>
        <w:t>十、</w:t>
      </w:r>
      <w:r>
        <w:rPr>
          <w:rFonts w:hint="eastAsia" w:hAnsi="宋体" w:cs="宋体"/>
          <w:color w:val="auto"/>
          <w:sz w:val="24"/>
          <w:szCs w:val="24"/>
        </w:rPr>
        <w:t>我方对在本函及投标文件中所作的所有承诺承担法律责任。</w:t>
      </w:r>
    </w:p>
    <w:p>
      <w:pPr>
        <w:pStyle w:val="21"/>
        <w:adjustRightInd w:val="0"/>
        <w:snapToGrid w:val="0"/>
        <w:spacing w:line="360" w:lineRule="auto"/>
        <w:rPr>
          <w:rFonts w:hAnsi="宋体" w:cs="宋体"/>
          <w:color w:val="auto"/>
          <w:sz w:val="24"/>
          <w:szCs w:val="24"/>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传    真：</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  职    务：</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投标人法定代表人（或法定代表人授权代表）签字或盖章：</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adjustRightInd w:val="0"/>
        <w:snapToGrid w:val="0"/>
        <w:spacing w:line="360" w:lineRule="auto"/>
        <w:ind w:firstLine="4920" w:firstLineChars="2050"/>
        <w:rPr>
          <w:rFonts w:ascii="宋体" w:hAnsi="宋体" w:cs="宋体"/>
          <w:color w:val="auto"/>
          <w:sz w:val="24"/>
          <w:szCs w:val="24"/>
        </w:rPr>
      </w:pPr>
    </w:p>
    <w:p>
      <w:pPr>
        <w:jc w:val="center"/>
        <w:rPr>
          <w:rFonts w:ascii="宋体" w:hAnsi="宋体" w:cs="宋体"/>
          <w:b/>
          <w:bCs/>
          <w:color w:val="auto"/>
          <w:sz w:val="36"/>
          <w:szCs w:val="36"/>
        </w:rPr>
      </w:pPr>
      <w:r>
        <w:rPr>
          <w:rFonts w:hint="eastAsia" w:ascii="宋体" w:hAnsi="宋体" w:cs="宋体"/>
          <w:b/>
          <w:bCs/>
          <w:color w:val="auto"/>
          <w:sz w:val="36"/>
          <w:szCs w:val="36"/>
        </w:rPr>
        <w:br w:type="page"/>
      </w:r>
      <w:r>
        <w:rPr>
          <w:rFonts w:hint="eastAsia" w:ascii="宋体" w:hAnsi="宋体" w:cs="宋体"/>
          <w:b/>
          <w:bCs/>
          <w:color w:val="auto"/>
          <w:sz w:val="36"/>
          <w:szCs w:val="36"/>
        </w:rPr>
        <w:t>2.2 法定代表人资格证明书</w:t>
      </w:r>
    </w:p>
    <w:p>
      <w:pPr>
        <w:autoSpaceDE w:val="0"/>
        <w:autoSpaceDN w:val="0"/>
        <w:adjustRightInd w:val="0"/>
        <w:spacing w:line="480" w:lineRule="auto"/>
        <w:ind w:firstLine="616" w:firstLineChars="257"/>
        <w:rPr>
          <w:rFonts w:ascii="宋体" w:hAnsi="宋体" w:cs="宋体"/>
          <w:color w:val="auto"/>
          <w:sz w:val="24"/>
          <w:szCs w:val="24"/>
        </w:rPr>
      </w:pPr>
    </w:p>
    <w:p>
      <w:pPr>
        <w:pStyle w:val="142"/>
        <w:spacing w:line="480" w:lineRule="auto"/>
        <w:ind w:firstLine="540" w:firstLineChars="225"/>
        <w:jc w:val="left"/>
        <w:rPr>
          <w:rFonts w:hAnsi="宋体" w:cs="宋体"/>
          <w:color w:val="auto"/>
          <w:szCs w:val="24"/>
        </w:rPr>
      </w:pPr>
      <w:r>
        <w:rPr>
          <w:rFonts w:hint="eastAsia" w:hAnsi="宋体" w:cs="宋体"/>
          <w:color w:val="auto"/>
          <w:szCs w:val="24"/>
        </w:rPr>
        <w:t>单位名称：</w:t>
      </w:r>
    </w:p>
    <w:p>
      <w:pPr>
        <w:pStyle w:val="142"/>
        <w:spacing w:line="480" w:lineRule="auto"/>
        <w:ind w:firstLine="540" w:firstLineChars="225"/>
        <w:jc w:val="left"/>
        <w:rPr>
          <w:rFonts w:hAnsi="宋体" w:cs="宋体"/>
          <w:color w:val="auto"/>
          <w:szCs w:val="24"/>
        </w:rPr>
      </w:pPr>
      <w:r>
        <w:rPr>
          <w:rFonts w:hint="eastAsia" w:hAnsi="宋体" w:cs="宋体"/>
          <w:color w:val="auto"/>
          <w:szCs w:val="24"/>
        </w:rPr>
        <w:t>地址：</w:t>
      </w:r>
    </w:p>
    <w:p>
      <w:pPr>
        <w:pStyle w:val="142"/>
        <w:spacing w:line="480" w:lineRule="auto"/>
        <w:ind w:firstLine="540" w:firstLineChars="225"/>
        <w:jc w:val="left"/>
        <w:rPr>
          <w:rFonts w:hAnsi="宋体" w:cs="宋体"/>
          <w:color w:val="auto"/>
          <w:szCs w:val="24"/>
        </w:rPr>
      </w:pPr>
      <w:r>
        <w:rPr>
          <w:rFonts w:hint="eastAsia" w:hAnsi="宋体" w:cs="宋体"/>
          <w:color w:val="auto"/>
          <w:szCs w:val="24"/>
        </w:rPr>
        <w:t xml:space="preserve">姓名：       性别：     年龄：     职务：        </w:t>
      </w:r>
    </w:p>
    <w:p>
      <w:pPr>
        <w:pStyle w:val="142"/>
        <w:spacing w:line="480" w:lineRule="auto"/>
        <w:ind w:firstLine="540" w:firstLineChars="225"/>
        <w:jc w:val="left"/>
        <w:rPr>
          <w:rFonts w:hAnsi="宋体" w:cs="宋体"/>
          <w:color w:val="auto"/>
          <w:szCs w:val="24"/>
        </w:rPr>
      </w:pPr>
      <w:r>
        <w:rPr>
          <w:rFonts w:hint="eastAsia" w:hAnsi="宋体" w:cs="宋体"/>
          <w:color w:val="auto"/>
          <w:szCs w:val="24"/>
        </w:rPr>
        <w:t>本人系</w:t>
      </w:r>
      <w:r>
        <w:rPr>
          <w:rFonts w:hint="eastAsia" w:hAnsi="宋体" w:cs="宋体"/>
          <w:i/>
          <w:snapToGrid w:val="0"/>
          <w:color w:val="auto"/>
          <w:szCs w:val="24"/>
          <w:u w:val="single"/>
        </w:rPr>
        <w:t>投标人名称</w:t>
      </w:r>
      <w:r>
        <w:rPr>
          <w:rFonts w:hint="eastAsia" w:hAnsi="宋体" w:cs="宋体"/>
          <w:color w:val="auto"/>
          <w:szCs w:val="24"/>
        </w:rPr>
        <w:t>的法定代表人。就参加贵方项目编号为</w:t>
      </w:r>
      <w:r>
        <w:rPr>
          <w:rFonts w:hint="eastAsia" w:hAnsi="宋体" w:cs="宋体"/>
          <w:i/>
          <w:color w:val="auto"/>
          <w:szCs w:val="24"/>
          <w:u w:val="single"/>
        </w:rPr>
        <w:t>项目编号</w:t>
      </w:r>
      <w:r>
        <w:rPr>
          <w:rFonts w:hint="eastAsia" w:hAnsi="宋体" w:cs="宋体"/>
          <w:color w:val="auto"/>
          <w:szCs w:val="24"/>
        </w:rPr>
        <w:t>的</w:t>
      </w:r>
      <w:r>
        <w:rPr>
          <w:rFonts w:hint="eastAsia" w:hAnsi="宋体" w:cs="宋体"/>
          <w:i/>
          <w:color w:val="auto"/>
          <w:szCs w:val="24"/>
          <w:u w:val="single"/>
        </w:rPr>
        <w:t>项目名称</w:t>
      </w:r>
      <w:r>
        <w:rPr>
          <w:rFonts w:hint="eastAsia" w:hAnsi="宋体" w:cs="宋体"/>
          <w:color w:val="auto"/>
          <w:szCs w:val="24"/>
        </w:rPr>
        <w:t>公开招标项目的投标报价，签署上述项目的投标文件及合同的执行、完成、服务和保修，签署合同和处理与之有关的一切事务。</w:t>
      </w:r>
    </w:p>
    <w:p>
      <w:pPr>
        <w:pStyle w:val="142"/>
        <w:spacing w:line="480" w:lineRule="auto"/>
        <w:ind w:firstLine="540" w:firstLineChars="225"/>
        <w:jc w:val="left"/>
        <w:rPr>
          <w:rFonts w:hAnsi="宋体" w:cs="宋体"/>
          <w:color w:val="auto"/>
          <w:szCs w:val="24"/>
        </w:rPr>
      </w:pPr>
      <w:r>
        <w:rPr>
          <w:rFonts w:hint="eastAsia" w:hAnsi="宋体" w:cs="宋体"/>
          <w:color w:val="auto"/>
          <w:szCs w:val="24"/>
        </w:rPr>
        <w:t>特此证明。</w:t>
      </w:r>
    </w:p>
    <w:p>
      <w:pPr>
        <w:pStyle w:val="142"/>
        <w:spacing w:line="480" w:lineRule="auto"/>
        <w:ind w:firstLine="540" w:firstLineChars="225"/>
        <w:jc w:val="left"/>
        <w:rPr>
          <w:rFonts w:hAnsi="宋体" w:cs="宋体"/>
          <w:color w:val="auto"/>
          <w:szCs w:val="24"/>
        </w:rPr>
      </w:pPr>
    </w:p>
    <w:p>
      <w:pPr>
        <w:pStyle w:val="142"/>
        <w:spacing w:line="480" w:lineRule="auto"/>
        <w:ind w:firstLine="540" w:firstLineChars="225"/>
        <w:jc w:val="left"/>
        <w:rPr>
          <w:rFonts w:hAnsi="宋体" w:cs="宋体"/>
          <w:color w:val="auto"/>
          <w:szCs w:val="24"/>
        </w:rPr>
      </w:pPr>
    </w:p>
    <w:p>
      <w:pPr>
        <w:pStyle w:val="142"/>
        <w:spacing w:line="480" w:lineRule="auto"/>
        <w:ind w:left="-538" w:leftChars="-256" w:firstLine="616" w:firstLineChars="257"/>
        <w:jc w:val="center"/>
        <w:rPr>
          <w:rFonts w:hAnsi="宋体" w:cs="宋体"/>
          <w:bCs/>
          <w:color w:val="auto"/>
          <w:szCs w:val="24"/>
        </w:rPr>
      </w:pPr>
      <w:r>
        <w:rPr>
          <w:rFonts w:hint="eastAsia" w:hAnsi="宋体" w:cs="宋体"/>
          <w:bCs/>
          <w:color w:val="auto"/>
          <w:szCs w:val="24"/>
        </w:rPr>
        <w:t>【此处请粘贴法定代表人身份证明，需清晰反映身份证有效期限】</w:t>
      </w:r>
    </w:p>
    <w:p>
      <w:pPr>
        <w:pStyle w:val="142"/>
        <w:spacing w:line="480" w:lineRule="auto"/>
        <w:ind w:left="-538" w:leftChars="-256" w:firstLine="616" w:firstLineChars="257"/>
        <w:jc w:val="center"/>
        <w:rPr>
          <w:rFonts w:hAnsi="宋体" w:cs="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宋体"/>
          <w:color w:val="auto"/>
          <w:sz w:val="24"/>
          <w:szCs w:val="24"/>
          <w:u w:val="single"/>
        </w:rPr>
      </w:pPr>
      <w:r>
        <w:rPr>
          <w:rFonts w:hint="eastAsia" w:ascii="宋体" w:hAnsi="宋体" w:cs="宋体"/>
          <w:color w:val="auto"/>
          <w:sz w:val="24"/>
          <w:szCs w:val="24"/>
        </w:rPr>
        <w:t>投标人名称（并加盖公章）：</w:t>
      </w:r>
    </w:p>
    <w:p>
      <w:pPr>
        <w:pStyle w:val="145"/>
        <w:spacing w:before="60" w:line="480" w:lineRule="auto"/>
        <w:ind w:firstLine="3900" w:firstLineChars="1625"/>
        <w:rPr>
          <w:rFonts w:ascii="宋体" w:hAnsi="宋体" w:cs="宋体"/>
          <w:color w:val="auto"/>
          <w:szCs w:val="24"/>
        </w:rPr>
      </w:pPr>
      <w:r>
        <w:rPr>
          <w:rFonts w:hint="eastAsia" w:ascii="宋体" w:hAnsi="宋体" w:cs="宋体"/>
          <w:color w:val="auto"/>
          <w:szCs w:val="24"/>
        </w:rPr>
        <w:t>签署日期：   年   月  日</w:t>
      </w:r>
    </w:p>
    <w:p>
      <w:pPr>
        <w:pStyle w:val="144"/>
        <w:spacing w:line="480" w:lineRule="auto"/>
        <w:rPr>
          <w:rFonts w:ascii="宋体" w:hAnsi="宋体" w:cs="宋体"/>
          <w:color w:val="auto"/>
          <w:szCs w:val="24"/>
        </w:rPr>
      </w:pPr>
    </w:p>
    <w:p>
      <w:pPr>
        <w:rPr>
          <w:rFonts w:ascii="宋体" w:hAnsi="宋体" w:cs="宋体"/>
          <w:color w:val="auto"/>
        </w:rPr>
      </w:pPr>
    </w:p>
    <w:p>
      <w:pPr>
        <w:spacing w:line="320" w:lineRule="exact"/>
        <w:rPr>
          <w:rFonts w:ascii="宋体" w:hAnsi="宋体" w:cs="宋体"/>
          <w:bCs/>
          <w:color w:val="auto"/>
          <w:kern w:val="12"/>
          <w:sz w:val="24"/>
          <w:szCs w:val="24"/>
        </w:rPr>
      </w:pPr>
      <w:r>
        <w:rPr>
          <w:rFonts w:hint="eastAsia" w:ascii="宋体" w:hAnsi="宋体" w:cs="宋体"/>
          <w:bCs/>
          <w:color w:val="auto"/>
          <w:kern w:val="12"/>
          <w:sz w:val="24"/>
          <w:szCs w:val="24"/>
        </w:rPr>
        <w:t>说明：法定代表人参加本招标项目投标的，仅须出具此证明书。</w:t>
      </w:r>
    </w:p>
    <w:p>
      <w:pPr>
        <w:spacing w:line="480" w:lineRule="exact"/>
        <w:jc w:val="center"/>
        <w:rPr>
          <w:rFonts w:ascii="宋体" w:hAnsi="宋体" w:cs="宋体"/>
          <w:b/>
          <w:bCs/>
          <w:color w:val="auto"/>
          <w:sz w:val="36"/>
          <w:szCs w:val="36"/>
        </w:rPr>
      </w:pPr>
    </w:p>
    <w:p>
      <w:pPr>
        <w:spacing w:line="480" w:lineRule="exact"/>
        <w:jc w:val="center"/>
        <w:rPr>
          <w:rFonts w:ascii="宋体" w:hAnsi="宋体" w:cs="宋体"/>
          <w:b/>
          <w:bCs/>
          <w:color w:val="auto"/>
          <w:sz w:val="36"/>
          <w:szCs w:val="36"/>
        </w:rPr>
      </w:pPr>
    </w:p>
    <w:p>
      <w:pPr>
        <w:spacing w:line="480" w:lineRule="exact"/>
        <w:jc w:val="center"/>
        <w:rPr>
          <w:rFonts w:ascii="宋体" w:hAnsi="宋体" w:cs="宋体"/>
          <w:b/>
          <w:bCs/>
          <w:color w:val="auto"/>
          <w:sz w:val="36"/>
          <w:szCs w:val="36"/>
        </w:rPr>
      </w:pPr>
    </w:p>
    <w:p>
      <w:pPr>
        <w:spacing w:line="480" w:lineRule="exact"/>
        <w:jc w:val="center"/>
        <w:rPr>
          <w:rFonts w:ascii="宋体" w:hAnsi="宋体" w:cs="宋体"/>
          <w:b/>
          <w:bCs/>
          <w:color w:val="auto"/>
          <w:sz w:val="36"/>
          <w:szCs w:val="36"/>
        </w:rPr>
      </w:pPr>
    </w:p>
    <w:p>
      <w:pPr>
        <w:spacing w:line="480" w:lineRule="exact"/>
        <w:jc w:val="center"/>
        <w:rPr>
          <w:rFonts w:ascii="宋体" w:hAnsi="宋体" w:cs="宋体"/>
          <w:b/>
          <w:bCs/>
          <w:color w:val="auto"/>
          <w:sz w:val="36"/>
          <w:szCs w:val="36"/>
        </w:rPr>
      </w:pPr>
    </w:p>
    <w:p>
      <w:pPr>
        <w:spacing w:line="480" w:lineRule="exact"/>
        <w:jc w:val="center"/>
        <w:rPr>
          <w:rFonts w:ascii="宋体" w:hAnsi="宋体" w:cs="宋体"/>
          <w:b/>
          <w:bCs/>
          <w:color w:val="auto"/>
          <w:sz w:val="36"/>
          <w:szCs w:val="36"/>
        </w:rPr>
      </w:pPr>
      <w:r>
        <w:rPr>
          <w:rFonts w:hint="eastAsia" w:ascii="宋体" w:hAnsi="宋体" w:cs="宋体"/>
          <w:b/>
          <w:bCs/>
          <w:color w:val="auto"/>
          <w:sz w:val="36"/>
          <w:szCs w:val="36"/>
        </w:rPr>
        <w:t>2.3 法定代表人授权书</w:t>
      </w:r>
    </w:p>
    <w:p>
      <w:pPr>
        <w:spacing w:line="480" w:lineRule="exact"/>
        <w:jc w:val="center"/>
        <w:rPr>
          <w:rFonts w:ascii="宋体" w:hAnsi="宋体" w:cs="宋体"/>
          <w:b/>
          <w:bCs/>
          <w:color w:val="auto"/>
          <w:sz w:val="36"/>
          <w:szCs w:val="36"/>
        </w:rPr>
      </w:pP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 xml:space="preserve">　 </w:t>
      </w:r>
      <w:r>
        <w:rPr>
          <w:rFonts w:hint="eastAsia" w:ascii="宋体" w:hAnsi="宋体" w:cs="宋体"/>
          <w:i/>
          <w:snapToGrid w:val="0"/>
          <w:color w:val="auto"/>
          <w:sz w:val="24"/>
          <w:szCs w:val="24"/>
          <w:u w:val="single"/>
        </w:rPr>
        <w:t>法人姓名</w:t>
      </w:r>
      <w:r>
        <w:rPr>
          <w:rFonts w:hint="eastAsia" w:ascii="宋体" w:hAnsi="宋体" w:cs="宋体"/>
          <w:color w:val="auto"/>
          <w:sz w:val="24"/>
          <w:szCs w:val="24"/>
        </w:rPr>
        <w:t>系</w:t>
      </w:r>
      <w:r>
        <w:rPr>
          <w:rFonts w:hint="eastAsia" w:ascii="宋体" w:hAnsi="宋体" w:cs="宋体"/>
          <w:color w:val="auto"/>
          <w:sz w:val="24"/>
          <w:szCs w:val="24"/>
          <w:u w:val="single"/>
        </w:rPr>
        <w:t>　</w:t>
      </w:r>
      <w:r>
        <w:rPr>
          <w:rFonts w:hint="eastAsia" w:ascii="宋体" w:hAnsi="宋体" w:cs="宋体"/>
          <w:i/>
          <w:snapToGrid w:val="0"/>
          <w:color w:val="auto"/>
          <w:sz w:val="24"/>
          <w:szCs w:val="24"/>
          <w:u w:val="single"/>
        </w:rPr>
        <w:t xml:space="preserve">投标人名称  </w:t>
      </w:r>
      <w:r>
        <w:rPr>
          <w:rFonts w:hint="eastAsia" w:ascii="宋体" w:hAnsi="宋体" w:cs="宋体"/>
          <w:color w:val="auto"/>
          <w:sz w:val="24"/>
          <w:szCs w:val="24"/>
        </w:rPr>
        <w:t>的法定代表人，现委托</w:t>
      </w:r>
      <w:r>
        <w:rPr>
          <w:rFonts w:hint="eastAsia" w:ascii="宋体" w:hAnsi="宋体" w:cs="宋体"/>
          <w:color w:val="auto"/>
          <w:sz w:val="24"/>
          <w:szCs w:val="24"/>
          <w:u w:val="single"/>
        </w:rPr>
        <w:t xml:space="preserve">　 </w:t>
      </w:r>
      <w:r>
        <w:rPr>
          <w:rFonts w:hint="eastAsia" w:ascii="宋体" w:hAnsi="宋体" w:cs="宋体"/>
          <w:i/>
          <w:snapToGrid w:val="0"/>
          <w:color w:val="auto"/>
          <w:sz w:val="24"/>
          <w:szCs w:val="24"/>
          <w:u w:val="single"/>
        </w:rPr>
        <w:t>姓名，职务</w:t>
      </w:r>
      <w:r>
        <w:rPr>
          <w:rFonts w:hint="eastAsia" w:ascii="宋体" w:hAnsi="宋体" w:cs="宋体"/>
          <w:color w:val="auto"/>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我方对被授权人的签名事项负全部责任。</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宋体"/>
          <w:color w:val="auto"/>
          <w:sz w:val="24"/>
          <w:szCs w:val="24"/>
        </w:rPr>
      </w:pPr>
      <w:r>
        <w:rPr>
          <w:rFonts w:hint="eastAsia" w:ascii="宋体" w:hAnsi="宋体" w:cs="宋体"/>
          <w:color w:val="auto"/>
          <w:sz w:val="24"/>
          <w:szCs w:val="24"/>
        </w:rPr>
        <w:t>被授权人无转委托权，特此委托。</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投标人名称： </w:t>
      </w:r>
      <w:r>
        <w:rPr>
          <w:rFonts w:hint="eastAsia" w:ascii="宋体" w:hAnsi="宋体" w:cs="宋体"/>
          <w:color w:val="auto"/>
          <w:sz w:val="24"/>
          <w:szCs w:val="24"/>
          <w:u w:val="single"/>
        </w:rPr>
        <w:t xml:space="preserve">       （全称）   </w:t>
      </w:r>
      <w:r>
        <w:rPr>
          <w:rFonts w:hint="eastAsia" w:ascii="宋体" w:hAnsi="宋体" w:cs="宋体"/>
          <w:color w:val="auto"/>
          <w:sz w:val="24"/>
          <w:szCs w:val="24"/>
        </w:rPr>
        <w:t xml:space="preserve"> （盖单位公章）</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（签字或加盖名章）</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法定代表人授权代表：</w:t>
      </w:r>
      <w:r>
        <w:rPr>
          <w:rFonts w:hint="eastAsia" w:ascii="宋体" w:hAnsi="宋体" w:cs="宋体"/>
          <w:color w:val="auto"/>
          <w:sz w:val="24"/>
          <w:szCs w:val="24"/>
          <w:u w:val="single"/>
        </w:rPr>
        <w:t xml:space="preserve">            </w:t>
      </w:r>
      <w:r>
        <w:rPr>
          <w:rFonts w:hint="eastAsia" w:ascii="宋体" w:hAnsi="宋体" w:cs="宋体"/>
          <w:color w:val="auto"/>
          <w:sz w:val="24"/>
          <w:szCs w:val="24"/>
        </w:rPr>
        <w:t>（签字或加盖名章）</w:t>
      </w:r>
    </w:p>
    <w:tbl>
      <w:tblPr>
        <w:tblStyle w:val="3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cs="宋体"/>
                <w:color w:val="auto"/>
                <w:sz w:val="24"/>
                <w:szCs w:val="24"/>
              </w:rPr>
            </w:pPr>
            <w:r>
              <w:rPr>
                <w:rFonts w:hint="eastAsia" w:ascii="宋体" w:hAnsi="宋体" w:cs="宋体"/>
                <w:color w:val="auto"/>
                <w:sz w:val="24"/>
                <w:szCs w:val="24"/>
              </w:rPr>
              <w:t>法定代表人身份证（正面）</w:t>
            </w:r>
          </w:p>
        </w:tc>
        <w:tc>
          <w:tcPr>
            <w:tcW w:w="4471" w:type="dxa"/>
            <w:gridSpan w:val="2"/>
            <w:vAlign w:val="center"/>
          </w:tcPr>
          <w:p>
            <w:pPr>
              <w:jc w:val="center"/>
              <w:rPr>
                <w:rFonts w:ascii="宋体" w:hAnsi="宋体" w:cs="宋体"/>
                <w:color w:val="auto"/>
                <w:sz w:val="24"/>
                <w:szCs w:val="24"/>
              </w:rPr>
            </w:pPr>
            <w:r>
              <w:rPr>
                <w:rFonts w:hint="eastAsia" w:ascii="宋体" w:hAnsi="宋体" w:cs="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s="宋体"/>
                <w:color w:val="auto"/>
                <w:sz w:val="24"/>
                <w:szCs w:val="24"/>
              </w:rPr>
            </w:pPr>
            <w:bookmarkStart w:id="18" w:name="_资格证明文件"/>
            <w:bookmarkEnd w:id="18"/>
            <w:bookmarkStart w:id="19" w:name="_Toc364329026"/>
            <w:r>
              <w:rPr>
                <w:rFonts w:hint="eastAsia" w:ascii="宋体" w:hAnsi="宋体" w:cs="宋体"/>
                <w:color w:val="auto"/>
                <w:sz w:val="24"/>
                <w:szCs w:val="24"/>
              </w:rPr>
              <w:t>法定代表人授权代表身份证（正面）</w:t>
            </w:r>
            <w:bookmarkEnd w:id="19"/>
          </w:p>
        </w:tc>
        <w:tc>
          <w:tcPr>
            <w:tcW w:w="4464" w:type="dxa"/>
            <w:vAlign w:val="center"/>
          </w:tcPr>
          <w:p>
            <w:pPr>
              <w:jc w:val="center"/>
              <w:rPr>
                <w:rFonts w:ascii="宋体" w:hAnsi="宋体" w:cs="宋体"/>
                <w:color w:val="auto"/>
                <w:sz w:val="24"/>
                <w:szCs w:val="24"/>
              </w:rPr>
            </w:pPr>
            <w:bookmarkStart w:id="20" w:name="_Toc364329027"/>
            <w:r>
              <w:rPr>
                <w:rFonts w:hint="eastAsia" w:ascii="宋体" w:hAnsi="宋体" w:cs="宋体"/>
                <w:color w:val="auto"/>
                <w:sz w:val="24"/>
                <w:szCs w:val="24"/>
              </w:rPr>
              <w:t>法定代表人授权代表身份证（反面）</w:t>
            </w:r>
            <w:bookmarkEnd w:id="20"/>
          </w:p>
        </w:tc>
      </w:tr>
    </w:tbl>
    <w:p>
      <w:pPr>
        <w:spacing w:line="320" w:lineRule="exact"/>
        <w:ind w:left="2" w:firstLine="357" w:firstLineChars="149"/>
        <w:rPr>
          <w:rFonts w:ascii="宋体" w:hAnsi="宋体" w:cs="宋体"/>
          <w:color w:val="auto"/>
          <w:sz w:val="24"/>
          <w:szCs w:val="24"/>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r>
        <w:rPr>
          <w:rFonts w:hint="eastAsia" w:ascii="宋体" w:hAnsi="宋体" w:cs="宋体"/>
          <w:b/>
          <w:bCs/>
          <w:color w:val="auto"/>
          <w:sz w:val="36"/>
          <w:szCs w:val="36"/>
        </w:rPr>
        <w:t>2.4 没有重大违法记录的声明</w:t>
      </w:r>
    </w:p>
    <w:p>
      <w:pPr>
        <w:spacing w:before="120" w:beforeLines="50" w:after="120" w:afterLines="50"/>
        <w:jc w:val="center"/>
        <w:rPr>
          <w:rFonts w:ascii="宋体" w:hAnsi="宋体" w:cs="宋体"/>
          <w:b/>
          <w:bCs/>
          <w:color w:val="auto"/>
          <w:kern w:val="0"/>
          <w:sz w:val="36"/>
          <w:szCs w:val="36"/>
        </w:rPr>
      </w:pPr>
      <w:r>
        <w:rPr>
          <w:rFonts w:hint="eastAsia" w:ascii="宋体" w:hAnsi="宋体" w:cs="宋体"/>
          <w:b/>
          <w:bCs/>
          <w:color w:val="auto"/>
          <w:kern w:val="0"/>
          <w:sz w:val="36"/>
          <w:szCs w:val="36"/>
        </w:rPr>
        <w:t>声　   明</w:t>
      </w:r>
    </w:p>
    <w:p>
      <w:pPr>
        <w:spacing w:before="120" w:beforeLines="50" w:after="12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20" w:beforeLines="50" w:after="12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120" w:beforeLines="50" w:after="12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120" w:beforeLines="50" w:after="120" w:afterLines="50" w:line="360" w:lineRule="auto"/>
        <w:ind w:firstLine="566" w:firstLineChars="236"/>
        <w:rPr>
          <w:rFonts w:ascii="宋体" w:hAnsi="宋体" w:cs="宋体"/>
          <w:color w:val="auto"/>
          <w:sz w:val="24"/>
          <w:szCs w:val="24"/>
          <w:lang w:val="zh-CN"/>
        </w:rPr>
      </w:pPr>
    </w:p>
    <w:p>
      <w:pPr>
        <w:spacing w:before="120" w:beforeLines="50" w:after="12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120" w:beforeLines="50" w:after="12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spacing w:before="120" w:beforeLines="50" w:after="120" w:afterLines="50" w:line="360" w:lineRule="auto"/>
        <w:ind w:right="420" w:firstLine="5486" w:firstLineChars="2286"/>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cs="宋体"/>
          <w:b/>
          <w:bCs/>
          <w:color w:val="auto"/>
          <w:sz w:val="36"/>
          <w:szCs w:val="36"/>
        </w:rPr>
      </w:pPr>
    </w:p>
    <w:p>
      <w:pPr>
        <w:autoSpaceDE w:val="0"/>
        <w:autoSpaceDN w:val="0"/>
        <w:adjustRightInd w:val="0"/>
        <w:spacing w:line="360" w:lineRule="auto"/>
        <w:jc w:val="center"/>
        <w:outlineLvl w:val="0"/>
        <w:rPr>
          <w:rFonts w:ascii="宋体" w:hAnsi="宋体" w:cs="宋体"/>
          <w:b/>
          <w:bCs/>
          <w:color w:val="auto"/>
          <w:sz w:val="36"/>
          <w:szCs w:val="36"/>
        </w:rPr>
      </w:pPr>
      <w:r>
        <w:rPr>
          <w:rFonts w:hint="eastAsia" w:ascii="宋体" w:hAnsi="宋体" w:cs="宋体"/>
          <w:b/>
          <w:bCs/>
          <w:color w:val="auto"/>
          <w:sz w:val="36"/>
          <w:szCs w:val="36"/>
        </w:rPr>
        <w:t>2.5  财务状况报告相关材料</w:t>
      </w:r>
    </w:p>
    <w:p>
      <w:pPr>
        <w:autoSpaceDE w:val="0"/>
        <w:autoSpaceDN w:val="0"/>
        <w:adjustRightInd w:val="0"/>
        <w:spacing w:line="360" w:lineRule="auto"/>
        <w:ind w:firstLine="480" w:firstLineChars="200"/>
        <w:jc w:val="left"/>
        <w:outlineLvl w:val="0"/>
        <w:rPr>
          <w:rFonts w:ascii="宋体" w:hAnsi="宋体" w:cs="宋体"/>
          <w:color w:val="auto"/>
          <w:sz w:val="24"/>
        </w:rPr>
      </w:pPr>
    </w:p>
    <w:p>
      <w:pPr>
        <w:autoSpaceDE w:val="0"/>
        <w:autoSpaceDN w:val="0"/>
        <w:adjustRightInd w:val="0"/>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rPr>
        <w:t>审计单位与被审计单位不能是同一个单位，否则提供的财务会计报表无效。</w:t>
      </w:r>
    </w:p>
    <w:p>
      <w:pPr>
        <w:widowControl/>
        <w:spacing w:before="100" w:beforeAutospacing="1" w:after="100" w:afterAutospacing="1" w:line="360" w:lineRule="auto"/>
        <w:jc w:val="center"/>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36"/>
          <w:szCs w:val="36"/>
        </w:rPr>
      </w:pPr>
      <w:r>
        <w:rPr>
          <w:rFonts w:hint="eastAsia" w:ascii="宋体" w:hAnsi="宋体" w:cs="宋体"/>
          <w:b/>
          <w:bCs/>
          <w:color w:val="auto"/>
          <w:sz w:val="36"/>
          <w:szCs w:val="36"/>
        </w:rPr>
        <w:t>2.6 依法缴纳税收相关材料</w:t>
      </w: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ascii="宋体" w:hAnsi="宋体" w:cs="宋体"/>
          <w:b/>
          <w:bCs/>
          <w:color w:val="auto"/>
          <w:sz w:val="24"/>
          <w:szCs w:val="24"/>
        </w:rPr>
      </w:pPr>
    </w:p>
    <w:p>
      <w:pPr>
        <w:tabs>
          <w:tab w:val="left" w:pos="1185"/>
          <w:tab w:val="center" w:pos="4422"/>
        </w:tabs>
        <w:autoSpaceDE w:val="0"/>
        <w:autoSpaceDN w:val="0"/>
        <w:adjustRightInd w:val="0"/>
        <w:spacing w:line="360" w:lineRule="auto"/>
        <w:jc w:val="center"/>
        <w:outlineLvl w:val="0"/>
        <w:rPr>
          <w:rFonts w:ascii="宋体" w:hAnsi="宋体" w:cs="宋体"/>
          <w:b/>
          <w:bCs/>
          <w:color w:val="auto"/>
          <w:sz w:val="36"/>
          <w:szCs w:val="36"/>
        </w:rPr>
      </w:pPr>
      <w:r>
        <w:rPr>
          <w:rFonts w:hint="eastAsia" w:ascii="宋体" w:hAnsi="宋体" w:cs="宋体"/>
          <w:b/>
          <w:bCs/>
          <w:color w:val="auto"/>
          <w:sz w:val="36"/>
          <w:szCs w:val="36"/>
        </w:rPr>
        <w:t>2.7依法缴纳社会保障资金的证明材料</w:t>
      </w:r>
    </w:p>
    <w:p>
      <w:pPr>
        <w:autoSpaceDE w:val="0"/>
        <w:autoSpaceDN w:val="0"/>
        <w:adjustRightInd w:val="0"/>
        <w:spacing w:line="360" w:lineRule="auto"/>
        <w:jc w:val="center"/>
        <w:outlineLvl w:val="0"/>
        <w:rPr>
          <w:rFonts w:ascii="宋体" w:hAnsi="宋体" w:cs="宋体"/>
          <w:b/>
          <w:bCs/>
          <w:color w:val="auto"/>
          <w:sz w:val="24"/>
          <w:szCs w:val="24"/>
          <w:lang w:val="zh-CN"/>
        </w:rPr>
      </w:pPr>
    </w:p>
    <w:p>
      <w:pPr>
        <w:autoSpaceDE w:val="0"/>
        <w:autoSpaceDN w:val="0"/>
        <w:adjustRightInd w:val="0"/>
        <w:spacing w:line="360" w:lineRule="auto"/>
        <w:jc w:val="center"/>
        <w:outlineLvl w:val="0"/>
        <w:rPr>
          <w:rFonts w:ascii="宋体" w:hAnsi="宋体" w:cs="宋体"/>
          <w:b/>
          <w:bCs/>
          <w:color w:val="auto"/>
          <w:sz w:val="24"/>
          <w:szCs w:val="24"/>
        </w:rPr>
      </w:pPr>
    </w:p>
    <w:p>
      <w:pPr>
        <w:rPr>
          <w:rFonts w:ascii="宋体" w:hAnsi="宋体" w:cs="宋体"/>
          <w:bCs/>
          <w:color w:val="auto"/>
          <w:sz w:val="36"/>
          <w:szCs w:val="36"/>
        </w:rPr>
      </w:pPr>
    </w:p>
    <w:p>
      <w:pPr>
        <w:autoSpaceDE w:val="0"/>
        <w:autoSpaceDN w:val="0"/>
        <w:adjustRightInd w:val="0"/>
        <w:spacing w:line="360" w:lineRule="auto"/>
        <w:jc w:val="center"/>
        <w:outlineLvl w:val="0"/>
        <w:rPr>
          <w:rFonts w:ascii="宋体" w:hAnsi="宋体" w:cs="宋体"/>
          <w:b/>
          <w:bCs/>
          <w:color w:val="auto"/>
          <w:sz w:val="36"/>
          <w:szCs w:val="36"/>
        </w:rPr>
      </w:pPr>
      <w:r>
        <w:rPr>
          <w:rFonts w:hint="eastAsia" w:ascii="宋体" w:hAnsi="宋体" w:cs="宋体"/>
          <w:b/>
          <w:bCs/>
          <w:color w:val="auto"/>
          <w:sz w:val="36"/>
          <w:szCs w:val="36"/>
        </w:rPr>
        <w:t>2.8 投标承诺函</w:t>
      </w:r>
    </w:p>
    <w:p>
      <w:pPr>
        <w:rPr>
          <w:rFonts w:ascii="宋体" w:hAnsi="宋体" w:cs="宋体"/>
          <w:color w:val="auto"/>
          <w:lang w:val="zh-CN"/>
        </w:rPr>
      </w:pPr>
    </w:p>
    <w:p>
      <w:pPr>
        <w:autoSpaceDE w:val="0"/>
        <w:autoSpaceDN w:val="0"/>
        <w:adjustRightInd w:val="0"/>
        <w:spacing w:line="360" w:lineRule="auto"/>
        <w:jc w:val="center"/>
        <w:outlineLvl w:val="0"/>
        <w:rPr>
          <w:rFonts w:ascii="宋体" w:hAnsi="宋体" w:cs="宋体"/>
          <w:b/>
          <w:bCs/>
          <w:color w:val="auto"/>
          <w:sz w:val="32"/>
          <w:szCs w:val="32"/>
          <w:lang w:val="zh-CN"/>
        </w:rPr>
      </w:pPr>
      <w:r>
        <w:rPr>
          <w:rFonts w:hint="eastAsia" w:ascii="宋体" w:hAnsi="宋体" w:cs="宋体"/>
          <w:b/>
          <w:bCs/>
          <w:color w:val="auto"/>
          <w:sz w:val="32"/>
          <w:szCs w:val="32"/>
          <w:lang w:val="zh-CN"/>
        </w:rPr>
        <w:t>投标承诺函</w:t>
      </w:r>
    </w:p>
    <w:p>
      <w:pPr>
        <w:adjustRightInd w:val="0"/>
        <w:snapToGrid w:val="0"/>
        <w:spacing w:line="360" w:lineRule="auto"/>
        <w:ind w:firstLine="480" w:firstLineChars="200"/>
        <w:rPr>
          <w:rFonts w:ascii="宋体" w:hAnsi="宋体" w:cs="宋体"/>
          <w:color w:val="auto"/>
          <w:sz w:val="24"/>
          <w:szCs w:val="24"/>
        </w:rPr>
      </w:pP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本公司郑重承诺：</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一、将遵循公开、公平、公正和诚实信用的原则参加(采购项目名称)的投标;</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二、本次投标所提供的一切材料均真实、有效、合法; </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三、不与其他投标人相互串通投标报价，不排挤其他投标人的公平竞争，不损害采购人或其他投标人的合法权益;</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四、不与采购人或集中采购机构串通投标，不损害国家利益、社会公共利益或者他人的合法权益;</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宋体" w:hAnsi="宋体" w:cs="宋体"/>
          <w:color w:val="auto"/>
          <w:sz w:val="24"/>
          <w:szCs w:val="24"/>
        </w:rPr>
        <w:t>评标</w:t>
      </w:r>
      <w:r>
        <w:rPr>
          <w:rFonts w:hint="eastAsia" w:ascii="宋体" w:hAnsi="宋体" w:cs="宋体"/>
          <w:color w:val="auto"/>
          <w:sz w:val="24"/>
          <w:szCs w:val="24"/>
        </w:rPr>
        <w:fldChar w:fldCharType="end"/>
      </w:r>
      <w:r>
        <w:rPr>
          <w:rFonts w:hint="eastAsia" w:ascii="宋体" w:hAnsi="宋体" w:cs="宋体"/>
          <w:color w:val="auto"/>
          <w:sz w:val="24"/>
          <w:szCs w:val="24"/>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宋体" w:hAnsi="宋体" w:cs="宋体"/>
          <w:color w:val="auto"/>
          <w:sz w:val="24"/>
          <w:szCs w:val="24"/>
        </w:rPr>
        <w:t>中标</w:t>
      </w:r>
      <w:r>
        <w:rPr>
          <w:rFonts w:hint="eastAsia" w:ascii="宋体" w:hAnsi="宋体" w:cs="宋体"/>
          <w:color w:val="auto"/>
          <w:sz w:val="24"/>
          <w:szCs w:val="24"/>
        </w:rPr>
        <w:fldChar w:fldCharType="end"/>
      </w:r>
      <w:r>
        <w:rPr>
          <w:rFonts w:hint="eastAsia" w:ascii="宋体" w:hAnsi="宋体" w:cs="宋体"/>
          <w:color w:val="auto"/>
          <w:sz w:val="24"/>
          <w:szCs w:val="24"/>
        </w:rPr>
        <w:t>;</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六、不以他人名义投标或者以其他方式弄虚作假，骗取中标;</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七、不扰乱建安区政府采购市场秩序;</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宋体" w:hAnsi="宋体" w:cs="宋体"/>
          <w:color w:val="auto"/>
          <w:sz w:val="24"/>
          <w:szCs w:val="24"/>
        </w:rPr>
        <w:t>开标</w:t>
      </w:r>
      <w:r>
        <w:rPr>
          <w:rFonts w:hint="eastAsia" w:ascii="宋体" w:hAnsi="宋体" w:cs="宋体"/>
          <w:color w:val="auto"/>
          <w:sz w:val="24"/>
          <w:szCs w:val="24"/>
        </w:rPr>
        <w:fldChar w:fldCharType="end"/>
      </w:r>
      <w:r>
        <w:rPr>
          <w:rFonts w:hint="eastAsia" w:ascii="宋体" w:hAnsi="宋体" w:cs="宋体"/>
          <w:color w:val="auto"/>
          <w:sz w:val="24"/>
          <w:szCs w:val="24"/>
        </w:rPr>
        <w:t>后进行虚假恶意投诉;</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ascii="宋体" w:hAnsi="宋体" w:cs="宋体"/>
          <w:color w:val="auto"/>
          <w:sz w:val="24"/>
          <w:szCs w:val="24"/>
        </w:rPr>
        <w:t>招标文件</w:t>
      </w:r>
      <w:r>
        <w:rPr>
          <w:rFonts w:hint="eastAsia" w:ascii="宋体" w:hAnsi="宋体" w:cs="宋体"/>
          <w:color w:val="auto"/>
          <w:sz w:val="24"/>
          <w:szCs w:val="24"/>
        </w:rPr>
        <w:fldChar w:fldCharType="end"/>
      </w:r>
      <w:r>
        <w:rPr>
          <w:rFonts w:hint="eastAsia" w:ascii="宋体" w:hAnsi="宋体" w:cs="宋体"/>
          <w:color w:val="auto"/>
          <w:sz w:val="24"/>
          <w:szCs w:val="24"/>
        </w:rPr>
        <w:t>规定不予转包、分包的项目转包、分包于他人。</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十、我方一旦中标，将严格按照投标文件中所承诺的报价、质量、工期、实施方案、服务承诺等内容组织实施;</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本公司若有违反本承诺内容的行为，愿意承担法律责任，并接受相关处罚，包括：愿意接受相关行政主管部门作出的处罚、列入不良行为记录（黑名单）、限制交易和停止交易等市场准入与清出的处理。</w:t>
      </w:r>
    </w:p>
    <w:p>
      <w:pPr>
        <w:widowControl/>
        <w:spacing w:after="300" w:line="336" w:lineRule="atLeast"/>
        <w:rPr>
          <w:rFonts w:ascii="宋体" w:hAnsi="宋体" w:cs="宋体"/>
          <w:color w:val="auto"/>
          <w:sz w:val="24"/>
          <w:szCs w:val="24"/>
        </w:rPr>
      </w:pPr>
    </w:p>
    <w:p>
      <w:pPr>
        <w:widowControl/>
        <w:spacing w:after="300" w:line="336" w:lineRule="atLeast"/>
        <w:ind w:firstLine="4080" w:firstLineChars="1700"/>
        <w:rPr>
          <w:rFonts w:ascii="宋体" w:hAnsi="宋体" w:cs="宋体"/>
          <w:color w:val="auto"/>
          <w:sz w:val="24"/>
          <w:szCs w:val="24"/>
        </w:rPr>
      </w:pPr>
      <w:r>
        <w:rPr>
          <w:rFonts w:hint="eastAsia" w:ascii="宋体" w:hAnsi="宋体" w:cs="宋体"/>
          <w:color w:val="auto"/>
          <w:sz w:val="24"/>
          <w:szCs w:val="24"/>
        </w:rPr>
        <w:t>法定代表人或授权代表签字：</w:t>
      </w:r>
    </w:p>
    <w:p>
      <w:pPr>
        <w:widowControl/>
        <w:spacing w:after="300" w:line="336" w:lineRule="atLeast"/>
        <w:ind w:firstLine="4080" w:firstLineChars="1700"/>
        <w:rPr>
          <w:rFonts w:ascii="宋体" w:hAnsi="宋体" w:cs="宋体"/>
          <w:color w:val="auto"/>
          <w:sz w:val="24"/>
          <w:szCs w:val="24"/>
        </w:rPr>
      </w:pPr>
      <w:r>
        <w:rPr>
          <w:rFonts w:hint="eastAsia" w:ascii="宋体" w:hAnsi="宋体" w:cs="宋体"/>
          <w:color w:val="auto"/>
          <w:sz w:val="24"/>
          <w:szCs w:val="24"/>
        </w:rPr>
        <w:t>投标人名称(盖章)：</w:t>
      </w:r>
    </w:p>
    <w:p>
      <w:pPr>
        <w:autoSpaceDE w:val="0"/>
        <w:autoSpaceDN w:val="0"/>
        <w:adjustRightInd w:val="0"/>
        <w:spacing w:line="360" w:lineRule="auto"/>
        <w:ind w:right="600" w:firstLine="4680" w:firstLineChars="1950"/>
        <w:rPr>
          <w:rFonts w:ascii="宋体" w:hAnsi="宋体" w:cs="宋体"/>
          <w:b/>
          <w:bCs/>
          <w:color w:val="auto"/>
          <w:sz w:val="24"/>
          <w:szCs w:val="24"/>
        </w:rPr>
      </w:pPr>
      <w:r>
        <w:rPr>
          <w:rFonts w:hint="eastAsia" w:ascii="宋体" w:hAnsi="宋体" w:cs="宋体"/>
          <w:color w:val="auto"/>
          <w:sz w:val="24"/>
          <w:szCs w:val="24"/>
        </w:rPr>
        <w:t>年  月  日</w:t>
      </w:r>
    </w:p>
    <w:p>
      <w:pPr>
        <w:spacing w:before="120" w:beforeLines="50" w:after="120" w:afterLines="50" w:line="360" w:lineRule="auto"/>
        <w:ind w:right="420"/>
        <w:jc w:val="center"/>
        <w:rPr>
          <w:rFonts w:ascii="宋体" w:hAnsi="宋体" w:cs="宋体"/>
          <w:b/>
          <w:bCs/>
          <w:color w:val="auto"/>
          <w:sz w:val="24"/>
          <w:szCs w:val="24"/>
        </w:rPr>
      </w:pPr>
    </w:p>
    <w:p>
      <w:pPr>
        <w:spacing w:before="120" w:beforeLines="50" w:after="120" w:afterLines="50" w:line="360" w:lineRule="auto"/>
        <w:ind w:right="420"/>
        <w:jc w:val="center"/>
        <w:rPr>
          <w:rFonts w:ascii="宋体" w:hAnsi="宋体" w:cs="宋体"/>
          <w:b/>
          <w:bCs/>
          <w:color w:val="auto"/>
          <w:sz w:val="24"/>
          <w:szCs w:val="24"/>
        </w:rPr>
      </w:pPr>
    </w:p>
    <w:p>
      <w:pPr>
        <w:widowControl/>
        <w:spacing w:before="100" w:beforeAutospacing="1" w:after="100" w:afterAutospacing="1" w:line="360" w:lineRule="auto"/>
        <w:jc w:val="center"/>
        <w:rPr>
          <w:rFonts w:ascii="宋体" w:hAnsi="宋体" w:cs="宋体"/>
          <w:b/>
          <w:bCs/>
          <w:color w:val="auto"/>
          <w:sz w:val="36"/>
          <w:szCs w:val="36"/>
        </w:rPr>
      </w:pPr>
      <w:r>
        <w:rPr>
          <w:rFonts w:hint="eastAsia" w:ascii="宋体" w:hAnsi="宋体" w:cs="宋体"/>
          <w:b/>
          <w:bCs/>
          <w:color w:val="auto"/>
          <w:sz w:val="36"/>
          <w:szCs w:val="36"/>
        </w:rPr>
        <w:t>2.9投标人资格要求</w:t>
      </w:r>
    </w:p>
    <w:p>
      <w:pPr>
        <w:widowControl/>
        <w:spacing w:before="100" w:beforeAutospacing="1" w:after="100" w:afterAutospacing="1" w:line="360" w:lineRule="auto"/>
        <w:jc w:val="center"/>
        <w:rPr>
          <w:rFonts w:ascii="宋体" w:hAnsi="宋体" w:cs="宋体"/>
          <w:bCs/>
          <w:color w:val="auto"/>
          <w:sz w:val="36"/>
          <w:szCs w:val="36"/>
        </w:rPr>
      </w:pPr>
      <w:r>
        <w:rPr>
          <w:rFonts w:hint="eastAsia" w:ascii="宋体" w:hAnsi="宋体" w:cs="宋体"/>
          <w:bCs/>
          <w:color w:val="auto"/>
          <w:kern w:val="0"/>
          <w:sz w:val="24"/>
          <w:szCs w:val="24"/>
        </w:rPr>
        <w:t>（附资质证书等）</w:t>
      </w: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p>
    <w:p>
      <w:pPr>
        <w:widowControl/>
        <w:spacing w:before="100" w:beforeAutospacing="1" w:after="100" w:afterAutospacing="1" w:line="360" w:lineRule="auto"/>
        <w:jc w:val="center"/>
        <w:rPr>
          <w:rFonts w:ascii="宋体" w:hAnsi="宋体" w:cs="宋体"/>
          <w:b/>
          <w:bCs/>
          <w:color w:val="auto"/>
          <w:sz w:val="36"/>
          <w:szCs w:val="36"/>
        </w:rPr>
      </w:pPr>
      <w:r>
        <w:rPr>
          <w:rFonts w:hint="eastAsia" w:ascii="宋体" w:hAnsi="宋体" w:cs="宋体"/>
          <w:b/>
          <w:bCs/>
          <w:color w:val="auto"/>
          <w:sz w:val="36"/>
          <w:szCs w:val="36"/>
        </w:rPr>
        <w:t xml:space="preserve">2.10其他资格证明、证书或材料 </w:t>
      </w:r>
    </w:p>
    <w:p>
      <w:pPr>
        <w:widowControl/>
        <w:spacing w:before="100" w:beforeAutospacing="1" w:after="100" w:afterAutospacing="1" w:line="360" w:lineRule="auto"/>
        <w:jc w:val="center"/>
        <w:rPr>
          <w:rFonts w:ascii="宋体" w:hAnsi="宋体" w:cs="宋体"/>
          <w:b/>
          <w:bCs/>
          <w:color w:val="auto"/>
          <w:sz w:val="36"/>
          <w:szCs w:val="36"/>
        </w:rPr>
      </w:pPr>
    </w:p>
    <w:p>
      <w:pPr>
        <w:autoSpaceDE w:val="0"/>
        <w:autoSpaceDN w:val="0"/>
        <w:adjustRightInd w:val="0"/>
        <w:spacing w:line="360" w:lineRule="auto"/>
        <w:jc w:val="center"/>
        <w:outlineLvl w:val="0"/>
        <w:rPr>
          <w:rFonts w:ascii="宋体" w:hAnsi="宋体" w:cs="宋体"/>
          <w:b/>
          <w:snapToGrid w:val="0"/>
          <w:color w:val="auto"/>
          <w:kern w:val="0"/>
          <w:sz w:val="36"/>
          <w:szCs w:val="36"/>
        </w:rPr>
      </w:pPr>
    </w:p>
    <w:p>
      <w:pPr>
        <w:autoSpaceDE w:val="0"/>
        <w:autoSpaceDN w:val="0"/>
        <w:adjustRightInd w:val="0"/>
        <w:spacing w:line="360" w:lineRule="auto"/>
        <w:jc w:val="center"/>
        <w:outlineLvl w:val="0"/>
        <w:rPr>
          <w:rFonts w:ascii="宋体" w:hAnsi="宋体" w:cs="宋体"/>
          <w:b/>
          <w:snapToGrid w:val="0"/>
          <w:color w:val="auto"/>
          <w:kern w:val="0"/>
          <w:sz w:val="36"/>
          <w:szCs w:val="36"/>
        </w:rPr>
      </w:pPr>
    </w:p>
    <w:p>
      <w:pPr>
        <w:autoSpaceDE w:val="0"/>
        <w:autoSpaceDN w:val="0"/>
        <w:adjustRightInd w:val="0"/>
        <w:spacing w:line="360" w:lineRule="auto"/>
        <w:jc w:val="center"/>
        <w:outlineLvl w:val="0"/>
        <w:rPr>
          <w:rFonts w:ascii="宋体" w:hAnsi="宋体" w:cs="宋体"/>
          <w:b/>
          <w:snapToGrid w:val="0"/>
          <w:color w:val="auto"/>
          <w:kern w:val="0"/>
          <w:sz w:val="36"/>
          <w:szCs w:val="36"/>
        </w:rPr>
      </w:pPr>
    </w:p>
    <w:p>
      <w:pPr>
        <w:autoSpaceDE w:val="0"/>
        <w:autoSpaceDN w:val="0"/>
        <w:adjustRightInd w:val="0"/>
        <w:spacing w:line="360" w:lineRule="auto"/>
        <w:jc w:val="center"/>
        <w:outlineLvl w:val="0"/>
        <w:rPr>
          <w:rFonts w:ascii="宋体" w:hAnsi="宋体" w:cs="宋体"/>
          <w:b/>
          <w:snapToGrid w:val="0"/>
          <w:color w:val="auto"/>
          <w:kern w:val="0"/>
          <w:sz w:val="36"/>
          <w:szCs w:val="36"/>
        </w:rPr>
      </w:pPr>
    </w:p>
    <w:p>
      <w:pPr>
        <w:autoSpaceDE w:val="0"/>
        <w:autoSpaceDN w:val="0"/>
        <w:adjustRightInd w:val="0"/>
        <w:spacing w:line="360" w:lineRule="auto"/>
        <w:jc w:val="center"/>
        <w:rPr>
          <w:rFonts w:ascii="宋体" w:hAnsi="宋体" w:cs="宋体"/>
          <w:b/>
          <w:bCs/>
          <w:color w:val="auto"/>
          <w:sz w:val="44"/>
          <w:szCs w:val="44"/>
          <w:lang w:val="zh-CN"/>
        </w:rPr>
      </w:pPr>
    </w:p>
    <w:p>
      <w:pPr>
        <w:autoSpaceDE w:val="0"/>
        <w:autoSpaceDN w:val="0"/>
        <w:adjustRightInd w:val="0"/>
        <w:spacing w:line="360" w:lineRule="auto"/>
        <w:jc w:val="center"/>
        <w:rPr>
          <w:rFonts w:ascii="宋体" w:hAnsi="宋体" w:cs="宋体"/>
          <w:b/>
          <w:bCs/>
          <w:color w:val="auto"/>
          <w:sz w:val="44"/>
          <w:szCs w:val="44"/>
          <w:lang w:val="zh-CN"/>
        </w:rPr>
      </w:pPr>
    </w:p>
    <w:p>
      <w:pPr>
        <w:autoSpaceDE w:val="0"/>
        <w:autoSpaceDN w:val="0"/>
        <w:adjustRightInd w:val="0"/>
        <w:spacing w:line="360" w:lineRule="auto"/>
        <w:jc w:val="center"/>
        <w:rPr>
          <w:rFonts w:ascii="宋体" w:hAnsi="宋体" w:cs="宋体"/>
          <w:b/>
          <w:bCs/>
          <w:color w:val="auto"/>
          <w:sz w:val="44"/>
          <w:szCs w:val="44"/>
          <w:lang w:val="zh-CN"/>
        </w:rPr>
      </w:pPr>
    </w:p>
    <w:p>
      <w:pPr>
        <w:autoSpaceDE w:val="0"/>
        <w:autoSpaceDN w:val="0"/>
        <w:adjustRightInd w:val="0"/>
        <w:spacing w:line="360" w:lineRule="auto"/>
        <w:jc w:val="center"/>
        <w:rPr>
          <w:rFonts w:ascii="宋体" w:hAnsi="宋体" w:cs="宋体"/>
          <w:b/>
          <w:bCs/>
          <w:color w:val="auto"/>
          <w:sz w:val="44"/>
          <w:szCs w:val="44"/>
          <w:lang w:val="zh-CN"/>
        </w:rPr>
      </w:pPr>
    </w:p>
    <w:p>
      <w:pPr>
        <w:autoSpaceDE w:val="0"/>
        <w:autoSpaceDN w:val="0"/>
        <w:adjustRightInd w:val="0"/>
        <w:spacing w:line="360" w:lineRule="auto"/>
        <w:jc w:val="center"/>
        <w:rPr>
          <w:rFonts w:ascii="宋体" w:hAnsi="宋体" w:cs="宋体"/>
          <w:b/>
          <w:bCs/>
          <w:color w:val="auto"/>
          <w:sz w:val="44"/>
          <w:szCs w:val="44"/>
          <w:lang w:val="zh-CN"/>
        </w:rPr>
      </w:pPr>
    </w:p>
    <w:p>
      <w:pPr>
        <w:autoSpaceDE w:val="0"/>
        <w:autoSpaceDN w:val="0"/>
        <w:adjustRightInd w:val="0"/>
        <w:spacing w:line="360" w:lineRule="auto"/>
        <w:jc w:val="center"/>
        <w:rPr>
          <w:rFonts w:ascii="宋体" w:hAnsi="宋体" w:cs="宋体"/>
          <w:b/>
          <w:bCs/>
          <w:color w:val="auto"/>
          <w:sz w:val="44"/>
          <w:szCs w:val="44"/>
          <w:lang w:val="zh-CN"/>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b/>
          <w:bCs/>
          <w:color w:val="auto"/>
          <w:sz w:val="44"/>
          <w:szCs w:val="44"/>
          <w:lang w:val="zh-CN"/>
        </w:rPr>
        <w:t>三、符合性审查证明材料</w:t>
      </w:r>
    </w:p>
    <w:p>
      <w:pPr>
        <w:spacing w:line="300" w:lineRule="exact"/>
        <w:rPr>
          <w:rFonts w:ascii="宋体" w:hAnsi="宋体" w:cs="宋体"/>
          <w:color w:val="auto"/>
          <w:sz w:val="24"/>
          <w:szCs w:val="24"/>
        </w:rPr>
      </w:pPr>
    </w:p>
    <w:p>
      <w:pPr>
        <w:autoSpaceDE w:val="0"/>
        <w:autoSpaceDN w:val="0"/>
        <w:adjustRightInd w:val="0"/>
        <w:spacing w:line="360" w:lineRule="auto"/>
        <w:jc w:val="center"/>
        <w:rPr>
          <w:rFonts w:ascii="宋体" w:hAnsi="宋体" w:cs="宋体"/>
          <w:b/>
          <w:bCs/>
          <w:color w:val="auto"/>
          <w:sz w:val="36"/>
          <w:szCs w:val="36"/>
        </w:rPr>
      </w:pPr>
    </w:p>
    <w:p>
      <w:pPr>
        <w:autoSpaceDE w:val="0"/>
        <w:autoSpaceDN w:val="0"/>
        <w:adjustRightInd w:val="0"/>
        <w:spacing w:line="360" w:lineRule="auto"/>
        <w:jc w:val="center"/>
        <w:rPr>
          <w:rFonts w:ascii="宋体" w:hAnsi="宋体" w:cs="宋体"/>
          <w:b/>
          <w:bCs/>
          <w:color w:val="auto"/>
          <w:sz w:val="44"/>
          <w:szCs w:val="44"/>
          <w:lang w:val="zh-CN"/>
        </w:rPr>
      </w:pPr>
      <w:r>
        <w:rPr>
          <w:rFonts w:hint="eastAsia" w:ascii="宋体" w:hAnsi="宋体" w:cs="宋体"/>
          <w:b/>
          <w:bCs/>
          <w:color w:val="auto"/>
          <w:sz w:val="36"/>
          <w:szCs w:val="36"/>
        </w:rPr>
        <w:t xml:space="preserve">3.1 </w:t>
      </w:r>
      <w:r>
        <w:rPr>
          <w:rFonts w:hint="eastAsia" w:ascii="宋体" w:hAnsi="宋体" w:cs="宋体"/>
          <w:b/>
          <w:snapToGrid w:val="0"/>
          <w:color w:val="auto"/>
          <w:kern w:val="0"/>
          <w:sz w:val="36"/>
          <w:szCs w:val="36"/>
        </w:rPr>
        <w:t>技术方案</w:t>
      </w:r>
    </w:p>
    <w:p>
      <w:pPr>
        <w:snapToGrid w:val="0"/>
        <w:spacing w:line="360" w:lineRule="auto"/>
        <w:jc w:val="center"/>
        <w:rPr>
          <w:rFonts w:ascii="宋体" w:hAnsi="宋体" w:cs="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center"/>
        <w:rPr>
          <w:rFonts w:ascii="宋体" w:hAnsi="宋体" w:cs="宋体"/>
          <w:b/>
          <w:snapToGrid w:val="0"/>
          <w:color w:val="auto"/>
          <w:kern w:val="0"/>
          <w:sz w:val="36"/>
          <w:szCs w:val="36"/>
        </w:rPr>
      </w:pPr>
    </w:p>
    <w:p>
      <w:pPr>
        <w:snapToGrid w:val="0"/>
        <w:spacing w:line="360" w:lineRule="auto"/>
        <w:jc w:val="center"/>
        <w:rPr>
          <w:rFonts w:ascii="宋体" w:hAnsi="宋体" w:cs="宋体"/>
          <w:b/>
          <w:bCs/>
          <w:color w:val="auto"/>
          <w:sz w:val="36"/>
          <w:szCs w:val="36"/>
        </w:rPr>
      </w:pPr>
    </w:p>
    <w:p>
      <w:pPr>
        <w:snapToGrid w:val="0"/>
        <w:spacing w:line="360" w:lineRule="auto"/>
        <w:jc w:val="center"/>
        <w:rPr>
          <w:rFonts w:ascii="宋体" w:hAnsi="宋体" w:cs="宋体"/>
          <w:b/>
          <w:snapToGrid w:val="0"/>
          <w:color w:val="auto"/>
          <w:kern w:val="0"/>
          <w:sz w:val="36"/>
          <w:szCs w:val="36"/>
        </w:rPr>
      </w:pPr>
      <w:r>
        <w:rPr>
          <w:rFonts w:hint="eastAsia" w:ascii="宋体" w:hAnsi="宋体" w:cs="宋体"/>
          <w:b/>
          <w:bCs/>
          <w:color w:val="auto"/>
          <w:sz w:val="36"/>
          <w:szCs w:val="36"/>
        </w:rPr>
        <w:t xml:space="preserve">3.2 </w:t>
      </w:r>
      <w:r>
        <w:rPr>
          <w:rFonts w:hint="eastAsia" w:ascii="宋体" w:hAnsi="宋体" w:cs="宋体"/>
          <w:b/>
          <w:snapToGrid w:val="0"/>
          <w:color w:val="auto"/>
          <w:kern w:val="0"/>
          <w:sz w:val="36"/>
          <w:szCs w:val="36"/>
        </w:rPr>
        <w:t>业绩情况表</w:t>
      </w:r>
    </w:p>
    <w:p>
      <w:pPr>
        <w:spacing w:before="50" w:after="120" w:afterLines="50" w:line="360" w:lineRule="auto"/>
        <w:contextualSpacing/>
        <w:jc w:val="left"/>
        <w:rPr>
          <w:rFonts w:ascii="宋体"/>
          <w:color w:val="auto"/>
          <w:sz w:val="24"/>
          <w:szCs w:val="24"/>
        </w:rPr>
      </w:pPr>
      <w:r>
        <w:rPr>
          <w:rFonts w:hint="eastAsia" w:ascii="宋体" w:hAnsi="宋体"/>
          <w:color w:val="auto"/>
          <w:sz w:val="24"/>
          <w:szCs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szCs w:val="24"/>
        </w:rPr>
        <w:t>项目名称：</w:t>
      </w:r>
      <w:r>
        <w:rPr>
          <w:rFonts w:ascii="宋体" w:hAnsi="宋体"/>
          <w:color w:val="auto"/>
          <w:sz w:val="24"/>
          <w:szCs w:val="24"/>
        </w:rPr>
        <w:t xml:space="preserve">   </w:t>
      </w:r>
    </w:p>
    <w:tbl>
      <w:tblPr>
        <w:tblStyle w:val="3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14"/>
              <w:jc w:val="center"/>
              <w:rPr>
                <w:rFonts w:ascii="宋体" w:hAnsi="宋体" w:eastAsia="宋体"/>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14"/>
              <w:jc w:val="center"/>
              <w:rPr>
                <w:rFonts w:ascii="宋体" w:hAnsi="宋体" w:eastAsia="宋体"/>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14"/>
              <w:jc w:val="center"/>
              <w:rPr>
                <w:rFonts w:ascii="宋体" w:hAnsi="宋体" w:eastAsia="宋体"/>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14"/>
              <w:jc w:val="center"/>
              <w:rPr>
                <w:rFonts w:ascii="宋体" w:hAnsi="宋体" w:eastAsia="宋体"/>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4"/>
              <w:spacing w:line="360" w:lineRule="auto"/>
              <w:rPr>
                <w:rFonts w:ascii="宋体" w:hAnsi="宋体" w:eastAsia="宋体"/>
                <w:color w:val="auto"/>
                <w:sz w:val="24"/>
                <w:szCs w:val="24"/>
              </w:rPr>
            </w:pPr>
          </w:p>
        </w:tc>
        <w:tc>
          <w:tcPr>
            <w:tcW w:w="3579" w:type="dxa"/>
            <w:vAlign w:val="center"/>
          </w:tcPr>
          <w:p>
            <w:pPr>
              <w:pStyle w:val="14"/>
              <w:spacing w:line="360" w:lineRule="auto"/>
              <w:rPr>
                <w:rFonts w:ascii="宋体" w:hAnsi="宋体" w:eastAsia="宋体"/>
                <w:color w:val="auto"/>
                <w:sz w:val="24"/>
                <w:szCs w:val="24"/>
              </w:rPr>
            </w:pPr>
          </w:p>
        </w:tc>
        <w:tc>
          <w:tcPr>
            <w:tcW w:w="1440" w:type="dxa"/>
            <w:vAlign w:val="center"/>
          </w:tcPr>
          <w:p>
            <w:pPr>
              <w:pStyle w:val="14"/>
              <w:spacing w:line="360" w:lineRule="auto"/>
              <w:rPr>
                <w:rFonts w:ascii="宋体" w:hAnsi="宋体" w:eastAsia="宋体"/>
                <w:color w:val="auto"/>
                <w:sz w:val="24"/>
                <w:szCs w:val="24"/>
              </w:rPr>
            </w:pPr>
          </w:p>
        </w:tc>
        <w:tc>
          <w:tcPr>
            <w:tcW w:w="1706" w:type="dxa"/>
            <w:vAlign w:val="center"/>
          </w:tcPr>
          <w:p>
            <w:pPr>
              <w:pStyle w:val="14"/>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4"/>
              <w:spacing w:line="360" w:lineRule="auto"/>
              <w:rPr>
                <w:rFonts w:ascii="宋体" w:hAnsi="宋体" w:eastAsia="宋体"/>
                <w:color w:val="auto"/>
                <w:sz w:val="24"/>
                <w:szCs w:val="24"/>
              </w:rPr>
            </w:pPr>
          </w:p>
        </w:tc>
        <w:tc>
          <w:tcPr>
            <w:tcW w:w="3579" w:type="dxa"/>
            <w:vAlign w:val="center"/>
          </w:tcPr>
          <w:p>
            <w:pPr>
              <w:pStyle w:val="14"/>
              <w:spacing w:line="360" w:lineRule="auto"/>
              <w:rPr>
                <w:rFonts w:ascii="宋体" w:hAnsi="宋体" w:eastAsia="宋体"/>
                <w:color w:val="auto"/>
                <w:sz w:val="24"/>
                <w:szCs w:val="24"/>
              </w:rPr>
            </w:pPr>
          </w:p>
        </w:tc>
        <w:tc>
          <w:tcPr>
            <w:tcW w:w="1440" w:type="dxa"/>
            <w:vAlign w:val="center"/>
          </w:tcPr>
          <w:p>
            <w:pPr>
              <w:pStyle w:val="14"/>
              <w:spacing w:line="360" w:lineRule="auto"/>
              <w:rPr>
                <w:rFonts w:ascii="宋体" w:hAnsi="宋体" w:eastAsia="宋体"/>
                <w:color w:val="auto"/>
                <w:sz w:val="24"/>
                <w:szCs w:val="24"/>
              </w:rPr>
            </w:pPr>
          </w:p>
        </w:tc>
        <w:tc>
          <w:tcPr>
            <w:tcW w:w="1706" w:type="dxa"/>
            <w:vAlign w:val="center"/>
          </w:tcPr>
          <w:p>
            <w:pPr>
              <w:pStyle w:val="14"/>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4"/>
              <w:spacing w:line="360" w:lineRule="auto"/>
              <w:rPr>
                <w:rFonts w:ascii="宋体" w:hAnsi="宋体" w:eastAsia="宋体"/>
                <w:color w:val="auto"/>
                <w:sz w:val="24"/>
                <w:szCs w:val="24"/>
              </w:rPr>
            </w:pPr>
          </w:p>
        </w:tc>
        <w:tc>
          <w:tcPr>
            <w:tcW w:w="3579" w:type="dxa"/>
            <w:vAlign w:val="center"/>
          </w:tcPr>
          <w:p>
            <w:pPr>
              <w:pStyle w:val="14"/>
              <w:spacing w:line="360" w:lineRule="auto"/>
              <w:rPr>
                <w:rFonts w:ascii="宋体" w:hAnsi="宋体" w:eastAsia="宋体"/>
                <w:color w:val="auto"/>
                <w:sz w:val="24"/>
                <w:szCs w:val="24"/>
              </w:rPr>
            </w:pPr>
          </w:p>
        </w:tc>
        <w:tc>
          <w:tcPr>
            <w:tcW w:w="1440" w:type="dxa"/>
            <w:vAlign w:val="center"/>
          </w:tcPr>
          <w:p>
            <w:pPr>
              <w:pStyle w:val="14"/>
              <w:spacing w:line="360" w:lineRule="auto"/>
              <w:rPr>
                <w:rFonts w:ascii="宋体" w:hAnsi="宋体" w:eastAsia="宋体"/>
                <w:color w:val="auto"/>
                <w:sz w:val="24"/>
                <w:szCs w:val="24"/>
              </w:rPr>
            </w:pPr>
          </w:p>
        </w:tc>
        <w:tc>
          <w:tcPr>
            <w:tcW w:w="1706" w:type="dxa"/>
            <w:vAlign w:val="center"/>
          </w:tcPr>
          <w:p>
            <w:pPr>
              <w:pStyle w:val="14"/>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color w:val="auto"/>
          <w:sz w:val="24"/>
          <w:szCs w:val="24"/>
          <w:lang w:val="zh-CN"/>
        </w:rPr>
      </w:pPr>
      <w:r>
        <w:rPr>
          <w:rFonts w:hint="eastAsia" w:ascii="宋体" w:hAnsi="宋体"/>
          <w:color w:val="auto"/>
          <w:sz w:val="24"/>
          <w:szCs w:val="24"/>
          <w:lang w:val="zh-CN"/>
        </w:rPr>
        <w:t>投标人（公章）：</w:t>
      </w:r>
    </w:p>
    <w:p>
      <w:pPr>
        <w:jc w:val="left"/>
        <w:rPr>
          <w:rFonts w:ascii="宋体" w:hAnsi="宋体" w:cs="宋体"/>
          <w:b/>
          <w:snapToGrid w:val="0"/>
          <w:color w:val="auto"/>
          <w:kern w:val="0"/>
          <w:sz w:val="36"/>
          <w:szCs w:val="36"/>
        </w:rPr>
      </w:pPr>
      <w:r>
        <w:rPr>
          <w:rFonts w:hint="eastAsia" w:ascii="宋体" w:hAnsi="宋体"/>
          <w:color w:val="auto"/>
          <w:sz w:val="24"/>
          <w:szCs w:val="24"/>
          <w:lang w:val="zh-CN"/>
        </w:rPr>
        <w:t>投标人法定代表人（或授权代表）签字：</w:t>
      </w:r>
    </w:p>
    <w:p>
      <w:pPr>
        <w:jc w:val="center"/>
        <w:rPr>
          <w:rFonts w:ascii="宋体" w:hAnsi="宋体" w:cs="宋体"/>
          <w:b/>
          <w:snapToGrid w:val="0"/>
          <w:color w:val="auto"/>
          <w:kern w:val="0"/>
          <w:sz w:val="36"/>
          <w:szCs w:val="36"/>
        </w:rPr>
      </w:pPr>
    </w:p>
    <w:p>
      <w:pPr>
        <w:jc w:val="center"/>
        <w:rPr>
          <w:rFonts w:ascii="宋体" w:hAnsi="宋体" w:cs="宋体"/>
          <w:b/>
          <w:snapToGrid w:val="0"/>
          <w:color w:val="auto"/>
          <w:kern w:val="0"/>
          <w:sz w:val="36"/>
          <w:szCs w:val="36"/>
        </w:rPr>
      </w:pPr>
    </w:p>
    <w:p>
      <w:pPr>
        <w:jc w:val="center"/>
        <w:rPr>
          <w:rFonts w:ascii="宋体" w:hAnsi="宋体" w:cs="宋体"/>
          <w:b/>
          <w:snapToGrid w:val="0"/>
          <w:color w:val="auto"/>
          <w:kern w:val="0"/>
          <w:sz w:val="36"/>
          <w:szCs w:val="36"/>
        </w:rPr>
      </w:pPr>
    </w:p>
    <w:p>
      <w:pPr>
        <w:rPr>
          <w:rFonts w:ascii="宋体" w:hAnsi="宋体" w:cs="宋体"/>
          <w:b/>
          <w:snapToGrid w:val="0"/>
          <w:color w:val="auto"/>
          <w:kern w:val="0"/>
          <w:sz w:val="36"/>
          <w:szCs w:val="36"/>
        </w:rPr>
      </w:pPr>
      <w:r>
        <w:rPr>
          <w:rFonts w:hint="eastAsia" w:ascii="宋体" w:hAnsi="宋体" w:cs="宋体"/>
          <w:b/>
          <w:snapToGrid w:val="0"/>
          <w:color w:val="auto"/>
          <w:kern w:val="0"/>
          <w:sz w:val="36"/>
          <w:szCs w:val="36"/>
        </w:rPr>
        <w:br w:type="page"/>
      </w:r>
    </w:p>
    <w:p>
      <w:pPr>
        <w:autoSpaceDE w:val="0"/>
        <w:autoSpaceDN w:val="0"/>
        <w:adjustRightInd w:val="0"/>
        <w:spacing w:line="360" w:lineRule="auto"/>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r>
        <w:rPr>
          <w:rFonts w:ascii="宋体" w:hAnsi="宋体"/>
          <w:b/>
          <w:bCs/>
          <w:color w:val="auto"/>
          <w:sz w:val="36"/>
          <w:szCs w:val="36"/>
        </w:rPr>
        <w:t xml:space="preserve">3.3 </w:t>
      </w:r>
      <w:r>
        <w:rPr>
          <w:rFonts w:hint="eastAsia" w:ascii="宋体" w:hAnsi="宋体"/>
          <w:b/>
          <w:bCs/>
          <w:color w:val="auto"/>
          <w:sz w:val="36"/>
          <w:szCs w:val="36"/>
        </w:rPr>
        <w:t>服务承诺</w:t>
      </w:r>
    </w:p>
    <w:p>
      <w:pPr>
        <w:spacing w:line="360" w:lineRule="auto"/>
        <w:jc w:val="center"/>
        <w:rPr>
          <w:rFonts w:ascii="宋体" w:hAnsi="宋体" w:cs="宋体"/>
          <w:b/>
          <w:bCs/>
          <w:color w:val="auto"/>
          <w:sz w:val="36"/>
          <w:szCs w:val="36"/>
        </w:rPr>
      </w:pPr>
    </w:p>
    <w:p>
      <w:pPr>
        <w:spacing w:line="360" w:lineRule="auto"/>
        <w:jc w:val="center"/>
        <w:rPr>
          <w:rFonts w:ascii="宋体" w:hAnsi="宋体" w:cs="宋体"/>
          <w:b/>
          <w:bCs/>
          <w:color w:val="auto"/>
          <w:sz w:val="36"/>
          <w:szCs w:val="36"/>
        </w:rPr>
      </w:pPr>
      <w:r>
        <w:rPr>
          <w:rFonts w:hint="eastAsia" w:ascii="宋体" w:hAnsi="宋体" w:cs="宋体"/>
          <w:b/>
          <w:bCs/>
          <w:color w:val="auto"/>
          <w:sz w:val="36"/>
          <w:szCs w:val="36"/>
        </w:rPr>
        <w:t>3.4 中小企业声明函</w:t>
      </w:r>
    </w:p>
    <w:p>
      <w:pPr>
        <w:widowControl/>
        <w:spacing w:before="100" w:beforeAutospacing="1" w:after="100" w:afterAutospacing="1" w:line="360" w:lineRule="auto"/>
        <w:ind w:firstLine="420"/>
        <w:contextualSpacing/>
        <w:jc w:val="center"/>
        <w:rPr>
          <w:rFonts w:ascii="宋体" w:hAnsi="宋体" w:cs="宋体"/>
          <w:b/>
          <w:bCs/>
          <w:color w:val="auto"/>
          <w:sz w:val="28"/>
          <w:szCs w:val="28"/>
        </w:rPr>
      </w:pPr>
      <w:r>
        <w:rPr>
          <w:rFonts w:hint="eastAsia" w:ascii="宋体" w:hAnsi="宋体" w:cs="宋体"/>
          <w:color w:val="auto"/>
          <w:sz w:val="28"/>
          <w:szCs w:val="28"/>
        </w:rPr>
        <w:t>（如有则需提供，没有此项不提供）</w:t>
      </w:r>
    </w:p>
    <w:p>
      <w:pPr>
        <w:widowControl/>
        <w:spacing w:before="100" w:beforeAutospacing="1" w:after="100" w:afterAutospacing="1" w:line="360" w:lineRule="auto"/>
        <w:ind w:firstLine="420"/>
        <w:contextualSpacing/>
        <w:jc w:val="left"/>
        <w:rPr>
          <w:rFonts w:ascii="宋体" w:hAnsi="宋体" w:cs="宋体"/>
          <w:color w:val="auto"/>
          <w:kern w:val="0"/>
          <w:sz w:val="24"/>
          <w:szCs w:val="24"/>
        </w:rPr>
      </w:pPr>
      <w:r>
        <w:rPr>
          <w:rFonts w:hint="eastAsia" w:ascii="宋体" w:hAnsi="宋体" w:cs="宋体"/>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宋体"/>
          <w:color w:val="auto"/>
          <w:kern w:val="0"/>
          <w:sz w:val="24"/>
          <w:szCs w:val="24"/>
        </w:rPr>
        <w:br w:type="textWrapping"/>
      </w:r>
      <w:r>
        <w:rPr>
          <w:rFonts w:hint="eastAsia" w:ascii="宋体" w:hAnsi="宋体" w:cs="宋体"/>
          <w:color w:val="auto"/>
          <w:kern w:val="0"/>
          <w:sz w:val="24"/>
          <w:szCs w:val="24"/>
        </w:rPr>
        <w:t xml:space="preserve">    根据《工业和信息化部、国家统计局、国家发展和改革委员会、财政部关于印发中小企业划型标准规定的通知》（工信部联企业[2011]300号）规定的划分标准，</w:t>
      </w:r>
      <w:r>
        <w:rPr>
          <w:rFonts w:hint="eastAsia" w:ascii="宋体" w:hAnsi="宋体" w:cs="宋体"/>
          <w:color w:val="auto"/>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cs="宋体"/>
          <w:color w:val="auto"/>
          <w:kern w:val="0"/>
          <w:sz w:val="24"/>
          <w:szCs w:val="24"/>
        </w:rPr>
        <w:t xml:space="preserve">本公司为______（请填写：中型、小型、微型）企业。 </w:t>
      </w:r>
    </w:p>
    <w:p>
      <w:pPr>
        <w:widowControl/>
        <w:spacing w:before="100" w:beforeAutospacing="1" w:after="100" w:afterAutospacing="1" w:line="360" w:lineRule="auto"/>
        <w:ind w:firstLine="420"/>
        <w:contextualSpacing/>
        <w:jc w:val="left"/>
        <w:rPr>
          <w:rFonts w:ascii="宋体" w:hAnsi="宋体" w:cs="宋体"/>
          <w:color w:val="auto"/>
          <w:kern w:val="0"/>
          <w:sz w:val="24"/>
          <w:szCs w:val="24"/>
        </w:rPr>
      </w:pPr>
      <w:r>
        <w:rPr>
          <w:rFonts w:hint="eastAsia" w:ascii="宋体" w:hAnsi="宋体" w:cs="宋体"/>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宋体"/>
          <w:color w:val="auto"/>
          <w:kern w:val="0"/>
          <w:sz w:val="24"/>
          <w:szCs w:val="24"/>
        </w:rPr>
      </w:pPr>
    </w:p>
    <w:p>
      <w:pPr>
        <w:widowControl/>
        <w:spacing w:before="100" w:beforeAutospacing="1" w:after="100" w:afterAutospacing="1" w:line="360" w:lineRule="auto"/>
        <w:ind w:left="3885" w:leftChars="1850"/>
        <w:jc w:val="left"/>
        <w:rPr>
          <w:rFonts w:ascii="宋体" w:hAnsi="宋体" w:cs="宋体"/>
          <w:color w:val="auto"/>
          <w:kern w:val="0"/>
          <w:sz w:val="24"/>
          <w:szCs w:val="24"/>
        </w:rPr>
      </w:pPr>
      <w:r>
        <w:rPr>
          <w:rFonts w:hint="eastAsia" w:ascii="宋体" w:hAnsi="宋体" w:cs="宋体"/>
          <w:color w:val="auto"/>
          <w:kern w:val="0"/>
          <w:sz w:val="24"/>
          <w:szCs w:val="24"/>
        </w:rPr>
        <w:t>企业名称（盖章）：</w:t>
      </w:r>
    </w:p>
    <w:p>
      <w:pPr>
        <w:spacing w:before="120" w:beforeLines="50" w:after="120" w:afterLines="50" w:line="360" w:lineRule="auto"/>
        <w:ind w:right="420" w:firstLine="4680" w:firstLineChars="1950"/>
        <w:rPr>
          <w:rFonts w:ascii="宋体" w:hAnsi="宋体" w:cs="宋体"/>
          <w:color w:val="auto"/>
          <w:sz w:val="24"/>
          <w:szCs w:val="24"/>
          <w:lang w:val="zh-CN"/>
        </w:rPr>
      </w:pPr>
      <w:r>
        <w:rPr>
          <w:rFonts w:hint="eastAsia" w:ascii="宋体" w:hAnsi="宋体" w:cs="宋体"/>
          <w:color w:val="auto"/>
          <w:sz w:val="24"/>
          <w:szCs w:val="24"/>
          <w:lang w:val="zh-CN"/>
        </w:rPr>
        <w:t>日    期：</w:t>
      </w:r>
      <w:r>
        <w:rPr>
          <w:rFonts w:hint="eastAsia" w:ascii="宋体" w:hAnsi="宋体" w:cs="宋体"/>
          <w:color w:val="auto"/>
          <w:szCs w:val="21"/>
        </w:rPr>
        <w:t>年    月    日</w:t>
      </w:r>
    </w:p>
    <w:p>
      <w:pPr>
        <w:autoSpaceDE w:val="0"/>
        <w:autoSpaceDN w:val="0"/>
        <w:adjustRightInd w:val="0"/>
        <w:spacing w:line="360" w:lineRule="auto"/>
        <w:jc w:val="center"/>
        <w:outlineLvl w:val="0"/>
        <w:rPr>
          <w:rFonts w:ascii="宋体" w:hAnsi="宋体" w:cs="宋体"/>
          <w:color w:val="auto"/>
          <w:szCs w:val="21"/>
          <w:lang w:val="zh-CN"/>
        </w:rPr>
      </w:pPr>
    </w:p>
    <w:p>
      <w:pPr>
        <w:spacing w:line="360" w:lineRule="auto"/>
        <w:jc w:val="center"/>
        <w:rPr>
          <w:rFonts w:ascii="宋体" w:hAnsi="宋体" w:cs="宋体"/>
          <w:b/>
          <w:bCs/>
          <w:color w:val="auto"/>
          <w:sz w:val="36"/>
          <w:szCs w:val="36"/>
        </w:rPr>
      </w:pPr>
    </w:p>
    <w:p>
      <w:pPr>
        <w:widowControl/>
        <w:spacing w:before="100" w:beforeAutospacing="1" w:after="100" w:afterAutospacing="1" w:line="360" w:lineRule="auto"/>
        <w:contextualSpacing/>
        <w:jc w:val="left"/>
        <w:rPr>
          <w:rFonts w:ascii="宋体" w:hAnsi="宋体" w:cs="宋体"/>
          <w:color w:val="auto"/>
          <w:sz w:val="24"/>
          <w:szCs w:val="24"/>
        </w:rPr>
      </w:pPr>
      <w:r>
        <w:rPr>
          <w:rFonts w:hint="eastAsia" w:ascii="宋体" w:hAnsi="宋体" w:cs="宋体"/>
          <w:color w:val="auto"/>
          <w:sz w:val="24"/>
          <w:szCs w:val="24"/>
        </w:rPr>
        <w:t>说明：</w:t>
      </w:r>
    </w:p>
    <w:p>
      <w:pPr>
        <w:widowControl/>
        <w:spacing w:before="100" w:beforeAutospacing="1" w:after="100" w:afterAutospacing="1" w:line="360" w:lineRule="auto"/>
        <w:contextualSpacing/>
        <w:jc w:val="left"/>
        <w:rPr>
          <w:rFonts w:ascii="宋体" w:hAnsi="宋体" w:cs="宋体"/>
          <w:color w:val="auto"/>
          <w:kern w:val="0"/>
          <w:sz w:val="24"/>
          <w:szCs w:val="24"/>
        </w:rPr>
      </w:pPr>
      <w:r>
        <w:rPr>
          <w:rFonts w:hint="eastAsia" w:ascii="宋体" w:hAnsi="宋体" w:cs="宋体"/>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autoSpaceDE w:val="0"/>
        <w:autoSpaceDN w:val="0"/>
        <w:adjustRightInd w:val="0"/>
        <w:spacing w:line="360" w:lineRule="auto"/>
        <w:jc w:val="center"/>
        <w:outlineLvl w:val="0"/>
        <w:rPr>
          <w:rFonts w:ascii="宋体" w:hAnsi="宋体" w:cs="宋体"/>
          <w:b/>
          <w:bCs/>
          <w:color w:val="auto"/>
          <w:sz w:val="36"/>
          <w:szCs w:val="36"/>
        </w:rPr>
      </w:pPr>
      <w:r>
        <w:rPr>
          <w:rFonts w:hint="eastAsia" w:ascii="宋体" w:hAnsi="宋体" w:cs="宋体"/>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宋体"/>
          <w:b/>
          <w:bCs/>
          <w:color w:val="auto"/>
          <w:spacing w:val="-2"/>
          <w:sz w:val="36"/>
          <w:szCs w:val="36"/>
        </w:rPr>
      </w:pPr>
    </w:p>
    <w:p>
      <w:pPr>
        <w:spacing w:line="360" w:lineRule="auto"/>
        <w:jc w:val="center"/>
        <w:rPr>
          <w:rFonts w:ascii="宋体" w:hAnsi="宋体" w:cs="宋体"/>
          <w:b/>
          <w:bCs/>
          <w:color w:val="auto"/>
          <w:spacing w:val="-2"/>
          <w:sz w:val="36"/>
          <w:szCs w:val="36"/>
        </w:rPr>
      </w:pPr>
    </w:p>
    <w:p>
      <w:pPr>
        <w:spacing w:line="360" w:lineRule="auto"/>
        <w:jc w:val="center"/>
        <w:rPr>
          <w:rFonts w:ascii="宋体" w:hAnsi="宋体" w:cs="宋体"/>
          <w:b/>
          <w:bCs/>
          <w:color w:val="auto"/>
          <w:spacing w:val="-2"/>
          <w:sz w:val="36"/>
          <w:szCs w:val="36"/>
        </w:rPr>
      </w:pPr>
    </w:p>
    <w:p>
      <w:pPr>
        <w:spacing w:line="360" w:lineRule="auto"/>
        <w:jc w:val="center"/>
        <w:rPr>
          <w:rFonts w:ascii="宋体" w:hAnsi="宋体" w:cs="宋体"/>
          <w:b/>
          <w:bCs/>
          <w:color w:val="auto"/>
          <w:spacing w:val="-2"/>
          <w:sz w:val="36"/>
          <w:szCs w:val="36"/>
        </w:rPr>
      </w:pPr>
    </w:p>
    <w:p>
      <w:pPr>
        <w:spacing w:line="360" w:lineRule="auto"/>
        <w:jc w:val="center"/>
        <w:rPr>
          <w:rFonts w:ascii="宋体" w:hAnsi="宋体" w:cs="宋体"/>
          <w:b/>
          <w:bCs/>
          <w:color w:val="auto"/>
          <w:sz w:val="36"/>
          <w:szCs w:val="36"/>
        </w:rPr>
      </w:pPr>
      <w:r>
        <w:rPr>
          <w:rFonts w:hint="eastAsia" w:ascii="宋体" w:hAnsi="宋体" w:cs="宋体"/>
          <w:b/>
          <w:bCs/>
          <w:color w:val="auto"/>
          <w:spacing w:val="-2"/>
          <w:sz w:val="36"/>
          <w:szCs w:val="36"/>
        </w:rPr>
        <w:t xml:space="preserve">3.5 </w:t>
      </w:r>
      <w:r>
        <w:rPr>
          <w:rFonts w:hint="eastAsia" w:ascii="宋体" w:hAnsi="宋体" w:cs="宋体"/>
          <w:b/>
          <w:bCs/>
          <w:color w:val="auto"/>
          <w:sz w:val="36"/>
          <w:szCs w:val="36"/>
        </w:rPr>
        <w:t>残疾人福利性单位声明函</w:t>
      </w:r>
    </w:p>
    <w:p>
      <w:pPr>
        <w:widowControl/>
        <w:spacing w:before="100" w:beforeAutospacing="1" w:after="100" w:afterAutospacing="1" w:line="360" w:lineRule="auto"/>
        <w:ind w:firstLine="420"/>
        <w:contextualSpacing/>
        <w:jc w:val="center"/>
        <w:rPr>
          <w:rFonts w:ascii="宋体" w:hAnsi="宋体" w:cs="宋体"/>
          <w:color w:val="auto"/>
          <w:sz w:val="28"/>
          <w:szCs w:val="28"/>
        </w:rPr>
      </w:pPr>
      <w:r>
        <w:rPr>
          <w:rFonts w:hint="eastAsia" w:ascii="宋体" w:hAnsi="宋体" w:cs="宋体"/>
          <w:color w:val="auto"/>
          <w:sz w:val="28"/>
          <w:szCs w:val="28"/>
        </w:rPr>
        <w:t>（如有则需提供，没有此项不提供）</w:t>
      </w:r>
    </w:p>
    <w:p>
      <w:pPr>
        <w:spacing w:line="360" w:lineRule="auto"/>
        <w:rPr>
          <w:rFonts w:ascii="宋体" w:hAnsi="宋体" w:cs="宋体"/>
          <w:color w:val="auto"/>
          <w:szCs w:val="21"/>
        </w:rPr>
      </w:pP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4"/>
          <w:u w:val="single"/>
        </w:rPr>
        <w:t xml:space="preserve">      </w:t>
      </w:r>
      <w:r>
        <w:rPr>
          <w:rFonts w:hint="eastAsia" w:ascii="宋体" w:hAnsi="宋体" w:cs="宋体"/>
          <w:color w:val="auto"/>
          <w:sz w:val="24"/>
          <w:szCs w:val="24"/>
        </w:rPr>
        <w:t>单位的</w:t>
      </w:r>
      <w:r>
        <w:rPr>
          <w:rFonts w:hint="eastAsia" w:ascii="宋体" w:hAnsi="宋体" w:cs="宋体"/>
          <w:color w:val="auto"/>
          <w:sz w:val="24"/>
          <w:szCs w:val="24"/>
          <w:u w:val="single"/>
        </w:rPr>
        <w:t xml:space="preserve">      </w:t>
      </w:r>
      <w:r>
        <w:rPr>
          <w:rFonts w:hint="eastAsia" w:ascii="宋体" w:hAnsi="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本单位对上述声明的真实性负责。如有虚假，将依法承担相应责任。</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单位名称（盖章）：</w:t>
      </w:r>
    </w:p>
    <w:p>
      <w:pPr>
        <w:spacing w:before="120" w:beforeLines="50" w:after="120" w:afterLines="50" w:line="360" w:lineRule="auto"/>
        <w:ind w:right="420" w:firstLine="4320" w:firstLineChars="1800"/>
        <w:rPr>
          <w:rFonts w:ascii="宋体" w:hAnsi="宋体" w:cs="宋体"/>
          <w:color w:val="auto"/>
          <w:sz w:val="24"/>
          <w:szCs w:val="24"/>
          <w:lang w:val="zh-CN"/>
        </w:rPr>
      </w:pPr>
      <w:r>
        <w:rPr>
          <w:rFonts w:hint="eastAsia" w:ascii="宋体" w:hAnsi="宋体" w:cs="宋体"/>
          <w:color w:val="auto"/>
          <w:sz w:val="24"/>
          <w:szCs w:val="24"/>
          <w:lang w:val="zh-CN"/>
        </w:rPr>
        <w:t xml:space="preserve">日    期：    </w:t>
      </w:r>
      <w:r>
        <w:rPr>
          <w:rFonts w:hint="eastAsia" w:ascii="宋体" w:hAnsi="宋体" w:cs="宋体"/>
          <w:color w:val="auto"/>
          <w:szCs w:val="21"/>
        </w:rPr>
        <w:t>年    月    日</w:t>
      </w:r>
    </w:p>
    <w:p>
      <w:pPr>
        <w:autoSpaceDE w:val="0"/>
        <w:autoSpaceDN w:val="0"/>
        <w:adjustRightInd w:val="0"/>
        <w:spacing w:line="360" w:lineRule="auto"/>
        <w:jc w:val="center"/>
        <w:outlineLvl w:val="0"/>
        <w:rPr>
          <w:rFonts w:ascii="宋体" w:hAnsi="宋体" w:cs="宋体"/>
          <w:color w:val="auto"/>
          <w:szCs w:val="21"/>
          <w:lang w:val="zh-CN"/>
        </w:rPr>
      </w:pPr>
    </w:p>
    <w:p>
      <w:pPr>
        <w:autoSpaceDE w:val="0"/>
        <w:autoSpaceDN w:val="0"/>
        <w:adjustRightInd w:val="0"/>
        <w:spacing w:line="360" w:lineRule="auto"/>
        <w:jc w:val="center"/>
        <w:outlineLvl w:val="0"/>
        <w:rPr>
          <w:rFonts w:ascii="宋体" w:hAnsi="宋体" w:cs="宋体"/>
          <w:b/>
          <w:bCs/>
          <w:color w:val="auto"/>
          <w:sz w:val="36"/>
          <w:szCs w:val="36"/>
        </w:rPr>
      </w:pPr>
    </w:p>
    <w:p>
      <w:pPr>
        <w:autoSpaceDE w:val="0"/>
        <w:autoSpaceDN w:val="0"/>
        <w:adjustRightInd w:val="0"/>
        <w:spacing w:line="360" w:lineRule="auto"/>
        <w:jc w:val="center"/>
        <w:rPr>
          <w:rFonts w:ascii="宋体" w:hAnsi="宋体" w:cs="宋体"/>
          <w:b/>
          <w:bCs/>
          <w:color w:val="auto"/>
          <w:sz w:val="44"/>
          <w:szCs w:val="44"/>
          <w:lang w:val="zh-CN"/>
        </w:rPr>
      </w:pPr>
    </w:p>
    <w:p>
      <w:pPr>
        <w:autoSpaceDE w:val="0"/>
        <w:autoSpaceDN w:val="0"/>
        <w:adjustRightInd w:val="0"/>
        <w:spacing w:line="360" w:lineRule="auto"/>
        <w:jc w:val="center"/>
        <w:rPr>
          <w:rFonts w:ascii="宋体" w:hAnsi="宋体" w:cs="宋体"/>
          <w:b/>
          <w:bCs/>
          <w:color w:val="auto"/>
          <w:sz w:val="44"/>
          <w:szCs w:val="44"/>
          <w:lang w:val="zh-CN"/>
        </w:rPr>
      </w:pPr>
      <w:r>
        <w:rPr>
          <w:rFonts w:hint="eastAsia" w:ascii="宋体" w:hAnsi="宋体" w:cs="宋体"/>
          <w:b/>
          <w:bCs/>
          <w:color w:val="auto"/>
          <w:sz w:val="44"/>
          <w:szCs w:val="44"/>
          <w:lang w:val="zh-CN"/>
        </w:rPr>
        <w:t>四、</w:t>
      </w:r>
      <w:r>
        <w:rPr>
          <w:rFonts w:hint="eastAsia" w:ascii="宋体" w:hAnsi="宋体" w:cs="宋体"/>
          <w:b/>
          <w:color w:val="auto"/>
          <w:sz w:val="44"/>
          <w:szCs w:val="44"/>
          <w:lang w:val="zh-CN"/>
        </w:rPr>
        <w:t>其他资料（若有）</w:t>
      </w:r>
    </w:p>
    <w:p>
      <w:pPr>
        <w:rPr>
          <w:rFonts w:ascii="宋体" w:hAnsi="宋体" w:cs="宋体"/>
          <w:color w:val="auto"/>
        </w:rPr>
      </w:pPr>
    </w:p>
    <w:p>
      <w:pPr>
        <w:rPr>
          <w:rFonts w:ascii="宋体" w:hAnsi="宋体" w:cs="宋体"/>
          <w:color w:val="auto"/>
        </w:rPr>
      </w:pPr>
    </w:p>
    <w:p>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除招标文件另有规定外，投标人认为需要提交的其他证明材料或资料加盖投标人的单位公章后应在此项下提交。</w:t>
      </w:r>
    </w:p>
    <w:sectPr>
      <w:headerReference r:id="rId4" w:type="default"/>
      <w:footerReference r:id="rId5" w:type="default"/>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5"/>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9E2D7"/>
    <w:multiLevelType w:val="singleLevel"/>
    <w:tmpl w:val="AB29E2D7"/>
    <w:lvl w:ilvl="0" w:tentative="0">
      <w:start w:val="1"/>
      <w:numFmt w:val="chineseCounting"/>
      <w:suff w:val="nothing"/>
      <w:lvlText w:val="%1、"/>
      <w:lvlJc w:val="left"/>
      <w:rPr>
        <w:rFonts w:hint="eastAsia"/>
      </w:rPr>
    </w:lvl>
  </w:abstractNum>
  <w:abstractNum w:abstractNumId="1">
    <w:nsid w:val="FA648FC1"/>
    <w:multiLevelType w:val="singleLevel"/>
    <w:tmpl w:val="FA648FC1"/>
    <w:lvl w:ilvl="0" w:tentative="0">
      <w:start w:val="2"/>
      <w:numFmt w:val="decimal"/>
      <w:suff w:val="nothing"/>
      <w:lvlText w:val="%1、"/>
      <w:lvlJc w:val="left"/>
    </w:lvl>
  </w:abstractNum>
  <w:abstractNum w:abstractNumId="2">
    <w:nsid w:val="FF901E40"/>
    <w:multiLevelType w:val="singleLevel"/>
    <w:tmpl w:val="FF901E40"/>
    <w:lvl w:ilvl="0" w:tentative="0">
      <w:start w:val="1"/>
      <w:numFmt w:val="chineseCounting"/>
      <w:suff w:val="nothing"/>
      <w:lvlText w:val="（%1）"/>
      <w:lvlJc w:val="left"/>
      <w:rPr>
        <w:rFonts w:hint="eastAsia"/>
      </w:rPr>
    </w:lvl>
  </w:abstractNum>
  <w:abstractNum w:abstractNumId="3">
    <w:nsid w:val="00000014"/>
    <w:multiLevelType w:val="multilevel"/>
    <w:tmpl w:val="00000014"/>
    <w:lvl w:ilvl="0" w:tentative="0">
      <w:start w:val="1"/>
      <w:numFmt w:val="decimal"/>
      <w:pStyle w:val="1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E5DFA4D"/>
    <w:multiLevelType w:val="singleLevel"/>
    <w:tmpl w:val="1E5DFA4D"/>
    <w:lvl w:ilvl="0" w:tentative="0">
      <w:start w:val="3"/>
      <w:numFmt w:val="chineseCounting"/>
      <w:suff w:val="nothing"/>
      <w:lvlText w:val="%1、"/>
      <w:lvlJc w:val="left"/>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8">
    <w:nsid w:val="2E9540FC"/>
    <w:multiLevelType w:val="singleLevel"/>
    <w:tmpl w:val="2E9540FC"/>
    <w:lvl w:ilvl="0" w:tentative="0">
      <w:start w:val="1"/>
      <w:numFmt w:val="decimal"/>
      <w:suff w:val="nothing"/>
      <w:lvlText w:val="%1、"/>
      <w:lvlJc w:val="left"/>
    </w:lvl>
  </w:abstractNum>
  <w:abstractNum w:abstractNumId="9">
    <w:nsid w:val="56E374A4"/>
    <w:multiLevelType w:val="singleLevel"/>
    <w:tmpl w:val="56E374A4"/>
    <w:lvl w:ilvl="0" w:tentative="0">
      <w:start w:val="9"/>
      <w:numFmt w:val="decimal"/>
      <w:pStyle w:val="79"/>
      <w:suff w:val="nothing"/>
      <w:lvlText w:val="%1、"/>
      <w:lvlJc w:val="left"/>
    </w:lvl>
  </w:abstractNum>
  <w:abstractNum w:abstractNumId="10">
    <w:nsid w:val="59F817E8"/>
    <w:multiLevelType w:val="singleLevel"/>
    <w:tmpl w:val="59F817E8"/>
    <w:lvl w:ilvl="0" w:tentative="0">
      <w:start w:val="1"/>
      <w:numFmt w:val="chineseCounting"/>
      <w:pStyle w:val="150"/>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9"/>
  </w:num>
  <w:num w:numId="2">
    <w:abstractNumId w:val="3"/>
  </w:num>
  <w:num w:numId="3">
    <w:abstractNumId w:val="10"/>
  </w:num>
  <w:num w:numId="4">
    <w:abstractNumId w:val="5"/>
  </w:num>
  <w:num w:numId="5">
    <w:abstractNumId w:val="6"/>
  </w:num>
  <w:num w:numId="6">
    <w:abstractNumId w:val="2"/>
  </w:num>
  <w:num w:numId="7">
    <w:abstractNumId w:val="0"/>
  </w:num>
  <w:num w:numId="8">
    <w:abstractNumId w:val="7"/>
  </w:num>
  <w:num w:numId="9">
    <w:abstractNumId w:val="11"/>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19"/>
    <w:rsid w:val="00002983"/>
    <w:rsid w:val="0000372B"/>
    <w:rsid w:val="00003F3D"/>
    <w:rsid w:val="000040F8"/>
    <w:rsid w:val="000058DA"/>
    <w:rsid w:val="00005E80"/>
    <w:rsid w:val="00005F9D"/>
    <w:rsid w:val="00010646"/>
    <w:rsid w:val="00011019"/>
    <w:rsid w:val="000113AB"/>
    <w:rsid w:val="00015A21"/>
    <w:rsid w:val="0002296B"/>
    <w:rsid w:val="00023D49"/>
    <w:rsid w:val="00024423"/>
    <w:rsid w:val="000255D3"/>
    <w:rsid w:val="0002597A"/>
    <w:rsid w:val="0003078B"/>
    <w:rsid w:val="00030B89"/>
    <w:rsid w:val="00032114"/>
    <w:rsid w:val="00032A6F"/>
    <w:rsid w:val="00032AFF"/>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3F61"/>
    <w:rsid w:val="000F5C02"/>
    <w:rsid w:val="000F7831"/>
    <w:rsid w:val="000F7A5C"/>
    <w:rsid w:val="0010428C"/>
    <w:rsid w:val="00111865"/>
    <w:rsid w:val="001146CE"/>
    <w:rsid w:val="00117082"/>
    <w:rsid w:val="001171F7"/>
    <w:rsid w:val="00121F8D"/>
    <w:rsid w:val="00122901"/>
    <w:rsid w:val="0012346D"/>
    <w:rsid w:val="00126261"/>
    <w:rsid w:val="0013301B"/>
    <w:rsid w:val="00133891"/>
    <w:rsid w:val="00133D74"/>
    <w:rsid w:val="00136128"/>
    <w:rsid w:val="001368F1"/>
    <w:rsid w:val="00140439"/>
    <w:rsid w:val="00142473"/>
    <w:rsid w:val="001431CD"/>
    <w:rsid w:val="0014470C"/>
    <w:rsid w:val="00145F63"/>
    <w:rsid w:val="001476A7"/>
    <w:rsid w:val="00151058"/>
    <w:rsid w:val="00154D41"/>
    <w:rsid w:val="00155234"/>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4353"/>
    <w:rsid w:val="001B66B8"/>
    <w:rsid w:val="001C4FD4"/>
    <w:rsid w:val="001C53F2"/>
    <w:rsid w:val="001D13C0"/>
    <w:rsid w:val="001D15DF"/>
    <w:rsid w:val="001D3EF9"/>
    <w:rsid w:val="001D76C9"/>
    <w:rsid w:val="001E3FFF"/>
    <w:rsid w:val="001E4012"/>
    <w:rsid w:val="001E4832"/>
    <w:rsid w:val="001E4843"/>
    <w:rsid w:val="001E63EF"/>
    <w:rsid w:val="001E7B29"/>
    <w:rsid w:val="001F10ED"/>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03D"/>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74AD2"/>
    <w:rsid w:val="00280A61"/>
    <w:rsid w:val="00283BBC"/>
    <w:rsid w:val="00287D78"/>
    <w:rsid w:val="00292AFF"/>
    <w:rsid w:val="00292BC6"/>
    <w:rsid w:val="002A0084"/>
    <w:rsid w:val="002A0632"/>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0FE7"/>
    <w:rsid w:val="00341055"/>
    <w:rsid w:val="003410AC"/>
    <w:rsid w:val="00345897"/>
    <w:rsid w:val="00346636"/>
    <w:rsid w:val="0035274E"/>
    <w:rsid w:val="003540F8"/>
    <w:rsid w:val="0035450D"/>
    <w:rsid w:val="00360EF8"/>
    <w:rsid w:val="003619D3"/>
    <w:rsid w:val="00361D71"/>
    <w:rsid w:val="00363CAA"/>
    <w:rsid w:val="00371226"/>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3682"/>
    <w:rsid w:val="004C4CCC"/>
    <w:rsid w:val="004C6C25"/>
    <w:rsid w:val="004D078F"/>
    <w:rsid w:val="004D4574"/>
    <w:rsid w:val="004D5F14"/>
    <w:rsid w:val="004D600C"/>
    <w:rsid w:val="004E194F"/>
    <w:rsid w:val="004E60DF"/>
    <w:rsid w:val="004E7D35"/>
    <w:rsid w:val="004F2942"/>
    <w:rsid w:val="004F2F0F"/>
    <w:rsid w:val="004F545B"/>
    <w:rsid w:val="00500F54"/>
    <w:rsid w:val="00502A20"/>
    <w:rsid w:val="00502E9A"/>
    <w:rsid w:val="00503899"/>
    <w:rsid w:val="00511E0F"/>
    <w:rsid w:val="00513E6E"/>
    <w:rsid w:val="005144D1"/>
    <w:rsid w:val="00516D5A"/>
    <w:rsid w:val="00522EDE"/>
    <w:rsid w:val="00526A28"/>
    <w:rsid w:val="005315E7"/>
    <w:rsid w:val="00531F21"/>
    <w:rsid w:val="00534D17"/>
    <w:rsid w:val="00543994"/>
    <w:rsid w:val="00545199"/>
    <w:rsid w:val="00552EBA"/>
    <w:rsid w:val="00553191"/>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C56CC"/>
    <w:rsid w:val="005D3893"/>
    <w:rsid w:val="005D3EC3"/>
    <w:rsid w:val="005D422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5414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6CC0"/>
    <w:rsid w:val="00695701"/>
    <w:rsid w:val="00696BAA"/>
    <w:rsid w:val="006A087C"/>
    <w:rsid w:val="006A568E"/>
    <w:rsid w:val="006A585E"/>
    <w:rsid w:val="006B0619"/>
    <w:rsid w:val="006B162D"/>
    <w:rsid w:val="006B1C14"/>
    <w:rsid w:val="006B3298"/>
    <w:rsid w:val="006B4814"/>
    <w:rsid w:val="006B5923"/>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574F"/>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943AE"/>
    <w:rsid w:val="007A071C"/>
    <w:rsid w:val="007A07F1"/>
    <w:rsid w:val="007A372F"/>
    <w:rsid w:val="007A74F2"/>
    <w:rsid w:val="007B06AE"/>
    <w:rsid w:val="007B29F6"/>
    <w:rsid w:val="007B63D8"/>
    <w:rsid w:val="007B7201"/>
    <w:rsid w:val="007B7449"/>
    <w:rsid w:val="007C47F1"/>
    <w:rsid w:val="007C64A6"/>
    <w:rsid w:val="007D1D19"/>
    <w:rsid w:val="007D6C35"/>
    <w:rsid w:val="007D6E0C"/>
    <w:rsid w:val="007E1B72"/>
    <w:rsid w:val="007E69DB"/>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A3E"/>
    <w:rsid w:val="00856266"/>
    <w:rsid w:val="0086114D"/>
    <w:rsid w:val="00861FEB"/>
    <w:rsid w:val="008702B5"/>
    <w:rsid w:val="00873B58"/>
    <w:rsid w:val="008748A9"/>
    <w:rsid w:val="00877705"/>
    <w:rsid w:val="00882AB3"/>
    <w:rsid w:val="00883E66"/>
    <w:rsid w:val="008849BA"/>
    <w:rsid w:val="008862D5"/>
    <w:rsid w:val="0088679E"/>
    <w:rsid w:val="0088722E"/>
    <w:rsid w:val="00892599"/>
    <w:rsid w:val="00894905"/>
    <w:rsid w:val="00897964"/>
    <w:rsid w:val="008A246C"/>
    <w:rsid w:val="008A5F69"/>
    <w:rsid w:val="008B0162"/>
    <w:rsid w:val="008B772A"/>
    <w:rsid w:val="008C0BA9"/>
    <w:rsid w:val="008D300B"/>
    <w:rsid w:val="008D3434"/>
    <w:rsid w:val="008D36A6"/>
    <w:rsid w:val="008E167C"/>
    <w:rsid w:val="008E302F"/>
    <w:rsid w:val="008E360B"/>
    <w:rsid w:val="008E5BEE"/>
    <w:rsid w:val="008E6E6E"/>
    <w:rsid w:val="008E7E83"/>
    <w:rsid w:val="008F398A"/>
    <w:rsid w:val="00900A3D"/>
    <w:rsid w:val="009012AF"/>
    <w:rsid w:val="009024FF"/>
    <w:rsid w:val="00906B04"/>
    <w:rsid w:val="00912794"/>
    <w:rsid w:val="00912797"/>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0D85"/>
    <w:rsid w:val="00956003"/>
    <w:rsid w:val="009560B4"/>
    <w:rsid w:val="009576F9"/>
    <w:rsid w:val="00962C75"/>
    <w:rsid w:val="009637C2"/>
    <w:rsid w:val="0096575C"/>
    <w:rsid w:val="00967BC0"/>
    <w:rsid w:val="0098522A"/>
    <w:rsid w:val="009868EC"/>
    <w:rsid w:val="00987298"/>
    <w:rsid w:val="009A22E3"/>
    <w:rsid w:val="009A2723"/>
    <w:rsid w:val="009A3F50"/>
    <w:rsid w:val="009A50A3"/>
    <w:rsid w:val="009A58A1"/>
    <w:rsid w:val="009B1AD1"/>
    <w:rsid w:val="009B5204"/>
    <w:rsid w:val="009B709D"/>
    <w:rsid w:val="009C0543"/>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922"/>
    <w:rsid w:val="00A706A6"/>
    <w:rsid w:val="00A70754"/>
    <w:rsid w:val="00A715FC"/>
    <w:rsid w:val="00A747A9"/>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DB1"/>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5312"/>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6950"/>
    <w:rsid w:val="00C11F74"/>
    <w:rsid w:val="00C17880"/>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8785B"/>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5889"/>
    <w:rsid w:val="00CF6D82"/>
    <w:rsid w:val="00D0487C"/>
    <w:rsid w:val="00D07691"/>
    <w:rsid w:val="00D104FE"/>
    <w:rsid w:val="00D13FD0"/>
    <w:rsid w:val="00D14722"/>
    <w:rsid w:val="00D158F0"/>
    <w:rsid w:val="00D16933"/>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970"/>
    <w:rsid w:val="00D85B7E"/>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7535"/>
    <w:rsid w:val="00DD2372"/>
    <w:rsid w:val="00DD3596"/>
    <w:rsid w:val="00DD6753"/>
    <w:rsid w:val="00DD69FF"/>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0938"/>
    <w:rsid w:val="00E343DB"/>
    <w:rsid w:val="00E34D71"/>
    <w:rsid w:val="00E4041D"/>
    <w:rsid w:val="00E435AE"/>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70D"/>
    <w:rsid w:val="00ED3968"/>
    <w:rsid w:val="00ED63DE"/>
    <w:rsid w:val="00ED7496"/>
    <w:rsid w:val="00ED7728"/>
    <w:rsid w:val="00EE0459"/>
    <w:rsid w:val="00EE0CF7"/>
    <w:rsid w:val="00EE1FB3"/>
    <w:rsid w:val="00EE7916"/>
    <w:rsid w:val="00EE7931"/>
    <w:rsid w:val="00EF0116"/>
    <w:rsid w:val="00EF07DC"/>
    <w:rsid w:val="00EF405C"/>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19D196E"/>
    <w:rsid w:val="020D688E"/>
    <w:rsid w:val="0246072A"/>
    <w:rsid w:val="02597B77"/>
    <w:rsid w:val="029B5F0F"/>
    <w:rsid w:val="02E7527B"/>
    <w:rsid w:val="030B1FFA"/>
    <w:rsid w:val="03C50FC2"/>
    <w:rsid w:val="03E8183C"/>
    <w:rsid w:val="040A20AF"/>
    <w:rsid w:val="040A55B2"/>
    <w:rsid w:val="04706A9A"/>
    <w:rsid w:val="04DF56B3"/>
    <w:rsid w:val="0571617E"/>
    <w:rsid w:val="05852B8E"/>
    <w:rsid w:val="059F01E5"/>
    <w:rsid w:val="05D03313"/>
    <w:rsid w:val="05D16509"/>
    <w:rsid w:val="06336108"/>
    <w:rsid w:val="063515A4"/>
    <w:rsid w:val="070B11AC"/>
    <w:rsid w:val="07534211"/>
    <w:rsid w:val="077758AB"/>
    <w:rsid w:val="08920B43"/>
    <w:rsid w:val="09503FB2"/>
    <w:rsid w:val="0993401A"/>
    <w:rsid w:val="09D71FCC"/>
    <w:rsid w:val="0A7535B4"/>
    <w:rsid w:val="0A921B8A"/>
    <w:rsid w:val="0AB70FE5"/>
    <w:rsid w:val="0AFA6BAE"/>
    <w:rsid w:val="0B05638E"/>
    <w:rsid w:val="0B4E039C"/>
    <w:rsid w:val="0B5216F4"/>
    <w:rsid w:val="0B6B0580"/>
    <w:rsid w:val="0C0B28ED"/>
    <w:rsid w:val="0C2B16E5"/>
    <w:rsid w:val="0C7A73C8"/>
    <w:rsid w:val="0CB909E6"/>
    <w:rsid w:val="0CC524C9"/>
    <w:rsid w:val="0CF42A69"/>
    <w:rsid w:val="0D093DDE"/>
    <w:rsid w:val="0D0A3364"/>
    <w:rsid w:val="0D306E84"/>
    <w:rsid w:val="0D6A1033"/>
    <w:rsid w:val="0D853F9C"/>
    <w:rsid w:val="0DD37105"/>
    <w:rsid w:val="0E4B117C"/>
    <w:rsid w:val="0E904716"/>
    <w:rsid w:val="0EB744DD"/>
    <w:rsid w:val="0EC05203"/>
    <w:rsid w:val="0EFE199B"/>
    <w:rsid w:val="0F484493"/>
    <w:rsid w:val="0F58749C"/>
    <w:rsid w:val="0F61399C"/>
    <w:rsid w:val="0FB40AA0"/>
    <w:rsid w:val="0FC737BD"/>
    <w:rsid w:val="0FE47C41"/>
    <w:rsid w:val="0FF55733"/>
    <w:rsid w:val="0FF74D3D"/>
    <w:rsid w:val="101200ED"/>
    <w:rsid w:val="103968BA"/>
    <w:rsid w:val="10692CF0"/>
    <w:rsid w:val="11D17962"/>
    <w:rsid w:val="11E46985"/>
    <w:rsid w:val="12060457"/>
    <w:rsid w:val="12292F1E"/>
    <w:rsid w:val="130A4CDE"/>
    <w:rsid w:val="13185524"/>
    <w:rsid w:val="14140BA0"/>
    <w:rsid w:val="142F57EA"/>
    <w:rsid w:val="148849B5"/>
    <w:rsid w:val="150D4320"/>
    <w:rsid w:val="153F048E"/>
    <w:rsid w:val="156B26DD"/>
    <w:rsid w:val="15DB49AB"/>
    <w:rsid w:val="15E41289"/>
    <w:rsid w:val="16036B55"/>
    <w:rsid w:val="1617689F"/>
    <w:rsid w:val="164231E8"/>
    <w:rsid w:val="16692AD6"/>
    <w:rsid w:val="16AA339F"/>
    <w:rsid w:val="16F16FE0"/>
    <w:rsid w:val="17BC27A6"/>
    <w:rsid w:val="17FB25CB"/>
    <w:rsid w:val="18BA176D"/>
    <w:rsid w:val="18F2698A"/>
    <w:rsid w:val="196238EB"/>
    <w:rsid w:val="19DB0A70"/>
    <w:rsid w:val="1A316CC8"/>
    <w:rsid w:val="1A3A1B32"/>
    <w:rsid w:val="1A470257"/>
    <w:rsid w:val="1A623DEB"/>
    <w:rsid w:val="1AA42F0B"/>
    <w:rsid w:val="1AAC7A7E"/>
    <w:rsid w:val="1B064B03"/>
    <w:rsid w:val="1C49629F"/>
    <w:rsid w:val="1C9B3428"/>
    <w:rsid w:val="1CA16595"/>
    <w:rsid w:val="1CB319E2"/>
    <w:rsid w:val="1CDA502F"/>
    <w:rsid w:val="1CF020D4"/>
    <w:rsid w:val="1D1A5A29"/>
    <w:rsid w:val="1D9B745A"/>
    <w:rsid w:val="1DE207C2"/>
    <w:rsid w:val="1E4F1745"/>
    <w:rsid w:val="1F2146D0"/>
    <w:rsid w:val="1F5A2415"/>
    <w:rsid w:val="20E8638F"/>
    <w:rsid w:val="213F54DD"/>
    <w:rsid w:val="21653ADD"/>
    <w:rsid w:val="21A71D3B"/>
    <w:rsid w:val="21EF6234"/>
    <w:rsid w:val="21FD31D5"/>
    <w:rsid w:val="22172D7F"/>
    <w:rsid w:val="225C472F"/>
    <w:rsid w:val="229F0D50"/>
    <w:rsid w:val="22EA7FF3"/>
    <w:rsid w:val="22EB33F8"/>
    <w:rsid w:val="23190B2E"/>
    <w:rsid w:val="233536AA"/>
    <w:rsid w:val="23B310F7"/>
    <w:rsid w:val="245635DC"/>
    <w:rsid w:val="245E677F"/>
    <w:rsid w:val="24EB4112"/>
    <w:rsid w:val="250B2EAC"/>
    <w:rsid w:val="257438CF"/>
    <w:rsid w:val="271567E7"/>
    <w:rsid w:val="28A5239F"/>
    <w:rsid w:val="28B058C9"/>
    <w:rsid w:val="28B52E66"/>
    <w:rsid w:val="29A25393"/>
    <w:rsid w:val="2A4253FC"/>
    <w:rsid w:val="2A542986"/>
    <w:rsid w:val="2A7746E0"/>
    <w:rsid w:val="2B286593"/>
    <w:rsid w:val="2C0C1604"/>
    <w:rsid w:val="2C2111B3"/>
    <w:rsid w:val="2C3966FF"/>
    <w:rsid w:val="2D29507E"/>
    <w:rsid w:val="2D414E07"/>
    <w:rsid w:val="2D492999"/>
    <w:rsid w:val="2D756691"/>
    <w:rsid w:val="2D8F5488"/>
    <w:rsid w:val="2E6A680D"/>
    <w:rsid w:val="2EF33E42"/>
    <w:rsid w:val="2FB827E1"/>
    <w:rsid w:val="2FC67DCD"/>
    <w:rsid w:val="30300AF0"/>
    <w:rsid w:val="309126D1"/>
    <w:rsid w:val="30976C2D"/>
    <w:rsid w:val="30E7491A"/>
    <w:rsid w:val="31333788"/>
    <w:rsid w:val="3188069F"/>
    <w:rsid w:val="31B31218"/>
    <w:rsid w:val="31D57B69"/>
    <w:rsid w:val="32B718CF"/>
    <w:rsid w:val="32CF018D"/>
    <w:rsid w:val="332C595E"/>
    <w:rsid w:val="33837331"/>
    <w:rsid w:val="33D905E2"/>
    <w:rsid w:val="346728DA"/>
    <w:rsid w:val="34880208"/>
    <w:rsid w:val="34E6717D"/>
    <w:rsid w:val="35697F5C"/>
    <w:rsid w:val="35894043"/>
    <w:rsid w:val="361952B0"/>
    <w:rsid w:val="36230C71"/>
    <w:rsid w:val="36282AC8"/>
    <w:rsid w:val="36366A9D"/>
    <w:rsid w:val="366345D2"/>
    <w:rsid w:val="366938F2"/>
    <w:rsid w:val="367051E2"/>
    <w:rsid w:val="36A66851"/>
    <w:rsid w:val="36C00D1B"/>
    <w:rsid w:val="37106BDF"/>
    <w:rsid w:val="373D08FD"/>
    <w:rsid w:val="37647DF7"/>
    <w:rsid w:val="378A2B9D"/>
    <w:rsid w:val="37EA107B"/>
    <w:rsid w:val="37FD55E1"/>
    <w:rsid w:val="382C48FB"/>
    <w:rsid w:val="38D46546"/>
    <w:rsid w:val="391C4EAD"/>
    <w:rsid w:val="396D5BDD"/>
    <w:rsid w:val="39A042EA"/>
    <w:rsid w:val="39E71F75"/>
    <w:rsid w:val="3A2A067E"/>
    <w:rsid w:val="3A5A062E"/>
    <w:rsid w:val="3A873285"/>
    <w:rsid w:val="3AAA7BE2"/>
    <w:rsid w:val="3AAF2A52"/>
    <w:rsid w:val="3AFB0ABC"/>
    <w:rsid w:val="3B100F1D"/>
    <w:rsid w:val="3B1C543E"/>
    <w:rsid w:val="3B393347"/>
    <w:rsid w:val="3B5519C8"/>
    <w:rsid w:val="3BB74A13"/>
    <w:rsid w:val="3C316479"/>
    <w:rsid w:val="3C482BEB"/>
    <w:rsid w:val="3CC51B1A"/>
    <w:rsid w:val="3CE454C1"/>
    <w:rsid w:val="3D285C2B"/>
    <w:rsid w:val="3D7C08E3"/>
    <w:rsid w:val="3DB2144E"/>
    <w:rsid w:val="3DD2580E"/>
    <w:rsid w:val="3DF174B6"/>
    <w:rsid w:val="3E3C33A8"/>
    <w:rsid w:val="3EC9466A"/>
    <w:rsid w:val="3F5F45BB"/>
    <w:rsid w:val="3F6703B3"/>
    <w:rsid w:val="402D52C2"/>
    <w:rsid w:val="40966B57"/>
    <w:rsid w:val="40992F24"/>
    <w:rsid w:val="40BE2923"/>
    <w:rsid w:val="40C160D7"/>
    <w:rsid w:val="410F6E40"/>
    <w:rsid w:val="41716F36"/>
    <w:rsid w:val="41AB3E4D"/>
    <w:rsid w:val="4201127D"/>
    <w:rsid w:val="423D6DC8"/>
    <w:rsid w:val="42494E8D"/>
    <w:rsid w:val="427B279C"/>
    <w:rsid w:val="427B5361"/>
    <w:rsid w:val="42801627"/>
    <w:rsid w:val="42896145"/>
    <w:rsid w:val="430C5BD6"/>
    <w:rsid w:val="431B49E9"/>
    <w:rsid w:val="43356C07"/>
    <w:rsid w:val="436B2F36"/>
    <w:rsid w:val="438F44FA"/>
    <w:rsid w:val="44722505"/>
    <w:rsid w:val="44761687"/>
    <w:rsid w:val="449A7817"/>
    <w:rsid w:val="44BA6543"/>
    <w:rsid w:val="44E05C43"/>
    <w:rsid w:val="45194414"/>
    <w:rsid w:val="4541682E"/>
    <w:rsid w:val="45E10952"/>
    <w:rsid w:val="46610277"/>
    <w:rsid w:val="46725D94"/>
    <w:rsid w:val="47985872"/>
    <w:rsid w:val="480F464B"/>
    <w:rsid w:val="48113812"/>
    <w:rsid w:val="482E4F71"/>
    <w:rsid w:val="48474A73"/>
    <w:rsid w:val="487D5E58"/>
    <w:rsid w:val="48971A32"/>
    <w:rsid w:val="49215A93"/>
    <w:rsid w:val="49267619"/>
    <w:rsid w:val="492928A1"/>
    <w:rsid w:val="497D22F8"/>
    <w:rsid w:val="49916278"/>
    <w:rsid w:val="4AB567D6"/>
    <w:rsid w:val="4AC812CF"/>
    <w:rsid w:val="4AF844FB"/>
    <w:rsid w:val="4B37720A"/>
    <w:rsid w:val="4B47375F"/>
    <w:rsid w:val="4B5F7969"/>
    <w:rsid w:val="4B647058"/>
    <w:rsid w:val="4BEB0D08"/>
    <w:rsid w:val="4C9E16DD"/>
    <w:rsid w:val="4CBA3E0F"/>
    <w:rsid w:val="4D963314"/>
    <w:rsid w:val="4E2B37E2"/>
    <w:rsid w:val="4E30349A"/>
    <w:rsid w:val="4EE23382"/>
    <w:rsid w:val="4F06275F"/>
    <w:rsid w:val="4F36045F"/>
    <w:rsid w:val="504C440D"/>
    <w:rsid w:val="505A7DD9"/>
    <w:rsid w:val="505D3AB5"/>
    <w:rsid w:val="50625EDA"/>
    <w:rsid w:val="506E0929"/>
    <w:rsid w:val="514B2B4B"/>
    <w:rsid w:val="515C752C"/>
    <w:rsid w:val="51617EE3"/>
    <w:rsid w:val="518A6225"/>
    <w:rsid w:val="51B65D8F"/>
    <w:rsid w:val="51DE29EB"/>
    <w:rsid w:val="522158EC"/>
    <w:rsid w:val="522717C1"/>
    <w:rsid w:val="524231A5"/>
    <w:rsid w:val="527818D7"/>
    <w:rsid w:val="527C2F7E"/>
    <w:rsid w:val="529C6C86"/>
    <w:rsid w:val="52DA4C7D"/>
    <w:rsid w:val="52EB7555"/>
    <w:rsid w:val="531E30E1"/>
    <w:rsid w:val="53B11B40"/>
    <w:rsid w:val="53DB4193"/>
    <w:rsid w:val="53E00455"/>
    <w:rsid w:val="53F30BD9"/>
    <w:rsid w:val="53F728E4"/>
    <w:rsid w:val="54110D4A"/>
    <w:rsid w:val="542A67BE"/>
    <w:rsid w:val="54744724"/>
    <w:rsid w:val="54C42C4A"/>
    <w:rsid w:val="54E762AF"/>
    <w:rsid w:val="55A86A98"/>
    <w:rsid w:val="55D61167"/>
    <w:rsid w:val="56226BD8"/>
    <w:rsid w:val="564E2383"/>
    <w:rsid w:val="56CC4811"/>
    <w:rsid w:val="570A6631"/>
    <w:rsid w:val="57866DC7"/>
    <w:rsid w:val="578D5CF1"/>
    <w:rsid w:val="57DF29BF"/>
    <w:rsid w:val="57E92370"/>
    <w:rsid w:val="57FD016E"/>
    <w:rsid w:val="581A7D13"/>
    <w:rsid w:val="585F4A3B"/>
    <w:rsid w:val="58733866"/>
    <w:rsid w:val="58796123"/>
    <w:rsid w:val="58A130AC"/>
    <w:rsid w:val="596A17B3"/>
    <w:rsid w:val="599E1A27"/>
    <w:rsid w:val="59E342E5"/>
    <w:rsid w:val="59E83D45"/>
    <w:rsid w:val="5A527DF0"/>
    <w:rsid w:val="5A794853"/>
    <w:rsid w:val="5A7A2C52"/>
    <w:rsid w:val="5A8F6351"/>
    <w:rsid w:val="5AB20F0E"/>
    <w:rsid w:val="5B586E86"/>
    <w:rsid w:val="5B715C11"/>
    <w:rsid w:val="5C0B44AA"/>
    <w:rsid w:val="5C284A4C"/>
    <w:rsid w:val="5C364737"/>
    <w:rsid w:val="5C4F5E82"/>
    <w:rsid w:val="5D12164E"/>
    <w:rsid w:val="5DB91D96"/>
    <w:rsid w:val="5E237C1E"/>
    <w:rsid w:val="5E74366E"/>
    <w:rsid w:val="5EE61250"/>
    <w:rsid w:val="5EEF3FA6"/>
    <w:rsid w:val="5F833F0C"/>
    <w:rsid w:val="5FA37EB2"/>
    <w:rsid w:val="5FD310FE"/>
    <w:rsid w:val="6009518A"/>
    <w:rsid w:val="605E64C8"/>
    <w:rsid w:val="61250366"/>
    <w:rsid w:val="615825F7"/>
    <w:rsid w:val="61B04348"/>
    <w:rsid w:val="61B34A11"/>
    <w:rsid w:val="61CB6485"/>
    <w:rsid w:val="61E31065"/>
    <w:rsid w:val="62595632"/>
    <w:rsid w:val="62857B7D"/>
    <w:rsid w:val="62C93A19"/>
    <w:rsid w:val="62E46D9F"/>
    <w:rsid w:val="62E93B79"/>
    <w:rsid w:val="63420054"/>
    <w:rsid w:val="63A86E4A"/>
    <w:rsid w:val="642671B6"/>
    <w:rsid w:val="643E0FD1"/>
    <w:rsid w:val="64414ECE"/>
    <w:rsid w:val="64602776"/>
    <w:rsid w:val="64614DF2"/>
    <w:rsid w:val="64D8473E"/>
    <w:rsid w:val="64FD69AD"/>
    <w:rsid w:val="650B7AAD"/>
    <w:rsid w:val="655B0420"/>
    <w:rsid w:val="65C33709"/>
    <w:rsid w:val="65D3451B"/>
    <w:rsid w:val="661B5E77"/>
    <w:rsid w:val="66422173"/>
    <w:rsid w:val="66776DED"/>
    <w:rsid w:val="66933257"/>
    <w:rsid w:val="66E204D0"/>
    <w:rsid w:val="67A313A4"/>
    <w:rsid w:val="67DB54A2"/>
    <w:rsid w:val="67F0068C"/>
    <w:rsid w:val="68345769"/>
    <w:rsid w:val="68605075"/>
    <w:rsid w:val="686865EE"/>
    <w:rsid w:val="688407C5"/>
    <w:rsid w:val="689C66B9"/>
    <w:rsid w:val="695E142F"/>
    <w:rsid w:val="69E20FB9"/>
    <w:rsid w:val="69F22A76"/>
    <w:rsid w:val="6A675B9F"/>
    <w:rsid w:val="6A6F4D71"/>
    <w:rsid w:val="6ACC0FCC"/>
    <w:rsid w:val="6B3270B0"/>
    <w:rsid w:val="6B9D333E"/>
    <w:rsid w:val="6B9F781F"/>
    <w:rsid w:val="6BAC2609"/>
    <w:rsid w:val="6C101856"/>
    <w:rsid w:val="6C1C3371"/>
    <w:rsid w:val="6C1E0880"/>
    <w:rsid w:val="6CDA6EB8"/>
    <w:rsid w:val="6CF01C51"/>
    <w:rsid w:val="6D271EA6"/>
    <w:rsid w:val="6D460455"/>
    <w:rsid w:val="6D61690A"/>
    <w:rsid w:val="6E1A7090"/>
    <w:rsid w:val="6E260F3E"/>
    <w:rsid w:val="6E464B20"/>
    <w:rsid w:val="6E5800FC"/>
    <w:rsid w:val="6F26724B"/>
    <w:rsid w:val="6F2C5143"/>
    <w:rsid w:val="6F4D197D"/>
    <w:rsid w:val="705F7DE0"/>
    <w:rsid w:val="713F4DB4"/>
    <w:rsid w:val="71454328"/>
    <w:rsid w:val="718256FD"/>
    <w:rsid w:val="71A24A73"/>
    <w:rsid w:val="71A44554"/>
    <w:rsid w:val="722806A0"/>
    <w:rsid w:val="72703248"/>
    <w:rsid w:val="7302536A"/>
    <w:rsid w:val="73A575CD"/>
    <w:rsid w:val="74001769"/>
    <w:rsid w:val="74672232"/>
    <w:rsid w:val="74BB6289"/>
    <w:rsid w:val="75274FF5"/>
    <w:rsid w:val="754F5AC5"/>
    <w:rsid w:val="755A1A75"/>
    <w:rsid w:val="75974A39"/>
    <w:rsid w:val="75CB7FDA"/>
    <w:rsid w:val="76451AD2"/>
    <w:rsid w:val="76C2687C"/>
    <w:rsid w:val="771334A5"/>
    <w:rsid w:val="77175784"/>
    <w:rsid w:val="77780A61"/>
    <w:rsid w:val="77BC6687"/>
    <w:rsid w:val="786F54C1"/>
    <w:rsid w:val="787C5BC5"/>
    <w:rsid w:val="78A5177A"/>
    <w:rsid w:val="7B127AFF"/>
    <w:rsid w:val="7C217FAA"/>
    <w:rsid w:val="7C436091"/>
    <w:rsid w:val="7C4D733B"/>
    <w:rsid w:val="7C4F58CF"/>
    <w:rsid w:val="7CBA244D"/>
    <w:rsid w:val="7D437A57"/>
    <w:rsid w:val="7D953DA3"/>
    <w:rsid w:val="7DAF48DD"/>
    <w:rsid w:val="7E344629"/>
    <w:rsid w:val="7EA909F1"/>
    <w:rsid w:val="7ED4502B"/>
    <w:rsid w:val="7F0B0FDE"/>
    <w:rsid w:val="7F436C45"/>
    <w:rsid w:val="7F520156"/>
    <w:rsid w:val="7F54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39" w:semiHidden="0" w:name="toc 3"/>
    <w:lsdException w:uiPriority="0" w:name="toc 4"/>
    <w:lsdException w:qFormat="1" w:unhideWhenUsed="0" w:uiPriority="39"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43"/>
    <w:qFormat/>
    <w:uiPriority w:val="0"/>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114"/>
    <w:unhideWhenUsed/>
    <w:qFormat/>
    <w:uiPriority w:val="0"/>
    <w:pPr>
      <w:keepNext/>
      <w:keepLines/>
      <w:spacing w:line="416" w:lineRule="auto"/>
      <w:outlineLvl w:val="1"/>
    </w:pPr>
    <w:rPr>
      <w:rFonts w:ascii="Arial" w:hAnsi="Arial" w:eastAsia="黑体" w:cs="Times New Roman"/>
      <w:b/>
      <w:bCs/>
      <w:sz w:val="32"/>
      <w:szCs w:val="32"/>
    </w:rPr>
  </w:style>
  <w:style w:type="paragraph" w:styleId="6">
    <w:name w:val="heading 3"/>
    <w:basedOn w:val="1"/>
    <w:next w:val="1"/>
    <w:link w:val="85"/>
    <w:qFormat/>
    <w:uiPriority w:val="0"/>
    <w:pPr>
      <w:keepNext/>
      <w:keepLines/>
      <w:spacing w:before="260" w:after="260" w:line="416" w:lineRule="auto"/>
      <w:outlineLvl w:val="2"/>
    </w:pPr>
    <w:rPr>
      <w:rFonts w:cs="Times New Roman"/>
      <w:b/>
      <w:bCs/>
      <w:kern w:val="0"/>
      <w:sz w:val="32"/>
      <w:szCs w:val="32"/>
    </w:rPr>
  </w:style>
  <w:style w:type="paragraph" w:styleId="7">
    <w:name w:val="heading 4"/>
    <w:basedOn w:val="1"/>
    <w:next w:val="1"/>
    <w:link w:val="86"/>
    <w:qFormat/>
    <w:uiPriority w:val="0"/>
    <w:pPr>
      <w:keepNext/>
      <w:jc w:val="center"/>
      <w:outlineLvl w:val="3"/>
    </w:pPr>
    <w:rPr>
      <w:rFonts w:eastAsia="新宋体" w:cs="Times New Roman"/>
      <w:kern w:val="0"/>
      <w:sz w:val="30"/>
      <w:szCs w:val="21"/>
    </w:rPr>
  </w:style>
  <w:style w:type="paragraph" w:styleId="8">
    <w:name w:val="heading 5"/>
    <w:basedOn w:val="1"/>
    <w:next w:val="1"/>
    <w:link w:val="87"/>
    <w:qFormat/>
    <w:uiPriority w:val="0"/>
    <w:pPr>
      <w:keepNext/>
      <w:keepLines/>
      <w:spacing w:before="280" w:after="290" w:line="376" w:lineRule="auto"/>
      <w:outlineLvl w:val="4"/>
    </w:pPr>
    <w:rPr>
      <w:rFonts w:cs="Times New Roman"/>
      <w:b/>
      <w:bCs/>
      <w:kern w:val="0"/>
      <w:sz w:val="28"/>
      <w:szCs w:val="28"/>
    </w:rPr>
  </w:style>
  <w:style w:type="paragraph" w:styleId="9">
    <w:name w:val="heading 6"/>
    <w:basedOn w:val="1"/>
    <w:next w:val="10"/>
    <w:link w:val="88"/>
    <w:qFormat/>
    <w:uiPriority w:val="0"/>
    <w:pPr>
      <w:keepNext/>
      <w:jc w:val="center"/>
      <w:outlineLvl w:val="5"/>
    </w:pPr>
    <w:rPr>
      <w:rFonts w:cs="Times New Roman"/>
      <w:b/>
      <w:kern w:val="0"/>
      <w:sz w:val="44"/>
      <w:szCs w:val="20"/>
    </w:rPr>
  </w:style>
  <w:style w:type="paragraph" w:styleId="11">
    <w:name w:val="heading 7"/>
    <w:basedOn w:val="1"/>
    <w:next w:val="1"/>
    <w:link w:val="89"/>
    <w:qFormat/>
    <w:uiPriority w:val="0"/>
    <w:pPr>
      <w:keepNext/>
      <w:keepLines/>
      <w:spacing w:before="240" w:after="64" w:line="320" w:lineRule="auto"/>
      <w:outlineLvl w:val="6"/>
    </w:pPr>
    <w:rPr>
      <w:rFonts w:cs="Times New Roman"/>
      <w:b/>
      <w:bCs/>
      <w:kern w:val="0"/>
      <w:sz w:val="24"/>
      <w:szCs w:val="24"/>
    </w:rPr>
  </w:style>
  <w:style w:type="paragraph" w:styleId="12">
    <w:name w:val="heading 8"/>
    <w:basedOn w:val="1"/>
    <w:next w:val="1"/>
    <w:link w:val="9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9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6">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25"/>
    <w:qFormat/>
    <w:uiPriority w:val="0"/>
    <w:pPr>
      <w:spacing w:after="120"/>
      <w:ind w:firstLine="420" w:firstLineChars="100"/>
    </w:pPr>
  </w:style>
  <w:style w:type="paragraph" w:styleId="3">
    <w:name w:val="Body Text"/>
    <w:basedOn w:val="1"/>
    <w:link w:val="124"/>
    <w:qFormat/>
    <w:uiPriority w:val="99"/>
    <w:rPr>
      <w:rFonts w:cs="Times New Roman"/>
    </w:rPr>
  </w:style>
  <w:style w:type="paragraph" w:styleId="10">
    <w:name w:val="Normal Indent"/>
    <w:basedOn w:val="1"/>
    <w:link w:val="93"/>
    <w:qFormat/>
    <w:uiPriority w:val="0"/>
    <w:pPr>
      <w:ind w:firstLine="420"/>
    </w:pPr>
    <w:rPr>
      <w:rFonts w:ascii="Times New Roman" w:hAnsi="Times New Roman" w:cs="Times New Roman"/>
      <w:kern w:val="0"/>
      <w:sz w:val="20"/>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23"/>
    <w:qFormat/>
    <w:uiPriority w:val="99"/>
    <w:pPr>
      <w:shd w:val="clear" w:color="auto" w:fill="000080"/>
    </w:pPr>
    <w:rPr>
      <w:rFonts w:ascii="宋体" w:cs="Times New Roman"/>
      <w:sz w:val="18"/>
      <w:szCs w:val="18"/>
    </w:rPr>
  </w:style>
  <w:style w:type="paragraph" w:styleId="16">
    <w:name w:val="annotation text"/>
    <w:basedOn w:val="1"/>
    <w:link w:val="119"/>
    <w:unhideWhenUsed/>
    <w:qFormat/>
    <w:uiPriority w:val="0"/>
    <w:pPr>
      <w:jc w:val="left"/>
    </w:pPr>
    <w:rPr>
      <w:rFonts w:cs="Times New Roman"/>
    </w:rPr>
  </w:style>
  <w:style w:type="paragraph" w:styleId="17">
    <w:name w:val="Body Text 3"/>
    <w:basedOn w:val="1"/>
    <w:link w:val="120"/>
    <w:qFormat/>
    <w:uiPriority w:val="0"/>
    <w:pPr>
      <w:spacing w:after="120"/>
    </w:pPr>
    <w:rPr>
      <w:rFonts w:cs="Times New Roman"/>
      <w:sz w:val="16"/>
      <w:szCs w:val="16"/>
    </w:rPr>
  </w:style>
  <w:style w:type="paragraph" w:styleId="18">
    <w:name w:val="Body Text Indent"/>
    <w:basedOn w:val="1"/>
    <w:link w:val="110"/>
    <w:qFormat/>
    <w:uiPriority w:val="0"/>
    <w:pPr>
      <w:spacing w:line="400" w:lineRule="exact"/>
      <w:ind w:left="630"/>
    </w:pPr>
    <w:rPr>
      <w:rFonts w:ascii="楷体_GB2312" w:cs="Times New Roman"/>
    </w:rPr>
  </w:style>
  <w:style w:type="paragraph" w:styleId="19">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20">
    <w:name w:val="toc 3"/>
    <w:basedOn w:val="1"/>
    <w:next w:val="1"/>
    <w:qFormat/>
    <w:uiPriority w:val="39"/>
    <w:pPr>
      <w:ind w:left="480"/>
      <w:jc w:val="left"/>
    </w:pPr>
    <w:rPr>
      <w:rFonts w:ascii="Times New Roman" w:hAnsi="Times New Roman" w:cs="Times New Roman"/>
      <w:i/>
      <w:iCs/>
      <w:color w:val="0000FF"/>
      <w:sz w:val="20"/>
      <w:szCs w:val="20"/>
    </w:rPr>
  </w:style>
  <w:style w:type="paragraph" w:styleId="21">
    <w:name w:val="Plain Text"/>
    <w:basedOn w:val="1"/>
    <w:link w:val="127"/>
    <w:qFormat/>
    <w:uiPriority w:val="0"/>
    <w:rPr>
      <w:rFonts w:ascii="宋体" w:hAnsi="Courier New" w:cs="Times New Roman"/>
      <w:szCs w:val="21"/>
    </w:rPr>
  </w:style>
  <w:style w:type="paragraph" w:styleId="22">
    <w:name w:val="Date"/>
    <w:basedOn w:val="1"/>
    <w:next w:val="1"/>
    <w:link w:val="105"/>
    <w:qFormat/>
    <w:uiPriority w:val="99"/>
    <w:rPr>
      <w:rFonts w:eastAsia="楷体_GB2312" w:cs="Times New Roman"/>
      <w:sz w:val="32"/>
    </w:rPr>
  </w:style>
  <w:style w:type="paragraph" w:styleId="23">
    <w:name w:val="Body Text Indent 2"/>
    <w:basedOn w:val="1"/>
    <w:link w:val="121"/>
    <w:qFormat/>
    <w:uiPriority w:val="0"/>
    <w:pPr>
      <w:spacing w:line="500" w:lineRule="exact"/>
      <w:ind w:firstLine="560" w:firstLineChars="200"/>
    </w:pPr>
    <w:rPr>
      <w:rFonts w:cs="Times New Roman"/>
    </w:rPr>
  </w:style>
  <w:style w:type="paragraph" w:styleId="24">
    <w:name w:val="Balloon Text"/>
    <w:basedOn w:val="1"/>
    <w:link w:val="84"/>
    <w:qFormat/>
    <w:uiPriority w:val="0"/>
    <w:rPr>
      <w:rFonts w:cs="Times New Roman"/>
      <w:sz w:val="18"/>
      <w:szCs w:val="18"/>
    </w:rPr>
  </w:style>
  <w:style w:type="paragraph" w:styleId="25">
    <w:name w:val="footer"/>
    <w:basedOn w:val="1"/>
    <w:link w:val="100"/>
    <w:qFormat/>
    <w:uiPriority w:val="99"/>
    <w:pPr>
      <w:tabs>
        <w:tab w:val="center" w:pos="4153"/>
        <w:tab w:val="right" w:pos="8306"/>
      </w:tabs>
      <w:snapToGrid w:val="0"/>
      <w:jc w:val="left"/>
    </w:pPr>
    <w:rPr>
      <w:rFonts w:cs="Times New Roman"/>
      <w:sz w:val="18"/>
    </w:rPr>
  </w:style>
  <w:style w:type="paragraph" w:styleId="26">
    <w:name w:val="header"/>
    <w:basedOn w:val="1"/>
    <w:link w:val="101"/>
    <w:qFormat/>
    <w:uiPriority w:val="99"/>
    <w:pPr>
      <w:tabs>
        <w:tab w:val="center" w:pos="4153"/>
        <w:tab w:val="right" w:pos="8306"/>
      </w:tabs>
      <w:snapToGrid w:val="0"/>
    </w:pPr>
    <w:rPr>
      <w:rFonts w:cs="Times New Roman"/>
      <w:sz w:val="18"/>
    </w:rPr>
  </w:style>
  <w:style w:type="paragraph" w:styleId="27">
    <w:name w:val="toc 1"/>
    <w:basedOn w:val="1"/>
    <w:next w:val="1"/>
    <w:qFormat/>
    <w:uiPriority w:val="39"/>
    <w:rPr>
      <w:rFonts w:ascii="Times New Roman" w:hAnsi="Times New Roman" w:cs="Times New Roman"/>
      <w:sz w:val="24"/>
      <w:szCs w:val="24"/>
    </w:rPr>
  </w:style>
  <w:style w:type="paragraph" w:styleId="28">
    <w:name w:val="List"/>
    <w:basedOn w:val="1"/>
    <w:qFormat/>
    <w:uiPriority w:val="0"/>
    <w:pPr>
      <w:ind w:left="200" w:hanging="200" w:hangingChars="200"/>
    </w:pPr>
    <w:rPr>
      <w:rFonts w:ascii="Times New Roman" w:hAnsi="Times New Roman" w:cs="Times New Roman"/>
      <w:szCs w:val="24"/>
    </w:rPr>
  </w:style>
  <w:style w:type="paragraph" w:styleId="29">
    <w:name w:val="Body Text Indent 3"/>
    <w:basedOn w:val="1"/>
    <w:link w:val="126"/>
    <w:qFormat/>
    <w:uiPriority w:val="0"/>
    <w:pPr>
      <w:spacing w:after="120"/>
      <w:ind w:left="420" w:leftChars="200"/>
    </w:pPr>
    <w:rPr>
      <w:rFonts w:cs="Times New Roman"/>
      <w:sz w:val="16"/>
      <w:szCs w:val="16"/>
    </w:rPr>
  </w:style>
  <w:style w:type="paragraph" w:styleId="30">
    <w:name w:val="Body Text 2"/>
    <w:basedOn w:val="1"/>
    <w:link w:val="128"/>
    <w:qFormat/>
    <w:uiPriority w:val="0"/>
    <w:pPr>
      <w:snapToGrid w:val="0"/>
    </w:pPr>
    <w:rPr>
      <w:rFonts w:cs="Times New Roman"/>
    </w:rPr>
  </w:style>
  <w:style w:type="paragraph" w:styleId="3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32">
    <w:name w:val="Normal (Web)"/>
    <w:basedOn w:val="1"/>
    <w:qFormat/>
    <w:uiPriority w:val="99"/>
    <w:pPr>
      <w:jc w:val="left"/>
    </w:pPr>
    <w:rPr>
      <w:rFonts w:cs="Times New Roman"/>
      <w:kern w:val="0"/>
      <w:sz w:val="24"/>
    </w:rPr>
  </w:style>
  <w:style w:type="paragraph" w:styleId="33">
    <w:name w:val="annotation subject"/>
    <w:basedOn w:val="16"/>
    <w:next w:val="16"/>
    <w:link w:val="122"/>
    <w:unhideWhenUsed/>
    <w:qFormat/>
    <w:uiPriority w:val="0"/>
    <w:rPr>
      <w:b/>
      <w:bCs/>
    </w:rPr>
  </w:style>
  <w:style w:type="paragraph" w:styleId="34">
    <w:name w:val="Body Text First Indent 2"/>
    <w:basedOn w:val="18"/>
    <w:link w:val="138"/>
    <w:qFormat/>
    <w:uiPriority w:val="99"/>
    <w:pPr>
      <w:spacing w:line="360" w:lineRule="auto"/>
      <w:ind w:left="540" w:leftChars="257" w:firstLine="420" w:firstLineChars="200"/>
    </w:pPr>
    <w:rPr>
      <w:rFonts w:ascii="宋体" w:hAnsi="宋体"/>
      <w:sz w:val="24"/>
    </w:rPr>
  </w:style>
  <w:style w:type="character" w:styleId="37">
    <w:name w:val="Strong"/>
    <w:qFormat/>
    <w:uiPriority w:val="22"/>
    <w:rPr>
      <w:b/>
      <w:bCs/>
    </w:rPr>
  </w:style>
  <w:style w:type="character" w:styleId="38">
    <w:name w:val="page number"/>
    <w:basedOn w:val="36"/>
    <w:qFormat/>
    <w:uiPriority w:val="0"/>
  </w:style>
  <w:style w:type="character" w:styleId="39">
    <w:name w:val="FollowedHyperlink"/>
    <w:basedOn w:val="36"/>
    <w:qFormat/>
    <w:uiPriority w:val="0"/>
    <w:rPr>
      <w:color w:val="000000"/>
      <w:u w:val="none"/>
    </w:rPr>
  </w:style>
  <w:style w:type="character" w:styleId="40">
    <w:name w:val="Emphasis"/>
    <w:basedOn w:val="36"/>
    <w:qFormat/>
    <w:uiPriority w:val="0"/>
  </w:style>
  <w:style w:type="character" w:styleId="41">
    <w:name w:val="Hyperlink"/>
    <w:basedOn w:val="36"/>
    <w:qFormat/>
    <w:uiPriority w:val="99"/>
    <w:rPr>
      <w:color w:val="000000"/>
      <w:u w:val="none"/>
    </w:rPr>
  </w:style>
  <w:style w:type="character" w:styleId="42">
    <w:name w:val="annotation reference"/>
    <w:unhideWhenUsed/>
    <w:qFormat/>
    <w:uiPriority w:val="99"/>
    <w:rPr>
      <w:sz w:val="21"/>
      <w:szCs w:val="21"/>
    </w:rPr>
  </w:style>
  <w:style w:type="character" w:customStyle="1" w:styleId="43">
    <w:name w:val="标题 1 Char"/>
    <w:link w:val="4"/>
    <w:qFormat/>
    <w:uiPriority w:val="0"/>
    <w:rPr>
      <w:b/>
      <w:bCs/>
      <w:kern w:val="44"/>
      <w:sz w:val="44"/>
      <w:szCs w:val="44"/>
    </w:rPr>
  </w:style>
  <w:style w:type="paragraph" w:customStyle="1" w:styleId="44">
    <w:name w:val="p0"/>
    <w:basedOn w:val="1"/>
    <w:qFormat/>
    <w:uiPriority w:val="0"/>
    <w:pPr>
      <w:widowControl/>
    </w:pPr>
    <w:rPr>
      <w:kern w:val="0"/>
    </w:rPr>
  </w:style>
  <w:style w:type="paragraph" w:customStyle="1" w:styleId="45">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7">
    <w:name w:val="列出段落1"/>
    <w:basedOn w:val="1"/>
    <w:qFormat/>
    <w:uiPriority w:val="34"/>
    <w:pPr>
      <w:ind w:firstLine="420" w:firstLineChars="200"/>
    </w:pPr>
  </w:style>
  <w:style w:type="paragraph" w:customStyle="1" w:styleId="48">
    <w:name w:val="列出段落2"/>
    <w:basedOn w:val="1"/>
    <w:unhideWhenUsed/>
    <w:qFormat/>
    <w:uiPriority w:val="99"/>
    <w:pPr>
      <w:ind w:firstLine="420" w:firstLineChars="200"/>
    </w:pPr>
  </w:style>
  <w:style w:type="paragraph" w:customStyle="1" w:styleId="49">
    <w:name w:val="样式 ssss + 宋体 五号1"/>
    <w:basedOn w:val="50"/>
    <w:link w:val="92"/>
    <w:qFormat/>
    <w:uiPriority w:val="0"/>
    <w:rPr>
      <w:rFonts w:ascii="宋体" w:hAnsi="宋体"/>
    </w:rPr>
  </w:style>
  <w:style w:type="paragraph" w:customStyle="1" w:styleId="50">
    <w:name w:val="ssss"/>
    <w:basedOn w:val="1"/>
    <w:link w:val="118"/>
    <w:qFormat/>
    <w:uiPriority w:val="0"/>
    <w:pPr>
      <w:spacing w:line="360" w:lineRule="auto"/>
      <w:ind w:firstLine="480" w:firstLineChars="200"/>
    </w:pPr>
    <w:rPr>
      <w:rFonts w:cs="Times New Roman"/>
      <w:kern w:val="0"/>
      <w:sz w:val="24"/>
      <w:szCs w:val="24"/>
    </w:rPr>
  </w:style>
  <w:style w:type="paragraph" w:customStyle="1" w:styleId="51">
    <w:name w:val="普通正文"/>
    <w:basedOn w:val="1"/>
    <w:link w:val="94"/>
    <w:qFormat/>
    <w:uiPriority w:val="0"/>
    <w:pPr>
      <w:adjustRightInd w:val="0"/>
      <w:spacing w:before="120" w:after="120" w:line="360" w:lineRule="auto"/>
      <w:ind w:left="-2" w:right="120" w:firstLine="480"/>
      <w:jc w:val="center"/>
      <w:textAlignment w:val="baseline"/>
    </w:pPr>
    <w:rPr>
      <w:rFonts w:ascii="Arial" w:hAnsi="Arial" w:cs="Times New Roman"/>
      <w:kern w:val="0"/>
      <w:sz w:val="24"/>
      <w:szCs w:val="24"/>
    </w:rPr>
  </w:style>
  <w:style w:type="paragraph" w:customStyle="1" w:styleId="52">
    <w:name w:val="正文缩进2格"/>
    <w:basedOn w:val="1"/>
    <w:link w:val="106"/>
    <w:qFormat/>
    <w:uiPriority w:val="0"/>
    <w:pPr>
      <w:spacing w:line="600" w:lineRule="exact"/>
      <w:ind w:firstLine="639" w:firstLineChars="206"/>
    </w:pPr>
    <w:rPr>
      <w:rFonts w:ascii="仿宋_GB2312" w:hAnsi="宋体" w:eastAsia="仿宋_GB2312" w:cs="Times New Roman"/>
      <w:kern w:val="0"/>
      <w:sz w:val="31"/>
      <w:szCs w:val="28"/>
    </w:rPr>
  </w:style>
  <w:style w:type="paragraph" w:customStyle="1" w:styleId="53">
    <w:name w:val="FA正文"/>
    <w:basedOn w:val="1"/>
    <w:link w:val="116"/>
    <w:qFormat/>
    <w:uiPriority w:val="0"/>
    <w:pPr>
      <w:tabs>
        <w:tab w:val="left" w:pos="3375"/>
      </w:tabs>
      <w:spacing w:line="440" w:lineRule="atLeast"/>
      <w:ind w:firstLine="538" w:firstLineChars="192"/>
    </w:pPr>
    <w:rPr>
      <w:rFonts w:ascii="宋体" w:hAnsi="宋体" w:cs="Times New Roman"/>
      <w:kern w:val="0"/>
      <w:sz w:val="28"/>
      <w:szCs w:val="28"/>
    </w:rPr>
  </w:style>
  <w:style w:type="paragraph" w:customStyle="1" w:styleId="5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55">
    <w:name w:val="正文样式1"/>
    <w:basedOn w:val="1"/>
    <w:qFormat/>
    <w:uiPriority w:val="0"/>
    <w:pPr>
      <w:spacing w:before="120" w:after="120" w:line="360" w:lineRule="auto"/>
      <w:ind w:firstLine="480" w:firstLineChars="200"/>
    </w:pPr>
    <w:rPr>
      <w:rFonts w:ascii="Times New Roman" w:hAnsi="Times New Roman" w:cs="Times New Roman"/>
      <w:sz w:val="24"/>
      <w:szCs w:val="20"/>
    </w:rPr>
  </w:style>
  <w:style w:type="paragraph" w:customStyle="1" w:styleId="5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57">
    <w:name w:val="Char"/>
    <w:basedOn w:val="1"/>
    <w:qFormat/>
    <w:uiPriority w:val="0"/>
    <w:rPr>
      <w:rFonts w:ascii="Tahoma" w:hAnsi="Tahoma" w:cs="Times New Roman"/>
      <w:sz w:val="24"/>
      <w:szCs w:val="20"/>
    </w:rPr>
  </w:style>
  <w:style w:type="paragraph" w:customStyle="1" w:styleId="58">
    <w:name w:val="Char Char 字元 字元 字元 Char Char Char Char"/>
    <w:basedOn w:val="1"/>
    <w:qFormat/>
    <w:uiPriority w:val="0"/>
    <w:pPr>
      <w:adjustRightInd w:val="0"/>
      <w:spacing w:line="360" w:lineRule="auto"/>
    </w:pPr>
    <w:rPr>
      <w:rFonts w:ascii="Times New Roman" w:hAnsi="Times New Roman" w:cs="Times New Roman"/>
      <w:kern w:val="0"/>
      <w:sz w:val="24"/>
      <w:szCs w:val="20"/>
    </w:rPr>
  </w:style>
  <w:style w:type="paragraph" w:customStyle="1" w:styleId="59">
    <w:name w:val="Char Char Char Char"/>
    <w:basedOn w:val="1"/>
    <w:qFormat/>
    <w:uiPriority w:val="0"/>
    <w:rPr>
      <w:rFonts w:ascii="Tahoma" w:hAnsi="Tahoma" w:cs="Times New Roman"/>
      <w:sz w:val="24"/>
      <w:szCs w:val="20"/>
    </w:rPr>
  </w:style>
  <w:style w:type="paragraph" w:customStyle="1" w:styleId="60">
    <w:name w:val="ec_msonormal"/>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61">
    <w:name w:val="样式 正文文本缩进 3 + 四号"/>
    <w:basedOn w:val="29"/>
    <w:qFormat/>
    <w:uiPriority w:val="0"/>
    <w:pPr>
      <w:spacing w:after="0" w:line="360" w:lineRule="auto"/>
      <w:ind w:left="0" w:leftChars="0" w:firstLine="437"/>
    </w:pPr>
    <w:rPr>
      <w:sz w:val="24"/>
      <w:szCs w:val="21"/>
    </w:rPr>
  </w:style>
  <w:style w:type="paragraph" w:customStyle="1" w:styleId="62">
    <w:name w:val="标准正文"/>
    <w:basedOn w:val="1"/>
    <w:qFormat/>
    <w:uiPriority w:val="0"/>
    <w:pPr>
      <w:snapToGrid w:val="0"/>
      <w:spacing w:afterLines="50" w:line="360" w:lineRule="auto"/>
      <w:ind w:firstLine="200" w:firstLineChars="200"/>
    </w:pPr>
    <w:rPr>
      <w:rFonts w:ascii="Times New Roman" w:hAnsi="Times New Roman" w:cs="Times New Roman"/>
      <w:sz w:val="24"/>
      <w:szCs w:val="20"/>
    </w:rPr>
  </w:style>
  <w:style w:type="paragraph" w:customStyle="1" w:styleId="63">
    <w:name w:val="样式 ssss + 宋体 五号"/>
    <w:basedOn w:val="50"/>
    <w:qFormat/>
    <w:uiPriority w:val="0"/>
    <w:pPr>
      <w:ind w:firstLine="420"/>
    </w:pPr>
    <w:rPr>
      <w:rFonts w:ascii="宋体" w:hAnsi="宋体" w:cs="宋体"/>
      <w:szCs w:val="20"/>
    </w:rPr>
  </w:style>
  <w:style w:type="paragraph" w:customStyle="1" w:styleId="64">
    <w:name w:val="表格"/>
    <w:basedOn w:val="1"/>
    <w:qFormat/>
    <w:uiPriority w:val="0"/>
    <w:rPr>
      <w:rFonts w:ascii="Arial" w:hAnsi="Arial" w:cs="Times New Roman"/>
      <w:sz w:val="24"/>
      <w:szCs w:val="24"/>
    </w:rPr>
  </w:style>
  <w:style w:type="paragraph" w:customStyle="1" w:styleId="6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66">
    <w:name w:val="Char Char Char Char Char Char Char Char Char Char Char Char Char"/>
    <w:basedOn w:val="1"/>
    <w:qFormat/>
    <w:uiPriority w:val="0"/>
    <w:rPr>
      <w:rFonts w:ascii="Times New Roman" w:hAnsi="Times New Roman" w:cs="Times New Roman"/>
      <w:sz w:val="24"/>
      <w:szCs w:val="24"/>
    </w:rPr>
  </w:style>
  <w:style w:type="paragraph" w:customStyle="1" w:styleId="67">
    <w:name w:val="样式 样式 ssss + 宋体 五号 + 首行缩进:  2 字符"/>
    <w:basedOn w:val="63"/>
    <w:qFormat/>
    <w:uiPriority w:val="0"/>
    <w:pPr>
      <w:ind w:firstLine="480"/>
    </w:pPr>
  </w:style>
  <w:style w:type="paragraph" w:customStyle="1" w:styleId="68">
    <w:name w:val="标题-----3"/>
    <w:basedOn w:val="6"/>
    <w:qFormat/>
    <w:uiPriority w:val="0"/>
    <w:pPr>
      <w:spacing w:before="0" w:after="0" w:line="240" w:lineRule="auto"/>
      <w:outlineLvl w:val="0"/>
    </w:pPr>
    <w:rPr>
      <w:rFonts w:ascii="宋体" w:hAnsi="宋体"/>
      <w:b w:val="0"/>
      <w:bCs w:val="0"/>
      <w:sz w:val="28"/>
      <w:szCs w:val="28"/>
    </w:rPr>
  </w:style>
  <w:style w:type="paragraph" w:customStyle="1" w:styleId="69">
    <w:name w:val="Char Char Char Char Char Char Char Char Char Char"/>
    <w:basedOn w:val="1"/>
    <w:qFormat/>
    <w:uiPriority w:val="0"/>
    <w:rPr>
      <w:rFonts w:ascii="Tahoma" w:hAnsi="Tahoma" w:cs="Times New Roman"/>
      <w:sz w:val="24"/>
      <w:szCs w:val="20"/>
    </w:rPr>
  </w:style>
  <w:style w:type="paragraph" w:customStyle="1" w:styleId="70">
    <w:name w:val="样式 宋体 四号 黑色 左侧:  0.74 厘米 首行缩进:  0.74 厘米 行距: 1.5 倍行距"/>
    <w:basedOn w:val="1"/>
    <w:qFormat/>
    <w:uiPriority w:val="0"/>
    <w:pPr>
      <w:spacing w:line="360" w:lineRule="auto"/>
      <w:ind w:firstLine="420"/>
    </w:pPr>
    <w:rPr>
      <w:rFonts w:ascii="宋体" w:hAnsi="Times New Roman" w:cs="Times New Roman"/>
      <w:color w:val="000000"/>
      <w:sz w:val="24"/>
      <w:szCs w:val="21"/>
    </w:rPr>
  </w:style>
  <w:style w:type="paragraph" w:customStyle="1" w:styleId="7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2">
    <w:name w:val="Char Char Char Char1"/>
    <w:basedOn w:val="1"/>
    <w:qFormat/>
    <w:uiPriority w:val="0"/>
    <w:rPr>
      <w:rFonts w:ascii="Tahoma" w:hAnsi="Tahoma" w:cs="Times New Roman"/>
      <w:sz w:val="24"/>
      <w:szCs w:val="20"/>
    </w:rPr>
  </w:style>
  <w:style w:type="paragraph" w:customStyle="1" w:styleId="73">
    <w:name w:val="Char Char Char"/>
    <w:basedOn w:val="1"/>
    <w:qFormat/>
    <w:uiPriority w:val="0"/>
    <w:rPr>
      <w:rFonts w:ascii="Tahoma" w:hAnsi="Tahoma" w:cs="Times New Roman"/>
      <w:sz w:val="24"/>
      <w:szCs w:val="20"/>
    </w:rPr>
  </w:style>
  <w:style w:type="paragraph" w:customStyle="1" w:styleId="74">
    <w:name w:val="Char1"/>
    <w:basedOn w:val="1"/>
    <w:qFormat/>
    <w:uiPriority w:val="0"/>
    <w:pPr>
      <w:tabs>
        <w:tab w:val="left" w:pos="360"/>
      </w:tabs>
    </w:pPr>
    <w:rPr>
      <w:rFonts w:ascii="Times New Roman" w:hAnsi="Times New Roman" w:cs="Times New Roman"/>
      <w:sz w:val="24"/>
      <w:szCs w:val="24"/>
    </w:rPr>
  </w:style>
  <w:style w:type="paragraph" w:customStyle="1" w:styleId="7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6">
    <w:name w:val="p23"/>
    <w:basedOn w:val="1"/>
    <w:qFormat/>
    <w:uiPriority w:val="0"/>
    <w:pPr>
      <w:widowControl/>
      <w:spacing w:before="156" w:after="156" w:line="360" w:lineRule="auto"/>
      <w:ind w:firstLine="420"/>
    </w:pPr>
    <w:rPr>
      <w:rFonts w:ascii="宋体" w:hAnsi="宋体" w:cs="宋体"/>
      <w:kern w:val="0"/>
      <w:sz w:val="24"/>
      <w:szCs w:val="24"/>
    </w:rPr>
  </w:style>
  <w:style w:type="paragraph" w:customStyle="1" w:styleId="77">
    <w:name w:val="Char Char Char Char Char Char Char Char Char Char Char Char Char1"/>
    <w:basedOn w:val="1"/>
    <w:qFormat/>
    <w:uiPriority w:val="0"/>
    <w:rPr>
      <w:rFonts w:ascii="Times New Roman" w:hAnsi="Times New Roman" w:cs="Times New Roman"/>
      <w:szCs w:val="24"/>
    </w:rPr>
  </w:style>
  <w:style w:type="paragraph" w:customStyle="1" w:styleId="78">
    <w:name w:val="样式 ssss + 居中"/>
    <w:basedOn w:val="50"/>
    <w:qFormat/>
    <w:uiPriority w:val="0"/>
    <w:pPr>
      <w:jc w:val="center"/>
    </w:pPr>
    <w:rPr>
      <w:rFonts w:cs="宋体"/>
      <w:szCs w:val="20"/>
    </w:rPr>
  </w:style>
  <w:style w:type="paragraph" w:customStyle="1" w:styleId="79">
    <w:name w:val="Header2"/>
    <w:basedOn w:val="1"/>
    <w:qFormat/>
    <w:uiPriority w:val="0"/>
    <w:pPr>
      <w:numPr>
        <w:ilvl w:val="0"/>
        <w:numId w:val="1"/>
      </w:numPr>
      <w:tabs>
        <w:tab w:val="left" w:pos="480"/>
      </w:tabs>
    </w:pPr>
    <w:rPr>
      <w:rFonts w:ascii="Times New Roman" w:hAnsi="Times New Roman" w:cs="Times New Roman"/>
      <w:szCs w:val="24"/>
    </w:rPr>
  </w:style>
  <w:style w:type="paragraph" w:customStyle="1" w:styleId="80">
    <w:name w:val="普通(网站)1"/>
    <w:basedOn w:val="1"/>
    <w:qFormat/>
    <w:uiPriority w:val="99"/>
    <w:pPr>
      <w:spacing w:beforeAutospacing="1" w:afterAutospacing="1"/>
      <w:jc w:val="left"/>
    </w:pPr>
    <w:rPr>
      <w:rFonts w:cs="Calibri"/>
      <w:kern w:val="0"/>
      <w:sz w:val="24"/>
      <w:szCs w:val="24"/>
    </w:rPr>
  </w:style>
  <w:style w:type="paragraph" w:customStyle="1" w:styleId="81">
    <w:name w:val="z-窗体顶端1"/>
    <w:basedOn w:val="1"/>
    <w:link w:val="130"/>
    <w:qFormat/>
    <w:uiPriority w:val="99"/>
    <w:pPr>
      <w:ind w:firstLine="420" w:firstLineChars="200"/>
    </w:pPr>
    <w:rPr>
      <w:rFonts w:cs="Times New Roman"/>
      <w:szCs w:val="21"/>
    </w:rPr>
  </w:style>
  <w:style w:type="paragraph" w:customStyle="1" w:styleId="8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3">
    <w:name w:val="内容正文"/>
    <w:basedOn w:val="1"/>
    <w:qFormat/>
    <w:uiPriority w:val="0"/>
    <w:pPr>
      <w:widowControl/>
      <w:spacing w:line="360" w:lineRule="auto"/>
      <w:ind w:firstLine="560" w:firstLineChars="200"/>
    </w:pPr>
    <w:rPr>
      <w:kern w:val="0"/>
      <w:sz w:val="28"/>
      <w:szCs w:val="28"/>
    </w:rPr>
  </w:style>
  <w:style w:type="character" w:customStyle="1" w:styleId="84">
    <w:name w:val="批注框文本 Char"/>
    <w:link w:val="24"/>
    <w:qFormat/>
    <w:uiPriority w:val="0"/>
    <w:rPr>
      <w:rFonts w:ascii="Calibri" w:hAnsi="Calibri" w:eastAsia="宋体" w:cs="黑体"/>
      <w:kern w:val="2"/>
      <w:sz w:val="18"/>
      <w:szCs w:val="18"/>
    </w:rPr>
  </w:style>
  <w:style w:type="character" w:customStyle="1" w:styleId="85">
    <w:name w:val="标题 3 Char"/>
    <w:link w:val="6"/>
    <w:qFormat/>
    <w:uiPriority w:val="0"/>
    <w:rPr>
      <w:b/>
      <w:bCs/>
      <w:sz w:val="32"/>
      <w:szCs w:val="32"/>
    </w:rPr>
  </w:style>
  <w:style w:type="character" w:customStyle="1" w:styleId="86">
    <w:name w:val="标题 4 Char"/>
    <w:link w:val="7"/>
    <w:qFormat/>
    <w:uiPriority w:val="0"/>
    <w:rPr>
      <w:rFonts w:eastAsia="新宋体"/>
      <w:sz w:val="30"/>
      <w:szCs w:val="21"/>
    </w:rPr>
  </w:style>
  <w:style w:type="character" w:customStyle="1" w:styleId="87">
    <w:name w:val="标题 5 Char"/>
    <w:link w:val="8"/>
    <w:qFormat/>
    <w:uiPriority w:val="0"/>
    <w:rPr>
      <w:b/>
      <w:bCs/>
      <w:sz w:val="28"/>
      <w:szCs w:val="28"/>
    </w:rPr>
  </w:style>
  <w:style w:type="character" w:customStyle="1" w:styleId="88">
    <w:name w:val="标题 6 Char"/>
    <w:link w:val="9"/>
    <w:qFormat/>
    <w:uiPriority w:val="0"/>
    <w:rPr>
      <w:b/>
      <w:sz w:val="44"/>
    </w:rPr>
  </w:style>
  <w:style w:type="character" w:customStyle="1" w:styleId="89">
    <w:name w:val="标题 7 Char"/>
    <w:link w:val="11"/>
    <w:qFormat/>
    <w:uiPriority w:val="0"/>
    <w:rPr>
      <w:b/>
      <w:bCs/>
      <w:sz w:val="24"/>
      <w:szCs w:val="24"/>
    </w:rPr>
  </w:style>
  <w:style w:type="character" w:customStyle="1" w:styleId="90">
    <w:name w:val="标题 8 Char"/>
    <w:link w:val="12"/>
    <w:qFormat/>
    <w:uiPriority w:val="0"/>
    <w:rPr>
      <w:rFonts w:ascii="Arial" w:hAnsi="Arial" w:eastAsia="黑体"/>
      <w:sz w:val="24"/>
      <w:szCs w:val="24"/>
    </w:rPr>
  </w:style>
  <w:style w:type="character" w:customStyle="1" w:styleId="91">
    <w:name w:val="标题 9 Char"/>
    <w:link w:val="13"/>
    <w:qFormat/>
    <w:uiPriority w:val="0"/>
    <w:rPr>
      <w:rFonts w:ascii="Arial" w:hAnsi="Arial" w:eastAsia="黑体"/>
      <w:sz w:val="24"/>
      <w:szCs w:val="21"/>
    </w:rPr>
  </w:style>
  <w:style w:type="character" w:customStyle="1" w:styleId="92">
    <w:name w:val="样式 ssss + 宋体 五号1 Char Char"/>
    <w:link w:val="49"/>
    <w:qFormat/>
    <w:uiPriority w:val="0"/>
    <w:rPr>
      <w:rFonts w:ascii="宋体" w:hAnsi="宋体"/>
      <w:sz w:val="24"/>
      <w:szCs w:val="24"/>
    </w:rPr>
  </w:style>
  <w:style w:type="character" w:customStyle="1" w:styleId="93">
    <w:name w:val="正文缩进 Char"/>
    <w:link w:val="10"/>
    <w:qFormat/>
    <w:uiPriority w:val="0"/>
  </w:style>
  <w:style w:type="character" w:customStyle="1" w:styleId="94">
    <w:name w:val="普通正文 Char Char"/>
    <w:link w:val="51"/>
    <w:qFormat/>
    <w:uiPriority w:val="0"/>
    <w:rPr>
      <w:rFonts w:ascii="Arial" w:hAnsi="Arial"/>
      <w:sz w:val="24"/>
      <w:szCs w:val="24"/>
    </w:rPr>
  </w:style>
  <w:style w:type="character" w:customStyle="1" w:styleId="95">
    <w:name w:val="批注主题 Char Char"/>
    <w:qFormat/>
    <w:uiPriority w:val="99"/>
    <w:rPr>
      <w:b/>
      <w:bCs/>
      <w:kern w:val="2"/>
      <w:sz w:val="21"/>
      <w:szCs w:val="24"/>
    </w:rPr>
  </w:style>
  <w:style w:type="character" w:customStyle="1" w:styleId="96">
    <w:name w:val="正文文本 Char Char"/>
    <w:qFormat/>
    <w:uiPriority w:val="0"/>
    <w:rPr>
      <w:rFonts w:ascii="仿宋_GB2312" w:eastAsia="仿宋_GB2312"/>
      <w:sz w:val="24"/>
    </w:rPr>
  </w:style>
  <w:style w:type="character" w:customStyle="1" w:styleId="97">
    <w:name w:val="文档结构图 Char1"/>
    <w:semiHidden/>
    <w:qFormat/>
    <w:uiPriority w:val="99"/>
    <w:rPr>
      <w:rFonts w:ascii="宋体" w:hAnsi="Times New Roman" w:eastAsia="宋体" w:cs="Times New Roman"/>
      <w:sz w:val="18"/>
      <w:szCs w:val="18"/>
    </w:rPr>
  </w:style>
  <w:style w:type="character" w:customStyle="1" w:styleId="98">
    <w:name w:val="正文首行缩进 Char Char"/>
    <w:qFormat/>
    <w:uiPriority w:val="0"/>
    <w:rPr>
      <w:sz w:val="24"/>
      <w:szCs w:val="24"/>
    </w:rPr>
  </w:style>
  <w:style w:type="character" w:customStyle="1" w:styleId="99">
    <w:name w:val="正文文本 2 Char Char"/>
    <w:qFormat/>
    <w:uiPriority w:val="0"/>
    <w:rPr>
      <w:b/>
      <w:bCs/>
      <w:sz w:val="18"/>
      <w:szCs w:val="24"/>
    </w:rPr>
  </w:style>
  <w:style w:type="character" w:customStyle="1" w:styleId="100">
    <w:name w:val="页脚 Char"/>
    <w:link w:val="25"/>
    <w:qFormat/>
    <w:uiPriority w:val="99"/>
    <w:rPr>
      <w:rFonts w:ascii="Calibri" w:hAnsi="Calibri" w:eastAsia="宋体" w:cs="黑体"/>
      <w:kern w:val="2"/>
      <w:sz w:val="18"/>
      <w:szCs w:val="22"/>
    </w:rPr>
  </w:style>
  <w:style w:type="character" w:customStyle="1" w:styleId="101">
    <w:name w:val="页眉 Char"/>
    <w:link w:val="26"/>
    <w:qFormat/>
    <w:uiPriority w:val="99"/>
    <w:rPr>
      <w:rFonts w:ascii="Calibri" w:hAnsi="Calibri" w:eastAsia="宋体" w:cs="黑体"/>
      <w:kern w:val="2"/>
      <w:sz w:val="18"/>
      <w:szCs w:val="22"/>
    </w:rPr>
  </w:style>
  <w:style w:type="character" w:customStyle="1" w:styleId="102">
    <w:name w:val="批注文字 Char Char"/>
    <w:qFormat/>
    <w:uiPriority w:val="0"/>
    <w:rPr>
      <w:kern w:val="2"/>
      <w:sz w:val="21"/>
      <w:szCs w:val="24"/>
    </w:rPr>
  </w:style>
  <w:style w:type="character" w:customStyle="1" w:styleId="103">
    <w:name w:val="正文文本缩进 2 Char Char"/>
    <w:qFormat/>
    <w:uiPriority w:val="0"/>
    <w:rPr>
      <w:rFonts w:eastAsia="仿宋_GB2312"/>
      <w:sz w:val="28"/>
    </w:rPr>
  </w:style>
  <w:style w:type="character" w:customStyle="1" w:styleId="104">
    <w:name w:val="标题 4 Char1"/>
    <w:qFormat/>
    <w:uiPriority w:val="0"/>
    <w:rPr>
      <w:rFonts w:ascii="Arial" w:hAnsi="Arial" w:eastAsia="黑体"/>
      <w:b/>
      <w:bCs/>
      <w:kern w:val="2"/>
      <w:sz w:val="28"/>
      <w:szCs w:val="28"/>
      <w:lang w:val="en-US" w:eastAsia="zh-CN" w:bidi="ar-SA"/>
    </w:rPr>
  </w:style>
  <w:style w:type="character" w:customStyle="1" w:styleId="105">
    <w:name w:val="日期 Char"/>
    <w:link w:val="22"/>
    <w:qFormat/>
    <w:uiPriority w:val="99"/>
    <w:rPr>
      <w:rFonts w:ascii="Calibri" w:hAnsi="Calibri" w:eastAsia="楷体_GB2312" w:cs="黑体"/>
      <w:kern w:val="2"/>
      <w:sz w:val="32"/>
      <w:szCs w:val="22"/>
    </w:rPr>
  </w:style>
  <w:style w:type="character" w:customStyle="1" w:styleId="106">
    <w:name w:val="正文缩进2格 Char Char"/>
    <w:link w:val="52"/>
    <w:qFormat/>
    <w:uiPriority w:val="0"/>
    <w:rPr>
      <w:rFonts w:ascii="仿宋_GB2312" w:hAnsi="宋体" w:eastAsia="仿宋_GB2312"/>
      <w:sz w:val="31"/>
      <w:szCs w:val="28"/>
    </w:rPr>
  </w:style>
  <w:style w:type="character" w:customStyle="1" w:styleId="107">
    <w:name w:val="文档结构图 Char Char"/>
    <w:qFormat/>
    <w:uiPriority w:val="0"/>
    <w:rPr>
      <w:szCs w:val="24"/>
      <w:shd w:val="clear" w:color="auto" w:fill="000080"/>
    </w:rPr>
  </w:style>
  <w:style w:type="character" w:customStyle="1" w:styleId="108">
    <w:name w:val="point_normal1"/>
    <w:qFormat/>
    <w:uiPriority w:val="0"/>
    <w:rPr>
      <w:rFonts w:hint="default" w:ascii="Arial" w:hAnsi="Arial" w:cs="Arial"/>
      <w:sz w:val="16"/>
      <w:szCs w:val="16"/>
    </w:rPr>
  </w:style>
  <w:style w:type="character" w:customStyle="1" w:styleId="109">
    <w:name w:val="批注框文本 Char1"/>
    <w:semiHidden/>
    <w:qFormat/>
    <w:uiPriority w:val="99"/>
    <w:rPr>
      <w:rFonts w:ascii="Times New Roman" w:hAnsi="Times New Roman" w:eastAsia="宋体" w:cs="Times New Roman"/>
      <w:sz w:val="18"/>
      <w:szCs w:val="18"/>
    </w:rPr>
  </w:style>
  <w:style w:type="character" w:customStyle="1" w:styleId="110">
    <w:name w:val="正文文本缩进 Char"/>
    <w:link w:val="18"/>
    <w:qFormat/>
    <w:uiPriority w:val="0"/>
    <w:rPr>
      <w:rFonts w:ascii="楷体_GB2312" w:hAnsi="Calibri" w:eastAsia="宋体" w:cs="黑体"/>
      <w:kern w:val="2"/>
      <w:sz w:val="21"/>
      <w:szCs w:val="22"/>
    </w:rPr>
  </w:style>
  <w:style w:type="character" w:customStyle="1" w:styleId="111">
    <w:name w:val="cn_text1"/>
    <w:qFormat/>
    <w:uiPriority w:val="0"/>
    <w:rPr>
      <w:rFonts w:hint="default" w:ascii="ˎ̥" w:hAnsi="ˎ̥"/>
      <w:color w:val="003399"/>
      <w:spacing w:val="15"/>
      <w:sz w:val="18"/>
      <w:szCs w:val="18"/>
    </w:rPr>
  </w:style>
  <w:style w:type="character" w:customStyle="1" w:styleId="112">
    <w:name w:val="纯文本 Char Char"/>
    <w:qFormat/>
    <w:uiPriority w:val="0"/>
    <w:rPr>
      <w:rFonts w:ascii="宋体" w:hAnsi="Courier New" w:cs="Courier New"/>
      <w:szCs w:val="21"/>
    </w:rPr>
  </w:style>
  <w:style w:type="character" w:customStyle="1" w:styleId="113">
    <w:name w:val="正文文本缩进 3 Char Char"/>
    <w:qFormat/>
    <w:uiPriority w:val="0"/>
    <w:rPr>
      <w:sz w:val="16"/>
      <w:szCs w:val="16"/>
    </w:rPr>
  </w:style>
  <w:style w:type="character" w:customStyle="1" w:styleId="114">
    <w:name w:val="标题 2 Char"/>
    <w:link w:val="5"/>
    <w:qFormat/>
    <w:uiPriority w:val="0"/>
    <w:rPr>
      <w:rFonts w:ascii="Arial" w:hAnsi="Arial" w:eastAsia="黑体" w:cs="黑体"/>
      <w:b/>
      <w:bCs/>
      <w:kern w:val="2"/>
      <w:sz w:val="32"/>
      <w:szCs w:val="32"/>
    </w:rPr>
  </w:style>
  <w:style w:type="character" w:customStyle="1" w:styleId="115">
    <w:name w:val="ssss Char Char"/>
    <w:qFormat/>
    <w:uiPriority w:val="0"/>
    <w:rPr>
      <w:rFonts w:eastAsia="宋体"/>
      <w:kern w:val="2"/>
      <w:sz w:val="24"/>
      <w:szCs w:val="24"/>
      <w:lang w:val="en-US" w:eastAsia="zh-CN" w:bidi="ar-SA"/>
    </w:rPr>
  </w:style>
  <w:style w:type="character" w:customStyle="1" w:styleId="116">
    <w:name w:val="FA正文 Char Char"/>
    <w:link w:val="53"/>
    <w:qFormat/>
    <w:uiPriority w:val="0"/>
    <w:rPr>
      <w:rFonts w:ascii="宋体" w:hAnsi="宋体"/>
      <w:sz w:val="28"/>
      <w:szCs w:val="28"/>
    </w:rPr>
  </w:style>
  <w:style w:type="character" w:customStyle="1" w:styleId="117">
    <w:name w:val="正文文本 3 Char Char"/>
    <w:qFormat/>
    <w:uiPriority w:val="0"/>
    <w:rPr>
      <w:sz w:val="16"/>
      <w:szCs w:val="16"/>
    </w:rPr>
  </w:style>
  <w:style w:type="character" w:customStyle="1" w:styleId="118">
    <w:name w:val="ssss Char1"/>
    <w:link w:val="50"/>
    <w:qFormat/>
    <w:uiPriority w:val="0"/>
    <w:rPr>
      <w:sz w:val="24"/>
      <w:szCs w:val="24"/>
    </w:rPr>
  </w:style>
  <w:style w:type="character" w:customStyle="1" w:styleId="119">
    <w:name w:val="批注文字 Char"/>
    <w:link w:val="16"/>
    <w:qFormat/>
    <w:uiPriority w:val="0"/>
    <w:rPr>
      <w:rFonts w:ascii="Calibri" w:hAnsi="Calibri" w:eastAsia="宋体" w:cs="黑体"/>
      <w:kern w:val="2"/>
      <w:sz w:val="21"/>
      <w:szCs w:val="22"/>
    </w:rPr>
  </w:style>
  <w:style w:type="character" w:customStyle="1" w:styleId="120">
    <w:name w:val="正文文本 3 Char"/>
    <w:link w:val="17"/>
    <w:qFormat/>
    <w:uiPriority w:val="0"/>
    <w:rPr>
      <w:rFonts w:ascii="Calibri" w:hAnsi="Calibri" w:eastAsia="宋体" w:cs="黑体"/>
      <w:kern w:val="2"/>
      <w:sz w:val="16"/>
      <w:szCs w:val="16"/>
    </w:rPr>
  </w:style>
  <w:style w:type="character" w:customStyle="1" w:styleId="121">
    <w:name w:val="正文文本缩进 2 Char"/>
    <w:link w:val="23"/>
    <w:qFormat/>
    <w:uiPriority w:val="0"/>
    <w:rPr>
      <w:rFonts w:ascii="Calibri" w:hAnsi="Calibri" w:eastAsia="宋体" w:cs="黑体"/>
      <w:kern w:val="2"/>
      <w:sz w:val="21"/>
      <w:szCs w:val="22"/>
    </w:rPr>
  </w:style>
  <w:style w:type="character" w:customStyle="1" w:styleId="122">
    <w:name w:val="批注主题 Char"/>
    <w:link w:val="33"/>
    <w:qFormat/>
    <w:uiPriority w:val="0"/>
    <w:rPr>
      <w:rFonts w:ascii="Calibri" w:hAnsi="Calibri" w:eastAsia="宋体" w:cs="黑体"/>
      <w:b/>
      <w:bCs/>
      <w:kern w:val="2"/>
      <w:sz w:val="21"/>
      <w:szCs w:val="22"/>
    </w:rPr>
  </w:style>
  <w:style w:type="character" w:customStyle="1" w:styleId="123">
    <w:name w:val="文档结构图 Char"/>
    <w:link w:val="15"/>
    <w:qFormat/>
    <w:uiPriority w:val="99"/>
    <w:rPr>
      <w:rFonts w:ascii="宋体" w:hAnsi="Calibri" w:cs="黑体"/>
      <w:kern w:val="2"/>
      <w:sz w:val="18"/>
      <w:szCs w:val="18"/>
    </w:rPr>
  </w:style>
  <w:style w:type="character" w:customStyle="1" w:styleId="124">
    <w:name w:val="正文文本 Char"/>
    <w:link w:val="3"/>
    <w:qFormat/>
    <w:uiPriority w:val="99"/>
    <w:rPr>
      <w:rFonts w:ascii="Calibri" w:hAnsi="Calibri" w:eastAsia="宋体" w:cs="黑体"/>
      <w:kern w:val="2"/>
      <w:sz w:val="21"/>
      <w:szCs w:val="22"/>
    </w:rPr>
  </w:style>
  <w:style w:type="character" w:customStyle="1" w:styleId="125">
    <w:name w:val="正文首行缩进 Char"/>
    <w:link w:val="2"/>
    <w:qFormat/>
    <w:uiPriority w:val="0"/>
    <w:rPr>
      <w:rFonts w:ascii="Calibri" w:hAnsi="Calibri" w:eastAsia="宋体" w:cs="黑体"/>
      <w:kern w:val="2"/>
      <w:sz w:val="21"/>
      <w:szCs w:val="22"/>
    </w:rPr>
  </w:style>
  <w:style w:type="character" w:customStyle="1" w:styleId="126">
    <w:name w:val="正文文本缩进 3 Char"/>
    <w:link w:val="29"/>
    <w:qFormat/>
    <w:uiPriority w:val="0"/>
    <w:rPr>
      <w:rFonts w:ascii="Calibri" w:hAnsi="Calibri" w:eastAsia="宋体" w:cs="黑体"/>
      <w:kern w:val="2"/>
      <w:sz w:val="16"/>
      <w:szCs w:val="16"/>
    </w:rPr>
  </w:style>
  <w:style w:type="character" w:customStyle="1" w:styleId="127">
    <w:name w:val="纯文本 Char"/>
    <w:link w:val="21"/>
    <w:qFormat/>
    <w:uiPriority w:val="0"/>
    <w:rPr>
      <w:rFonts w:ascii="宋体" w:hAnsi="Courier New" w:cs="Courier New"/>
      <w:kern w:val="2"/>
      <w:sz w:val="21"/>
      <w:szCs w:val="21"/>
    </w:rPr>
  </w:style>
  <w:style w:type="character" w:customStyle="1" w:styleId="128">
    <w:name w:val="正文文本 2 Char"/>
    <w:link w:val="30"/>
    <w:qFormat/>
    <w:uiPriority w:val="0"/>
    <w:rPr>
      <w:rFonts w:ascii="Calibri" w:hAnsi="Calibri" w:eastAsia="宋体" w:cs="黑体"/>
      <w:kern w:val="2"/>
      <w:sz w:val="21"/>
      <w:szCs w:val="22"/>
    </w:rPr>
  </w:style>
  <w:style w:type="character" w:customStyle="1" w:styleId="129">
    <w:name w:val="Heading 2 Char"/>
    <w:qFormat/>
    <w:locked/>
    <w:uiPriority w:val="99"/>
    <w:rPr>
      <w:rFonts w:ascii="Arial" w:hAnsi="Arial" w:eastAsia="黑体" w:cs="Times New Roman"/>
      <w:b/>
      <w:bCs/>
      <w:sz w:val="32"/>
      <w:szCs w:val="32"/>
    </w:rPr>
  </w:style>
  <w:style w:type="character" w:customStyle="1" w:styleId="130">
    <w:name w:val="z-窗体顶端 Char"/>
    <w:link w:val="81"/>
    <w:qFormat/>
    <w:locked/>
    <w:uiPriority w:val="99"/>
    <w:rPr>
      <w:kern w:val="2"/>
      <w:sz w:val="21"/>
      <w:szCs w:val="21"/>
    </w:rPr>
  </w:style>
  <w:style w:type="character" w:customStyle="1" w:styleId="131">
    <w:name w:val="font41"/>
    <w:qFormat/>
    <w:uiPriority w:val="0"/>
    <w:rPr>
      <w:rFonts w:hint="eastAsia" w:ascii="宋体" w:hAnsi="宋体" w:eastAsia="宋体" w:cs="宋体"/>
      <w:b/>
      <w:color w:val="000000"/>
      <w:sz w:val="18"/>
      <w:szCs w:val="18"/>
      <w:u w:val="none"/>
    </w:rPr>
  </w:style>
  <w:style w:type="paragraph" w:customStyle="1" w:styleId="1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3">
    <w:name w:val="样式 标题 3 + (中文) 黑体 小四 非加粗 段前: 7.8 磅 段后: 0 磅 行距: 固定值 20 磅"/>
    <w:basedOn w:val="6"/>
    <w:qFormat/>
    <w:uiPriority w:val="0"/>
    <w:pPr>
      <w:spacing w:line="400" w:lineRule="exact"/>
    </w:pPr>
    <w:rPr>
      <w:rFonts w:eastAsia="黑体" w:cs="宋体"/>
      <w:b w:val="0"/>
      <w:bCs w:val="0"/>
      <w:kern w:val="2"/>
      <w:sz w:val="24"/>
      <w:szCs w:val="20"/>
    </w:rPr>
  </w:style>
  <w:style w:type="character" w:customStyle="1" w:styleId="134">
    <w:name w:val="lsr"/>
    <w:basedOn w:val="36"/>
    <w:qFormat/>
    <w:uiPriority w:val="0"/>
  </w:style>
  <w:style w:type="paragraph" w:customStyle="1" w:styleId="135">
    <w:name w:val="Table Paragraph"/>
    <w:basedOn w:val="1"/>
    <w:qFormat/>
    <w:uiPriority w:val="1"/>
    <w:rPr>
      <w:rFonts w:ascii="宋体" w:hAnsi="宋体" w:cs="宋体"/>
      <w:szCs w:val="20"/>
      <w:lang w:val="zh-CN" w:bidi="zh-CN"/>
    </w:rPr>
  </w:style>
  <w:style w:type="paragraph" w:customStyle="1" w:styleId="136">
    <w:name w:val="纯文本1"/>
    <w:basedOn w:val="1"/>
    <w:qFormat/>
    <w:uiPriority w:val="99"/>
    <w:rPr>
      <w:sz w:val="24"/>
    </w:rPr>
  </w:style>
  <w:style w:type="paragraph" w:customStyle="1" w:styleId="137">
    <w:name w:val="List Paragraph1"/>
    <w:basedOn w:val="1"/>
    <w:qFormat/>
    <w:uiPriority w:val="99"/>
    <w:pPr>
      <w:ind w:firstLine="420" w:firstLineChars="200"/>
    </w:pPr>
  </w:style>
  <w:style w:type="character" w:customStyle="1" w:styleId="138">
    <w:name w:val="正文首行缩进 2 Char"/>
    <w:basedOn w:val="110"/>
    <w:link w:val="34"/>
    <w:qFormat/>
    <w:uiPriority w:val="99"/>
    <w:rPr>
      <w:rFonts w:ascii="宋体" w:hAnsi="宋体" w:eastAsia="宋体" w:cs="黑体"/>
      <w:kern w:val="2"/>
      <w:sz w:val="24"/>
      <w:szCs w:val="22"/>
    </w:rPr>
  </w:style>
  <w:style w:type="character" w:customStyle="1" w:styleId="139">
    <w:name w:val="纯文本 Char1"/>
    <w:qFormat/>
    <w:uiPriority w:val="0"/>
    <w:rPr>
      <w:rFonts w:eastAsia="宋体"/>
      <w:sz w:val="24"/>
    </w:rPr>
  </w:style>
  <w:style w:type="paragraph" w:styleId="140">
    <w:name w:val="List Paragraph"/>
    <w:basedOn w:val="1"/>
    <w:unhideWhenUsed/>
    <w:qFormat/>
    <w:uiPriority w:val="99"/>
    <w:pPr>
      <w:ind w:firstLine="420" w:firstLineChars="200"/>
    </w:pPr>
    <w:rPr>
      <w:rFonts w:cs="Times New Roman"/>
    </w:rPr>
  </w:style>
  <w:style w:type="character" w:customStyle="1" w:styleId="141">
    <w:name w:val="正文文本缩进 Char Char"/>
    <w:link w:val="142"/>
    <w:qFormat/>
    <w:uiPriority w:val="0"/>
    <w:rPr>
      <w:rFonts w:ascii="宋体"/>
      <w:sz w:val="24"/>
    </w:rPr>
  </w:style>
  <w:style w:type="paragraph" w:customStyle="1" w:styleId="142">
    <w:name w:val="正文文本缩进1"/>
    <w:basedOn w:val="1"/>
    <w:link w:val="141"/>
    <w:qFormat/>
    <w:uiPriority w:val="0"/>
    <w:pPr>
      <w:spacing w:line="360" w:lineRule="auto"/>
      <w:ind w:firstLine="480" w:firstLineChars="200"/>
    </w:pPr>
    <w:rPr>
      <w:rFonts w:ascii="宋体" w:cs="Times New Roman"/>
      <w:kern w:val="0"/>
      <w:sz w:val="24"/>
      <w:szCs w:val="20"/>
    </w:rPr>
  </w:style>
  <w:style w:type="character" w:customStyle="1" w:styleId="143">
    <w:name w:val="日期 Char Char"/>
    <w:link w:val="144"/>
    <w:qFormat/>
    <w:uiPriority w:val="0"/>
    <w:rPr>
      <w:sz w:val="24"/>
    </w:rPr>
  </w:style>
  <w:style w:type="paragraph" w:customStyle="1" w:styleId="144">
    <w:name w:val="日期1"/>
    <w:basedOn w:val="1"/>
    <w:next w:val="1"/>
    <w:link w:val="143"/>
    <w:qFormat/>
    <w:uiPriority w:val="0"/>
    <w:rPr>
      <w:rFonts w:cs="Times New Roman"/>
      <w:kern w:val="0"/>
      <w:sz w:val="24"/>
      <w:szCs w:val="20"/>
    </w:rPr>
  </w:style>
  <w:style w:type="paragraph" w:customStyle="1" w:styleId="145">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146">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147">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148">
    <w:name w:val="edittexttarea"/>
    <w:basedOn w:val="36"/>
    <w:qFormat/>
    <w:uiPriority w:val="0"/>
  </w:style>
  <w:style w:type="paragraph" w:customStyle="1" w:styleId="149">
    <w:name w:val="样式 标题 1 + 四号 居中 段前: 12 磅 段后: 12 磅 行距: 单倍行距"/>
    <w:basedOn w:val="4"/>
    <w:qFormat/>
    <w:uiPriority w:val="0"/>
    <w:pPr>
      <w:adjustRightInd w:val="0"/>
      <w:spacing w:before="240" w:after="240" w:line="240" w:lineRule="auto"/>
      <w:ind w:left="-288" w:firstLine="288"/>
      <w:jc w:val="center"/>
      <w:textAlignment w:val="baseline"/>
    </w:pPr>
    <w:rPr>
      <w:rFonts w:cs="宋体"/>
      <w:sz w:val="28"/>
      <w:szCs w:val="20"/>
    </w:rPr>
  </w:style>
  <w:style w:type="paragraph" w:customStyle="1" w:styleId="1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51">
    <w:name w:val="标题 31"/>
    <w:basedOn w:val="1"/>
    <w:next w:val="1"/>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152">
    <w:name w:val="apple-converted-space"/>
    <w:basedOn w:val="36"/>
    <w:qFormat/>
    <w:uiPriority w:val="99"/>
    <w:rPr>
      <w:rFonts w:cs="Times New Roman"/>
    </w:rPr>
  </w:style>
  <w:style w:type="character" w:customStyle="1" w:styleId="153">
    <w:name w:val="hover25"/>
    <w:basedOn w:val="36"/>
    <w:qFormat/>
    <w:uiPriority w:val="0"/>
  </w:style>
  <w:style w:type="character" w:customStyle="1" w:styleId="154">
    <w:name w:val="green"/>
    <w:basedOn w:val="36"/>
    <w:qFormat/>
    <w:uiPriority w:val="0"/>
    <w:rPr>
      <w:color w:val="66AE00"/>
      <w:sz w:val="18"/>
      <w:szCs w:val="18"/>
    </w:rPr>
  </w:style>
  <w:style w:type="character" w:customStyle="1" w:styleId="155">
    <w:name w:val="green1"/>
    <w:basedOn w:val="36"/>
    <w:qFormat/>
    <w:uiPriority w:val="0"/>
    <w:rPr>
      <w:color w:val="66AE00"/>
      <w:sz w:val="18"/>
      <w:szCs w:val="18"/>
    </w:rPr>
  </w:style>
  <w:style w:type="character" w:customStyle="1" w:styleId="156">
    <w:name w:val="red"/>
    <w:basedOn w:val="36"/>
    <w:qFormat/>
    <w:uiPriority w:val="0"/>
    <w:rPr>
      <w:color w:val="FF0000"/>
      <w:sz w:val="18"/>
      <w:szCs w:val="18"/>
    </w:rPr>
  </w:style>
  <w:style w:type="character" w:customStyle="1" w:styleId="157">
    <w:name w:val="red1"/>
    <w:basedOn w:val="36"/>
    <w:qFormat/>
    <w:uiPriority w:val="0"/>
    <w:rPr>
      <w:color w:val="FF0000"/>
      <w:sz w:val="18"/>
      <w:szCs w:val="18"/>
    </w:rPr>
  </w:style>
  <w:style w:type="character" w:customStyle="1" w:styleId="158">
    <w:name w:val="red2"/>
    <w:basedOn w:val="36"/>
    <w:qFormat/>
    <w:uiPriority w:val="0"/>
    <w:rPr>
      <w:color w:val="CC0000"/>
    </w:rPr>
  </w:style>
  <w:style w:type="character" w:customStyle="1" w:styleId="159">
    <w:name w:val="red3"/>
    <w:basedOn w:val="36"/>
    <w:qFormat/>
    <w:uiPriority w:val="0"/>
    <w:rPr>
      <w:color w:val="FF0000"/>
    </w:rPr>
  </w:style>
  <w:style w:type="character" w:customStyle="1" w:styleId="160">
    <w:name w:val="gb-jt"/>
    <w:basedOn w:val="36"/>
    <w:qFormat/>
    <w:uiPriority w:val="0"/>
  </w:style>
  <w:style w:type="character" w:customStyle="1" w:styleId="161">
    <w:name w:val="blue"/>
    <w:basedOn w:val="36"/>
    <w:qFormat/>
    <w:uiPriority w:val="0"/>
    <w:rPr>
      <w:color w:val="0371C6"/>
      <w:sz w:val="21"/>
      <w:szCs w:val="21"/>
    </w:rPr>
  </w:style>
  <w:style w:type="character" w:customStyle="1" w:styleId="162">
    <w:name w:val="right"/>
    <w:basedOn w:val="36"/>
    <w:qFormat/>
    <w:uiPriority w:val="0"/>
    <w:rPr>
      <w:color w:val="999999"/>
      <w:sz w:val="18"/>
      <w:szCs w:val="18"/>
    </w:rPr>
  </w:style>
  <w:style w:type="character" w:customStyle="1" w:styleId="163">
    <w:name w:val="hover24"/>
    <w:basedOn w:val="36"/>
    <w:qFormat/>
    <w:uiPriority w:val="0"/>
  </w:style>
  <w:style w:type="character" w:customStyle="1" w:styleId="164">
    <w:name w:val="hover"/>
    <w:basedOn w:val="3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2DD32-9206-4F68-9EE8-F7CECD16DC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4892</Words>
  <Characters>27889</Characters>
  <Lines>232</Lines>
  <Paragraphs>65</Paragraphs>
  <TotalTime>81</TotalTime>
  <ScaleCrop>false</ScaleCrop>
  <LinksUpToDate>false</LinksUpToDate>
  <CharactersWithSpaces>32716</CharactersWithSpaces>
  <Application>WPS Office_11.1.0.9422_F1E327BC-269C-435d-A152-05C5408002CA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河南建标工程管理有限公司:姚争妍1</cp:lastModifiedBy>
  <cp:lastPrinted>2019-11-21T01:24:00Z</cp:lastPrinted>
  <dcterms:modified xsi:type="dcterms:W3CDTF">2020-01-15T07:08:28Z</dcterms:modified>
  <dc:title>          </dc:title>
  <cp:revision>630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2052-11.1.0.9422</vt:lpwstr>
  </property>
</Properties>
</file>