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许昌市魏都区城市管理局</w:t>
      </w:r>
    </w:p>
    <w:p>
      <w:pPr>
        <w:jc w:val="center"/>
        <w:rPr>
          <w:rFonts w:ascii="微软简隶书" w:eastAsia="微软简隶书"/>
          <w:color w:val="000000"/>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分类垃圾</w:t>
      </w:r>
      <w:r>
        <w:rPr>
          <w:rFonts w:hint="eastAsia" w:asciiTheme="majorEastAsia" w:hAnsiTheme="majorEastAsia" w:eastAsiaTheme="majorEastAsia" w:cstheme="majorEastAsia"/>
          <w:b/>
          <w:bCs/>
          <w:color w:val="000000"/>
          <w:sz w:val="44"/>
          <w:szCs w:val="44"/>
        </w:rPr>
        <w:t>桶</w:t>
      </w:r>
      <w:r>
        <w:rPr>
          <w:rFonts w:hint="eastAsia" w:asciiTheme="majorEastAsia" w:hAnsiTheme="majorEastAsia" w:eastAsiaTheme="majorEastAsia" w:cstheme="majorEastAsia"/>
          <w:b/>
          <w:bCs/>
          <w:color w:val="000000"/>
          <w:sz w:val="44"/>
          <w:szCs w:val="44"/>
          <w:lang w:eastAsia="zh-CN"/>
        </w:rPr>
        <w:t>采购</w:t>
      </w:r>
      <w:r>
        <w:rPr>
          <w:rFonts w:hint="eastAsia" w:asciiTheme="majorEastAsia" w:hAnsiTheme="majorEastAsia" w:eastAsiaTheme="majorEastAsia" w:cstheme="majorEastAsia"/>
          <w:b/>
          <w:bCs/>
          <w:color w:val="000000"/>
          <w:sz w:val="44"/>
          <w:szCs w:val="44"/>
        </w:rPr>
        <w:t>”项目（不见面开标）</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jc w:val="cente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36"/>
          <w:szCs w:val="36"/>
        </w:rPr>
        <w:t>项目编号：JZFCG-G2020</w:t>
      </w:r>
      <w:r>
        <w:rPr>
          <w:rFonts w:hint="eastAsia" w:asciiTheme="majorEastAsia" w:hAnsiTheme="majorEastAsia" w:eastAsiaTheme="majorEastAsia" w:cstheme="majorEastAsia"/>
          <w:b/>
          <w:bCs/>
          <w:color w:val="000000"/>
          <w:sz w:val="36"/>
          <w:szCs w:val="36"/>
          <w:lang w:val="en-US" w:eastAsia="zh-CN"/>
        </w:rPr>
        <w:t>015</w:t>
      </w:r>
      <w:r>
        <w:rPr>
          <w:rFonts w:hint="eastAsia" w:asciiTheme="majorEastAsia" w:hAnsiTheme="majorEastAsia" w:eastAsiaTheme="majorEastAsia" w:cstheme="majorEastAsia"/>
          <w:b/>
          <w:bCs/>
          <w:color w:val="000000"/>
          <w:sz w:val="36"/>
          <w:szCs w:val="36"/>
        </w:rPr>
        <w:t>号</w:t>
      </w:r>
      <w:r>
        <w:rPr>
          <w:rFonts w:hint="eastAsia" w:asciiTheme="majorEastAsia" w:hAnsiTheme="majorEastAsia" w:eastAsiaTheme="majorEastAsia" w:cstheme="majorEastAsia"/>
          <w:b/>
          <w:bCs/>
          <w:color w:val="000000"/>
          <w:sz w:val="36"/>
          <w:szCs w:val="36"/>
          <w:lang w:eastAsia="zh-CN"/>
        </w:rPr>
        <w:t>（魏采公开</w:t>
      </w:r>
      <w:r>
        <w:rPr>
          <w:rFonts w:hint="eastAsia" w:asciiTheme="majorEastAsia" w:hAnsiTheme="majorEastAsia" w:eastAsiaTheme="majorEastAsia" w:cstheme="majorEastAsia"/>
          <w:b/>
          <w:bCs/>
          <w:color w:val="000000"/>
          <w:sz w:val="36"/>
          <w:szCs w:val="36"/>
          <w:lang w:val="en-US" w:eastAsia="zh-CN"/>
        </w:rPr>
        <w:t>-2020-6）</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采购单位：许昌市魏都区城市管理局</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jc w:val="cente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二〇二〇年四月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hd w:val="clear" w:color="auto" w:fill="FFFFFF"/>
        <w:spacing w:line="360" w:lineRule="auto"/>
        <w:ind w:firstLine="420" w:firstLineChars="20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许昌光大电子商务技术服务有限公司受许昌市魏都区城市管理局的委托，对“</w:t>
      </w:r>
      <w:r>
        <w:rPr>
          <w:rFonts w:hint="eastAsia" w:asciiTheme="minorEastAsia" w:hAnsiTheme="minorEastAsia" w:eastAsiaTheme="minorEastAsia" w:cstheme="minorEastAsia"/>
          <w:color w:val="auto"/>
          <w:sz w:val="21"/>
          <w:szCs w:val="21"/>
          <w:shd w:val="clear" w:color="auto" w:fill="FFFFFF"/>
          <w:lang w:eastAsia="zh-CN"/>
        </w:rPr>
        <w:t>分类垃圾桶采购</w:t>
      </w:r>
      <w:r>
        <w:rPr>
          <w:rFonts w:hint="eastAsia" w:asciiTheme="minorEastAsia" w:hAnsiTheme="minorEastAsia" w:eastAsiaTheme="minorEastAsia" w:cstheme="minorEastAsia"/>
          <w:color w:val="auto"/>
          <w:sz w:val="21"/>
          <w:szCs w:val="21"/>
          <w:shd w:val="clear" w:color="auto" w:fill="FFFFFF"/>
        </w:rPr>
        <w:t>”项目（不见面开标）进行公开招标。现邀请符合本招标文件规定条件的供应商前来投标。</w:t>
      </w:r>
    </w:p>
    <w:p>
      <w:pPr>
        <w:pStyle w:val="24"/>
        <w:widowControl/>
        <w:shd w:val="clear" w:color="auto" w:fill="FFFFFF"/>
        <w:spacing w:line="360" w:lineRule="auto"/>
        <w:ind w:firstLine="315" w:firstLineChars="150"/>
        <w:contextualSpacing/>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Cs/>
          <w:color w:val="auto"/>
          <w:sz w:val="21"/>
          <w:szCs w:val="21"/>
          <w:shd w:val="clear" w:color="auto" w:fill="FFFFFF"/>
        </w:rPr>
        <w:t xml:space="preserve"> </w:t>
      </w:r>
      <w:r>
        <w:rPr>
          <w:rFonts w:hint="eastAsia" w:asciiTheme="minorEastAsia" w:hAnsiTheme="minorEastAsia" w:eastAsiaTheme="minorEastAsia" w:cstheme="minorEastAsia"/>
          <w:b/>
          <w:bCs/>
          <w:color w:val="auto"/>
          <w:sz w:val="21"/>
          <w:szCs w:val="21"/>
          <w:shd w:val="clear" w:color="auto" w:fill="FFFFFF"/>
        </w:rPr>
        <w:t>一、项目基本情况</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（一）项目名称：</w:t>
      </w:r>
      <w:r>
        <w:rPr>
          <w:rFonts w:hint="eastAsia" w:asciiTheme="minorEastAsia" w:hAnsiTheme="minorEastAsia" w:eastAsiaTheme="minorEastAsia" w:cstheme="minorEastAsia"/>
          <w:color w:val="auto"/>
          <w:sz w:val="21"/>
          <w:szCs w:val="21"/>
          <w:shd w:val="clear" w:color="auto" w:fill="FFFFFF"/>
          <w:lang w:eastAsia="zh-CN"/>
        </w:rPr>
        <w:t>分类垃圾桶采购</w:t>
      </w:r>
      <w:r>
        <w:rPr>
          <w:rFonts w:hint="eastAsia" w:asciiTheme="minorEastAsia" w:hAnsiTheme="minorEastAsia" w:eastAsiaTheme="minorEastAsia" w:cstheme="minorEastAsia"/>
          <w:color w:val="auto"/>
          <w:sz w:val="21"/>
          <w:szCs w:val="21"/>
          <w:shd w:val="clear" w:color="auto" w:fill="FFFFFF"/>
        </w:rPr>
        <w:t>（不见面开标）</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（二）项目编号：JZFCG-G2020</w:t>
      </w:r>
      <w:r>
        <w:rPr>
          <w:rFonts w:hint="eastAsia" w:asciiTheme="minorEastAsia" w:hAnsiTheme="minorEastAsia" w:eastAsiaTheme="minorEastAsia" w:cstheme="minorEastAsia"/>
          <w:color w:val="auto"/>
          <w:sz w:val="21"/>
          <w:szCs w:val="21"/>
          <w:shd w:val="clear" w:color="auto" w:fill="FFFFFF"/>
          <w:lang w:val="en-US" w:eastAsia="zh-CN"/>
        </w:rPr>
        <w:t>015</w:t>
      </w:r>
      <w:r>
        <w:rPr>
          <w:rFonts w:hint="eastAsia" w:asciiTheme="minorEastAsia" w:hAnsiTheme="minorEastAsia" w:eastAsiaTheme="minorEastAsia" w:cstheme="minorEastAsia"/>
          <w:color w:val="auto"/>
          <w:sz w:val="21"/>
          <w:szCs w:val="21"/>
          <w:shd w:val="clear" w:color="auto" w:fill="FFFFFF"/>
        </w:rPr>
        <w:t>号</w:t>
      </w:r>
      <w:r>
        <w:rPr>
          <w:rFonts w:hint="eastAsia" w:asciiTheme="minorEastAsia" w:hAnsiTheme="minorEastAsia" w:eastAsiaTheme="minorEastAsia" w:cstheme="minorEastAsia"/>
          <w:color w:val="auto"/>
          <w:sz w:val="21"/>
          <w:szCs w:val="21"/>
          <w:shd w:val="clear" w:color="auto" w:fill="FFFFFF"/>
          <w:lang w:eastAsia="zh-CN"/>
        </w:rPr>
        <w:t>（魏采公开</w:t>
      </w:r>
      <w:r>
        <w:rPr>
          <w:rFonts w:hint="eastAsia" w:asciiTheme="minorEastAsia" w:hAnsiTheme="minorEastAsia" w:eastAsiaTheme="minorEastAsia" w:cstheme="minorEastAsia"/>
          <w:color w:val="auto"/>
          <w:sz w:val="21"/>
          <w:szCs w:val="21"/>
          <w:shd w:val="clear" w:color="auto" w:fill="FFFFFF"/>
          <w:lang w:val="en-US" w:eastAsia="zh-CN"/>
        </w:rPr>
        <w:t>-2020-6）</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 xml:space="preserve">（三）采购方式：公开招标 </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（四）项目主要内容、数量及要求：</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采购</w:t>
      </w:r>
      <w:r>
        <w:rPr>
          <w:rFonts w:hint="eastAsia" w:asciiTheme="minorEastAsia" w:hAnsiTheme="minorEastAsia" w:eastAsiaTheme="minorEastAsia" w:cstheme="minorEastAsia"/>
          <w:color w:val="auto"/>
          <w:sz w:val="21"/>
          <w:szCs w:val="21"/>
          <w:shd w:val="clear" w:color="auto" w:fill="FFFFFF"/>
          <w:lang w:eastAsia="zh-CN"/>
        </w:rPr>
        <w:t>分类垃圾</w:t>
      </w:r>
      <w:r>
        <w:rPr>
          <w:rFonts w:hint="eastAsia" w:asciiTheme="minorEastAsia" w:hAnsiTheme="minorEastAsia" w:eastAsiaTheme="minorEastAsia" w:cstheme="minorEastAsia"/>
          <w:color w:val="auto"/>
          <w:sz w:val="21"/>
          <w:szCs w:val="21"/>
          <w:shd w:val="clear" w:color="auto" w:fill="FFFFFF"/>
        </w:rPr>
        <w:t>桶</w:t>
      </w:r>
      <w:r>
        <w:rPr>
          <w:rFonts w:hint="eastAsia" w:asciiTheme="minorEastAsia" w:hAnsiTheme="minorEastAsia" w:eastAsiaTheme="minorEastAsia" w:cstheme="minorEastAsia"/>
          <w:color w:val="auto"/>
          <w:sz w:val="21"/>
          <w:szCs w:val="21"/>
          <w:shd w:val="clear" w:color="auto" w:fill="FFFFFF"/>
          <w:lang w:val="en-US" w:eastAsia="zh-CN"/>
        </w:rPr>
        <w:t>4962</w:t>
      </w:r>
      <w:r>
        <w:rPr>
          <w:rFonts w:hint="eastAsia" w:asciiTheme="minorEastAsia" w:hAnsiTheme="minorEastAsia" w:eastAsiaTheme="minorEastAsia" w:cstheme="minorEastAsia"/>
          <w:color w:val="auto"/>
          <w:sz w:val="21"/>
          <w:szCs w:val="21"/>
          <w:shd w:val="clear" w:color="auto" w:fill="FFFFFF"/>
        </w:rPr>
        <w:t>个、垃圾袋及宣传页</w:t>
      </w:r>
      <w:r>
        <w:rPr>
          <w:rFonts w:hint="eastAsia" w:asciiTheme="minorEastAsia" w:hAnsiTheme="minorEastAsia" w:eastAsiaTheme="minorEastAsia" w:cstheme="minorEastAsia"/>
          <w:color w:val="auto"/>
          <w:sz w:val="21"/>
          <w:szCs w:val="21"/>
          <w:shd w:val="clear" w:color="auto" w:fill="FFFFFF"/>
          <w:lang w:eastAsia="zh-CN"/>
        </w:rPr>
        <w:t>一批</w:t>
      </w:r>
      <w:r>
        <w:rPr>
          <w:rFonts w:hint="eastAsia" w:asciiTheme="minorEastAsia" w:hAnsiTheme="minorEastAsia" w:eastAsiaTheme="minorEastAsia" w:cstheme="minorEastAsia"/>
          <w:color w:val="auto"/>
          <w:sz w:val="21"/>
          <w:szCs w:val="21"/>
          <w:shd w:val="clear" w:color="auto" w:fill="FFFFFF"/>
        </w:rPr>
        <w:t>。（详见招标文件）</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（五）预算金额</w:t>
      </w:r>
      <w:r>
        <w:rPr>
          <w:rFonts w:hint="eastAsia" w:asciiTheme="minorEastAsia" w:hAnsiTheme="minorEastAsia" w:eastAsiaTheme="minorEastAsia" w:cstheme="minorEastAsia"/>
          <w:color w:val="auto"/>
          <w:sz w:val="21"/>
          <w:szCs w:val="21"/>
          <w:shd w:val="clear" w:color="auto" w:fill="FFFFFF"/>
          <w:lang w:eastAsia="zh-CN"/>
        </w:rPr>
        <w:t>：</w:t>
      </w:r>
      <w:r>
        <w:rPr>
          <w:rFonts w:hint="eastAsia" w:asciiTheme="minorEastAsia" w:hAnsiTheme="minorEastAsia" w:eastAsiaTheme="minorEastAsia" w:cstheme="minorEastAsia"/>
          <w:color w:val="auto"/>
          <w:sz w:val="21"/>
          <w:szCs w:val="21"/>
          <w:shd w:val="clear" w:color="auto" w:fill="FFFFFF"/>
          <w:lang w:val="en-US" w:eastAsia="zh-CN"/>
        </w:rPr>
        <w:t>168.86</w:t>
      </w:r>
      <w:r>
        <w:rPr>
          <w:rFonts w:hint="eastAsia" w:asciiTheme="minorEastAsia" w:hAnsiTheme="minorEastAsia" w:eastAsiaTheme="minorEastAsia" w:cstheme="minorEastAsia"/>
          <w:color w:val="auto"/>
          <w:sz w:val="21"/>
          <w:szCs w:val="21"/>
          <w:shd w:val="clear" w:color="auto" w:fill="FFFFFF"/>
        </w:rPr>
        <w:t>万元。最高限价</w:t>
      </w:r>
      <w:r>
        <w:rPr>
          <w:rFonts w:hint="eastAsia" w:asciiTheme="minorEastAsia" w:hAnsiTheme="minorEastAsia" w:eastAsiaTheme="minorEastAsia" w:cstheme="minorEastAsia"/>
          <w:color w:val="auto"/>
          <w:sz w:val="21"/>
          <w:szCs w:val="21"/>
          <w:shd w:val="clear" w:color="auto" w:fill="FFFFFF"/>
          <w:lang w:eastAsia="zh-CN"/>
        </w:rPr>
        <w:t>：</w:t>
      </w:r>
      <w:r>
        <w:rPr>
          <w:rFonts w:hint="eastAsia" w:asciiTheme="minorEastAsia" w:hAnsiTheme="minorEastAsia" w:eastAsiaTheme="minorEastAsia" w:cstheme="minorEastAsia"/>
          <w:color w:val="auto"/>
          <w:sz w:val="21"/>
          <w:szCs w:val="21"/>
          <w:shd w:val="clear" w:color="auto" w:fill="FFFFFF"/>
          <w:lang w:val="en-US" w:eastAsia="zh-CN"/>
        </w:rPr>
        <w:t>168.86</w:t>
      </w:r>
      <w:r>
        <w:rPr>
          <w:rFonts w:hint="eastAsia" w:asciiTheme="minorEastAsia" w:hAnsiTheme="minorEastAsia" w:eastAsiaTheme="minorEastAsia" w:cstheme="minorEastAsia"/>
          <w:color w:val="auto"/>
          <w:sz w:val="21"/>
          <w:szCs w:val="21"/>
          <w:shd w:val="clear" w:color="auto" w:fill="FFFFFF"/>
        </w:rPr>
        <w:t>万元。</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（六）交付（服务、完工）时间 ：</w:t>
      </w:r>
      <w:r>
        <w:rPr>
          <w:rFonts w:hint="eastAsia" w:asciiTheme="minorEastAsia" w:hAnsiTheme="minorEastAsia" w:eastAsiaTheme="minorEastAsia" w:cstheme="minorEastAsia"/>
          <w:color w:val="auto"/>
          <w:sz w:val="21"/>
          <w:szCs w:val="21"/>
          <w:shd w:val="clear" w:color="auto" w:fill="FFFFFF"/>
          <w:lang w:val="zh-CN"/>
        </w:rPr>
        <w:t>合同签订后</w:t>
      </w:r>
      <w:r>
        <w:rPr>
          <w:rFonts w:hint="eastAsia" w:asciiTheme="minorEastAsia" w:hAnsiTheme="minorEastAsia" w:eastAsiaTheme="minorEastAsia" w:cstheme="minorEastAsia"/>
          <w:color w:val="auto"/>
          <w:sz w:val="21"/>
          <w:szCs w:val="21"/>
          <w:shd w:val="clear" w:color="auto" w:fill="FFFFFF"/>
          <w:lang w:val="en-US" w:eastAsia="zh-CN"/>
        </w:rPr>
        <w:t>5</w:t>
      </w:r>
      <w:r>
        <w:rPr>
          <w:rFonts w:hint="eastAsia" w:asciiTheme="minorEastAsia" w:hAnsiTheme="minorEastAsia" w:eastAsiaTheme="minorEastAsia" w:cstheme="minorEastAsia"/>
          <w:color w:val="auto"/>
          <w:sz w:val="21"/>
          <w:szCs w:val="21"/>
          <w:shd w:val="clear" w:color="auto" w:fill="FFFFFF"/>
          <w:lang w:val="zh-CN"/>
        </w:rPr>
        <w:t>天内</w:t>
      </w:r>
      <w:r>
        <w:rPr>
          <w:rFonts w:hint="eastAsia" w:asciiTheme="minorEastAsia" w:hAnsiTheme="minorEastAsia" w:eastAsiaTheme="minorEastAsia" w:cstheme="minorEastAsia"/>
          <w:color w:val="auto"/>
          <w:sz w:val="21"/>
          <w:szCs w:val="21"/>
        </w:rPr>
        <w:t>。</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（七）交付（服务、完工）地点：许昌市魏都区城市管理局。</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（八）进口产品：不允许。</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（九）分包：不允许。</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二、需要落实的政府采购政策</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本项目落实节能环保、中小微型企业、监狱企业、残疾人福利性单位扶持等相关政府采购政策。</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三、投标人资格要求</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（一）符合《中华人民共和国政府采购法》第二十二条之规定。</w:t>
      </w:r>
    </w:p>
    <w:p>
      <w:pPr>
        <w:pStyle w:val="24"/>
        <w:widowControl/>
        <w:shd w:val="clear" w:color="auto" w:fill="FFFFFF"/>
        <w:wordWrap w:val="0"/>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（二）未被列入“信用中国”网站(www.creditchina.gov.cn)失信被执行人、重大税收违法案件当事人名单；“中国政府采购网”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（三）本次招标不接受联合体投标。</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四、招标文件的获取</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五、投标截止时间、开标时间及地点</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（一）投标截止及开标时间：</w:t>
      </w:r>
      <w:r>
        <w:rPr>
          <w:rFonts w:hint="eastAsia" w:asciiTheme="minorEastAsia" w:hAnsiTheme="minorEastAsia" w:eastAsiaTheme="minorEastAsia" w:cstheme="minorEastAsia"/>
          <w:b/>
          <w:bCs/>
          <w:color w:val="auto"/>
          <w:sz w:val="21"/>
          <w:szCs w:val="21"/>
        </w:rPr>
        <w:t>2020年</w:t>
      </w:r>
      <w:r>
        <w:rPr>
          <w:rFonts w:hint="eastAsia" w:asciiTheme="minorEastAsia" w:hAnsiTheme="minorEastAsia" w:eastAsiaTheme="minorEastAsia" w:cstheme="minorEastAsia"/>
          <w:b/>
          <w:bCs/>
          <w:color w:val="auto"/>
          <w:sz w:val="21"/>
          <w:szCs w:val="21"/>
          <w:u w:val="single"/>
          <w:lang w:val="en-US" w:eastAsia="zh-CN"/>
        </w:rPr>
        <w:t>5</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u w:val="single"/>
          <w:lang w:val="en-US" w:eastAsia="zh-CN"/>
        </w:rPr>
        <w:t>8</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eastAsiaTheme="minorEastAsia" w:cstheme="minorEastAsia"/>
          <w:b/>
          <w:bCs/>
          <w:color w:val="auto"/>
          <w:sz w:val="21"/>
          <w:szCs w:val="21"/>
          <w:u w:val="single"/>
        </w:rPr>
        <w:t>8</w:t>
      </w:r>
      <w:r>
        <w:rPr>
          <w:rFonts w:hint="eastAsia" w:asciiTheme="minorEastAsia" w:hAnsiTheme="minorEastAsia" w:eastAsiaTheme="minorEastAsia" w:cstheme="minorEastAsia"/>
          <w:b/>
          <w:bCs/>
          <w:color w:val="auto"/>
          <w:sz w:val="21"/>
          <w:szCs w:val="21"/>
        </w:rPr>
        <w:t>时</w:t>
      </w:r>
      <w:r>
        <w:rPr>
          <w:rFonts w:hint="eastAsia" w:asciiTheme="minorEastAsia" w:hAnsiTheme="minorEastAsia" w:eastAsiaTheme="minorEastAsia" w:cstheme="minorEastAsia"/>
          <w:b/>
          <w:bCs/>
          <w:color w:val="auto"/>
          <w:sz w:val="21"/>
          <w:szCs w:val="21"/>
          <w:u w:val="single"/>
        </w:rPr>
        <w:t>30</w:t>
      </w:r>
      <w:r>
        <w:rPr>
          <w:rFonts w:hint="eastAsia" w:asciiTheme="minorEastAsia" w:hAnsiTheme="minorEastAsia" w:eastAsiaTheme="minorEastAsia" w:cstheme="minorEastAsia"/>
          <w:b/>
          <w:bCs/>
          <w:color w:val="auto"/>
          <w:sz w:val="21"/>
          <w:szCs w:val="21"/>
        </w:rPr>
        <w:t>分</w:t>
      </w:r>
      <w:r>
        <w:rPr>
          <w:rFonts w:hint="eastAsia" w:asciiTheme="minorEastAsia" w:hAnsiTheme="minorEastAsia" w:eastAsiaTheme="minorEastAsia" w:cstheme="minorEastAsia"/>
          <w:color w:val="auto"/>
          <w:sz w:val="21"/>
          <w:szCs w:val="21"/>
        </w:rPr>
        <w:t>（北京时间），逾期提交或不符合规定的投标文件不予接受。</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（二）开标地点：许昌市公共资源交易中心三楼开标</w:t>
      </w:r>
      <w:r>
        <w:rPr>
          <w:rFonts w:hint="eastAsia" w:asciiTheme="minorEastAsia" w:hAnsiTheme="minorEastAsia" w:eastAsiaTheme="minorEastAsia" w:cstheme="minorEastAsia"/>
          <w:color w:val="auto"/>
          <w:sz w:val="21"/>
          <w:szCs w:val="21"/>
          <w:u w:val="single"/>
          <w:lang w:val="en-US" w:eastAsia="zh-CN"/>
        </w:rPr>
        <w:t>4</w:t>
      </w:r>
      <w:r>
        <w:rPr>
          <w:rFonts w:hint="eastAsia" w:asciiTheme="minorEastAsia" w:hAnsiTheme="minorEastAsia" w:eastAsiaTheme="minorEastAsia" w:cstheme="minorEastAsia"/>
          <w:color w:val="auto"/>
          <w:sz w:val="21"/>
          <w:szCs w:val="21"/>
        </w:rPr>
        <w:t>室。（本项目采用远程不见面开标，投标人无须到现场）。</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 本项目为全流程电子化交易项目，投标人须提交电子投标文件。</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1、加密电子投标文件（.file格式）须在投标截止时间（开标时间）前通过《全国公共资源交易平台(河南省▪许昌市)》公共资源交易系统成功上传。</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shd w:val="pct10" w:color="auto" w:fill="FFFFFF"/>
        </w:rPr>
      </w:pPr>
      <w:r>
        <w:rPr>
          <w:rFonts w:hint="eastAsia" w:asciiTheme="minorEastAsia" w:hAnsiTheme="minorEastAsia" w:eastAsiaTheme="minorEastAsia" w:cstheme="minorEastAsia"/>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六、本次招标公告同时在《中国政府采购网》、《河南省政府采购网》、《全国公共资源交易平台（河南省·许昌市）》发布。</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shd w:val="clear" w:color="auto" w:fill="FFFFFF"/>
        </w:rPr>
      </w:pPr>
      <w:r>
        <w:rPr>
          <w:rFonts w:hint="eastAsia" w:asciiTheme="minorEastAsia" w:hAnsiTheme="minorEastAsia" w:eastAsiaTheme="minorEastAsia" w:cstheme="minorEastAsia"/>
          <w:b/>
          <w:bCs/>
          <w:color w:val="auto"/>
          <w:sz w:val="21"/>
          <w:szCs w:val="21"/>
          <w:shd w:val="clear" w:color="auto" w:fill="FFFFFF"/>
        </w:rPr>
        <w:t>七、公告期限</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本招标公告自发布之日起公告期限为5个工作日。</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八、联系方式</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采购人：许昌市魏都区城市管理局</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地址：许昌市天宝路中段</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联系人：尚</w:t>
      </w:r>
      <w:r>
        <w:rPr>
          <w:rFonts w:hint="eastAsia" w:asciiTheme="minorEastAsia" w:hAnsiTheme="minorEastAsia" w:eastAsiaTheme="minorEastAsia" w:cstheme="minorEastAsia"/>
          <w:color w:val="auto"/>
          <w:sz w:val="21"/>
          <w:szCs w:val="21"/>
          <w:lang w:eastAsia="zh-CN"/>
        </w:rPr>
        <w:t>先生</w:t>
      </w:r>
      <w:r>
        <w:rPr>
          <w:rFonts w:hint="eastAsia" w:asciiTheme="minorEastAsia" w:hAnsiTheme="minorEastAsia" w:eastAsiaTheme="minorEastAsia" w:cstheme="minorEastAsia"/>
          <w:color w:val="auto"/>
          <w:sz w:val="21"/>
          <w:szCs w:val="21"/>
        </w:rPr>
        <w:t xml:space="preserve">   联系电话：</w:t>
      </w:r>
      <w:r>
        <w:rPr>
          <w:rFonts w:hint="eastAsia" w:asciiTheme="minorEastAsia" w:hAnsiTheme="minorEastAsia" w:eastAsiaTheme="minorEastAsia" w:cstheme="minorEastAsia"/>
          <w:color w:val="auto"/>
          <w:sz w:val="21"/>
          <w:szCs w:val="21"/>
          <w:lang w:val="en-US" w:eastAsia="zh-CN"/>
        </w:rPr>
        <w:t>15703746696</w:t>
      </w:r>
      <w:r>
        <w:rPr>
          <w:rFonts w:hint="eastAsia" w:asciiTheme="minorEastAsia" w:hAnsiTheme="minorEastAsia" w:eastAsiaTheme="minorEastAsia" w:cstheme="minorEastAsia"/>
          <w:color w:val="auto"/>
          <w:sz w:val="21"/>
          <w:szCs w:val="21"/>
        </w:rPr>
        <w:t xml:space="preserve">     </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代理机构：许昌光大电子商务技术服务有限公司 </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地址：许昌市智慧大道亨源通世纪广场1号楼401室</w:t>
      </w:r>
    </w:p>
    <w:p>
      <w:pPr>
        <w:pStyle w:val="24"/>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1"/>
          <w:szCs w:val="21"/>
        </w:rPr>
        <w:t>联系人：朱女士            联系电话：13323993003</w:t>
      </w:r>
      <w:r>
        <w:rPr>
          <w:rFonts w:hint="eastAsia" w:asciiTheme="minorEastAsia" w:hAnsiTheme="minorEastAsia" w:eastAsiaTheme="minorEastAsia" w:cstheme="minorEastAsia"/>
          <w:color w:val="auto"/>
          <w:sz w:val="21"/>
          <w:szCs w:val="21"/>
          <w:lang w:val="en-US" w:eastAsia="zh-CN"/>
        </w:rPr>
        <w:t xml:space="preserve"> 0374-2365558</w:t>
      </w:r>
    </w:p>
    <w:p>
      <w:pPr>
        <w:adjustRightInd w:val="0"/>
        <w:snapToGrid w:val="0"/>
        <w:spacing w:line="360" w:lineRule="auto"/>
        <w:ind w:firstLine="840" w:firstLineChars="400"/>
        <w:jc w:val="right"/>
        <w:rPr>
          <w:rFonts w:hint="eastAsia" w:asciiTheme="minorEastAsia" w:hAnsiTheme="minorEastAsia" w:eastAsiaTheme="minorEastAsia" w:cstheme="minorEastAsia"/>
          <w:color w:val="auto"/>
          <w:szCs w:val="21"/>
        </w:rPr>
      </w:pPr>
    </w:p>
    <w:p>
      <w:pPr>
        <w:adjustRightInd w:val="0"/>
        <w:snapToGrid w:val="0"/>
        <w:spacing w:line="360" w:lineRule="auto"/>
        <w:ind w:firstLine="840" w:firstLineChars="40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许昌市魏都区城市管理局</w:t>
      </w:r>
    </w:p>
    <w:p>
      <w:pPr>
        <w:wordWrap w:val="0"/>
        <w:adjustRightInd w:val="0"/>
        <w:snapToGrid w:val="0"/>
        <w:spacing w:line="360" w:lineRule="auto"/>
        <w:ind w:firstLine="840" w:firstLineChars="40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二〇二〇年四月</w:t>
      </w:r>
      <w:r>
        <w:rPr>
          <w:rFonts w:hint="eastAsia" w:asciiTheme="minorEastAsia" w:hAnsiTheme="minorEastAsia" w:eastAsiaTheme="minorEastAsia" w:cstheme="minorEastAsia"/>
          <w:color w:val="auto"/>
          <w:szCs w:val="21"/>
          <w:lang w:eastAsia="zh-CN"/>
        </w:rPr>
        <w:t>十三</w:t>
      </w:r>
      <w:r>
        <w:rPr>
          <w:rFonts w:hint="eastAsia" w:asciiTheme="minorEastAsia" w:hAnsiTheme="minorEastAsia" w:eastAsiaTheme="minorEastAsia" w:cstheme="minorEastAsia"/>
          <w:color w:val="auto"/>
          <w:szCs w:val="21"/>
        </w:rPr>
        <w:t>日</w:t>
      </w:r>
    </w:p>
    <w:p>
      <w:pPr>
        <w:adjustRightInd w:val="0"/>
        <w:snapToGrid w:val="0"/>
        <w:spacing w:line="360" w:lineRule="auto"/>
        <w:jc w:val="left"/>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温馨提示：</w:t>
      </w: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本项目为全流程电子化交易项目，请认真阅读招标文件，并注意以下事项。</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1.投标人应按招标文件规定编制、提交、解密电子投标文件。</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2.电子文件下载、制作、提交期间和远程不见面开标（</w:t>
      </w:r>
      <w:r>
        <w:rPr>
          <w:rFonts w:hint="eastAsia" w:asciiTheme="minorEastAsia" w:hAnsiTheme="minorEastAsia" w:eastAsiaTheme="minorEastAsia" w:cstheme="minorEastAsia"/>
          <w:color w:val="auto"/>
          <w:szCs w:val="21"/>
        </w:rPr>
        <w:t>电子投标文件的解密</w:t>
      </w:r>
      <w:r>
        <w:rPr>
          <w:rFonts w:hint="eastAsia" w:asciiTheme="minorEastAsia" w:hAnsiTheme="minorEastAsia" w:eastAsiaTheme="minorEastAsia" w:cstheme="minorEastAsia"/>
          <w:b/>
          <w:color w:val="auto"/>
          <w:szCs w:val="21"/>
        </w:rPr>
        <w:t>）环节，投标人须使用同一个CA数字证书（证书须在有效期内并可正常使用）。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3.电子投标文件的制作</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投标人登录《全国公共资源交易平台(河南省▪许昌市)》公共资源交易系统（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投标人应充分考虑并预留技术处理和上传数据所需时间。</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 加密电子投标文件成功提交后，《全国公共资源交易平台(河南省.许昌市)》公共资源交易系统（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）生成“投标文件提交回执单”。</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 投标人应熟悉《许昌市不见面开标操作手册》，并提前设置不见面开标浏览器（设置流程详见《许昌市不见面开标操作手册》）。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 《许昌市不见面开标操作手册》下载路径：全国公共资源交易平台（河南省·许昌市）—“资料下载”栏目。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Cs w:val="21"/>
        </w:rPr>
        <w:t>因投标人原因解密失败的，其投标将被拒绝。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评标期间，投标人应保持通讯手机畅通。</w:t>
      </w:r>
      <w:r>
        <w:rPr>
          <w:rFonts w:hint="eastAsia" w:asciiTheme="minorEastAsia" w:hAnsiTheme="minorEastAsia" w:eastAsiaTheme="minorEastAsia" w:cstheme="minorEastAsia"/>
          <w:color w:val="auto"/>
          <w:kern w:val="0"/>
          <w:szCs w:val="21"/>
        </w:rPr>
        <w:t>评标委员会</w:t>
      </w:r>
      <w:r>
        <w:rPr>
          <w:rFonts w:hint="eastAsia" w:asciiTheme="minorEastAsia" w:hAnsiTheme="minorEastAsia" w:eastAsiaTheme="minorEastAsia" w:cstheme="minorEastAsia"/>
          <w:color w:val="auto"/>
          <w:szCs w:val="21"/>
        </w:rPr>
        <w:t>如</w:t>
      </w:r>
      <w:r>
        <w:rPr>
          <w:rFonts w:hint="eastAsia" w:asciiTheme="minorEastAsia" w:hAnsiTheme="minorEastAsia" w:eastAsiaTheme="minorEastAsia" w:cs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采购</w:t>
      </w:r>
      <w:r>
        <w:rPr>
          <w:rFonts w:hint="eastAsia" w:cs="仿宋" w:asciiTheme="minorEastAsia" w:hAnsiTheme="minorEastAsia"/>
          <w:color w:val="000000"/>
          <w:kern w:val="0"/>
          <w:sz w:val="24"/>
          <w:szCs w:val="24"/>
          <w:shd w:val="clear" w:color="auto" w:fill="FFFFFF"/>
          <w:lang w:eastAsia="zh-CN"/>
        </w:rPr>
        <w:t>分类垃圾</w:t>
      </w:r>
      <w:r>
        <w:rPr>
          <w:rFonts w:hint="eastAsia" w:cs="仿宋" w:asciiTheme="minorEastAsia" w:hAnsiTheme="minorEastAsia"/>
          <w:color w:val="000000"/>
          <w:kern w:val="0"/>
          <w:sz w:val="24"/>
          <w:szCs w:val="24"/>
          <w:shd w:val="clear" w:color="auto" w:fill="FFFFFF"/>
        </w:rPr>
        <w:t>桶</w:t>
      </w:r>
      <w:r>
        <w:rPr>
          <w:rFonts w:hint="eastAsia" w:cs="仿宋" w:asciiTheme="minorEastAsia" w:hAnsiTheme="minorEastAsia"/>
          <w:color w:val="000000"/>
          <w:kern w:val="0"/>
          <w:sz w:val="24"/>
          <w:szCs w:val="24"/>
          <w:shd w:val="clear" w:color="auto" w:fill="FFFFFF"/>
          <w:lang w:eastAsia="zh-CN"/>
        </w:rPr>
        <w:t>、垃圾分类收集袋及宣传彩页，</w:t>
      </w:r>
      <w:r>
        <w:rPr>
          <w:rFonts w:hint="eastAsia" w:cs="仿宋" w:asciiTheme="minorEastAsia" w:hAnsiTheme="minorEastAsia"/>
          <w:color w:val="000000"/>
          <w:kern w:val="0"/>
          <w:sz w:val="24"/>
          <w:szCs w:val="24"/>
          <w:shd w:val="clear" w:color="auto" w:fill="FFFFFF"/>
        </w:rPr>
        <w:t>用于垃圾收集、装运。</w:t>
      </w:r>
    </w:p>
    <w:p>
      <w:pPr>
        <w:widowControl/>
        <w:numPr>
          <w:ilvl w:val="0"/>
          <w:numId w:val="4"/>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1、货物需求表</w:t>
      </w:r>
    </w:p>
    <w:tbl>
      <w:tblPr>
        <w:tblStyle w:val="25"/>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73"/>
        <w:gridCol w:w="5564"/>
        <w:gridCol w:w="791"/>
        <w:gridCol w:w="77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27"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序号</w:t>
            </w:r>
          </w:p>
        </w:tc>
        <w:tc>
          <w:tcPr>
            <w:tcW w:w="873"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名称</w:t>
            </w:r>
          </w:p>
        </w:tc>
        <w:tc>
          <w:tcPr>
            <w:tcW w:w="5564"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参数规格</w:t>
            </w:r>
          </w:p>
        </w:tc>
        <w:tc>
          <w:tcPr>
            <w:tcW w:w="791"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单位</w:t>
            </w:r>
          </w:p>
        </w:tc>
        <w:tc>
          <w:tcPr>
            <w:tcW w:w="777"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数量</w:t>
            </w:r>
          </w:p>
        </w:tc>
        <w:tc>
          <w:tcPr>
            <w:tcW w:w="777" w:type="dxa"/>
            <w:shd w:val="clear" w:color="auto" w:fill="auto"/>
            <w:vAlign w:val="center"/>
          </w:tcPr>
          <w:p>
            <w:pPr>
              <w:widowControl/>
              <w:jc w:val="center"/>
              <w:rPr>
                <w:rFonts w:hint="eastAsia" w:asciiTheme="minorEastAsia" w:hAnsiTheme="minorEastAsia" w:eastAsiaTheme="minorEastAsia" w:cstheme="minorEastAsia"/>
                <w:b/>
                <w:bCs/>
                <w:color w:val="auto"/>
                <w:kern w:val="0"/>
                <w:szCs w:val="20"/>
              </w:rPr>
            </w:pPr>
            <w:r>
              <w:rPr>
                <w:rFonts w:hint="eastAsia" w:asciiTheme="minorEastAsia" w:hAnsiTheme="minorEastAsia" w:eastAsiaTheme="minorEastAsia" w:cstheme="minorEastAsia"/>
                <w:b/>
                <w:bCs/>
                <w:color w:val="auto"/>
                <w:kern w:val="0"/>
                <w:szCs w:val="20"/>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2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w:t>
            </w:r>
          </w:p>
        </w:tc>
        <w:tc>
          <w:tcPr>
            <w:tcW w:w="873"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p>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lang w:eastAsia="zh-CN"/>
              </w:rPr>
              <w:t>分类垃圾</w:t>
            </w:r>
            <w:r>
              <w:rPr>
                <w:rFonts w:hint="eastAsia" w:asciiTheme="minorEastAsia" w:hAnsiTheme="minorEastAsia" w:eastAsiaTheme="minorEastAsia" w:cstheme="minorEastAsia"/>
                <w:color w:val="auto"/>
                <w:kern w:val="0"/>
                <w:szCs w:val="20"/>
              </w:rPr>
              <w:t>桶</w:t>
            </w:r>
          </w:p>
          <w:p>
            <w:pPr>
              <w:widowControl/>
              <w:jc w:val="center"/>
              <w:rPr>
                <w:rFonts w:hint="eastAsia" w:asciiTheme="minorEastAsia" w:hAnsiTheme="minorEastAsia" w:eastAsiaTheme="minorEastAsia" w:cstheme="minorEastAsia"/>
                <w:color w:val="auto"/>
                <w:kern w:val="0"/>
                <w:szCs w:val="20"/>
              </w:rPr>
            </w:pPr>
          </w:p>
        </w:tc>
        <w:tc>
          <w:tcPr>
            <w:tcW w:w="5564" w:type="dxa"/>
            <w:shd w:val="clear" w:color="000000" w:fill="FFFFFF"/>
          </w:tcPr>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1、容积：240L（±5%）；</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2、★长*宽*高（mm）：长≥730mm；宽≥590mm；高≥1090mm； (含盖含轮子高度)</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3、★重量：单桶体≥10.7Kg；盖重≥1.4Kg；带轮轴重≥14.7 Kg；</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4、橡胶轮：ф195*50mm，内圈聚乙烯，内置钢套，外圈橡胶轮；</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5、钢轴规格：ф21.5*555mm；</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6、★桶体壁厚≥5m，桶盖厚≥3m；</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7、高温65℃、低温-30℃的气温下，不变形，不开裂；</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8、材料：全新高密度聚乙烯（HDPE）；</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9、耐磨钉≥29颗；</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10.桶体4面为凹槽，底部带有裙边设计；</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11、橡胶轮与底轴连接方式：直接插入式防盗设计；</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12、垃圾桶：色彩鲜艳，两年不褪色，质保期内有损坏由供应商更换及赔偿；耐腐蚀，并且有足够的机械强度和良好的冲击韧性；</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13、符合中华人民共和国城镇建设行业标准《塑料垃圾桶通用技术条件》CJ/T 280-2008标准。</w:t>
            </w:r>
          </w:p>
        </w:tc>
        <w:tc>
          <w:tcPr>
            <w:tcW w:w="791"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个</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lang w:val="en-US" w:eastAsia="zh-CN"/>
              </w:rPr>
            </w:pPr>
            <w:r>
              <w:rPr>
                <w:rFonts w:hint="eastAsia" w:asciiTheme="minorEastAsia" w:hAnsiTheme="minorEastAsia" w:eastAsiaTheme="minorEastAsia" w:cstheme="minorEastAsia"/>
                <w:color w:val="auto"/>
                <w:kern w:val="0"/>
                <w:szCs w:val="20"/>
                <w:lang w:val="en-US" w:eastAsia="zh-CN"/>
              </w:rPr>
              <w:t>4962</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2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2</w:t>
            </w:r>
          </w:p>
        </w:tc>
        <w:tc>
          <w:tcPr>
            <w:tcW w:w="873"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垃圾分类收集袋</w:t>
            </w:r>
          </w:p>
        </w:tc>
        <w:tc>
          <w:tcPr>
            <w:tcW w:w="5564" w:type="dxa"/>
            <w:shd w:val="clear" w:color="000000" w:fill="FFFFFF"/>
          </w:tcPr>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1、容量：2.16L,(450mm*500mm)</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2、厚度：≧0.01mm</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3、重量：单只3.5克</w:t>
            </w:r>
          </w:p>
          <w:p>
            <w:pPr>
              <w:widowControl/>
              <w:jc w:val="left"/>
              <w:rPr>
                <w:rFonts w:hint="eastAsia" w:asciiTheme="minorEastAsia" w:hAnsiTheme="minorEastAsia" w:eastAsiaTheme="minorEastAsia" w:cstheme="minorEastAsia"/>
                <w:color w:val="auto"/>
                <w:kern w:val="0"/>
                <w:szCs w:val="20"/>
                <w:lang w:eastAsia="zh-CN"/>
              </w:rPr>
            </w:pPr>
            <w:r>
              <w:rPr>
                <w:rFonts w:hint="eastAsia" w:asciiTheme="minorEastAsia" w:hAnsiTheme="minorEastAsia" w:eastAsiaTheme="minorEastAsia" w:cstheme="minorEastAsia"/>
                <w:color w:val="auto"/>
                <w:kern w:val="0"/>
                <w:szCs w:val="20"/>
              </w:rPr>
              <w:t>4、规格：长≥450㎜，宽≥470㎜。±10mm</w:t>
            </w:r>
            <w:r>
              <w:rPr>
                <w:rFonts w:hint="eastAsia" w:asciiTheme="minorEastAsia" w:hAnsiTheme="minorEastAsia" w:eastAsiaTheme="minorEastAsia" w:cstheme="minorEastAsia"/>
                <w:color w:val="auto"/>
                <w:kern w:val="0"/>
                <w:szCs w:val="20"/>
                <w:lang w:eastAsia="zh-CN"/>
              </w:rPr>
              <w:t>。</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5、材料：采用高密度聚乙烯全新料（HDPE), 为原料添加各类助剂，禁止使用含氯材料、必须可降解。</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6、包装、结构：能与1.8升分类垃圾桶配套使用，20只一卷，点断式结构，必须为机械成卷，达到使用一只拉出一只的效果。</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7、袋外观颜色：均匀、平整，无气泡、穿孔、鱼眼僵块、丝纹、挂料线等瑕疵。透光度75%±5%，雾度55%±5%。</w:t>
            </w:r>
          </w:p>
          <w:p>
            <w:pPr>
              <w:widowControl/>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Cs w:val="20"/>
              </w:rPr>
              <w:t xml:space="preserve">8、使用标志：塑料垃圾袋应在正面中央位置按分类方法印刷符合《生活垃圾分类标志》标准规定的分类标志。 </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9、检测依据</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9.1检验项目：渗水性试验、提吊试验、厚度检测。</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9.2检测方法：渗水性试验，装2kg清水，排空空气密闭垃圾袋口后放置，5分钟内观察是否有渗漏；提吊试验，将2kg低密度聚乙烯粒子，压出袋内空气后封口，用绳子捆紧塑料袋封口，提吊塑料袋使其远离地面并确保提吊绳长度≥200mm，固定提吊绳上墙，上提提吊绳下端使塑料袋上升200mm，松开提吊绳使塑料袋突然自由下落，观察是否破损，试验重复3次；壁厚检测，使用量具测量塑料膜厚度。</w:t>
            </w:r>
          </w:p>
          <w:p>
            <w:pPr>
              <w:widowControl/>
              <w:jc w:val="left"/>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9.3执行国家检测标准：GB/T24454-2009标准。</w:t>
            </w:r>
          </w:p>
        </w:tc>
        <w:tc>
          <w:tcPr>
            <w:tcW w:w="791"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卷</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80000</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2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3</w:t>
            </w:r>
          </w:p>
        </w:tc>
        <w:tc>
          <w:tcPr>
            <w:tcW w:w="873" w:type="dxa"/>
            <w:shd w:val="clear" w:color="000000" w:fill="FFFFFF"/>
            <w:vAlign w:val="center"/>
          </w:tcPr>
          <w:p>
            <w:pPr>
              <w:widowControl/>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宣传彩页</w:t>
            </w:r>
          </w:p>
        </w:tc>
        <w:tc>
          <w:tcPr>
            <w:tcW w:w="5564" w:type="dxa"/>
            <w:shd w:val="clear" w:color="000000" w:fill="FFFFFF"/>
          </w:tcPr>
          <w:p>
            <w:pPr>
              <w:widowControl/>
              <w:numPr>
                <w:ilvl w:val="0"/>
                <w:numId w:val="5"/>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大八开双面彩色宣传页，尺寸：28.5cm*42cm；</w:t>
            </w:r>
          </w:p>
          <w:p>
            <w:pPr>
              <w:widowControl/>
              <w:numPr>
                <w:ilvl w:val="0"/>
                <w:numId w:val="5"/>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要求版面内容丰富，图文并茂，专业精美制作设计；</w:t>
            </w:r>
          </w:p>
          <w:p>
            <w:pPr>
              <w:widowControl/>
              <w:numPr>
                <w:ilvl w:val="0"/>
                <w:numId w:val="5"/>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200克国标铜版纸印刷。A级挺度、白度、耐折度、耐磨度、环压强度、匀度。纸张表面光滑，白度高，吸墨性能好。</w:t>
            </w:r>
          </w:p>
          <w:p>
            <w:pPr>
              <w:widowControl/>
              <w:numPr>
                <w:ilvl w:val="0"/>
                <w:numId w:val="5"/>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五色彩印机精美印刷。</w:t>
            </w:r>
          </w:p>
          <w:p>
            <w:pPr>
              <w:widowControl/>
              <w:numPr>
                <w:ilvl w:val="0"/>
                <w:numId w:val="5"/>
              </w:numPr>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使用环保油墨，要求产品光泽度高，色平衡好，墨色均匀。</w:t>
            </w:r>
          </w:p>
        </w:tc>
        <w:tc>
          <w:tcPr>
            <w:tcW w:w="791"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页</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40000</w:t>
            </w:r>
          </w:p>
        </w:tc>
        <w:tc>
          <w:tcPr>
            <w:tcW w:w="777" w:type="dxa"/>
            <w:shd w:val="clear" w:color="000000" w:fill="FFFFFF"/>
            <w:vAlign w:val="center"/>
          </w:tcPr>
          <w:p>
            <w:pPr>
              <w:widowControl/>
              <w:jc w:val="center"/>
              <w:rPr>
                <w:rFonts w:hint="eastAsia" w:asciiTheme="minorEastAsia" w:hAnsiTheme="minorEastAsia" w:eastAsiaTheme="minorEastAsia" w:cstheme="minorEastAsia"/>
                <w:color w:val="auto"/>
                <w:kern w:val="0"/>
                <w:szCs w:val="20"/>
              </w:rPr>
            </w:pPr>
            <w:r>
              <w:rPr>
                <w:rFonts w:hint="eastAsia" w:asciiTheme="minorEastAsia" w:hAnsiTheme="minorEastAsia" w:eastAsiaTheme="minorEastAsia" w:cstheme="minorEastAsia"/>
                <w:color w:val="auto"/>
                <w:kern w:val="0"/>
                <w:szCs w:val="20"/>
              </w:rPr>
              <w:t>否</w:t>
            </w:r>
          </w:p>
        </w:tc>
      </w:tr>
    </w:tbl>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1、投标人须明确投标产品的厂家、产地、品牌、型号、详细参数，</w:t>
      </w:r>
      <w:r>
        <w:rPr>
          <w:rFonts w:hint="eastAsia" w:asciiTheme="minorEastAsia" w:hAnsiTheme="minorEastAsia" w:cstheme="minorEastAsia"/>
          <w:b/>
          <w:sz w:val="24"/>
          <w:lang w:val="zh-CN"/>
        </w:rPr>
        <w:t>否则为无效投标。</w:t>
      </w:r>
    </w:p>
    <w:p>
      <w:pPr>
        <w:wordWrap w:val="0"/>
        <w:topLinePunct/>
        <w:autoSpaceDE w:val="0"/>
        <w:autoSpaceDN w:val="0"/>
        <w:adjustRightInd w:val="0"/>
        <w:spacing w:line="360" w:lineRule="auto"/>
        <w:ind w:firstLine="482"/>
        <w:rPr>
          <w:rFonts w:asciiTheme="minorEastAsia" w:hAnsiTheme="minorEastAsia" w:cstheme="minorEastAsia"/>
          <w:b/>
          <w:sz w:val="24"/>
          <w:lang w:val="zh-CN"/>
        </w:rPr>
      </w:pPr>
      <w:r>
        <w:rPr>
          <w:rFonts w:hint="eastAsia" w:asciiTheme="minorEastAsia" w:hAnsiTheme="minorEastAsia" w:cstheme="minorEastAsia"/>
          <w:sz w:val="24"/>
          <w:lang w:val="zh-CN"/>
        </w:rPr>
        <w:t>2、投标人应就本项目完整投标，</w:t>
      </w:r>
      <w:r>
        <w:rPr>
          <w:rFonts w:hint="eastAsia" w:asciiTheme="minorEastAsia" w:hAnsiTheme="minorEastAsia" w:cstheme="minorEastAsia"/>
          <w:b/>
          <w:sz w:val="24"/>
          <w:lang w:val="zh-CN"/>
        </w:rPr>
        <w:t>否则为无效投标。</w:t>
      </w:r>
    </w:p>
    <w:p>
      <w:pPr>
        <w:wordWrap w:val="0"/>
        <w:topLinePunct/>
        <w:spacing w:line="360" w:lineRule="auto"/>
        <w:ind w:firstLine="480" w:firstLineChars="200"/>
        <w:rPr>
          <w:rFonts w:asciiTheme="minorEastAsia" w:hAnsiTheme="minorEastAsia" w:cstheme="minorEastAsia"/>
          <w:b/>
          <w:sz w:val="24"/>
          <w:lang w:val="zh-CN"/>
        </w:rPr>
      </w:pPr>
      <w:r>
        <w:rPr>
          <w:rFonts w:hint="eastAsia" w:asciiTheme="minorEastAsia" w:hAnsiTheme="minorEastAsia" w:cstheme="minorEastAsia"/>
          <w:sz w:val="24"/>
        </w:rPr>
        <w:t>3</w:t>
      </w:r>
      <w:r>
        <w:rPr>
          <w:rFonts w:hint="eastAsia" w:asciiTheme="minorEastAsia" w:hAnsiTheme="minorEastAsia" w:cstheme="minorEastAsia"/>
          <w:sz w:val="24"/>
          <w:lang w:val="zh-CN"/>
        </w:rPr>
        <w:t>、本项目投标报价为总包价,包括设备、材料、元件等购置、安装调试、运输、税金、验收、招投标工作中所产生的一切相关费用等。</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rPr>
        <w:t>4</w:t>
      </w:r>
      <w:r>
        <w:rPr>
          <w:rFonts w:hint="eastAsia" w:asciiTheme="minorEastAsia" w:hAnsiTheme="minorEastAsia" w:cstheme="minorEastAsia"/>
          <w:color w:val="auto"/>
          <w:sz w:val="24"/>
          <w:lang w:val="zh-CN"/>
        </w:rPr>
        <w:t>、质量要求：</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（1）核心产品性能满足《塑料垃圾桶通用技术条件》（CJ/T280 -2008）（至少包含拉伸强度、断裂伸长率、抗酸碱、抗冷热、重锤或跌落测试等）。</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（2）投标人所提供的货物均应是全新、原装正品，具有出厂合格证，包装箱号与出厂编号一致，并可追索查阅。</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（3）所有货物必须配齐所有辅助配件及功能配件等附件。</w:t>
      </w:r>
    </w:p>
    <w:p>
      <w:pPr>
        <w:wordWrap w:val="0"/>
        <w:topLinePunct/>
        <w:spacing w:line="360" w:lineRule="auto"/>
        <w:ind w:firstLine="420" w:firstLineChars="175"/>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（4）交货时需提供核心产品使用说明书、质量检测报告等中文技术文件。</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rPr>
        <w:t>5</w:t>
      </w:r>
      <w:r>
        <w:rPr>
          <w:rFonts w:hint="eastAsia" w:asciiTheme="minorEastAsia" w:hAnsiTheme="minorEastAsia" w:cstheme="minorEastAsia"/>
          <w:color w:val="auto"/>
          <w:sz w:val="24"/>
          <w:lang w:val="zh-CN"/>
        </w:rPr>
        <w:t>.服务要求</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（1）货物须送到采购人指定地点（分配到乡镇，集中供货点）。</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（2）投标人所提供的货物开箱后，发现有任何问题（包括外观损伤），须更换同品牌、同型号新货物。</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lang w:val="zh-CN"/>
        </w:rPr>
        <w:t>（3）质保期二年，在质保期内，对产品实行“三包”服务。同一产品、同一质量问题在质保期内连续两次维修仍无法正常使用的，须更换同品牌、同型号新产品。</w:t>
      </w:r>
    </w:p>
    <w:p>
      <w:pPr>
        <w:wordWrap w:val="0"/>
        <w:topLinePunct/>
        <w:spacing w:line="360" w:lineRule="auto"/>
        <w:ind w:firstLine="480" w:firstLineChars="200"/>
        <w:rPr>
          <w:rFonts w:asciiTheme="minorEastAsia" w:hAnsiTheme="minorEastAsia" w:cstheme="minorEastAsia"/>
          <w:color w:val="auto"/>
          <w:sz w:val="24"/>
          <w:lang w:val="zh-CN"/>
        </w:rPr>
      </w:pPr>
      <w:r>
        <w:rPr>
          <w:rFonts w:hint="eastAsia" w:asciiTheme="minorEastAsia" w:hAnsiTheme="minorEastAsia" w:cstheme="minorEastAsia"/>
          <w:color w:val="auto"/>
          <w:sz w:val="24"/>
        </w:rPr>
        <w:t>6</w:t>
      </w:r>
      <w:r>
        <w:rPr>
          <w:rFonts w:hint="eastAsia" w:asciiTheme="minorEastAsia" w:hAnsiTheme="minorEastAsia" w:cstheme="minorEastAsia"/>
          <w:color w:val="auto"/>
          <w:sz w:val="24"/>
          <w:lang w:val="zh-CN"/>
        </w:rPr>
        <w:t>.交货期：合同签订后</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lang w:val="zh-CN"/>
        </w:rPr>
        <w:t>天内提供货物。</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pStyle w:val="24"/>
        <w:widowControl/>
        <w:shd w:val="clear" w:color="auto" w:fill="FFFFFF"/>
        <w:spacing w:line="360" w:lineRule="auto"/>
        <w:ind w:firstLine="420"/>
        <w:contextualSpacing/>
        <w:jc w:val="left"/>
        <w:rPr>
          <w:rFonts w:cs="黑体" w:asciiTheme="minorEastAsia" w:hAnsiTheme="minorEastAsia" w:eastAsiaTheme="minorEastAsia"/>
          <w:color w:val="auto"/>
          <w:shd w:val="clear" w:color="auto" w:fill="FFFFFF"/>
        </w:rPr>
      </w:pPr>
      <w:r>
        <w:rPr>
          <w:rFonts w:hint="eastAsia" w:cs="黑体" w:asciiTheme="minorEastAsia" w:hAnsiTheme="minorEastAsia" w:eastAsiaTheme="minorEastAsia"/>
          <w:color w:val="auto"/>
          <w:shd w:val="clear" w:color="auto" w:fill="FFFFFF"/>
        </w:rPr>
        <w:t>货物送达采购人指定地点，安装调试结束后，由采购人聘请专业的检测机构按国家有关规定、规程、规范、标准会同中标人依据其提供的有关资料共同检验，并随机抽样送检。为避免库存、转运等支出，抽样送检期间，中标人须同意将货物送达至各供货点。检验不合格的，采购人有权拒绝支付货款，其损失由中标人负责。已经发放的，由中标人自行收货。因货物质量问题发生争议时，由采购人所在地质量技术监督部门鉴定，货物符合质量技术标准的，鉴定费由采购人承担，反之，则由供货人承担。质保期不低于一年（包括垃圾桶主体及轮轴、轮子、桶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val="en-US" w:eastAsia="zh-CN"/>
        </w:rPr>
        <w:t>168.86</w:t>
      </w:r>
      <w:r>
        <w:rPr>
          <w:rFonts w:hint="eastAsia" w:cs="黑体" w:asciiTheme="minorEastAsia" w:hAnsiTheme="minorEastAsia" w:eastAsiaTheme="minorEastAsia"/>
          <w:b/>
          <w:bCs/>
          <w:color w:val="auto"/>
          <w:shd w:val="clear" w:color="auto" w:fill="FFFFFF"/>
        </w:rPr>
        <w:t>万元，最高限价</w:t>
      </w:r>
      <w:r>
        <w:rPr>
          <w:rFonts w:hint="eastAsia" w:cs="黑体" w:asciiTheme="minorEastAsia" w:hAnsiTheme="minorEastAsia" w:eastAsiaTheme="minorEastAsia"/>
          <w:b/>
          <w:bCs/>
          <w:color w:val="auto"/>
          <w:shd w:val="clear" w:color="auto" w:fill="FFFFFF"/>
          <w:lang w:val="en-US" w:eastAsia="zh-CN"/>
        </w:rPr>
        <w:t>168.86</w:t>
      </w:r>
      <w:r>
        <w:rPr>
          <w:rFonts w:hint="eastAsia" w:cs="黑体" w:asciiTheme="minorEastAsia" w:hAnsiTheme="minorEastAsia" w:eastAsiaTheme="minorEastAsia"/>
          <w:b/>
          <w:bCs/>
          <w:color w:val="auto"/>
          <w:shd w:val="clear" w:color="auto" w:fill="FFFFFF"/>
        </w:rPr>
        <w:t>万元，</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（一）支付方式：银行转账</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（二）支付时间及条件：货物送达采购人指定地点并检测合格后15日内支付合同总价的</w:t>
      </w:r>
      <w:r>
        <w:rPr>
          <w:rFonts w:hint="eastAsia" w:cs="宋体" w:asciiTheme="minorEastAsia" w:hAnsiTheme="minorEastAsia"/>
          <w:color w:val="auto"/>
          <w:kern w:val="0"/>
          <w:sz w:val="24"/>
          <w:szCs w:val="24"/>
        </w:rPr>
        <w:t>95</w:t>
      </w:r>
      <w:r>
        <w:rPr>
          <w:rFonts w:hint="eastAsia" w:cs="宋体" w:asciiTheme="minorEastAsia" w:hAnsiTheme="minorEastAsia"/>
          <w:color w:val="auto"/>
          <w:kern w:val="0"/>
          <w:sz w:val="24"/>
          <w:szCs w:val="24"/>
          <w:lang w:val="zh-CN"/>
        </w:rPr>
        <w:t>%，剩余</w:t>
      </w:r>
      <w:r>
        <w:rPr>
          <w:rFonts w:hint="eastAsia" w:cs="宋体" w:asciiTheme="minorEastAsia" w:hAnsiTheme="minorEastAsia"/>
          <w:color w:val="auto"/>
          <w:kern w:val="0"/>
          <w:sz w:val="24"/>
          <w:szCs w:val="24"/>
        </w:rPr>
        <w:t>5</w:t>
      </w:r>
      <w:r>
        <w:rPr>
          <w:rFonts w:hint="eastAsia" w:cs="宋体" w:asciiTheme="minorEastAsia" w:hAnsiTheme="minorEastAsia"/>
          <w:color w:val="auto"/>
          <w:kern w:val="0"/>
          <w:sz w:val="24"/>
          <w:szCs w:val="24"/>
          <w:lang w:val="zh-CN"/>
        </w:rPr>
        <w:t>%作为质保金，质保期（</w:t>
      </w:r>
      <w:r>
        <w:rPr>
          <w:rFonts w:hint="eastAsia" w:cs="宋体" w:asciiTheme="minorEastAsia" w:hAnsiTheme="minorEastAsia"/>
          <w:color w:val="auto"/>
          <w:kern w:val="0"/>
          <w:sz w:val="24"/>
          <w:szCs w:val="24"/>
          <w:lang w:val="en-US" w:eastAsia="zh-CN"/>
        </w:rPr>
        <w:t>2年）</w:t>
      </w:r>
      <w:r>
        <w:rPr>
          <w:rFonts w:hint="eastAsia" w:cs="宋体" w:asciiTheme="minorEastAsia" w:hAnsiTheme="minorEastAsia"/>
          <w:color w:val="auto"/>
          <w:kern w:val="0"/>
          <w:sz w:val="24"/>
          <w:szCs w:val="24"/>
          <w:lang w:val="zh-CN"/>
        </w:rPr>
        <w:t>满后一次性支付。付款时中标人须提供正式税务发票，并自行承担税费，价格以中标价为准，提供服务（货物）期间不考虑市场价格增减因素。</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color w:val="FF0000"/>
          <w:szCs w:val="21"/>
        </w:rPr>
        <w:t>★</w:t>
      </w:r>
      <w:r>
        <w:rPr>
          <w:rFonts w:hint="eastAsia" w:cs="微软雅黑"/>
          <w:b/>
          <w:szCs w:val="21"/>
        </w:rPr>
        <w:t>条款均为实质性要求条款，投标文件须完全响应，未实质响应的，按照无效投标处理。</w:t>
      </w:r>
    </w:p>
    <w:tbl>
      <w:tblPr>
        <w:tblStyle w:val="2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43"/>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3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5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500" w:type="dxa"/>
          </w:tcPr>
          <w:p>
            <w:pPr>
              <w:autoSpaceDE w:val="0"/>
              <w:autoSpaceDN w:val="0"/>
              <w:adjustRightInd w:val="0"/>
              <w:spacing w:line="360" w:lineRule="auto"/>
              <w:jc w:val="left"/>
              <w:rPr>
                <w:rFonts w:hint="eastAsia" w:cs="仿宋_GB2312" w:asciiTheme="minorEastAsia" w:hAnsiTheme="minorEastAsia"/>
                <w:color w:val="auto"/>
                <w:szCs w:val="21"/>
                <w:highlight w:val="none"/>
                <w:lang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分类垃</w:t>
            </w:r>
            <w:r>
              <w:rPr>
                <w:rFonts w:hint="eastAsia" w:cs="仿宋_GB2312" w:asciiTheme="minorEastAsia" w:hAnsiTheme="minorEastAsia"/>
                <w:color w:val="auto"/>
                <w:szCs w:val="21"/>
                <w:highlight w:val="none"/>
                <w:lang w:eastAsia="zh-CN"/>
              </w:rPr>
              <w:t>圾</w:t>
            </w:r>
            <w:r>
              <w:rPr>
                <w:rFonts w:hint="eastAsia" w:cs="仿宋_GB2312" w:asciiTheme="minorEastAsia" w:hAnsiTheme="minorEastAsia"/>
                <w:color w:val="auto"/>
                <w:szCs w:val="21"/>
                <w:highlight w:val="none"/>
              </w:rPr>
              <w:t>桶</w:t>
            </w:r>
            <w:r>
              <w:rPr>
                <w:rFonts w:hint="eastAsia" w:cs="仿宋_GB2312" w:asciiTheme="minorEastAsia" w:hAnsiTheme="minorEastAsia"/>
                <w:color w:val="auto"/>
                <w:szCs w:val="21"/>
                <w:highlight w:val="none"/>
                <w:lang w:eastAsia="zh-CN"/>
              </w:rPr>
              <w:t>采购</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项目编号：</w:t>
            </w:r>
            <w:r>
              <w:rPr>
                <w:rFonts w:cs="仿宋_GB2312" w:asciiTheme="minorEastAsia" w:hAnsiTheme="minorEastAsia"/>
                <w:color w:val="auto"/>
                <w:szCs w:val="21"/>
                <w:shd w:val="clear" w:color="auto" w:fill="FFFFFF"/>
              </w:rPr>
              <w:t>JZFCG-G20</w:t>
            </w:r>
            <w:r>
              <w:rPr>
                <w:rFonts w:hint="eastAsia" w:cs="仿宋_GB2312" w:asciiTheme="minorEastAsia" w:hAnsiTheme="minorEastAsia"/>
                <w:color w:val="auto"/>
                <w:szCs w:val="21"/>
                <w:shd w:val="clear" w:color="auto" w:fill="FFFFFF"/>
              </w:rPr>
              <w:t>200</w:t>
            </w:r>
            <w:r>
              <w:rPr>
                <w:rFonts w:hint="eastAsia" w:cs="仿宋_GB2312" w:asciiTheme="minorEastAsia" w:hAnsiTheme="minorEastAsia"/>
                <w:color w:val="auto"/>
                <w:szCs w:val="21"/>
                <w:shd w:val="clear" w:color="auto" w:fill="FFFFFF"/>
                <w:lang w:val="en-US" w:eastAsia="zh-CN"/>
              </w:rPr>
              <w:t>15</w:t>
            </w:r>
            <w:r>
              <w:rPr>
                <w:rFonts w:hint="eastAsia" w:cs="仿宋_GB2312" w:asciiTheme="minorEastAsia" w:hAnsiTheme="minorEastAsia"/>
                <w:color w:val="auto"/>
                <w:szCs w:val="21"/>
              </w:rPr>
              <w:t>号</w:t>
            </w:r>
          </w:p>
          <w:p>
            <w:pPr>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项目内容：</w:t>
            </w:r>
            <w:r>
              <w:rPr>
                <w:rFonts w:hint="eastAsia" w:cs="仿宋_GB2312" w:asciiTheme="minorEastAsia" w:hAnsiTheme="minorEastAsia"/>
                <w:color w:val="auto"/>
                <w:szCs w:val="21"/>
                <w:lang w:eastAsia="zh-CN"/>
              </w:rPr>
              <w:t>分类垃圾</w:t>
            </w:r>
            <w:r>
              <w:rPr>
                <w:rFonts w:hint="eastAsia" w:cs="仿宋_GB2312" w:asciiTheme="minorEastAsia" w:hAnsiTheme="minorEastAsia"/>
                <w:color w:val="auto"/>
                <w:szCs w:val="21"/>
                <w:highlight w:val="none"/>
              </w:rPr>
              <w:t>桶</w:t>
            </w:r>
            <w:r>
              <w:rPr>
                <w:rFonts w:hint="eastAsia" w:cs="仿宋_GB2312" w:asciiTheme="minorEastAsia" w:hAnsiTheme="minorEastAsia"/>
                <w:color w:val="auto"/>
                <w:szCs w:val="21"/>
                <w:highlight w:val="none"/>
                <w:lang w:val="en-US" w:eastAsia="zh-CN"/>
              </w:rPr>
              <w:t>4962</w:t>
            </w:r>
            <w:r>
              <w:rPr>
                <w:rFonts w:hint="eastAsia" w:cs="仿宋_GB2312" w:asciiTheme="minorEastAsia" w:hAnsiTheme="minorEastAsia"/>
                <w:color w:val="auto"/>
                <w:szCs w:val="21"/>
                <w:highlight w:val="none"/>
              </w:rPr>
              <w:t>个</w:t>
            </w:r>
            <w:r>
              <w:rPr>
                <w:rFonts w:hint="eastAsia" w:cs="仿宋_GB2312" w:asciiTheme="minorEastAsia" w:hAnsiTheme="minorEastAsia"/>
                <w:color w:val="auto"/>
                <w:szCs w:val="21"/>
                <w:highlight w:val="none"/>
                <w:lang w:eastAsia="zh-CN"/>
              </w:rPr>
              <w:t>、</w:t>
            </w:r>
            <w:r>
              <w:rPr>
                <w:rFonts w:hint="eastAsia" w:ascii="宋体" w:hAnsi="宋体" w:cs="宋体"/>
                <w:color w:val="auto"/>
                <w:kern w:val="0"/>
                <w:szCs w:val="20"/>
              </w:rPr>
              <w:t>垃圾分类收集</w:t>
            </w:r>
            <w:r>
              <w:rPr>
                <w:rFonts w:hint="eastAsia" w:ascii="宋体" w:hAnsi="宋体" w:cs="宋体"/>
                <w:color w:val="auto"/>
                <w:kern w:val="0"/>
                <w:szCs w:val="20"/>
                <w:lang w:val="en-US" w:eastAsia="zh-CN"/>
              </w:rPr>
              <w:t>80000卷、</w:t>
            </w:r>
            <w:r>
              <w:rPr>
                <w:rFonts w:hint="eastAsia" w:ascii="宋体" w:hAnsi="宋体" w:cs="宋体"/>
                <w:color w:val="auto"/>
                <w:kern w:val="0"/>
                <w:szCs w:val="20"/>
              </w:rPr>
              <w:t>宣传彩页</w:t>
            </w:r>
            <w:r>
              <w:rPr>
                <w:rFonts w:hint="eastAsia" w:ascii="宋体" w:hAnsi="宋体" w:cs="宋体"/>
                <w:color w:val="auto"/>
                <w:kern w:val="0"/>
                <w:szCs w:val="20"/>
                <w:lang w:val="en-US" w:eastAsia="zh-CN"/>
              </w:rPr>
              <w:t>40000页</w:t>
            </w:r>
            <w:r>
              <w:rPr>
                <w:rFonts w:hint="eastAsia" w:ascii="宋体" w:hAnsi="宋体" w:cs="宋体"/>
                <w:color w:val="auto"/>
                <w:kern w:val="0"/>
                <w:szCs w:val="20"/>
              </w:rPr>
              <w:t>。</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项目地址：许昌市</w:t>
            </w:r>
            <w:r>
              <w:rPr>
                <w:rFonts w:hint="eastAsia" w:cs="仿宋_GB2312" w:asciiTheme="minorEastAsia" w:hAnsiTheme="minorEastAsia"/>
                <w:color w:val="auto"/>
                <w:szCs w:val="21"/>
                <w:lang w:eastAsia="zh-CN"/>
              </w:rPr>
              <w:t>魏都</w:t>
            </w:r>
            <w:r>
              <w:rPr>
                <w:rFonts w:hint="eastAsia" w:cs="仿宋_GB2312" w:asciiTheme="minorEastAsia" w:hAnsiTheme="minorEastAsia"/>
                <w:color w:val="auto"/>
                <w:szCs w:val="21"/>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500"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名称：许昌市魏都区城市管理局</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地址：许昌市天宝路中段</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联系人：尚先生       电话：</w:t>
            </w:r>
            <w:r>
              <w:rPr>
                <w:rFonts w:hint="eastAsia" w:cs="仿宋_GB2312" w:asciiTheme="minorEastAsia" w:hAnsiTheme="minorEastAsia" w:eastAsiaTheme="minorEastAsia"/>
                <w:color w:val="auto"/>
                <w:sz w:val="21"/>
                <w:szCs w:val="21"/>
                <w:lang w:val="en-US" w:eastAsia="zh-CN"/>
              </w:rPr>
              <w:t>15703746696</w:t>
            </w:r>
            <w:r>
              <w:rPr>
                <w:rFonts w:hint="eastAsia" w:cs="仿宋_GB2312" w:asciiTheme="minorEastAsia" w:hAnsiTheme="minorEastAsia"/>
                <w:color w:val="auto"/>
                <w:sz w:val="21"/>
                <w:szCs w:val="21"/>
                <w:lang w:val="en-US" w:eastAsia="zh-CN"/>
              </w:rPr>
              <w:t>、0374-5055086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7500"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地址：许昌市智慧大道亨源通世纪广场1号楼401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联系人：朱女士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75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；“国家企业信用公示系统”网站（www.gsxt.gov.cn）严重违法失信企业名单（黑名单）的投标人</w:t>
            </w:r>
            <w:r>
              <w:rPr>
                <w:rFonts w:hint="eastAsia" w:cs="仿宋_GB2312" w:asciiTheme="minorEastAsia" w:hAnsiTheme="minorEastAsia"/>
                <w:b w:val="0"/>
                <w:bCs/>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w:t>
            </w:r>
            <w:r>
              <w:rPr>
                <w:rFonts w:hint="eastAsia" w:cs="宋体" w:asciiTheme="minorEastAsia" w:hAnsiTheme="minorEastAsia"/>
                <w:kern w:val="0"/>
                <w:szCs w:val="21"/>
                <w:lang w:eastAsia="zh-CN"/>
              </w:rPr>
              <w:t>“国家企业信用公示系统”网站（www.gsxt.gov.cn）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lang w:eastAsia="zh-CN"/>
              </w:rPr>
              <w:t>严重违法失信企业名单（黑名单）</w:t>
            </w:r>
            <w:r>
              <w:rPr>
                <w:rFonts w:hint="eastAsia" w:cs="宋体" w:asciiTheme="minorEastAsia" w:hAnsiTheme="minorEastAsia"/>
                <w:kern w:val="0"/>
                <w:szCs w:val="21"/>
              </w:rPr>
              <w:t>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75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343" w:type="dxa"/>
            <w:vAlign w:val="center"/>
          </w:tcPr>
          <w:p>
            <w:pPr>
              <w:autoSpaceDE w:val="0"/>
              <w:autoSpaceDN w:val="0"/>
              <w:adjustRightInd w:val="0"/>
              <w:spacing w:line="276" w:lineRule="auto"/>
              <w:jc w:val="center"/>
              <w:rPr>
                <w:rFonts w:cs="宋体" w:asciiTheme="minorEastAsia" w:hAnsiTheme="minorEastAsia"/>
                <w:bCs/>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Cs/>
                <w:szCs w:val="21"/>
                <w:highlight w:val="none"/>
                <w:lang w:val="zh-CN"/>
              </w:rPr>
              <w:t>最高限价</w:t>
            </w:r>
          </w:p>
        </w:tc>
        <w:tc>
          <w:tcPr>
            <w:tcW w:w="7500" w:type="dxa"/>
            <w:vAlign w:val="center"/>
          </w:tcPr>
          <w:p>
            <w:pPr>
              <w:autoSpaceDE w:val="0"/>
              <w:autoSpaceDN w:val="0"/>
              <w:adjustRightInd w:val="0"/>
              <w:spacing w:line="276"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168.</w:t>
            </w:r>
            <w:r>
              <w:rPr>
                <w:rFonts w:hint="eastAsia" w:cs="宋体" w:asciiTheme="minorEastAsia" w:hAnsiTheme="minorEastAsia"/>
                <w:bCs/>
                <w:szCs w:val="21"/>
                <w:highlight w:val="none"/>
                <w:lang w:val="en-US" w:eastAsia="zh-CN"/>
              </w:rPr>
              <w:t>86</w:t>
            </w:r>
            <w:r>
              <w:rPr>
                <w:rFonts w:hint="eastAsia" w:cs="宋体" w:asciiTheme="minorEastAsia" w:hAnsiTheme="minorEastAsia"/>
                <w:bCs/>
                <w:szCs w:val="21"/>
                <w:highlight w:val="none"/>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5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75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5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75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343"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75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2020年</w:t>
            </w:r>
            <w:r>
              <w:rPr>
                <w:rFonts w:hint="eastAsia" w:cs="仿宋_GB2312" w:asciiTheme="minorEastAsia" w:hAnsiTheme="minorEastAsia"/>
                <w:szCs w:val="21"/>
                <w:u w:val="single"/>
                <w:lang w:val="en-US" w:eastAsia="zh-CN"/>
              </w:rPr>
              <w:t>5</w:t>
            </w:r>
            <w:r>
              <w:rPr>
                <w:rFonts w:hint="eastAsia" w:cs="仿宋_GB2312" w:asciiTheme="minorEastAsia" w:hAnsiTheme="minorEastAsia"/>
                <w:szCs w:val="21"/>
              </w:rPr>
              <w:t>月</w:t>
            </w:r>
            <w:r>
              <w:rPr>
                <w:rFonts w:hint="eastAsia" w:cs="仿宋_GB2312" w:asciiTheme="minorEastAsia" w:hAnsiTheme="minorEastAsia"/>
                <w:szCs w:val="21"/>
                <w:u w:val="single"/>
                <w:lang w:val="en-US" w:eastAsia="zh-CN"/>
              </w:rPr>
              <w:t>8</w:t>
            </w:r>
            <w:r>
              <w:rPr>
                <w:rFonts w:hint="eastAsia" w:cs="仿宋_GB2312" w:asciiTheme="minorEastAsia" w:hAnsiTheme="minorEastAsia"/>
                <w:szCs w:val="21"/>
              </w:rPr>
              <w:t>日</w:t>
            </w:r>
            <w:r>
              <w:rPr>
                <w:rFonts w:hint="eastAsia" w:cs="仿宋_GB2312" w:asciiTheme="minorEastAsia" w:hAnsiTheme="minorEastAsia"/>
                <w:szCs w:val="21"/>
                <w:u w:val="single"/>
                <w:lang w:val="en-US" w:eastAsia="zh-CN"/>
              </w:rPr>
              <w:t>8</w:t>
            </w:r>
            <w:r>
              <w:rPr>
                <w:rFonts w:hint="eastAsia" w:cs="仿宋_GB2312" w:asciiTheme="minorEastAsia" w:hAnsiTheme="minorEastAsia"/>
                <w:szCs w:val="21"/>
              </w:rPr>
              <w:t>时</w:t>
            </w:r>
            <w:r>
              <w:rPr>
                <w:rFonts w:hint="eastAsia" w:cs="仿宋_GB2312" w:asciiTheme="minorEastAsia" w:hAnsiTheme="minorEastAsia"/>
                <w:szCs w:val="21"/>
                <w:u w:val="single"/>
                <w:lang w:val="en-US" w:eastAsia="zh-CN"/>
              </w:rPr>
              <w:t>30</w:t>
            </w:r>
            <w:r>
              <w:rPr>
                <w:rFonts w:hint="eastAsia" w:cs="仿宋_GB2312" w:asciiTheme="minorEastAsia" w:hAnsiTheme="minorEastAsia"/>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343" w:type="dxa"/>
            <w:vAlign w:val="center"/>
          </w:tcPr>
          <w:p>
            <w:pPr>
              <w:autoSpaceDE w:val="0"/>
              <w:autoSpaceDN w:val="0"/>
              <w:adjustRightInd w:val="0"/>
              <w:spacing w:line="360" w:lineRule="auto"/>
              <w:ind w:right="-115" w:rightChars="-55"/>
              <w:jc w:val="center"/>
              <w:rPr>
                <w:rFonts w:cs="黑体" w:asciiTheme="minorEastAsia" w:hAnsiTheme="minorEastAsia"/>
                <w:szCs w:val="21"/>
              </w:rPr>
            </w:pPr>
            <w:r>
              <w:rPr>
                <w:rFonts w:hint="eastAsia"/>
              </w:rPr>
              <w:t>开标地点及采购文件费</w:t>
            </w:r>
          </w:p>
        </w:tc>
        <w:tc>
          <w:tcPr>
            <w:tcW w:w="7500" w:type="dxa"/>
            <w:vAlign w:val="center"/>
          </w:tcPr>
          <w:p>
            <w:pPr>
              <w:autoSpaceDE w:val="0"/>
              <w:autoSpaceDN w:val="0"/>
              <w:adjustRightInd w:val="0"/>
              <w:spacing w:line="360" w:lineRule="auto"/>
            </w:pPr>
            <w:r>
              <w:rPr>
                <w:rFonts w:hint="eastAsia"/>
              </w:rPr>
              <w:t>1、</w:t>
            </w:r>
            <w:r>
              <w:rPr>
                <w:rFonts w:hint="eastAsia" w:ascii="宋体" w:hAnsi="宋体" w:cs="仿宋_GB2312"/>
                <w:szCs w:val="21"/>
              </w:rPr>
              <w:t>许昌市公共资源交易中心三楼开标</w:t>
            </w:r>
            <w:r>
              <w:rPr>
                <w:rFonts w:hint="eastAsia" w:ascii="宋体" w:hAnsi="宋体" w:cs="仿宋_GB2312"/>
                <w:szCs w:val="21"/>
                <w:u w:val="single"/>
                <w:lang w:val="en-US" w:eastAsia="zh-CN"/>
              </w:rPr>
              <w:t>4</w:t>
            </w:r>
            <w:r>
              <w:rPr>
                <w:rFonts w:hint="eastAsia" w:ascii="宋体" w:hAnsi="宋体" w:cs="仿宋_GB2312"/>
                <w:szCs w:val="21"/>
              </w:rPr>
              <w:t>室（</w:t>
            </w:r>
            <w:r>
              <w:rPr>
                <w:rFonts w:hint="eastAsia" w:ascii="宋体" w:hAnsi="宋体" w:cs="Arial"/>
                <w:b/>
                <w:szCs w:val="21"/>
              </w:rPr>
              <w:t>本项目采用远程不见面开标，投标人无须到交易中心现场</w:t>
            </w:r>
            <w:r>
              <w:rPr>
                <w:rFonts w:hint="eastAsia" w:ascii="宋体" w:hAnsi="宋体" w:cs="Arial"/>
                <w:szCs w:val="21"/>
              </w:rPr>
              <w:t>）</w:t>
            </w:r>
            <w:r>
              <w:rPr>
                <w:rFonts w:hint="eastAsia" w:ascii="宋体" w:hAnsi="宋体" w:cs="仿宋_GB2312"/>
                <w:szCs w:val="21"/>
              </w:rPr>
              <w:t>。</w:t>
            </w:r>
          </w:p>
          <w:p>
            <w:pPr>
              <w:autoSpaceDE w:val="0"/>
              <w:autoSpaceDN w:val="0"/>
              <w:adjustRightInd w:val="0"/>
              <w:spacing w:line="360" w:lineRule="auto"/>
              <w:rPr>
                <w:lang w:val="zh-CN"/>
              </w:rPr>
            </w:pPr>
            <w:r>
              <w:rPr>
                <w:rFonts w:hint="eastAsia"/>
              </w:rPr>
              <w:t>2、开标结束后须向代理机构交纳</w:t>
            </w:r>
            <w:r>
              <w:rPr>
                <w:rFonts w:hint="eastAsia"/>
                <w:b/>
                <w:bCs/>
                <w:u w:val="single"/>
              </w:rPr>
              <w:t>300元</w:t>
            </w:r>
            <w:r>
              <w:rPr>
                <w:rFonts w:hint="eastAsia"/>
              </w:rPr>
              <w:t>的采购文件费。转账至支付宝或微信：15517381573（转账时请备注项目编号、所属标段及公司名称）。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343"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7500"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34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5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343"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仿宋_GB2312" w:asciiTheme="minorEastAsia" w:hAnsiTheme="minorEastAsia"/>
                <w:szCs w:val="21"/>
              </w:rPr>
              <w:t>采购人澄清或修改招标文件时间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343"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投标人对采购文件质疑截止时间</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343" w:type="dxa"/>
            <w:vAlign w:val="center"/>
          </w:tcPr>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投标文件份数</w:t>
            </w:r>
          </w:p>
        </w:tc>
        <w:tc>
          <w:tcPr>
            <w:tcW w:w="7500"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34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签署盖章</w:t>
            </w:r>
          </w:p>
        </w:tc>
        <w:tc>
          <w:tcPr>
            <w:tcW w:w="7500"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34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5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bCs/>
                <w:szCs w:val="21"/>
                <w:lang w:val="zh-CN"/>
              </w:rPr>
              <w:t>中标人</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中标人需提交的资料</w:t>
            </w:r>
          </w:p>
        </w:tc>
        <w:tc>
          <w:tcPr>
            <w:tcW w:w="75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rPr>
              <w:t>0374-2365558  13323993003</w:t>
            </w:r>
            <w:r>
              <w:rPr>
                <w:rFonts w:hint="eastAsia" w:cs="宋体" w:asciiTheme="minorEastAsia" w:hAnsiTheme="minorEastAsia"/>
                <w:bCs/>
                <w:szCs w:val="21"/>
                <w:lang w:val="zh-CN"/>
              </w:rPr>
              <w:t>；邮箱：</w:t>
            </w:r>
            <w:r>
              <w:rPr>
                <w:rFonts w:hint="eastAsia" w:cs="宋体" w:asciiTheme="minorEastAsia" w:hAnsiTheme="minorEastAsia"/>
                <w:bCs/>
                <w:szCs w:val="21"/>
              </w:rPr>
              <w:t>xcgdzfcg</w:t>
            </w:r>
            <w:r>
              <w:rPr>
                <w:rFonts w:hint="eastAsia" w:cs="宋体" w:asciiTheme="minorEastAsia" w:hAnsiTheme="minorEastAsia"/>
                <w:bCs/>
                <w:szCs w:val="21"/>
                <w:lang w:val="zh-CN"/>
              </w:rPr>
              <w:t>@</w:t>
            </w:r>
            <w:r>
              <w:rPr>
                <w:rFonts w:hint="eastAsia" w:cs="宋体" w:asciiTheme="minorEastAsia" w:hAnsiTheme="minorEastAsia"/>
                <w:bCs/>
                <w:szCs w:val="21"/>
              </w:rPr>
              <w:t>126</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电子化采购模式</w:t>
            </w:r>
          </w:p>
        </w:tc>
        <w:tc>
          <w:tcPr>
            <w:tcW w:w="7500"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34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特别提示</w:t>
            </w:r>
          </w:p>
        </w:tc>
        <w:tc>
          <w:tcPr>
            <w:tcW w:w="7500"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4"/>
        <w:numPr>
          <w:ilvl w:val="1"/>
          <w:numId w:val="6"/>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6"/>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6"/>
        </w:num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3.1在中华人民共和国境内注册，具有本项目生产、制造、供应或实施能力，符合、承认并承诺履行本招标文件各项规定的法人、其他组织或者自然人。</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lang w:eastAsia="zh-CN"/>
        </w:rPr>
        <w:t>严重违法失信企业名单（黑名单）</w:t>
      </w:r>
      <w:r>
        <w:rPr>
          <w:rFonts w:hint="eastAsia" w:cs="宋体" w:asciiTheme="minorEastAsia" w:hAnsiTheme="minorEastAsia"/>
          <w:kern w:val="0"/>
          <w:szCs w:val="21"/>
        </w:rPr>
        <w:t>（联合体形式投标的，联合体成员存在不良信用记录，视同联合体存在不良信用记录）。</w:t>
      </w:r>
    </w:p>
    <w:p>
      <w:pPr>
        <w:pStyle w:val="44"/>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“国家企业信用公示系统”网站（www.gsxt.gov.cn）</w:t>
      </w:r>
      <w:r>
        <w:rPr>
          <w:rFonts w:hint="eastAsia" w:cs="宋体" w:asciiTheme="minorEastAsia" w:hAnsiTheme="minorEastAsia"/>
          <w:kern w:val="0"/>
          <w:szCs w:val="21"/>
        </w:rPr>
        <w:t>；</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lang w:eastAsia="zh-CN"/>
        </w:rPr>
        <w:t>严重违法失信企业名单（黑名单）</w:t>
      </w:r>
      <w:r>
        <w:rPr>
          <w:rFonts w:hint="eastAsia" w:cs="宋体" w:asciiTheme="minorEastAsia" w:hAnsiTheme="minorEastAsia"/>
          <w:kern w:val="0"/>
          <w:szCs w:val="21"/>
        </w:rPr>
        <w:t>的投标人，将拒绝其参与本次政府采购活动。</w:t>
      </w:r>
    </w:p>
    <w:p>
      <w:pPr>
        <w:pStyle w:val="44"/>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3" w:leftChars="6" w:firstLine="405" w:firstLineChars="193"/>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5" w:leftChars="7" w:firstLine="403" w:firstLineChars="192"/>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firstLine="416"/>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4"/>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8"/>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采购人根据采购项目的具体情况，可以在招标文件公告期满后，组织已获取招标文件的潜在投标人现场考察或者召开开标前答疑会。</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9"/>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在投标截止期前，无论出于何种原因，采购人可主动地或在解答潜在投标人提出的澄清问题时对招标文件进行修改。</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采购人可以对已发出的招标文件进行必要的澄清或者修改。澄清或者修改的内容可能影响投标文件编制的，采购人将在投标截止时间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如果澄清或者修改发出的时间距规定的投标截止时间不足15日，采购人将顺延提交投标文件的截止时间。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pStyle w:val="44"/>
        <w:autoSpaceDE w:val="0"/>
        <w:autoSpaceDN w:val="0"/>
        <w:spacing w:line="360" w:lineRule="auto"/>
        <w:ind w:left="420" w:firstLine="211" w:firstLineChars="100"/>
        <w:contextualSpacing/>
        <w:rPr>
          <w:rFonts w:cs="宋体" w:asciiTheme="minorEastAsia" w:hAnsiTheme="minorEastAsia"/>
          <w:kern w:val="0"/>
          <w:szCs w:val="21"/>
        </w:rPr>
      </w:pPr>
      <w:r>
        <w:rPr>
          <w:rFonts w:hint="eastAsia" w:cs="宋体" w:asciiTheme="minorEastAsia" w:hAnsiTheme="minorEastAsia"/>
          <w:b/>
          <w:bCs/>
          <w:kern w:val="0"/>
          <w:szCs w:val="21"/>
          <w:u w:val="single"/>
        </w:rPr>
        <w:t>电子投标文件制作技术咨询：0374-2961598。</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10"/>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21.1 投标人在投标截止时间前，对投标文件进行补充、修改或者撤回的，须书面通知采购人。</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4"/>
        <w:numPr>
          <w:ilvl w:val="0"/>
          <w:numId w:val="11"/>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4"/>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4"/>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4"/>
        <w:autoSpaceDE w:val="0"/>
        <w:autoSpaceDN w:val="0"/>
        <w:spacing w:line="360" w:lineRule="auto"/>
        <w:ind w:left="5" w:firstLine="413" w:firstLineChars="197"/>
        <w:contextualSpacing/>
        <w:rPr>
          <w:rFonts w:cs="宋体" w:asciiTheme="minorEastAsia" w:hAnsiTheme="minorEastAsia"/>
          <w:kern w:val="0"/>
          <w:szCs w:val="21"/>
        </w:rPr>
      </w:pPr>
      <w:r>
        <w:rPr>
          <w:rFonts w:hint="eastAsia" w:cs="宋体" w:asciiTheme="minorEastAsia" w:hAnsiTheme="minorEastAsia"/>
          <w:kern w:val="0"/>
          <w:szCs w:val="21"/>
        </w:rPr>
        <w:t>23.4 如无投标人提出异议，采购代理机构通过“文字互动”对话框通知各投标人进行电子签章。投标人应在《开标记录表》上进行电子签章，未进行电子签章的视为对开标结果无异议。</w:t>
      </w:r>
    </w:p>
    <w:p>
      <w:pPr>
        <w:pStyle w:val="44"/>
        <w:autoSpaceDE w:val="0"/>
        <w:autoSpaceDN w:val="0"/>
        <w:spacing w:line="360" w:lineRule="auto"/>
        <w:ind w:left="947" w:leftChars="200" w:hanging="527" w:hangingChars="250"/>
        <w:contextualSpacing/>
        <w:rPr>
          <w:rFonts w:cs="宋体" w:asciiTheme="minorEastAsia" w:hAnsiTheme="minorEastAsia"/>
          <w:kern w:val="0"/>
          <w:szCs w:val="21"/>
        </w:rPr>
      </w:pPr>
      <w:r>
        <w:rPr>
          <w:rFonts w:hint="eastAsia" w:cs="宋体" w:asciiTheme="minorEastAsia" w:hAnsiTheme="minorEastAsia"/>
          <w:b/>
          <w:bCs/>
          <w:kern w:val="0"/>
          <w:szCs w:val="21"/>
        </w:rPr>
        <w:t>23.5 采购人（代理机构）签章并上传《开标记录表》，不见面开标活动结束。</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424" w:hanging="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 w:leftChars="8" w:firstLine="401" w:firstLineChars="191"/>
        <w:contextualSpacing/>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438" w:leftChars="200" w:hanging="18" w:hangingChars="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122" w:leftChars="58" w:firstLine="296" w:firstLineChars="141"/>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122" w:leftChars="58" w:firstLine="296" w:firstLineChars="141"/>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122" w:leftChars="58" w:firstLine="296" w:firstLineChars="141"/>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4"/>
        <w:numPr>
          <w:ilvl w:val="0"/>
          <w:numId w:val="12"/>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4"/>
        <w:numPr>
          <w:ilvl w:val="0"/>
          <w:numId w:val="12"/>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541" w:leftChars="200" w:hanging="121" w:hangingChars="58"/>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4"/>
        <w:numPr>
          <w:ilvl w:val="0"/>
          <w:numId w:val="13"/>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423" w:leftChars="200" w:hanging="3"/>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3" w:firstLine="417"/>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3" w:leftChars="200" w:hanging="543" w:hangingChars="259"/>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963" w:leftChars="200" w:hanging="543" w:hangingChars="259"/>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4"/>
        <w:numPr>
          <w:ilvl w:val="0"/>
          <w:numId w:val="1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420" w:leftChars="200"/>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4"/>
        <w:numPr>
          <w:ilvl w:val="1"/>
          <w:numId w:val="15"/>
        </w:numPr>
        <w:autoSpaceDE w:val="0"/>
        <w:autoSpaceDN w:val="0"/>
        <w:spacing w:line="360" w:lineRule="auto"/>
        <w:ind w:left="420" w:leftChars="20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4"/>
        <w:numPr>
          <w:ilvl w:val="1"/>
          <w:numId w:val="16"/>
        </w:numPr>
        <w:autoSpaceDE w:val="0"/>
        <w:autoSpaceDN w:val="0"/>
        <w:spacing w:line="360" w:lineRule="auto"/>
        <w:ind w:left="4" w:firstLine="528"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4"/>
        <w:numPr>
          <w:ilvl w:val="1"/>
          <w:numId w:val="16"/>
        </w:numPr>
        <w:autoSpaceDE w:val="0"/>
        <w:autoSpaceDN w:val="0"/>
        <w:spacing w:line="360" w:lineRule="auto"/>
        <w:ind w:left="4" w:firstLine="528"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4"/>
        <w:numPr>
          <w:ilvl w:val="1"/>
          <w:numId w:val="17"/>
        </w:numPr>
        <w:autoSpaceDE w:val="0"/>
        <w:autoSpaceDN w:val="0"/>
        <w:spacing w:line="360" w:lineRule="auto"/>
        <w:ind w:left="0" w:firstLine="42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37.1采购人确认中标人后，采购人在公告中标结果的同时，向中标人发出中标通知书。</w:t>
      </w:r>
    </w:p>
    <w:p>
      <w:pPr>
        <w:pStyle w:val="44"/>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4"/>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37.3中标人在接到中标通知时，须向代理机构发送投标报价及分项报价一览表（包含主要中标标的的名称、规格型号、数量、单价、服务要求等）电子文档，并同时通知代理机构联系人。</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4"/>
        <w:numPr>
          <w:ilvl w:val="1"/>
          <w:numId w:val="17"/>
        </w:numPr>
        <w:autoSpaceDE w:val="0"/>
        <w:autoSpaceDN w:val="0"/>
        <w:spacing w:line="360" w:lineRule="auto"/>
        <w:ind w:left="12" w:firstLine="408"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4"/>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4"/>
        <w:numPr>
          <w:ilvl w:val="0"/>
          <w:numId w:val="17"/>
        </w:numPr>
        <w:autoSpaceDE w:val="0"/>
        <w:autoSpaceDN w:val="0"/>
        <w:spacing w:line="360" w:lineRule="auto"/>
        <w:ind w:left="12" w:hanging="12"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sz w:val="24"/>
          <w:szCs w:val="24"/>
        </w:rPr>
        <w:br w:type="textWrapping"/>
      </w:r>
      <w:r>
        <w:rPr>
          <w:rFonts w:hint="eastAsia" w:cs="宋体" w:asciiTheme="majorEastAsia" w:hAnsiTheme="majorEastAsia" w:eastAsiaTheme="majorEastAsia"/>
          <w:b/>
          <w:kern w:val="0"/>
          <w:sz w:val="32"/>
          <w:szCs w:val="32"/>
        </w:rPr>
        <w:t xml:space="preserve">                </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7"/>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7"/>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firstLine="480" w:firstLineChars="200"/>
        <w:contextualSpacing/>
        <w:rPr>
          <w:rFonts w:cs="仿宋_GB2312" w:asciiTheme="minorEastAsia" w:hAnsiTheme="minorEastAsia" w:eastAsiaTheme="minorEastAsia"/>
          <w:szCs w:val="24"/>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3"/>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621"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621"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6621"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（4）自然人身份证明。（自然人投标提供）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662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1743"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6621"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1743"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1743" w:type="dxa"/>
            <w:vAlign w:val="center"/>
          </w:tcPr>
          <w:p>
            <w:pPr>
              <w:spacing w:line="360" w:lineRule="auto"/>
              <w:ind w:right="-151" w:rightChars="-72"/>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6621"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1743"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6621"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lang w:eastAsia="zh-CN"/>
              </w:rPr>
              <w:t>“国家企业信用公示系统”网站（www.gsxt.gov.cn）严重违法失信企业名单（黑名单）</w:t>
            </w:r>
            <w:r>
              <w:rPr>
                <w:rFonts w:hint="eastAsia" w:cs="仿宋_GB2312" w:asciiTheme="minorEastAsia" w:hAnsiTheme="minorEastAsia"/>
                <w:szCs w:val="21"/>
              </w:rPr>
              <w:t>的投标人</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color w:val="auto"/>
                <w:szCs w:val="21"/>
              </w:rPr>
              <w:t>www.creditchina.gov.cn</w:t>
            </w:r>
            <w:r>
              <w:rPr>
                <w:rStyle w:val="31"/>
                <w:rFonts w:hint="eastAsia" w:asciiTheme="minorEastAsia" w:hAnsiTheme="minorEastAsia"/>
                <w:bCs/>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lang w:eastAsia="zh-CN"/>
              </w:rPr>
              <w:t>“国家企业信用公示系统”网站（www.gsxt.gov.cn）</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lang w:eastAsia="zh-CN"/>
              </w:rPr>
              <w:t>严重违法失信企业名单（黑名单）</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6621"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rPr>
              <w:t>无</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6621"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1743"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6621"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6621"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1743"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cstheme="minorEastAsia"/>
                <w:b/>
                <w:szCs w:val="21"/>
              </w:rPr>
            </w:pPr>
            <w:r>
              <w:rPr>
                <w:rFonts w:hint="eastAsia" w:asciiTheme="minorEastAsia" w:hAnsiTheme="minorEastAsia" w:cstheme="minorEastAsia"/>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cstheme="minorEastAsia"/>
                <w:szCs w:val="21"/>
              </w:rPr>
            </w:pPr>
            <w:r>
              <w:rPr>
                <w:rFonts w:hint="eastAsia" w:asciiTheme="minorEastAsia" w:hAnsiTheme="minorEastAsia" w:cs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cstheme="minorEastAsia"/>
                <w:szCs w:val="21"/>
              </w:rPr>
              <w:t>③</w:t>
            </w:r>
            <w:r>
              <w:rPr>
                <w:rFonts w:hint="eastAsia" w:asciiTheme="minorEastAsia" w:hAnsiTheme="minorEastAsia" w:cstheme="minorEastAsia"/>
                <w:kern w:val="0"/>
                <w:szCs w:val="21"/>
              </w:rPr>
              <w:t>投标人为自然人的，无需填写法定代表人授权书</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1743"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1743" w:type="dxa"/>
            <w:vAlign w:val="center"/>
          </w:tcPr>
          <w:p>
            <w:pPr>
              <w:spacing w:line="360" w:lineRule="auto"/>
              <w:ind w:right="-17" w:rightChars="-8"/>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6621"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5"/>
        <w:tblW w:w="916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35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94" w:type="dxa"/>
            <w:gridSpan w:val="2"/>
            <w:vAlign w:val="center"/>
          </w:tcPr>
          <w:p>
            <w:pPr>
              <w:widowControl/>
              <w:spacing w:line="300" w:lineRule="exact"/>
              <w:jc w:val="center"/>
              <w:rPr>
                <w:szCs w:val="21"/>
              </w:rPr>
            </w:pPr>
            <w:r>
              <w:rPr>
                <w:rFonts w:hint="eastAsia" w:ascii="宋体" w:hAnsi="宋体" w:cs="Times New Roman"/>
                <w:szCs w:val="21"/>
              </w:rPr>
              <w:t>分值构成</w:t>
            </w:r>
          </w:p>
          <w:p>
            <w:pPr>
              <w:widowControl/>
              <w:spacing w:beforeLines="50" w:line="300" w:lineRule="exact"/>
              <w:jc w:val="center"/>
              <w:rPr>
                <w:szCs w:val="21"/>
              </w:rPr>
            </w:pPr>
            <w:r>
              <w:rPr>
                <w:rFonts w:hint="eastAsia" w:ascii="宋体" w:hAnsi="宋体" w:cs="Times New Roman"/>
                <w:szCs w:val="21"/>
              </w:rPr>
              <w:t>(总分100分)</w:t>
            </w:r>
          </w:p>
        </w:tc>
        <w:tc>
          <w:tcPr>
            <w:tcW w:w="6675" w:type="dxa"/>
            <w:vAlign w:val="center"/>
          </w:tcPr>
          <w:p>
            <w:pPr>
              <w:widowControl/>
              <w:spacing w:line="300" w:lineRule="exact"/>
              <w:rPr>
                <w:szCs w:val="21"/>
              </w:rPr>
            </w:pPr>
            <w:r>
              <w:rPr>
                <w:rFonts w:hint="eastAsia"/>
                <w:szCs w:val="21"/>
              </w:rPr>
              <w:t>报价部分：</w:t>
            </w:r>
            <w:r>
              <w:rPr>
                <w:rFonts w:hint="eastAsia"/>
                <w:szCs w:val="21"/>
                <w:u w:val="single"/>
              </w:rPr>
              <w:t xml:space="preserve"> 30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20</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50 </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44" w:type="dxa"/>
            <w:vAlign w:val="center"/>
          </w:tcPr>
          <w:p>
            <w:pPr>
              <w:widowControl/>
              <w:spacing w:beforeLines="50"/>
              <w:jc w:val="center"/>
              <w:rPr>
                <w:szCs w:val="21"/>
              </w:rPr>
            </w:pPr>
            <w:r>
              <w:rPr>
                <w:rFonts w:hint="eastAsia" w:ascii="宋体" w:hAnsi="宋体" w:cs="宋体"/>
                <w:b/>
                <w:kern w:val="0"/>
                <w:szCs w:val="21"/>
              </w:rPr>
              <w:t>评审项</w:t>
            </w:r>
          </w:p>
        </w:tc>
        <w:tc>
          <w:tcPr>
            <w:tcW w:w="1350" w:type="dxa"/>
            <w:vAlign w:val="center"/>
          </w:tcPr>
          <w:p>
            <w:pPr>
              <w:widowControl/>
              <w:spacing w:beforeLines="50"/>
              <w:jc w:val="center"/>
              <w:rPr>
                <w:szCs w:val="21"/>
              </w:rPr>
            </w:pPr>
            <w:r>
              <w:rPr>
                <w:rFonts w:hint="eastAsia" w:ascii="宋体" w:hAnsi="宋体" w:cs="宋体"/>
                <w:b/>
                <w:kern w:val="0"/>
                <w:szCs w:val="21"/>
              </w:rPr>
              <w:t>评分因素</w:t>
            </w:r>
          </w:p>
        </w:tc>
        <w:tc>
          <w:tcPr>
            <w:tcW w:w="6675" w:type="dxa"/>
            <w:vAlign w:val="center"/>
          </w:tcPr>
          <w:p>
            <w:pPr>
              <w:widowControl/>
              <w:spacing w:beforeLines="50"/>
              <w:jc w:val="center"/>
              <w:rPr>
                <w:szCs w:val="21"/>
              </w:rPr>
            </w:pPr>
            <w:r>
              <w:rPr>
                <w:rFonts w:hint="eastAsia" w:ascii="宋体" w:hAnsi="宋体" w:cs="宋体"/>
                <w:b/>
                <w:kern w:val="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1144"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（30分）</w:t>
            </w: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（30分）</w:t>
            </w:r>
          </w:p>
        </w:tc>
        <w:tc>
          <w:tcPr>
            <w:tcW w:w="6675" w:type="dxa"/>
            <w:vAlign w:val="center"/>
          </w:tcPr>
          <w:p>
            <w:pPr>
              <w:spacing w:line="360" w:lineRule="exact"/>
              <w:rPr>
                <w:rFonts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ascii="宋体" w:hAnsi="宋体" w:cs="宋体"/>
                <w:szCs w:val="21"/>
              </w:rPr>
            </w:pPr>
            <w:r>
              <w:rPr>
                <w:rFonts w:hint="eastAsia" w:ascii="宋体" w:hAnsi="宋体" w:cs="宋体"/>
                <w:szCs w:val="21"/>
              </w:rPr>
              <w:t xml:space="preserve">投标报价得分=（评标基准价/投标报价）× 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144" w:type="dxa"/>
            <w:vMerge w:val="restart"/>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商务部分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（20分）</w:t>
            </w:r>
          </w:p>
        </w:tc>
        <w:tc>
          <w:tcPr>
            <w:tcW w:w="1350" w:type="dxa"/>
            <w:vAlign w:val="center"/>
          </w:tcPr>
          <w:p>
            <w:pPr>
              <w:spacing w:line="360" w:lineRule="exact"/>
            </w:pPr>
            <w:r>
              <w:rPr>
                <w:rFonts w:hint="eastAsia"/>
              </w:rPr>
              <w:t>投标人综合实力（5分）</w:t>
            </w:r>
          </w:p>
        </w:tc>
        <w:tc>
          <w:tcPr>
            <w:tcW w:w="6675" w:type="dxa"/>
            <w:vAlign w:val="center"/>
          </w:tcPr>
          <w:p>
            <w:pPr>
              <w:spacing w:line="360" w:lineRule="exact"/>
            </w:pPr>
            <w:r>
              <w:rPr>
                <w:rFonts w:hint="eastAsia"/>
              </w:rPr>
              <w:t>投标人提供产品生产企业简介说明（基本情况、经营状况、内部管理制度、荣誉等），根据企业介绍中的佐证材料、详细程度等综合评定：</w:t>
            </w:r>
          </w:p>
          <w:p>
            <w:pPr>
              <w:spacing w:line="360" w:lineRule="exact"/>
            </w:pPr>
            <w:r>
              <w:rPr>
                <w:rFonts w:hint="eastAsia"/>
              </w:rPr>
              <w:t>①经营状况良好、内部制度建全、社会信誉优良，提供的证明文件详强真可信，得4-5分;</w:t>
            </w:r>
          </w:p>
          <w:p>
            <w:pPr>
              <w:spacing w:line="360" w:lineRule="exact"/>
            </w:pPr>
            <w:r>
              <w:rPr>
                <w:rFonts w:hint="eastAsia"/>
              </w:rPr>
              <w:t>②经营状况、内部制度、社会信誉一般，且提供材料不够全面详细的，得2-3分；</w:t>
            </w:r>
          </w:p>
          <w:p>
            <w:pPr>
              <w:pStyle w:val="2"/>
              <w:ind w:firstLine="0" w:firstLineChars="0"/>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③投标人提供证明材料不能证其经营状况及内部制度的，得0-1分。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业绩</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（10分）</w:t>
            </w:r>
          </w:p>
        </w:tc>
        <w:tc>
          <w:tcPr>
            <w:tcW w:w="6675" w:type="dxa"/>
            <w:vAlign w:val="center"/>
          </w:tcPr>
          <w:p>
            <w:pPr>
              <w:spacing w:line="360" w:lineRule="exact"/>
              <w:rPr>
                <w:rFonts w:ascii="宋体" w:hAnsi="宋体" w:cs="宋体"/>
                <w:szCs w:val="21"/>
              </w:rPr>
            </w:pPr>
            <w:r>
              <w:rPr>
                <w:rFonts w:hint="eastAsia" w:ascii="宋体" w:hAnsi="宋体" w:cs="宋体"/>
                <w:szCs w:val="21"/>
              </w:rPr>
              <w:t>投标人提供2017年1月1日以来具有同类项目业绩或销售合同，每提供一份业绩合同得2分，满分10分。（需提供中标或成交通知书和合同或销售合同和验收报告的复印件或扫描件，未提供者不得分）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hint="eastAsia" w:ascii="宋体" w:hAnsi="宋体" w:cs="宋体"/>
                <w:szCs w:val="21"/>
              </w:rPr>
            </w:pPr>
            <w:r>
              <w:rPr>
                <w:rFonts w:hint="eastAsia" w:ascii="宋体" w:hAnsi="宋体" w:cs="宋体"/>
                <w:szCs w:val="21"/>
              </w:rPr>
              <w:t>认证证书</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（5分）</w:t>
            </w:r>
          </w:p>
        </w:tc>
        <w:tc>
          <w:tcPr>
            <w:tcW w:w="6675" w:type="dxa"/>
            <w:vAlign w:val="center"/>
          </w:tcPr>
          <w:p>
            <w:pPr>
              <w:spacing w:line="360" w:lineRule="exact"/>
            </w:pPr>
            <w:r>
              <w:rPr>
                <w:rFonts w:hint="eastAsia"/>
              </w:rPr>
              <w:t>投 标 人 或制造商通 过 ISO9001 质 量 管 理 体 系 认 证 ；ISO14001 环境管理体系认证；OHSAS 18001 职业健康安全管理体系认证;质量、服务、诚信 AAA 企业证书；及售后服务5星级管理体系认证且在有效期内，齐全得5分，不全或无不得分（凭相关证书扫描件及网站查询截图，属经销商参与投标的提供授权企业资质证书复印件及网站查询截图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44" w:type="dxa"/>
            <w:vMerge w:val="restart"/>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技术部分</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（50分）</w:t>
            </w: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对招标文件的响应程度（20分）</w:t>
            </w:r>
          </w:p>
        </w:tc>
        <w:tc>
          <w:tcPr>
            <w:tcW w:w="6675" w:type="dxa"/>
            <w:vAlign w:val="center"/>
          </w:tcPr>
          <w:p>
            <w:pPr>
              <w:spacing w:line="360" w:lineRule="exact"/>
              <w:rPr>
                <w:rFonts w:ascii="宋体" w:hAnsi="宋体" w:cs="宋体"/>
                <w:szCs w:val="21"/>
              </w:rPr>
            </w:pPr>
            <w:r>
              <w:rPr>
                <w:rFonts w:hint="eastAsia" w:ascii="宋体" w:hAnsi="宋体" w:cs="宋体"/>
                <w:szCs w:val="21"/>
              </w:rPr>
              <w:t>1.投标人在投标文件《技术规格偏离表》中对应所投产品逐条进行响应描述或偏离说明，根据响应描述或偏离说明是否完全满足或优于招标文件要求，评标委员会综合打分：优的15-18，良好10-14，一般5-9。（仅注明“符合”或“满足”或原文复制招标文件参数的不得分）</w:t>
            </w:r>
          </w:p>
          <w:p>
            <w:pPr>
              <w:spacing w:line="360" w:lineRule="exact"/>
              <w:rPr>
                <w:rFonts w:ascii="宋体" w:hAnsi="宋体" w:cs="宋体"/>
                <w:szCs w:val="21"/>
              </w:rPr>
            </w:pPr>
            <w:r>
              <w:rPr>
                <w:rFonts w:hint="eastAsia" w:ascii="宋体" w:hAnsi="宋体" w:cs="宋体"/>
                <w:szCs w:val="21"/>
              </w:rPr>
              <w:t>2.提供所投全部产品（货物）的彩色全方位实物图片，根据提供的彩色实物图片的优劣度、清晰度、全方位等综合评价，在1-2计分。没有提供实物图片的不得分。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spacing w:line="340" w:lineRule="exact"/>
              <w:ind w:left="105" w:leftChars="50" w:right="105" w:rightChars="50"/>
              <w:jc w:val="center"/>
              <w:rPr>
                <w:rFonts w:ascii="宋体" w:hAnsi="宋体" w:cs="宋体"/>
                <w:szCs w:val="21"/>
              </w:rPr>
            </w:pPr>
            <w:r>
              <w:rPr>
                <w:rFonts w:hint="eastAsia" w:ascii="宋体" w:hAnsi="宋体" w:cs="宋体"/>
                <w:szCs w:val="21"/>
              </w:rPr>
              <w:t>技术实施方案</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（25）</w:t>
            </w:r>
          </w:p>
        </w:tc>
        <w:tc>
          <w:tcPr>
            <w:tcW w:w="6675" w:type="dxa"/>
            <w:vAlign w:val="center"/>
          </w:tcPr>
          <w:p>
            <w:pPr>
              <w:spacing w:line="360" w:lineRule="exact"/>
              <w:rPr>
                <w:rFonts w:ascii="宋体" w:hAnsi="宋体" w:cs="宋体"/>
                <w:szCs w:val="21"/>
              </w:rPr>
            </w:pPr>
            <w:r>
              <w:rPr>
                <w:rFonts w:hint="eastAsia" w:ascii="宋体" w:hAnsi="宋体" w:cs="宋体"/>
                <w:szCs w:val="21"/>
              </w:rPr>
              <w:t>1.技术实力</w:t>
            </w:r>
          </w:p>
          <w:p>
            <w:pPr>
              <w:spacing w:line="360" w:lineRule="exact"/>
              <w:rPr>
                <w:rFonts w:ascii="宋体" w:hAnsi="宋体" w:cs="宋体"/>
                <w:szCs w:val="21"/>
              </w:rPr>
            </w:pPr>
            <w:r>
              <w:rPr>
                <w:rFonts w:hint="eastAsia" w:ascii="宋体" w:hAnsi="宋体" w:cs="宋体"/>
                <w:szCs w:val="21"/>
              </w:rPr>
              <w:t>根据投标人提供的产品工艺说明、技术投入、产品优化方案等，对产品技术的先进性、可靠性及实用性等技术内容进行评比。由评委根据实际情况综合评定，</w:t>
            </w:r>
            <w:r>
              <w:rPr>
                <w:rFonts w:hint="eastAsia" w:ascii="宋体" w:hAnsi="宋体" w:cs="宋体"/>
                <w:kern w:val="0"/>
                <w:szCs w:val="21"/>
              </w:rPr>
              <w:t>优得11-15分，良得6-10分，一般得1-5分。</w:t>
            </w:r>
          </w:p>
          <w:p>
            <w:pPr>
              <w:spacing w:line="360" w:lineRule="exact"/>
              <w:rPr>
                <w:rFonts w:ascii="宋体" w:hAnsi="宋体" w:cs="宋体"/>
                <w:szCs w:val="21"/>
              </w:rPr>
            </w:pPr>
            <w:r>
              <w:rPr>
                <w:rFonts w:hint="eastAsia" w:ascii="宋体" w:hAnsi="宋体" w:cs="宋体"/>
                <w:szCs w:val="21"/>
              </w:rPr>
              <w:t>2.质量保证措施</w:t>
            </w:r>
          </w:p>
          <w:p>
            <w:pPr>
              <w:spacing w:line="360" w:lineRule="exact"/>
              <w:rPr>
                <w:rFonts w:ascii="宋体" w:hAnsi="宋体" w:cs="宋体"/>
                <w:szCs w:val="21"/>
              </w:rPr>
            </w:pPr>
            <w:r>
              <w:rPr>
                <w:rFonts w:hint="eastAsia" w:ascii="宋体" w:hAnsi="宋体" w:cs="宋体"/>
                <w:szCs w:val="21"/>
              </w:rPr>
              <w:t>投标货物的质量保证措施的合理性、完善性、可行性。由评委根据实际情况综合评定，优得5分，良得3分，一般得1分。</w:t>
            </w:r>
          </w:p>
          <w:p>
            <w:pPr>
              <w:spacing w:line="360" w:lineRule="exact"/>
              <w:rPr>
                <w:rFonts w:ascii="宋体" w:hAnsi="宋体" w:cs="宋体"/>
                <w:szCs w:val="21"/>
              </w:rPr>
            </w:pPr>
            <w:r>
              <w:rPr>
                <w:rFonts w:hint="eastAsia" w:ascii="宋体" w:hAnsi="宋体" w:cs="宋体"/>
                <w:szCs w:val="21"/>
              </w:rPr>
              <w:t>3.项目实施方案</w:t>
            </w:r>
          </w:p>
          <w:p>
            <w:pPr>
              <w:spacing w:line="360" w:lineRule="exact"/>
              <w:rPr>
                <w:rFonts w:ascii="宋体" w:hAnsi="宋体" w:cs="宋体"/>
                <w:szCs w:val="21"/>
              </w:rPr>
            </w:pPr>
            <w:r>
              <w:rPr>
                <w:rFonts w:hint="eastAsia" w:ascii="宋体" w:hAnsi="宋体" w:cs="宋体"/>
                <w:szCs w:val="21"/>
              </w:rPr>
              <w:t>提供详尽的实施方案，包括进度计划、技术与人员安排计划、运输、安装、交货保障措施等。由评委根据实际情况综合评定，优得5分，良得3分，一般得1分。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44" w:type="dxa"/>
            <w:vMerge w:val="continue"/>
            <w:vAlign w:val="center"/>
          </w:tcPr>
          <w:p>
            <w:pPr>
              <w:tabs>
                <w:tab w:val="center" w:pos="685"/>
                <w:tab w:val="right" w:pos="1251"/>
              </w:tabs>
              <w:spacing w:line="360" w:lineRule="exact"/>
              <w:jc w:val="center"/>
              <w:rPr>
                <w:rFonts w:ascii="宋体" w:hAnsi="宋体" w:cs="宋体"/>
                <w:szCs w:val="21"/>
              </w:rPr>
            </w:pPr>
          </w:p>
        </w:tc>
        <w:tc>
          <w:tcPr>
            <w:tcW w:w="1350" w:type="dxa"/>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售后服务（5分）</w:t>
            </w:r>
          </w:p>
        </w:tc>
        <w:tc>
          <w:tcPr>
            <w:tcW w:w="6675" w:type="dxa"/>
            <w:vAlign w:val="center"/>
          </w:tcPr>
          <w:p>
            <w:pPr>
              <w:spacing w:line="360" w:lineRule="exact"/>
              <w:rPr>
                <w:rFonts w:ascii="宋体" w:hAnsi="宋体" w:cs="宋体"/>
                <w:szCs w:val="21"/>
              </w:rPr>
            </w:pPr>
            <w:bookmarkStart w:id="12" w:name="_GoBack"/>
            <w:r>
              <w:rPr>
                <w:rFonts w:hint="eastAsia" w:ascii="宋体" w:hAnsi="宋体" w:cs="宋体"/>
                <w:szCs w:val="21"/>
              </w:rPr>
              <w:t>投标人承诺针对本项目的售后服务有明确的服务承诺、售后服务响应、售后服务体系建设及保障等。对其合理性、有效性、可行性等进行评比，优得5分，良得3分，一般得1分。无不得分。</w:t>
            </w:r>
            <w:bookmarkEnd w:id="12"/>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79"/>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3079"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308"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3079"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tc>
        <w:tc>
          <w:tcPr>
            <w:tcW w:w="2308" w:type="dxa"/>
            <w:vMerge w:val="restart"/>
            <w:shd w:val="clear" w:color="auto" w:fill="auto"/>
            <w:vAlign w:val="center"/>
          </w:tcPr>
          <w:p>
            <w:pPr>
              <w:jc w:val="center"/>
              <w:rPr>
                <w:rFonts w:ascii="宋体" w:hAnsi="宋体"/>
                <w:b/>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3079"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308"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3079"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308"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3079"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308"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3079"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308"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（采购人全称）</w:t>
      </w:r>
    </w:p>
    <w:p>
      <w:pPr>
        <w:pStyle w:val="2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（中标人全称）</w:t>
      </w:r>
    </w:p>
    <w:p>
      <w:pPr>
        <w:pStyle w:val="2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根据招标编号为</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（填写“项目名称”）</w:t>
      </w:r>
      <w:r>
        <w:rPr>
          <w:rFonts w:hint="eastAsia" w:asciiTheme="minorEastAsia" w:hAnsiTheme="minorEastAsia" w:eastAsiaTheme="minorEastAsia" w:cstheme="minorEastAsia"/>
          <w:sz w:val="21"/>
          <w:szCs w:val="21"/>
        </w:rPr>
        <w:t>项目（以下简称：“本项目”）的招标结果，乙方为中标人。现经甲乙双方友好协商，就以下事项达成一致并签订本合同：</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1、下列合同文件是构成本合同不可分割的部分：</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1.1合同条款；</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1.2招标文件、乙方的投标文件；</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1.3其他文件或材料：□无。□</w:t>
      </w:r>
      <w:r>
        <w:rPr>
          <w:rFonts w:hint="eastAsia" w:asciiTheme="minorEastAsia" w:hAnsiTheme="minorEastAsia" w:eastAsiaTheme="minorEastAsia" w:cstheme="minorEastAsia"/>
          <w:sz w:val="21"/>
          <w:szCs w:val="21"/>
          <w:u w:val="single"/>
        </w:rPr>
        <w:t>（按照实际情况编制填写需要增加的内容）</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2、合同标的</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3、合同总金额</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3.1合同总金额为人民币大写：</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4、合同标的交付时间、地点和条件</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4.1交付时间：</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4.2交付地点：</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4.3交付条件：</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5、合同标的应符合招标文件、乙方投标文件的规定或约定，具体如下：</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6、验收</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6.1验收应按照招标文件、乙方投标文件的规定或约定进行，具体如下：</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6.2本项目是否邀请其他投标人参与验收：</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不邀请。□邀请，具体如下：</w:t>
      </w:r>
      <w:r>
        <w:rPr>
          <w:rFonts w:hint="eastAsia" w:asciiTheme="minorEastAsia" w:hAnsiTheme="minorEastAsia" w:eastAsiaTheme="minorEastAsia" w:cstheme="minorEastAsia"/>
          <w:sz w:val="21"/>
          <w:szCs w:val="21"/>
          <w:u w:val="single"/>
        </w:rPr>
        <w:t>（按照招标文件规定填写）</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7、合同款项的支付应按照招标文件的规定进行，具体如下：</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8、履约保证金</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无。□有，具体如下：</w:t>
      </w:r>
      <w:r>
        <w:rPr>
          <w:rFonts w:hint="eastAsia" w:asciiTheme="minorEastAsia" w:hAnsiTheme="minorEastAsia" w:eastAsiaTheme="minorEastAsia" w:cstheme="minorEastAsia"/>
          <w:sz w:val="21"/>
          <w:szCs w:val="21"/>
          <w:u w:val="single"/>
        </w:rPr>
        <w:t>（按照招标文件规定填写）</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9、合同有效期</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10、违约责任</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（按照实际情况编制填写，可以是表格或文字描述）</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11、知识产权</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12、解决争议的方法</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12.1甲、乙双方协商解决。</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12.2若协商解决不成，则通过下列途径之一解决：</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□提交仲裁委员会仲裁，具体如下：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□向人民法院提起诉讼，具体如下：</w:t>
      </w:r>
      <w:r>
        <w:rPr>
          <w:rFonts w:hint="eastAsia" w:asciiTheme="minorEastAsia" w:hAnsiTheme="minorEastAsia" w:eastAsiaTheme="minorEastAsia" w:cstheme="minorEastAsia"/>
          <w:sz w:val="21"/>
          <w:szCs w:val="21"/>
          <w:u w:val="single"/>
        </w:rPr>
        <w:t>（按照实际情况编制填写）</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13、不可抗力</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14、合同条款</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sz w:val="21"/>
          <w:szCs w:val="21"/>
        </w:rPr>
        <w:t>。</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15、其他约定</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15.1合同文件与本合同具有同等法律效力。</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15.2本合同未尽事宜，双方可另行补充。</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15.3合同生效：自签订之日起生效。</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15.4本合同一式</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份，经双方授权代表签字并盖章后生效。甲方、乙方各执</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份，送</w:t>
      </w:r>
      <w:r>
        <w:rPr>
          <w:rFonts w:hint="eastAsia" w:asciiTheme="minorEastAsia" w:hAnsiTheme="minorEastAsia" w:eastAsiaTheme="minorEastAsia" w:cstheme="minorEastAsia"/>
          <w:sz w:val="21"/>
          <w:szCs w:val="21"/>
          <w:u w:val="single"/>
        </w:rPr>
        <w:t>（填写需要备案的监管部门的全称）</w:t>
      </w:r>
      <w:r>
        <w:rPr>
          <w:rFonts w:hint="eastAsia" w:asciiTheme="minorEastAsia" w:hAnsiTheme="minorEastAsia" w:eastAsiaTheme="minorEastAsia" w:cstheme="minorEastAsia"/>
          <w:sz w:val="21"/>
          <w:szCs w:val="21"/>
        </w:rPr>
        <w:t>备案</w:t>
      </w:r>
      <w:r>
        <w:rPr>
          <w:rFonts w:hint="eastAsia" w:asciiTheme="minorEastAsia" w:hAnsiTheme="minorEastAsia" w:eastAsiaTheme="minorEastAsia" w:cstheme="minorEastAsia"/>
          <w:sz w:val="21"/>
          <w:szCs w:val="21"/>
          <w:u w:val="single"/>
        </w:rPr>
        <w:t>（填写具体份数）</w:t>
      </w:r>
      <w:r>
        <w:rPr>
          <w:rFonts w:hint="eastAsia" w:asciiTheme="minorEastAsia" w:hAnsiTheme="minorEastAsia" w:eastAsiaTheme="minorEastAsia" w:cstheme="minorEastAsia"/>
          <w:sz w:val="21"/>
          <w:szCs w:val="21"/>
        </w:rPr>
        <w:t>份，具有同等效力。</w:t>
      </w:r>
    </w:p>
    <w:p>
      <w:pPr>
        <w:pStyle w:val="24"/>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15.5其他：□无。□</w:t>
      </w:r>
      <w:r>
        <w:rPr>
          <w:rFonts w:hint="eastAsia" w:asciiTheme="minorEastAsia" w:hAnsiTheme="minorEastAsia" w:eastAsiaTheme="minorEastAsia" w:cstheme="minorEastAsia"/>
          <w:sz w:val="21"/>
          <w:szCs w:val="21"/>
          <w:u w:val="single"/>
        </w:rPr>
        <w:t>（按照实际情况编制填写需要增加的内容）</w:t>
      </w:r>
      <w:r>
        <w:rPr>
          <w:rFonts w:hint="eastAsia" w:asciiTheme="minorEastAsia" w:hAnsiTheme="minorEastAsia" w:eastAsiaTheme="minorEastAsia" w:cstheme="minorEastAsia"/>
          <w:sz w:val="21"/>
          <w:szCs w:val="21"/>
        </w:rPr>
        <w:t>。</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                        乙方：</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住所：                        住所：</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                 法定代表人（单位负责人）：</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联系方法：                      联系方法：</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                      开户银行：</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                        账号：</w:t>
      </w:r>
    </w:p>
    <w:p>
      <w:pPr>
        <w:pStyle w:val="24"/>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签订地点：</w:t>
      </w:r>
      <w:r>
        <w:rPr>
          <w:rFonts w:hint="eastAsia" w:asciiTheme="minorEastAsia" w:hAnsiTheme="minorEastAsia" w:eastAsiaTheme="minorEastAsia" w:cstheme="minorEastAsia"/>
          <w:sz w:val="21"/>
          <w:szCs w:val="21"/>
          <w:u w:val="single"/>
        </w:rPr>
        <w:t>                </w:t>
      </w:r>
    </w:p>
    <w:p>
      <w:pPr>
        <w:pStyle w:val="24"/>
        <w:spacing w:line="360"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签订日期：</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技术规格偏离表及商务响应表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pStyle w:val="17"/>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 4 \* GB3</w:instrText>
      </w:r>
      <w:r>
        <w:rPr>
          <w:rFonts w:ascii="楷体" w:hAnsi="楷体" w:eastAsia="楷体"/>
          <w:sz w:val="24"/>
          <w:szCs w:val="24"/>
        </w:rPr>
        <w:instrText xml:space="preserve"> </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hint="eastAsia" w:asciiTheme="minorEastAsia" w:hAnsiTheme="minorEastAsia"/>
                <w:szCs w:val="21"/>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pStyle w:val="2"/>
        <w:ind w:firstLine="34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并承诺在发生争议时不会以对《招标文件》存在误解、不明白的条款为由，对贵单位行使任何法律上的抗辩权。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506"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许昌光大电子商务技术服务有限公司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投标人名称（盖章）：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outlineLvl w:val="0"/>
        <w:rPr>
          <w:rFonts w:hAnsi="宋体"/>
          <w:b/>
          <w:snapToGrid w:val="0"/>
          <w:kern w:val="0"/>
          <w:sz w:val="24"/>
          <w:szCs w:val="24"/>
        </w:rPr>
      </w:pPr>
      <w:r>
        <w:rPr>
          <w:rFonts w:hint="eastAsia" w:hAnsi="宋体"/>
          <w:b/>
          <w:snapToGrid w:val="0"/>
          <w:kern w:val="0"/>
          <w:sz w:val="24"/>
          <w:szCs w:val="24"/>
        </w:rPr>
        <w:t>（供应商依据采购文件要求，提供所需证书或材料。）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right="-195" w:rightChars="-93"/>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5"/>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附合同等复印件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spacing w:line="360" w:lineRule="auto"/>
        <w:rPr>
          <w:rFonts w:ascii="宋体" w:hAnsi="宋体"/>
          <w:b/>
          <w:bCs/>
          <w:color w:val="000000"/>
          <w:sz w:val="36"/>
          <w:szCs w:val="36"/>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ind w:left="630" w:hanging="630" w:hangingChars="300"/>
        <w:rPr>
          <w:rFonts w:cs="宋体" w:asciiTheme="minorEastAsia" w:hAnsiTheme="minorEastAsia"/>
          <w:szCs w:val="21"/>
          <w:lang w:val="zh-CN"/>
        </w:rPr>
      </w:pP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cs="宋体" w:asciiTheme="minorEastAsia" w:hAnsiTheme="minorEastAsia"/>
          <w:szCs w:val="21"/>
          <w:lang w:val="zh-CN"/>
        </w:rPr>
        <w:t>（无可不提供）</w:t>
      </w: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单位名称（公章）：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spacing w:line="360" w:lineRule="auto"/>
        <w:jc w:val="left"/>
        <w:rPr>
          <w:rFonts w:ascii="宋体" w:hAnsi="宋体" w:cs="Arial"/>
          <w:kern w:val="0"/>
          <w:szCs w:val="21"/>
        </w:rPr>
      </w:pPr>
      <w:r>
        <w:rPr>
          <w:rFonts w:hint="eastAsia" w:ascii="宋体" w:hAnsi="宋体" w:cs="Arial"/>
          <w:kern w:val="0"/>
          <w:szCs w:val="21"/>
        </w:rPr>
        <w:t>附参考格式：</w:t>
      </w:r>
    </w:p>
    <w:p>
      <w:pPr>
        <w:spacing w:line="360" w:lineRule="auto"/>
        <w:ind w:firstLine="602"/>
        <w:jc w:val="center"/>
        <w:rPr>
          <w:rFonts w:ascii="宋体" w:hAnsi="宋体" w:cs="Arial"/>
          <w:kern w:val="0"/>
          <w:szCs w:val="21"/>
        </w:rPr>
      </w:pPr>
      <w:r>
        <w:rPr>
          <w:rFonts w:hint="eastAsia" w:ascii="宋体" w:hAnsi="宋体"/>
          <w:b/>
          <w:bCs/>
          <w:szCs w:val="21"/>
        </w:rPr>
        <w:t>承诺函</w:t>
      </w:r>
    </w:p>
    <w:p>
      <w:pPr>
        <w:spacing w:line="360" w:lineRule="auto"/>
        <w:ind w:firstLine="420" w:firstLineChars="200"/>
        <w:jc w:val="left"/>
        <w:rPr>
          <w:rFonts w:ascii="宋体" w:hAnsi="宋体" w:cs="Arial"/>
          <w:kern w:val="0"/>
          <w:szCs w:val="21"/>
        </w:rPr>
      </w:pPr>
      <w:r>
        <w:rPr>
          <w:rFonts w:hint="eastAsia" w:ascii="宋体" w:hAnsi="宋体" w:cs="Arial"/>
          <w:kern w:val="0"/>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szCs w:val="21"/>
        </w:rPr>
      </w:pPr>
    </w:p>
    <w:p>
      <w:pPr>
        <w:spacing w:line="360" w:lineRule="auto"/>
        <w:ind w:firstLine="420" w:firstLineChars="200"/>
        <w:jc w:val="left"/>
        <w:rPr>
          <w:rFonts w:ascii="宋体" w:hAnsi="宋体" w:cs="宋体"/>
          <w:szCs w:val="21"/>
          <w:lang w:val="zh-CN"/>
        </w:rPr>
      </w:pPr>
      <w:r>
        <w:rPr>
          <w:rFonts w:hint="eastAsia" w:ascii="宋体" w:hAnsi="宋体" w:cs="宋体"/>
          <w:szCs w:val="21"/>
          <w:lang w:val="zh-CN"/>
        </w:rPr>
        <w:t>投标</w:t>
      </w:r>
      <w:r>
        <w:rPr>
          <w:rFonts w:ascii="宋体" w:hAnsi="宋体" w:cs="宋体"/>
          <w:szCs w:val="21"/>
          <w:lang w:val="zh-CN"/>
        </w:rPr>
        <w:t>人名称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公章）</w:t>
      </w:r>
    </w:p>
    <w:p>
      <w:pPr>
        <w:spacing w:line="360" w:lineRule="auto"/>
        <w:ind w:firstLine="420" w:firstLineChars="200"/>
        <w:jc w:val="left"/>
        <w:rPr>
          <w:rFonts w:ascii="宋体" w:hAnsi="宋体"/>
          <w:b/>
          <w:bCs/>
          <w:szCs w:val="21"/>
        </w:rPr>
      </w:pPr>
      <w:r>
        <w:rPr>
          <w:rFonts w:hint="eastAsia" w:ascii="宋体" w:hAnsi="宋体"/>
          <w:szCs w:val="21"/>
        </w:rPr>
        <w:t>日    期：</w:t>
      </w:r>
      <w:r>
        <w:rPr>
          <w:rFonts w:hint="eastAsia" w:ascii="宋体" w:hAnsi="宋体"/>
          <w:szCs w:val="21"/>
          <w:u w:val="single"/>
        </w:rPr>
        <w:t xml:space="preserve">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4"/>
          <w:szCs w:val="24"/>
        </w:rPr>
        <w:t>除招标文件另有规定外，投标人认为需要提交的其他证明材料或资料加盖投标人的单位公章后应在此项下提交。</w:t>
      </w:r>
      <w:r>
        <w:rPr>
          <w:rFonts w:ascii="宋体" w:hAnsi="宋体"/>
          <w:b/>
          <w:bCs/>
          <w:color w:val="000000"/>
          <w:sz w:val="28"/>
          <w:szCs w:val="28"/>
        </w:rPr>
        <w:t> </w:t>
      </w: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714A5"/>
    <w:multiLevelType w:val="singleLevel"/>
    <w:tmpl w:val="D63714A5"/>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0">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1">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2">
    <w:nsid w:val="4E6DC6A5"/>
    <w:multiLevelType w:val="singleLevel"/>
    <w:tmpl w:val="4E6DC6A5"/>
    <w:lvl w:ilvl="0" w:tentative="0">
      <w:start w:val="2"/>
      <w:numFmt w:val="chineseCounting"/>
      <w:suff w:val="nothing"/>
      <w:lvlText w:val="%1、"/>
      <w:lvlJc w:val="left"/>
      <w:rPr>
        <w:rFonts w:hint="eastAsia"/>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5"/>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2"/>
  </w:num>
  <w:num w:numId="5">
    <w:abstractNumId w:val="0"/>
  </w:num>
  <w:num w:numId="6">
    <w:abstractNumId w:val="8"/>
  </w:num>
  <w:num w:numId="7">
    <w:abstractNumId w:val="15"/>
  </w:num>
  <w:num w:numId="8">
    <w:abstractNumId w:val="5"/>
  </w:num>
  <w:num w:numId="9">
    <w:abstractNumId w:val="6"/>
  </w:num>
  <w:num w:numId="10">
    <w:abstractNumId w:val="17"/>
  </w:num>
  <w:num w:numId="11">
    <w:abstractNumId w:val="16"/>
  </w:num>
  <w:num w:numId="12">
    <w:abstractNumId w:val="4"/>
  </w:num>
  <w:num w:numId="13">
    <w:abstractNumId w:val="7"/>
  </w:num>
  <w:num w:numId="14">
    <w:abstractNumId w:val="13"/>
  </w:num>
  <w:num w:numId="15">
    <w:abstractNumId w:val="10"/>
  </w:num>
  <w:num w:numId="16">
    <w:abstractNumId w:val="9"/>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47497"/>
    <w:rsid w:val="00152A00"/>
    <w:rsid w:val="00156EC1"/>
    <w:rsid w:val="00160E65"/>
    <w:rsid w:val="00162C1E"/>
    <w:rsid w:val="00193AA4"/>
    <w:rsid w:val="001A35F5"/>
    <w:rsid w:val="001D4207"/>
    <w:rsid w:val="001E7C2C"/>
    <w:rsid w:val="001F2404"/>
    <w:rsid w:val="001F5571"/>
    <w:rsid w:val="00203BE3"/>
    <w:rsid w:val="00210796"/>
    <w:rsid w:val="00210C2B"/>
    <w:rsid w:val="00210FCB"/>
    <w:rsid w:val="0025082A"/>
    <w:rsid w:val="00250C01"/>
    <w:rsid w:val="00277BAC"/>
    <w:rsid w:val="00293C27"/>
    <w:rsid w:val="002945DA"/>
    <w:rsid w:val="002A5B82"/>
    <w:rsid w:val="002B1B6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A1BED"/>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67056"/>
    <w:rsid w:val="00473ADD"/>
    <w:rsid w:val="00475F27"/>
    <w:rsid w:val="00476C13"/>
    <w:rsid w:val="004A1AF2"/>
    <w:rsid w:val="004A383B"/>
    <w:rsid w:val="004A4195"/>
    <w:rsid w:val="004A50CC"/>
    <w:rsid w:val="004B054D"/>
    <w:rsid w:val="004C1DF5"/>
    <w:rsid w:val="004E07F6"/>
    <w:rsid w:val="004E0F6D"/>
    <w:rsid w:val="004E17AB"/>
    <w:rsid w:val="004E5765"/>
    <w:rsid w:val="004F121A"/>
    <w:rsid w:val="004F1C5F"/>
    <w:rsid w:val="004F32A0"/>
    <w:rsid w:val="004F7AD2"/>
    <w:rsid w:val="00501891"/>
    <w:rsid w:val="00515F85"/>
    <w:rsid w:val="005222E6"/>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58D"/>
    <w:rsid w:val="00693F99"/>
    <w:rsid w:val="006B7982"/>
    <w:rsid w:val="006D10FD"/>
    <w:rsid w:val="006D5FEB"/>
    <w:rsid w:val="006D7001"/>
    <w:rsid w:val="006D77A9"/>
    <w:rsid w:val="006E145E"/>
    <w:rsid w:val="006E1AB0"/>
    <w:rsid w:val="00702C35"/>
    <w:rsid w:val="0071006A"/>
    <w:rsid w:val="00717D9E"/>
    <w:rsid w:val="0072406E"/>
    <w:rsid w:val="00724637"/>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851"/>
    <w:rsid w:val="00875AAF"/>
    <w:rsid w:val="00892943"/>
    <w:rsid w:val="008A5A2E"/>
    <w:rsid w:val="008B01DC"/>
    <w:rsid w:val="008B132A"/>
    <w:rsid w:val="008B5CD5"/>
    <w:rsid w:val="008B7021"/>
    <w:rsid w:val="008C0DA9"/>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94F86"/>
    <w:rsid w:val="00AA4948"/>
    <w:rsid w:val="00AA75E5"/>
    <w:rsid w:val="00AB190E"/>
    <w:rsid w:val="00AB1F1D"/>
    <w:rsid w:val="00AB4864"/>
    <w:rsid w:val="00AC4FB4"/>
    <w:rsid w:val="00AD282C"/>
    <w:rsid w:val="00AE565E"/>
    <w:rsid w:val="00AF47D5"/>
    <w:rsid w:val="00B03A69"/>
    <w:rsid w:val="00B055BE"/>
    <w:rsid w:val="00B11230"/>
    <w:rsid w:val="00B1123A"/>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A6F63"/>
    <w:rsid w:val="00BC0D9C"/>
    <w:rsid w:val="00BC0DFC"/>
    <w:rsid w:val="00BC15D9"/>
    <w:rsid w:val="00BD0EEA"/>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8123B"/>
    <w:rsid w:val="00CB10AE"/>
    <w:rsid w:val="00CB1C7E"/>
    <w:rsid w:val="00CB2B6A"/>
    <w:rsid w:val="00CC3D8E"/>
    <w:rsid w:val="00CC7610"/>
    <w:rsid w:val="00CD1D26"/>
    <w:rsid w:val="00CE28CB"/>
    <w:rsid w:val="00CE2CF1"/>
    <w:rsid w:val="00CF6C93"/>
    <w:rsid w:val="00D00C7D"/>
    <w:rsid w:val="00D023F6"/>
    <w:rsid w:val="00D050D2"/>
    <w:rsid w:val="00D10BBE"/>
    <w:rsid w:val="00D30D28"/>
    <w:rsid w:val="00D33554"/>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DF1763"/>
    <w:rsid w:val="00DF1987"/>
    <w:rsid w:val="00E20746"/>
    <w:rsid w:val="00E22858"/>
    <w:rsid w:val="00E34F3B"/>
    <w:rsid w:val="00E4000B"/>
    <w:rsid w:val="00E432D5"/>
    <w:rsid w:val="00E45215"/>
    <w:rsid w:val="00E574F2"/>
    <w:rsid w:val="00E650E5"/>
    <w:rsid w:val="00EA645B"/>
    <w:rsid w:val="00EA64C2"/>
    <w:rsid w:val="00EB1100"/>
    <w:rsid w:val="00EC7B35"/>
    <w:rsid w:val="00EE4F86"/>
    <w:rsid w:val="00EE6804"/>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972671"/>
    <w:rsid w:val="01AE2A13"/>
    <w:rsid w:val="02A24009"/>
    <w:rsid w:val="032A3DC1"/>
    <w:rsid w:val="035846CA"/>
    <w:rsid w:val="03FA6F75"/>
    <w:rsid w:val="049D0890"/>
    <w:rsid w:val="04D47758"/>
    <w:rsid w:val="057542C5"/>
    <w:rsid w:val="059943EE"/>
    <w:rsid w:val="05FA7FF4"/>
    <w:rsid w:val="063C2C14"/>
    <w:rsid w:val="06C173F1"/>
    <w:rsid w:val="075A27B2"/>
    <w:rsid w:val="07FF5745"/>
    <w:rsid w:val="08145EFE"/>
    <w:rsid w:val="089A6D16"/>
    <w:rsid w:val="08AD0285"/>
    <w:rsid w:val="08E844D5"/>
    <w:rsid w:val="09956D4B"/>
    <w:rsid w:val="0A014F8E"/>
    <w:rsid w:val="0A256AD0"/>
    <w:rsid w:val="0ACB3582"/>
    <w:rsid w:val="0CB83A44"/>
    <w:rsid w:val="0CD033A4"/>
    <w:rsid w:val="0D27723F"/>
    <w:rsid w:val="0DA50FF7"/>
    <w:rsid w:val="0DC55154"/>
    <w:rsid w:val="0E780F61"/>
    <w:rsid w:val="104662C8"/>
    <w:rsid w:val="10842743"/>
    <w:rsid w:val="12273B71"/>
    <w:rsid w:val="12A54DE9"/>
    <w:rsid w:val="13266979"/>
    <w:rsid w:val="134D29D7"/>
    <w:rsid w:val="13C974A9"/>
    <w:rsid w:val="13F21C15"/>
    <w:rsid w:val="144E4C21"/>
    <w:rsid w:val="151622E3"/>
    <w:rsid w:val="152A5501"/>
    <w:rsid w:val="159E4D8D"/>
    <w:rsid w:val="15A62C84"/>
    <w:rsid w:val="15FA1C9E"/>
    <w:rsid w:val="170E5A19"/>
    <w:rsid w:val="17346E7C"/>
    <w:rsid w:val="17376A2B"/>
    <w:rsid w:val="18021C28"/>
    <w:rsid w:val="18325C18"/>
    <w:rsid w:val="1943779A"/>
    <w:rsid w:val="195F2E14"/>
    <w:rsid w:val="199A7ED8"/>
    <w:rsid w:val="19C92110"/>
    <w:rsid w:val="1ABB33FC"/>
    <w:rsid w:val="1B066F8F"/>
    <w:rsid w:val="1B605AEC"/>
    <w:rsid w:val="1C890FDB"/>
    <w:rsid w:val="1D157D61"/>
    <w:rsid w:val="1D633426"/>
    <w:rsid w:val="1DCE1F78"/>
    <w:rsid w:val="1EDF51F9"/>
    <w:rsid w:val="1F5D2EE1"/>
    <w:rsid w:val="1F98174B"/>
    <w:rsid w:val="1FF93BBE"/>
    <w:rsid w:val="203703C9"/>
    <w:rsid w:val="20B11AB9"/>
    <w:rsid w:val="20EC3DA8"/>
    <w:rsid w:val="2180743A"/>
    <w:rsid w:val="21F127E9"/>
    <w:rsid w:val="22221E13"/>
    <w:rsid w:val="24B95060"/>
    <w:rsid w:val="25704E58"/>
    <w:rsid w:val="262435A2"/>
    <w:rsid w:val="2635320E"/>
    <w:rsid w:val="27381550"/>
    <w:rsid w:val="28FC1169"/>
    <w:rsid w:val="2A2E42B9"/>
    <w:rsid w:val="2AE27966"/>
    <w:rsid w:val="2B6E17E2"/>
    <w:rsid w:val="2B77704F"/>
    <w:rsid w:val="2BB2475C"/>
    <w:rsid w:val="2BE6587F"/>
    <w:rsid w:val="2C0E189C"/>
    <w:rsid w:val="2C6039A0"/>
    <w:rsid w:val="2D32021B"/>
    <w:rsid w:val="2D6C2623"/>
    <w:rsid w:val="2D7A2500"/>
    <w:rsid w:val="2DE822DD"/>
    <w:rsid w:val="2E185062"/>
    <w:rsid w:val="2E721D70"/>
    <w:rsid w:val="2E983AFA"/>
    <w:rsid w:val="2F852AF0"/>
    <w:rsid w:val="303B5E50"/>
    <w:rsid w:val="30C90D04"/>
    <w:rsid w:val="312D12C2"/>
    <w:rsid w:val="33F80612"/>
    <w:rsid w:val="34184A06"/>
    <w:rsid w:val="34703E04"/>
    <w:rsid w:val="34832360"/>
    <w:rsid w:val="361C0BC0"/>
    <w:rsid w:val="377F0E97"/>
    <w:rsid w:val="37B47891"/>
    <w:rsid w:val="38C87AE2"/>
    <w:rsid w:val="393C2AFC"/>
    <w:rsid w:val="3A423F82"/>
    <w:rsid w:val="3A6E2622"/>
    <w:rsid w:val="3AC6724B"/>
    <w:rsid w:val="3B720BF0"/>
    <w:rsid w:val="3C17115A"/>
    <w:rsid w:val="3D8B7B18"/>
    <w:rsid w:val="3D9B7868"/>
    <w:rsid w:val="3E3377D6"/>
    <w:rsid w:val="3E5F3607"/>
    <w:rsid w:val="3EF969B7"/>
    <w:rsid w:val="407A41DE"/>
    <w:rsid w:val="41E74109"/>
    <w:rsid w:val="43012A5B"/>
    <w:rsid w:val="44B137FA"/>
    <w:rsid w:val="45224BED"/>
    <w:rsid w:val="459D23CC"/>
    <w:rsid w:val="45D02AFD"/>
    <w:rsid w:val="45D722ED"/>
    <w:rsid w:val="460F6B55"/>
    <w:rsid w:val="46C00960"/>
    <w:rsid w:val="47395B0A"/>
    <w:rsid w:val="475A4C4A"/>
    <w:rsid w:val="48016B62"/>
    <w:rsid w:val="48786111"/>
    <w:rsid w:val="494A47FE"/>
    <w:rsid w:val="49966386"/>
    <w:rsid w:val="4A5A2D0C"/>
    <w:rsid w:val="4A666641"/>
    <w:rsid w:val="4BEF1F3A"/>
    <w:rsid w:val="4BFE37C5"/>
    <w:rsid w:val="4D4217E1"/>
    <w:rsid w:val="4EC443B3"/>
    <w:rsid w:val="4F5207EE"/>
    <w:rsid w:val="4F5A7AE4"/>
    <w:rsid w:val="4FD14EFF"/>
    <w:rsid w:val="4FFC22BE"/>
    <w:rsid w:val="5023669A"/>
    <w:rsid w:val="50736B30"/>
    <w:rsid w:val="518B0DE6"/>
    <w:rsid w:val="51B34F3B"/>
    <w:rsid w:val="51E443D0"/>
    <w:rsid w:val="524C681D"/>
    <w:rsid w:val="52965062"/>
    <w:rsid w:val="529F6940"/>
    <w:rsid w:val="52F3641B"/>
    <w:rsid w:val="53657BEC"/>
    <w:rsid w:val="53947831"/>
    <w:rsid w:val="543F42DA"/>
    <w:rsid w:val="54491F8F"/>
    <w:rsid w:val="54E81ED3"/>
    <w:rsid w:val="55273C70"/>
    <w:rsid w:val="56B3343F"/>
    <w:rsid w:val="57BA7876"/>
    <w:rsid w:val="58B938A5"/>
    <w:rsid w:val="596045EA"/>
    <w:rsid w:val="5A3D0CE5"/>
    <w:rsid w:val="5A753D4E"/>
    <w:rsid w:val="5AB946BF"/>
    <w:rsid w:val="5ABC1526"/>
    <w:rsid w:val="5B022F8C"/>
    <w:rsid w:val="5BBD2D09"/>
    <w:rsid w:val="5F693F8B"/>
    <w:rsid w:val="60323899"/>
    <w:rsid w:val="606335C9"/>
    <w:rsid w:val="60B56A3F"/>
    <w:rsid w:val="613603F0"/>
    <w:rsid w:val="619D1F0A"/>
    <w:rsid w:val="62A6316D"/>
    <w:rsid w:val="62D4027B"/>
    <w:rsid w:val="644D4ABC"/>
    <w:rsid w:val="65313911"/>
    <w:rsid w:val="655D68C9"/>
    <w:rsid w:val="65BC49BB"/>
    <w:rsid w:val="65DF0520"/>
    <w:rsid w:val="661B4717"/>
    <w:rsid w:val="6636363A"/>
    <w:rsid w:val="672304C5"/>
    <w:rsid w:val="682E1088"/>
    <w:rsid w:val="68510038"/>
    <w:rsid w:val="6ABA60DC"/>
    <w:rsid w:val="6ABF7347"/>
    <w:rsid w:val="6BA43122"/>
    <w:rsid w:val="6C2640DB"/>
    <w:rsid w:val="6E0302E7"/>
    <w:rsid w:val="6E626A5A"/>
    <w:rsid w:val="6E680CFD"/>
    <w:rsid w:val="6E8518BD"/>
    <w:rsid w:val="6F3373CB"/>
    <w:rsid w:val="6FD471BE"/>
    <w:rsid w:val="72827B0E"/>
    <w:rsid w:val="728D1AAD"/>
    <w:rsid w:val="729C1D5B"/>
    <w:rsid w:val="734F58C8"/>
    <w:rsid w:val="736D445B"/>
    <w:rsid w:val="737C2F94"/>
    <w:rsid w:val="73ED64B4"/>
    <w:rsid w:val="75685DB7"/>
    <w:rsid w:val="75854EA9"/>
    <w:rsid w:val="75D25F1B"/>
    <w:rsid w:val="76087F1D"/>
    <w:rsid w:val="76280A67"/>
    <w:rsid w:val="770A7A0B"/>
    <w:rsid w:val="780147E3"/>
    <w:rsid w:val="7961307F"/>
    <w:rsid w:val="79712F99"/>
    <w:rsid w:val="79E10596"/>
    <w:rsid w:val="7B4D11B8"/>
    <w:rsid w:val="7BFA627A"/>
    <w:rsid w:val="7BFC5A89"/>
    <w:rsid w:val="7E233E0A"/>
    <w:rsid w:val="7F040AC4"/>
    <w:rsid w:val="7F8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6"/>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0"/>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52"/>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7"/>
    <w:qFormat/>
    <w:uiPriority w:val="0"/>
    <w:rPr>
      <w:rFonts w:eastAsia="宋体"/>
      <w:sz w:val="24"/>
    </w:rPr>
  </w:style>
  <w:style w:type="paragraph" w:styleId="18">
    <w:name w:val="Date"/>
    <w:basedOn w:val="1"/>
    <w:next w:val="1"/>
    <w:link w:val="38"/>
    <w:unhideWhenUsed/>
    <w:qFormat/>
    <w:uiPriority w:val="99"/>
    <w:pPr>
      <w:ind w:left="100" w:leftChars="2500"/>
    </w:pPr>
  </w:style>
  <w:style w:type="paragraph" w:styleId="19">
    <w:name w:val="Balloon Text"/>
    <w:basedOn w:val="1"/>
    <w:link w:val="61"/>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style>
  <w:style w:type="character" w:styleId="31">
    <w:name w:val="Hyperlink"/>
    <w:basedOn w:val="27"/>
    <w:unhideWhenUsed/>
    <w:qFormat/>
    <w:uiPriority w:val="99"/>
    <w:rPr>
      <w:color w:val="000000"/>
      <w:u w:val="none"/>
    </w:rPr>
  </w:style>
  <w:style w:type="paragraph" w:customStyle="1" w:styleId="32">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3">
    <w:name w:val="标题 1 Char"/>
    <w:basedOn w:val="27"/>
    <w:link w:val="8"/>
    <w:qFormat/>
    <w:uiPriority w:val="0"/>
    <w:rPr>
      <w:rFonts w:ascii="Calibri" w:hAnsi="Calibri" w:eastAsia="宋体" w:cs="Times New Roman"/>
      <w:b/>
      <w:bCs/>
      <w:kern w:val="44"/>
      <w:sz w:val="44"/>
      <w:szCs w:val="44"/>
    </w:rPr>
  </w:style>
  <w:style w:type="character" w:customStyle="1" w:styleId="34">
    <w:name w:val="标题 2 Char"/>
    <w:basedOn w:val="27"/>
    <w:link w:val="9"/>
    <w:qFormat/>
    <w:uiPriority w:val="0"/>
    <w:rPr>
      <w:rFonts w:ascii="Arial" w:hAnsi="Arial" w:eastAsia="黑体" w:cs="Times New Roman"/>
      <w:b/>
      <w:bCs/>
      <w:kern w:val="0"/>
      <w:sz w:val="32"/>
      <w:szCs w:val="32"/>
    </w:rPr>
  </w:style>
  <w:style w:type="character" w:customStyle="1" w:styleId="35">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11"/>
    <w:qFormat/>
    <w:uiPriority w:val="0"/>
    <w:rPr>
      <w:rFonts w:ascii="Arial" w:hAnsi="Arial" w:eastAsia="黑体" w:cs="Times New Roman"/>
      <w:b/>
      <w:bCs/>
      <w:kern w:val="0"/>
      <w:sz w:val="28"/>
      <w:szCs w:val="28"/>
    </w:rPr>
  </w:style>
  <w:style w:type="character" w:customStyle="1" w:styleId="37">
    <w:name w:val="纯文本 Char"/>
    <w:basedOn w:val="27"/>
    <w:link w:val="17"/>
    <w:qFormat/>
    <w:uiPriority w:val="0"/>
    <w:rPr>
      <w:rFonts w:eastAsia="宋体"/>
      <w:sz w:val="24"/>
    </w:rPr>
  </w:style>
  <w:style w:type="character" w:customStyle="1" w:styleId="38">
    <w:name w:val="日期 Char"/>
    <w:basedOn w:val="27"/>
    <w:link w:val="18"/>
    <w:qFormat/>
    <w:uiPriority w:val="99"/>
  </w:style>
  <w:style w:type="character" w:customStyle="1" w:styleId="39">
    <w:name w:val="页脚 Char"/>
    <w:basedOn w:val="27"/>
    <w:link w:val="20"/>
    <w:qFormat/>
    <w:uiPriority w:val="99"/>
    <w:rPr>
      <w:sz w:val="18"/>
      <w:szCs w:val="18"/>
    </w:rPr>
  </w:style>
  <w:style w:type="character" w:customStyle="1" w:styleId="40">
    <w:name w:val="页眉 Char"/>
    <w:basedOn w:val="27"/>
    <w:link w:val="21"/>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7"/>
    <w:link w:val="14"/>
    <w:qFormat/>
    <w:uiPriority w:val="0"/>
    <w:rPr>
      <w:rFonts w:ascii="Times New Roman" w:hAnsi="Times New Roman" w:eastAsia="宋体" w:cs="Times New Roman"/>
      <w:color w:val="FF0000"/>
      <w:sz w:val="24"/>
      <w:szCs w:val="24"/>
    </w:rPr>
  </w:style>
  <w:style w:type="character" w:customStyle="1" w:styleId="53">
    <w:name w:val="edittexttarea"/>
    <w:basedOn w:val="27"/>
    <w:qFormat/>
    <w:uiPriority w:val="0"/>
  </w:style>
  <w:style w:type="paragraph" w:customStyle="1" w:styleId="5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7"/>
    <w:link w:val="3"/>
    <w:semiHidden/>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7"/>
    <w:link w:val="23"/>
    <w:semiHidden/>
    <w:qFormat/>
    <w:uiPriority w:val="99"/>
    <w:rPr>
      <w:rFonts w:ascii="宋体" w:hAnsi="宋体" w:eastAsia="宋体" w:cs="宋体"/>
      <w:kern w:val="0"/>
      <w:sz w:val="24"/>
      <w:szCs w:val="24"/>
    </w:rPr>
  </w:style>
  <w:style w:type="character" w:customStyle="1" w:styleId="59">
    <w:name w:val="正文文本缩进 Char"/>
    <w:link w:val="6"/>
    <w:qFormat/>
    <w:uiPriority w:val="0"/>
    <w:rPr>
      <w:sz w:val="24"/>
    </w:rPr>
  </w:style>
  <w:style w:type="character" w:customStyle="1" w:styleId="60">
    <w:name w:val="正文文本缩进 Char1"/>
    <w:basedOn w:val="27"/>
    <w:link w:val="6"/>
    <w:semiHidden/>
    <w:qFormat/>
    <w:uiPriority w:val="99"/>
  </w:style>
  <w:style w:type="character" w:customStyle="1" w:styleId="61">
    <w:name w:val="批注框文本 Char"/>
    <w:basedOn w:val="27"/>
    <w:link w:val="19"/>
    <w:semiHidden/>
    <w:qFormat/>
    <w:uiPriority w:val="99"/>
    <w:rPr>
      <w:sz w:val="18"/>
      <w:szCs w:val="18"/>
    </w:rPr>
  </w:style>
  <w:style w:type="character" w:customStyle="1" w:styleId="62">
    <w:name w:val="red"/>
    <w:basedOn w:val="27"/>
    <w:qFormat/>
    <w:uiPriority w:val="0"/>
    <w:rPr>
      <w:color w:val="FF0000"/>
      <w:sz w:val="18"/>
      <w:szCs w:val="18"/>
    </w:rPr>
  </w:style>
  <w:style w:type="character" w:customStyle="1" w:styleId="63">
    <w:name w:val="red1"/>
    <w:basedOn w:val="27"/>
    <w:qFormat/>
    <w:uiPriority w:val="0"/>
    <w:rPr>
      <w:color w:val="FF0000"/>
      <w:sz w:val="18"/>
      <w:szCs w:val="18"/>
    </w:rPr>
  </w:style>
  <w:style w:type="character" w:customStyle="1" w:styleId="64">
    <w:name w:val="red2"/>
    <w:basedOn w:val="27"/>
    <w:qFormat/>
    <w:uiPriority w:val="0"/>
    <w:rPr>
      <w:color w:val="CC0000"/>
    </w:rPr>
  </w:style>
  <w:style w:type="character" w:customStyle="1" w:styleId="65">
    <w:name w:val="red3"/>
    <w:basedOn w:val="27"/>
    <w:qFormat/>
    <w:uiPriority w:val="0"/>
    <w:rPr>
      <w:color w:val="FF0000"/>
    </w:rPr>
  </w:style>
  <w:style w:type="character" w:customStyle="1" w:styleId="66">
    <w:name w:val="gb-jt"/>
    <w:basedOn w:val="27"/>
    <w:qFormat/>
    <w:uiPriority w:val="0"/>
  </w:style>
  <w:style w:type="character" w:customStyle="1" w:styleId="67">
    <w:name w:val="green"/>
    <w:basedOn w:val="27"/>
    <w:qFormat/>
    <w:uiPriority w:val="0"/>
    <w:rPr>
      <w:color w:val="66AE00"/>
      <w:sz w:val="18"/>
      <w:szCs w:val="18"/>
    </w:rPr>
  </w:style>
  <w:style w:type="character" w:customStyle="1" w:styleId="68">
    <w:name w:val="green1"/>
    <w:basedOn w:val="27"/>
    <w:qFormat/>
    <w:uiPriority w:val="0"/>
    <w:rPr>
      <w:color w:val="66AE00"/>
      <w:sz w:val="18"/>
      <w:szCs w:val="18"/>
    </w:rPr>
  </w:style>
  <w:style w:type="character" w:customStyle="1" w:styleId="69">
    <w:name w:val="hover25"/>
    <w:basedOn w:val="27"/>
    <w:qFormat/>
    <w:uiPriority w:val="0"/>
  </w:style>
  <w:style w:type="character" w:customStyle="1" w:styleId="70">
    <w:name w:val="blue"/>
    <w:basedOn w:val="27"/>
    <w:qFormat/>
    <w:uiPriority w:val="0"/>
    <w:rPr>
      <w:color w:val="0371C6"/>
      <w:sz w:val="21"/>
      <w:szCs w:val="21"/>
    </w:rPr>
  </w:style>
  <w:style w:type="character" w:customStyle="1" w:styleId="71">
    <w:name w:val="right"/>
    <w:basedOn w:val="27"/>
    <w:qFormat/>
    <w:uiPriority w:val="0"/>
    <w:rPr>
      <w:color w:val="999999"/>
      <w:sz w:val="18"/>
      <w:szCs w:val="18"/>
    </w:rPr>
  </w:style>
  <w:style w:type="paragraph" w:customStyle="1" w:styleId="72">
    <w:name w:val="列出段落31"/>
    <w:basedOn w:val="1"/>
    <w:qFormat/>
    <w:uiPriority w:val="0"/>
    <w:pPr>
      <w:ind w:firstLine="420" w:firstLineChars="200"/>
    </w:pPr>
    <w:rPr>
      <w:rFonts w:ascii="Times New Roman" w:hAnsi="Times New Roman"/>
      <w:szCs w:val="24"/>
    </w:rPr>
  </w:style>
  <w:style w:type="character" w:customStyle="1" w:styleId="73">
    <w:name w:val="qxdate"/>
    <w:basedOn w:val="27"/>
    <w:qFormat/>
    <w:uiPriority w:val="0"/>
    <w:rPr>
      <w:color w:val="333333"/>
      <w:sz w:val="18"/>
      <w:szCs w:val="18"/>
    </w:rPr>
  </w:style>
  <w:style w:type="character" w:customStyle="1" w:styleId="74">
    <w:name w:val="cfdate"/>
    <w:basedOn w:val="27"/>
    <w:qFormat/>
    <w:uiPriority w:val="0"/>
    <w:rPr>
      <w:color w:val="333333"/>
      <w:sz w:val="18"/>
      <w:szCs w:val="18"/>
    </w:rPr>
  </w:style>
  <w:style w:type="character" w:customStyle="1" w:styleId="75">
    <w:name w:val="gjfg"/>
    <w:basedOn w:val="27"/>
    <w:qFormat/>
    <w:uiPriority w:val="0"/>
  </w:style>
  <w:style w:type="character" w:customStyle="1" w:styleId="76">
    <w:name w:val="redfilenumber"/>
    <w:basedOn w:val="27"/>
    <w:qFormat/>
    <w:uiPriority w:val="0"/>
    <w:rPr>
      <w:color w:val="BA2636"/>
      <w:sz w:val="18"/>
      <w:szCs w:val="18"/>
    </w:rPr>
  </w:style>
  <w:style w:type="character" w:customStyle="1" w:styleId="77">
    <w:name w:val="redfilefwwh"/>
    <w:basedOn w:val="27"/>
    <w:qFormat/>
    <w:uiPriority w:val="0"/>
    <w:rPr>
      <w:color w:val="BA2636"/>
      <w:sz w:val="18"/>
      <w:szCs w:val="18"/>
    </w:rPr>
  </w:style>
  <w:style w:type="character" w:customStyle="1" w:styleId="78">
    <w:name w:val="displayarti"/>
    <w:basedOn w:val="27"/>
    <w:qFormat/>
    <w:uiPriority w:val="0"/>
    <w:rPr>
      <w:color w:val="FFFFFF"/>
      <w:shd w:val="clear" w:color="auto" w:fill="A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A989-C3A5-4964-8ADE-9EAD45361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5877</Words>
  <Characters>33499</Characters>
  <Lines>279</Lines>
  <Paragraphs>78</Paragraphs>
  <TotalTime>13</TotalTime>
  <ScaleCrop>false</ScaleCrop>
  <LinksUpToDate>false</LinksUpToDate>
  <CharactersWithSpaces>39298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许昌光大</dc:creator>
  <cp:lastModifiedBy>キンテンテン</cp:lastModifiedBy>
  <cp:lastPrinted>2020-04-13T02:59:00Z</cp:lastPrinted>
  <dcterms:modified xsi:type="dcterms:W3CDTF">2020-04-13T08:05:47Z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