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color w:val="auto"/>
          <w:sz w:val="10"/>
          <w:szCs w:val="10"/>
        </w:rPr>
      </w:pPr>
    </w:p>
    <w:p>
      <w:pPr>
        <w:autoSpaceDE w:val="0"/>
        <w:autoSpaceDN w:val="0"/>
        <w:adjustRightInd w:val="0"/>
        <w:jc w:val="center"/>
        <w:rPr>
          <w:rFonts w:hint="eastAsia" w:ascii="宋体" w:hAnsi="宋体" w:eastAsia="宋体" w:cs="宋体"/>
          <w:b/>
          <w:bCs w:val="0"/>
          <w:color w:val="auto"/>
          <w:sz w:val="52"/>
          <w:szCs w:val="52"/>
          <w:lang w:eastAsia="zh-CN"/>
        </w:rPr>
      </w:pPr>
      <w:r>
        <w:rPr>
          <w:rFonts w:hint="eastAsia" w:ascii="宋体" w:hAnsi="宋体" w:eastAsia="宋体" w:cs="宋体"/>
          <w:b/>
          <w:bCs w:val="0"/>
          <w:color w:val="auto"/>
          <w:sz w:val="52"/>
          <w:szCs w:val="52"/>
          <w:lang w:eastAsia="zh-CN"/>
        </w:rPr>
        <w:t>XCGC-F2020</w:t>
      </w:r>
      <w:r>
        <w:rPr>
          <w:rFonts w:hint="eastAsia" w:hAnsi="宋体" w:eastAsia="宋体" w:cs="宋体"/>
          <w:b/>
          <w:bCs w:val="0"/>
          <w:color w:val="auto"/>
          <w:sz w:val="52"/>
          <w:szCs w:val="52"/>
          <w:u w:val="single"/>
          <w:lang w:val="en-US" w:eastAsia="zh-CN"/>
        </w:rPr>
        <w:t>074</w:t>
      </w:r>
      <w:r>
        <w:rPr>
          <w:rFonts w:hint="eastAsia" w:hAnsi="宋体" w:eastAsia="宋体" w:cs="宋体"/>
          <w:b/>
          <w:bCs w:val="0"/>
          <w:color w:val="auto"/>
          <w:sz w:val="52"/>
          <w:szCs w:val="52"/>
          <w:lang w:eastAsia="zh-CN"/>
        </w:rPr>
        <w:t>许昌市东泰建设工程有限公司“许昌市东城区孙湾新苑（61-2#地）安置小区项目”</w:t>
      </w:r>
    </w:p>
    <w:p>
      <w:pPr>
        <w:autoSpaceDE w:val="0"/>
        <w:autoSpaceDN w:val="0"/>
        <w:adjustRightInd w:val="0"/>
        <w:jc w:val="center"/>
        <w:rPr>
          <w:rFonts w:hint="eastAsia" w:ascii="宋体" w:hAnsi="宋体" w:eastAsia="宋体" w:cs="宋体"/>
          <w:b/>
          <w:bCs w:val="0"/>
          <w:color w:val="auto"/>
          <w:sz w:val="52"/>
          <w:szCs w:val="52"/>
          <w:lang w:eastAsia="zh-CN"/>
        </w:rPr>
      </w:pPr>
      <w:r>
        <w:rPr>
          <w:rFonts w:hint="eastAsia" w:ascii="宋体" w:hAnsi="宋体" w:eastAsia="宋体" w:cs="宋体"/>
          <w:b/>
          <w:bCs w:val="0"/>
          <w:color w:val="auto"/>
          <w:sz w:val="52"/>
          <w:szCs w:val="52"/>
          <w:lang w:eastAsia="zh-CN"/>
        </w:rPr>
        <w:t>（不见面开标）</w:t>
      </w:r>
    </w:p>
    <w:p>
      <w:pPr>
        <w:autoSpaceDE w:val="0"/>
        <w:autoSpaceDN w:val="0"/>
        <w:adjustRightInd w:val="0"/>
        <w:jc w:val="center"/>
        <w:rPr>
          <w:rFonts w:hint="eastAsia" w:eastAsiaTheme="minorEastAsia"/>
          <w:b/>
          <w:bCs/>
          <w:color w:val="auto"/>
          <w:sz w:val="44"/>
          <w:szCs w:val="44"/>
          <w:lang w:eastAsia="zh-CN"/>
        </w:rPr>
      </w:pP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pStyle w:val="11"/>
        <w:ind w:firstLine="340"/>
        <w:rPr>
          <w:color w:val="auto"/>
        </w:rPr>
      </w:pPr>
    </w:p>
    <w:p>
      <w:pPr>
        <w:pStyle w:val="11"/>
        <w:ind w:firstLine="340"/>
        <w:rPr>
          <w:color w:val="auto"/>
        </w:rPr>
      </w:pPr>
    </w:p>
    <w:p>
      <w:pPr>
        <w:autoSpaceDE w:val="0"/>
        <w:autoSpaceDN w:val="0"/>
        <w:adjustRightInd w:val="0"/>
        <w:jc w:val="center"/>
        <w:rPr>
          <w:rFonts w:hAnsi="宋体" w:cs="宋体"/>
          <w:b/>
          <w:color w:val="auto"/>
          <w:sz w:val="52"/>
          <w:szCs w:val="52"/>
        </w:rPr>
      </w:pPr>
      <w:r>
        <w:rPr>
          <w:rFonts w:hint="eastAsia" w:hAnsi="宋体" w:cs="宋体"/>
          <w:b/>
          <w:color w:val="auto"/>
          <w:sz w:val="72"/>
          <w:szCs w:val="72"/>
        </w:rPr>
        <w:t>施工招标文件</w:t>
      </w:r>
    </w:p>
    <w:p>
      <w:pPr>
        <w:autoSpaceDE w:val="0"/>
        <w:autoSpaceDN w:val="0"/>
        <w:adjustRightInd w:val="0"/>
        <w:rPr>
          <w:rFonts w:hAnsi="宋体" w:cs="宋体"/>
          <w:b/>
          <w:color w:val="auto"/>
          <w:sz w:val="32"/>
          <w:szCs w:val="32"/>
        </w:rPr>
      </w:pPr>
    </w:p>
    <w:p>
      <w:pPr>
        <w:pStyle w:val="20"/>
        <w:tabs>
          <w:tab w:val="left" w:pos="1980"/>
        </w:tabs>
        <w:spacing w:line="1000" w:lineRule="exact"/>
        <w:rPr>
          <w:rFonts w:hAnsi="宋体"/>
          <w:b/>
          <w:color w:val="auto"/>
          <w:sz w:val="32"/>
          <w:szCs w:val="32"/>
        </w:rPr>
      </w:pPr>
    </w:p>
    <w:p>
      <w:pPr>
        <w:pStyle w:val="20"/>
        <w:tabs>
          <w:tab w:val="left" w:pos="1980"/>
        </w:tabs>
        <w:spacing w:line="1000" w:lineRule="exact"/>
        <w:rPr>
          <w:rFonts w:hAnsi="宋体"/>
          <w:b/>
          <w:color w:val="auto"/>
          <w:sz w:val="32"/>
          <w:szCs w:val="32"/>
        </w:rPr>
      </w:pPr>
    </w:p>
    <w:p>
      <w:pPr>
        <w:pStyle w:val="20"/>
        <w:tabs>
          <w:tab w:val="left" w:pos="1980"/>
        </w:tabs>
        <w:spacing w:line="1000" w:lineRule="exact"/>
        <w:rPr>
          <w:rFonts w:hAnsi="宋体"/>
          <w:b/>
          <w:color w:val="auto"/>
          <w:sz w:val="32"/>
          <w:szCs w:val="32"/>
        </w:rPr>
      </w:pPr>
    </w:p>
    <w:p>
      <w:pPr>
        <w:pStyle w:val="20"/>
        <w:tabs>
          <w:tab w:val="left" w:pos="1980"/>
        </w:tabs>
        <w:spacing w:line="480" w:lineRule="auto"/>
        <w:ind w:firstLine="1120" w:firstLineChars="350"/>
        <w:rPr>
          <w:rFonts w:hint="eastAsia" w:hAnsi="宋体"/>
          <w:b/>
          <w:color w:val="auto"/>
          <w:sz w:val="32"/>
          <w:szCs w:val="32"/>
        </w:rPr>
      </w:pPr>
    </w:p>
    <w:p>
      <w:pPr>
        <w:pStyle w:val="20"/>
        <w:tabs>
          <w:tab w:val="left" w:pos="1980"/>
        </w:tabs>
        <w:spacing w:line="480" w:lineRule="auto"/>
        <w:ind w:firstLine="1120" w:firstLineChars="350"/>
        <w:rPr>
          <w:rFonts w:hint="eastAsia" w:hAnsi="宋体"/>
          <w:b/>
          <w:color w:val="auto"/>
          <w:sz w:val="32"/>
          <w:szCs w:val="32"/>
        </w:rPr>
      </w:pPr>
    </w:p>
    <w:p>
      <w:pPr>
        <w:pStyle w:val="20"/>
        <w:tabs>
          <w:tab w:val="left" w:pos="1980"/>
        </w:tabs>
        <w:spacing w:line="480" w:lineRule="auto"/>
        <w:ind w:firstLine="1260" w:firstLineChars="350"/>
        <w:rPr>
          <w:rFonts w:hint="eastAsia" w:hAnsi="宋体" w:eastAsiaTheme="minorEastAsia"/>
          <w:b/>
          <w:color w:val="auto"/>
          <w:sz w:val="36"/>
          <w:szCs w:val="36"/>
          <w:lang w:eastAsia="zh-CN"/>
        </w:rPr>
      </w:pPr>
      <w:r>
        <w:rPr>
          <w:rFonts w:hint="eastAsia" w:hAnsi="宋体"/>
          <w:b/>
          <w:color w:val="auto"/>
          <w:sz w:val="36"/>
          <w:szCs w:val="36"/>
        </w:rPr>
        <w:t>招   标   人：</w:t>
      </w:r>
      <w:r>
        <w:rPr>
          <w:rFonts w:hint="eastAsia" w:hAnsi="宋体"/>
          <w:b/>
          <w:color w:val="auto"/>
          <w:sz w:val="36"/>
          <w:szCs w:val="36"/>
          <w:lang w:eastAsia="zh-CN"/>
        </w:rPr>
        <w:t>许昌市东泰建设工程有限公司</w:t>
      </w:r>
    </w:p>
    <w:p>
      <w:pPr>
        <w:pStyle w:val="20"/>
        <w:tabs>
          <w:tab w:val="left" w:pos="1980"/>
        </w:tabs>
        <w:spacing w:line="480" w:lineRule="auto"/>
        <w:ind w:firstLine="1260" w:firstLineChars="350"/>
        <w:rPr>
          <w:rFonts w:hAnsi="宋体" w:cs="宋体"/>
          <w:b/>
          <w:color w:val="auto"/>
          <w:sz w:val="36"/>
          <w:szCs w:val="36"/>
        </w:rPr>
      </w:pPr>
      <w:r>
        <w:rPr>
          <w:rFonts w:hint="eastAsia" w:hAnsi="宋体"/>
          <w:b/>
          <w:color w:val="auto"/>
          <w:sz w:val="36"/>
          <w:szCs w:val="36"/>
        </w:rPr>
        <w:t>招标代理机构：</w:t>
      </w:r>
      <w:r>
        <w:rPr>
          <w:rFonts w:hint="eastAsia" w:hAnsi="宋体"/>
          <w:b/>
          <w:color w:val="auto"/>
          <w:sz w:val="36"/>
          <w:szCs w:val="36"/>
          <w:lang w:eastAsia="zh-CN"/>
        </w:rPr>
        <w:t>河南鼎华招标代理有限公司</w:t>
      </w:r>
    </w:p>
    <w:p>
      <w:pPr>
        <w:ind w:firstLine="3465" w:firstLineChars="1083"/>
        <w:rPr>
          <w:rFonts w:hAnsi="宋体" w:cs="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color w:val="auto"/>
          <w:sz w:val="44"/>
        </w:rPr>
      </w:pPr>
    </w:p>
    <w:p>
      <w:pPr>
        <w:ind w:firstLine="4765" w:firstLineChars="1083"/>
        <w:rPr>
          <w:rFonts w:hAnsi="宋体" w:cs="宋体"/>
          <w:b/>
          <w:color w:val="auto"/>
          <w:sz w:val="44"/>
        </w:rPr>
      </w:pPr>
      <w:r>
        <w:rPr>
          <w:rFonts w:hint="eastAsia" w:hAnsi="宋体" w:cs="宋体"/>
          <w:b/>
          <w:color w:val="auto"/>
          <w:sz w:val="44"/>
        </w:rPr>
        <w:t>目  录</w:t>
      </w:r>
    </w:p>
    <w:p>
      <w:pPr>
        <w:jc w:val="center"/>
        <w:rPr>
          <w:rFonts w:hAnsi="宋体" w:cs="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autoSpaceDE w:val="0"/>
        <w:autoSpaceDN w:val="0"/>
        <w:adjustRightInd w:val="0"/>
        <w:spacing w:line="360" w:lineRule="auto"/>
        <w:jc w:val="center"/>
        <w:rPr>
          <w:rFonts w:hAnsi="宋体" w:cs="宋体"/>
          <w:b/>
          <w:color w:val="auto"/>
          <w:sz w:val="36"/>
          <w:szCs w:val="36"/>
        </w:rPr>
      </w:pPr>
      <w:bookmarkStart w:id="0" w:name="_Toc215282124"/>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snapToGrid w:val="0"/>
        <w:spacing w:beforeLines="50"/>
        <w:rPr>
          <w:rFonts w:hAnsi="宋体" w:cs="宋体"/>
          <w:b/>
          <w:color w:val="auto"/>
          <w:sz w:val="36"/>
          <w:szCs w:val="36"/>
        </w:rPr>
      </w:pPr>
    </w:p>
    <w:p>
      <w:pPr>
        <w:snapToGrid w:val="0"/>
        <w:spacing w:beforeLines="50"/>
        <w:rPr>
          <w:rFonts w:hAnsi="宋体" w:cs="宋体"/>
          <w:b/>
          <w:color w:val="auto"/>
          <w:sz w:val="36"/>
          <w:szCs w:val="36"/>
        </w:rPr>
      </w:pPr>
    </w:p>
    <w:p>
      <w:pPr>
        <w:numPr>
          <w:ilvl w:val="0"/>
          <w:numId w:val="1"/>
        </w:numPr>
        <w:snapToGrid w:val="0"/>
        <w:spacing w:before="156" w:beforeLines="50"/>
        <w:jc w:val="center"/>
        <w:rPr>
          <w:rFonts w:hint="eastAsia" w:ascii="宋体" w:hAnsi="宋体" w:cs="宋体"/>
          <w:b/>
          <w:color w:val="auto"/>
          <w:sz w:val="36"/>
          <w:szCs w:val="36"/>
        </w:rPr>
      </w:pPr>
      <w:r>
        <w:rPr>
          <w:rFonts w:hAnsi="宋体" w:cs="宋体"/>
          <w:b/>
          <w:color w:val="auto"/>
          <w:sz w:val="36"/>
          <w:szCs w:val="36"/>
        </w:rPr>
        <w:br w:type="page"/>
      </w:r>
      <w:r>
        <w:rPr>
          <w:rFonts w:hint="eastAsia" w:ascii="宋体" w:hAnsi="宋体" w:cs="宋体"/>
          <w:b/>
          <w:color w:val="auto"/>
          <w:sz w:val="36"/>
          <w:szCs w:val="36"/>
        </w:rPr>
        <w:t>招标公告</w:t>
      </w:r>
    </w:p>
    <w:p>
      <w:pPr>
        <w:spacing w:line="440" w:lineRule="exact"/>
        <w:jc w:val="center"/>
        <w:outlineLvl w:val="0"/>
        <w:rPr>
          <w:rFonts w:hint="eastAsia" w:hAnsi="宋体" w:cs="宋体" w:eastAsiaTheme="minorEastAsia"/>
          <w:b/>
          <w:color w:val="auto"/>
          <w:sz w:val="32"/>
          <w:szCs w:val="32"/>
          <w:lang w:eastAsia="zh-CN"/>
        </w:rPr>
      </w:pPr>
      <w:r>
        <w:rPr>
          <w:rFonts w:hint="eastAsia" w:hAnsi="宋体" w:cs="宋体"/>
          <w:b/>
          <w:color w:val="auto"/>
          <w:sz w:val="32"/>
          <w:szCs w:val="32"/>
          <w:lang w:eastAsia="zh-CN"/>
        </w:rPr>
        <w:t>XCGC-F20</w:t>
      </w:r>
      <w:r>
        <w:rPr>
          <w:rFonts w:hint="eastAsia" w:hAnsi="宋体" w:cs="宋体"/>
          <w:b/>
          <w:color w:val="auto"/>
          <w:sz w:val="32"/>
          <w:szCs w:val="32"/>
          <w:u w:val="none"/>
          <w:lang w:eastAsia="zh-CN"/>
        </w:rPr>
        <w:t>20</w:t>
      </w:r>
      <w:r>
        <w:rPr>
          <w:rFonts w:hint="eastAsia" w:hAnsi="宋体" w:cs="宋体"/>
          <w:b/>
          <w:color w:val="auto"/>
          <w:sz w:val="32"/>
          <w:szCs w:val="32"/>
          <w:u w:val="none"/>
          <w:lang w:val="en-US" w:eastAsia="zh-CN"/>
        </w:rPr>
        <w:t>074</w:t>
      </w:r>
      <w:r>
        <w:rPr>
          <w:rFonts w:hint="eastAsia" w:hAnsi="宋体" w:cs="宋体"/>
          <w:b/>
          <w:color w:val="auto"/>
          <w:sz w:val="32"/>
          <w:szCs w:val="32"/>
          <w:lang w:eastAsia="zh-CN"/>
        </w:rPr>
        <w:t>许昌市东泰建设工程有限公司“许昌市东城区孙湾新苑（61-2#地）安置小区项目”</w:t>
      </w:r>
      <w:r>
        <w:rPr>
          <w:rFonts w:hint="eastAsia" w:hAnsi="宋体" w:cs="宋体"/>
          <w:b/>
          <w:color w:val="auto"/>
          <w:sz w:val="32"/>
          <w:szCs w:val="32"/>
          <w:lang w:val="en-US" w:eastAsia="zh-CN"/>
        </w:rPr>
        <w:t>（不见面开标）</w:t>
      </w:r>
      <w:r>
        <w:rPr>
          <w:rFonts w:hint="eastAsia" w:hAnsi="宋体" w:cs="宋体"/>
          <w:b/>
          <w:color w:val="auto"/>
          <w:sz w:val="32"/>
          <w:szCs w:val="32"/>
          <w:lang w:eastAsia="zh-CN"/>
        </w:rPr>
        <w:t>招标公告</w:t>
      </w:r>
    </w:p>
    <w:p>
      <w:pPr>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1.招标条件</w:t>
      </w:r>
    </w:p>
    <w:p>
      <w:pPr>
        <w:tabs>
          <w:tab w:val="left" w:pos="982"/>
        </w:tabs>
        <w:spacing w:line="440" w:lineRule="exact"/>
        <w:ind w:firstLine="480" w:firstLineChars="200"/>
        <w:jc w:val="left"/>
        <w:rPr>
          <w:rFonts w:hint="eastAsia" w:ascii="宋体" w:hAnsi="宋体" w:eastAsia="宋体" w:cs="宋体"/>
          <w:b/>
          <w:color w:val="auto"/>
          <w:sz w:val="24"/>
          <w:szCs w:val="24"/>
          <w:u w:val="single"/>
        </w:rPr>
      </w:pPr>
      <w:r>
        <w:rPr>
          <w:rFonts w:hint="eastAsia" w:ascii="宋体" w:hAnsi="宋体" w:eastAsia="宋体" w:cs="宋体"/>
          <w:bCs/>
          <w:color w:val="auto"/>
          <w:sz w:val="24"/>
          <w:szCs w:val="24"/>
          <w:lang w:eastAsia="zh-CN"/>
        </w:rPr>
        <w:t>许昌市东泰建设工程有限公司“许昌市东城区孙湾新苑（61-2#地）安置小区项目”</w:t>
      </w:r>
      <w:r>
        <w:rPr>
          <w:rFonts w:hint="eastAsia" w:ascii="宋体" w:hAnsi="宋体" w:eastAsia="宋体" w:cs="宋体"/>
          <w:bCs/>
          <w:color w:val="auto"/>
          <w:sz w:val="24"/>
          <w:szCs w:val="24"/>
        </w:rPr>
        <w:t>已由许昌市东城区经济发展服务局以许东经发【2</w:t>
      </w:r>
      <w:r>
        <w:rPr>
          <w:rFonts w:hint="eastAsia" w:ascii="宋体" w:hAnsi="宋体" w:eastAsia="宋体" w:cs="宋体"/>
          <w:bCs/>
          <w:color w:val="auto"/>
          <w:sz w:val="24"/>
          <w:szCs w:val="24"/>
          <w:lang w:val="en-US" w:eastAsia="zh-CN"/>
        </w:rPr>
        <w:t>018</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33</w:t>
      </w:r>
      <w:r>
        <w:rPr>
          <w:rFonts w:hint="eastAsia" w:ascii="宋体" w:hAnsi="宋体" w:eastAsia="宋体" w:cs="宋体"/>
          <w:bCs/>
          <w:color w:val="auto"/>
          <w:sz w:val="24"/>
          <w:szCs w:val="24"/>
        </w:rPr>
        <w:t>号文件批准建设，招标人为</w:t>
      </w:r>
      <w:r>
        <w:rPr>
          <w:rFonts w:hint="eastAsia" w:ascii="宋体" w:hAnsi="宋体" w:eastAsia="宋体" w:cs="宋体"/>
          <w:bCs/>
          <w:color w:val="auto"/>
          <w:sz w:val="24"/>
          <w:szCs w:val="24"/>
          <w:lang w:eastAsia="zh-CN"/>
        </w:rPr>
        <w:t>许昌市东泰建设工程有限公司</w:t>
      </w:r>
      <w:r>
        <w:rPr>
          <w:rFonts w:hint="eastAsia" w:ascii="宋体" w:hAnsi="宋体" w:eastAsia="宋体" w:cs="宋体"/>
          <w:bCs/>
          <w:color w:val="auto"/>
          <w:sz w:val="24"/>
          <w:szCs w:val="24"/>
        </w:rPr>
        <w:t>，建设资金为财政资金，项目出资比例为100%。项目已具备招标条件，现对该项目的施工、监理进行公开招标。</w:t>
      </w:r>
    </w:p>
    <w:p>
      <w:pPr>
        <w:tabs>
          <w:tab w:val="left" w:pos="4420"/>
        </w:tabs>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2.项目概况与招标内容</w:t>
      </w:r>
      <w:r>
        <w:rPr>
          <w:rFonts w:hint="eastAsia" w:ascii="宋体" w:hAnsi="宋体" w:eastAsia="宋体" w:cs="宋体"/>
          <w:b/>
          <w:color w:val="auto"/>
          <w:sz w:val="24"/>
          <w:szCs w:val="24"/>
        </w:rPr>
        <w:tab/>
      </w:r>
    </w:p>
    <w:p>
      <w:pPr>
        <w:tabs>
          <w:tab w:val="left" w:pos="982"/>
        </w:tabs>
        <w:spacing w:line="440" w:lineRule="exact"/>
        <w:ind w:firstLine="480" w:firstLineChars="200"/>
        <w:jc w:val="left"/>
        <w:rPr>
          <w:rFonts w:hint="eastAsia" w:ascii="宋体" w:hAnsi="宋体" w:eastAsia="宋体" w:cs="宋体"/>
          <w:bCs/>
          <w:color w:val="auto"/>
          <w:sz w:val="24"/>
          <w:szCs w:val="24"/>
          <w:u w:val="single"/>
          <w:lang w:val="en-US"/>
        </w:rPr>
      </w:pPr>
      <w:r>
        <w:rPr>
          <w:rFonts w:hint="eastAsia" w:ascii="宋体" w:hAnsi="宋体" w:eastAsia="宋体" w:cs="宋体"/>
          <w:bCs/>
          <w:color w:val="auto"/>
          <w:sz w:val="24"/>
          <w:szCs w:val="24"/>
        </w:rPr>
        <w:t>2.1项目编号：</w:t>
      </w:r>
      <w:r>
        <w:rPr>
          <w:rFonts w:hint="eastAsia" w:ascii="宋体" w:hAnsi="宋体" w:eastAsia="宋体" w:cs="宋体"/>
          <w:bCs/>
          <w:color w:val="auto"/>
          <w:sz w:val="24"/>
          <w:szCs w:val="24"/>
          <w:lang w:eastAsia="zh-CN"/>
        </w:rPr>
        <w:t>XCGC-F2020</w:t>
      </w:r>
      <w:r>
        <w:rPr>
          <w:rFonts w:hint="eastAsia" w:ascii="宋体" w:hAnsi="宋体" w:eastAsia="宋体" w:cs="宋体"/>
          <w:bCs/>
          <w:color w:val="auto"/>
          <w:sz w:val="24"/>
          <w:szCs w:val="24"/>
          <w:u w:val="none"/>
          <w:lang w:val="en-US" w:eastAsia="zh-CN"/>
        </w:rPr>
        <w:t>074</w:t>
      </w:r>
    </w:p>
    <w:p>
      <w:pPr>
        <w:tabs>
          <w:tab w:val="left" w:pos="982"/>
        </w:tabs>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bCs/>
          <w:color w:val="auto"/>
          <w:sz w:val="24"/>
          <w:szCs w:val="24"/>
        </w:rPr>
        <w:t>2.2项目概况：</w:t>
      </w:r>
      <w:r>
        <w:rPr>
          <w:rFonts w:hint="eastAsia" w:ascii="宋体" w:hAnsi="宋体" w:eastAsia="宋体" w:cs="宋体"/>
          <w:bCs/>
          <w:color w:val="auto"/>
          <w:sz w:val="24"/>
          <w:szCs w:val="24"/>
          <w:lang w:eastAsia="zh-CN"/>
        </w:rPr>
        <w:t>该项目总用地面积为27477平方米，主体建筑性质为居住，附属建筑为配套公共服务设施。主要建设7栋20F住宅楼，总建筑面积87252平方米（以批准的规划为准）。其中地上建筑面积64467平方米，包含住宅61000平方米，配套公建3467平方米；地下建筑面积22785平方米。建筑密度21.38%，容积率&lt;3。设置停车位584个，其中地上停车位55个，地下停车位529个</w:t>
      </w:r>
      <w:r>
        <w:rPr>
          <w:rFonts w:hint="eastAsia" w:ascii="宋体" w:hAnsi="宋体" w:eastAsia="宋体" w:cs="宋体"/>
          <w:bCs/>
          <w:color w:val="auto"/>
          <w:sz w:val="24"/>
          <w:szCs w:val="24"/>
          <w:lang w:val="en-US" w:eastAsia="zh-CN"/>
        </w:rPr>
        <w:t>。</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2.3招标控制价：一标段：</w:t>
      </w:r>
      <w:r>
        <w:rPr>
          <w:rFonts w:hint="eastAsia" w:ascii="宋体" w:hAnsi="宋体" w:eastAsia="宋体" w:cs="宋体"/>
          <w:bCs/>
          <w:color w:val="auto"/>
          <w:sz w:val="24"/>
          <w:szCs w:val="24"/>
          <w:lang w:val="en-US" w:eastAsia="zh-CN"/>
        </w:rPr>
        <w:t>300846777.42</w:t>
      </w:r>
      <w:r>
        <w:rPr>
          <w:rFonts w:hint="eastAsia" w:ascii="宋体" w:hAnsi="宋体" w:eastAsia="宋体" w:cs="宋体"/>
          <w:bCs/>
          <w:color w:val="auto"/>
          <w:sz w:val="24"/>
          <w:szCs w:val="24"/>
        </w:rPr>
        <w:t>元，二标段：</w:t>
      </w:r>
      <w:r>
        <w:rPr>
          <w:rFonts w:hint="eastAsia" w:ascii="宋体" w:hAnsi="宋体" w:eastAsia="宋体" w:cs="宋体"/>
          <w:bCs/>
          <w:color w:val="auto"/>
          <w:sz w:val="24"/>
          <w:szCs w:val="24"/>
          <w:lang w:val="en-US" w:eastAsia="zh-CN"/>
        </w:rPr>
        <w:t>3037667.77</w:t>
      </w:r>
      <w:r>
        <w:rPr>
          <w:rFonts w:hint="eastAsia" w:ascii="宋体" w:hAnsi="宋体" w:eastAsia="宋体" w:cs="宋体"/>
          <w:bCs/>
          <w:color w:val="auto"/>
          <w:sz w:val="24"/>
          <w:szCs w:val="24"/>
        </w:rPr>
        <w:t>元。</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2.4招标范围：</w:t>
      </w:r>
      <w:r>
        <w:rPr>
          <w:rFonts w:hint="eastAsia" w:ascii="宋体" w:hAnsi="宋体" w:eastAsia="宋体" w:cs="宋体"/>
          <w:color w:val="auto"/>
          <w:sz w:val="24"/>
          <w:szCs w:val="24"/>
        </w:rPr>
        <w:t>施工招标范围为招标文件、工程量清单、答疑纪要和补充文件（如有）范围内的所有建设内容</w:t>
      </w:r>
      <w:r>
        <w:rPr>
          <w:rFonts w:hint="eastAsia" w:ascii="宋体" w:hAnsi="宋体" w:eastAsia="宋体" w:cs="宋体"/>
          <w:bCs/>
          <w:color w:val="auto"/>
          <w:sz w:val="24"/>
          <w:szCs w:val="24"/>
        </w:rPr>
        <w:t>。监理范围为本项目施工及保修阶段全过程监理工作。</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2.5标段划分：本项目共划分两个标段，一标段:施工，二标段：监理。</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2.6计划工期: 施工工期：</w:t>
      </w:r>
      <w:r>
        <w:rPr>
          <w:rFonts w:hint="eastAsia" w:ascii="宋体" w:hAnsi="宋体" w:eastAsia="宋体" w:cs="宋体"/>
          <w:bCs/>
          <w:color w:val="auto"/>
          <w:sz w:val="24"/>
          <w:szCs w:val="24"/>
          <w:u w:val="none"/>
          <w:lang w:val="en-US" w:eastAsia="zh-CN"/>
        </w:rPr>
        <w:t>36个月</w:t>
      </w:r>
      <w:r>
        <w:rPr>
          <w:rFonts w:hint="eastAsia" w:ascii="宋体" w:hAnsi="宋体" w:eastAsia="宋体" w:cs="宋体"/>
          <w:bCs/>
          <w:color w:val="auto"/>
          <w:sz w:val="24"/>
          <w:szCs w:val="24"/>
        </w:rPr>
        <w:t>，监理服务期：同施工工期。</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2.7质量要求：合格（符合国家现行的验收规范和标准）。</w:t>
      </w:r>
    </w:p>
    <w:p>
      <w:pPr>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3.投标人资格要求</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3.1施工标：投标人须具备建设行政主管部门颁发的建筑工程施工总承包</w:t>
      </w:r>
      <w:r>
        <w:rPr>
          <w:rFonts w:hint="eastAsia" w:ascii="宋体" w:hAnsi="宋体" w:eastAsia="宋体" w:cs="宋体"/>
          <w:bCs/>
          <w:color w:val="auto"/>
          <w:sz w:val="24"/>
          <w:szCs w:val="24"/>
          <w:lang w:val="en-US" w:eastAsia="zh-CN"/>
        </w:rPr>
        <w:t>壹</w:t>
      </w:r>
      <w:r>
        <w:rPr>
          <w:rFonts w:hint="eastAsia" w:ascii="宋体" w:hAnsi="宋体" w:eastAsia="宋体" w:cs="宋体"/>
          <w:bCs/>
          <w:color w:val="auto"/>
          <w:sz w:val="24"/>
          <w:szCs w:val="24"/>
        </w:rPr>
        <w:t>级及以上资质；具有安全生产许可证；具有独立法人资格，并在人员、设备、资金等方面具有相应的施工能力；拟派项目负责人须具有</w:t>
      </w:r>
      <w:r>
        <w:rPr>
          <w:rFonts w:hint="eastAsia" w:ascii="宋体" w:hAnsi="宋体" w:eastAsia="宋体" w:cs="宋体"/>
          <w:bCs/>
          <w:color w:val="auto"/>
          <w:sz w:val="24"/>
          <w:szCs w:val="24"/>
          <w:lang w:val="en-US" w:eastAsia="zh-CN"/>
        </w:rPr>
        <w:t>房屋建筑</w:t>
      </w:r>
      <w:r>
        <w:rPr>
          <w:rFonts w:hint="eastAsia" w:ascii="宋体" w:hAnsi="宋体" w:eastAsia="宋体" w:cs="宋体"/>
          <w:bCs/>
          <w:color w:val="auto"/>
          <w:sz w:val="24"/>
          <w:szCs w:val="24"/>
        </w:rPr>
        <w:t>专业</w:t>
      </w:r>
      <w:r>
        <w:rPr>
          <w:rFonts w:hint="eastAsia" w:ascii="宋体" w:hAnsi="宋体" w:eastAsia="宋体" w:cs="宋体"/>
          <w:bCs/>
          <w:color w:val="auto"/>
          <w:sz w:val="24"/>
          <w:szCs w:val="24"/>
          <w:lang w:val="en-US" w:eastAsia="zh-CN"/>
        </w:rPr>
        <w:t>壹</w:t>
      </w:r>
      <w:r>
        <w:rPr>
          <w:rFonts w:hint="eastAsia" w:ascii="宋体" w:hAnsi="宋体" w:eastAsia="宋体" w:cs="宋体"/>
          <w:bCs/>
          <w:color w:val="auto"/>
          <w:sz w:val="24"/>
          <w:szCs w:val="24"/>
        </w:rPr>
        <w:t>级以上（含</w:t>
      </w:r>
      <w:r>
        <w:rPr>
          <w:rFonts w:hint="eastAsia" w:ascii="宋体" w:hAnsi="宋体" w:eastAsia="宋体" w:cs="宋体"/>
          <w:bCs/>
          <w:color w:val="auto"/>
          <w:sz w:val="24"/>
          <w:szCs w:val="24"/>
          <w:lang w:val="en-US" w:eastAsia="zh-CN"/>
        </w:rPr>
        <w:t>壹</w:t>
      </w:r>
      <w:r>
        <w:rPr>
          <w:rFonts w:hint="eastAsia" w:ascii="宋体" w:hAnsi="宋体" w:eastAsia="宋体" w:cs="宋体"/>
          <w:bCs/>
          <w:color w:val="auto"/>
          <w:sz w:val="24"/>
          <w:szCs w:val="24"/>
        </w:rPr>
        <w:t>级）注册建造师执业资格证（不含临时）和项目负责人安全生产考核合格证。</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3.2 监理标：投标人须具备独立法人资格，并具备</w:t>
      </w:r>
      <w:r>
        <w:rPr>
          <w:rFonts w:hint="eastAsia" w:ascii="宋体" w:hAnsi="宋体" w:eastAsia="宋体" w:cs="宋体"/>
          <w:bCs/>
          <w:color w:val="auto"/>
          <w:sz w:val="24"/>
          <w:szCs w:val="24"/>
          <w:lang w:val="en-US" w:eastAsia="zh-CN"/>
        </w:rPr>
        <w:t>房屋建筑</w:t>
      </w:r>
      <w:r>
        <w:rPr>
          <w:rFonts w:hint="eastAsia" w:ascii="宋体" w:hAnsi="宋体" w:eastAsia="宋体" w:cs="宋体"/>
          <w:bCs/>
          <w:color w:val="auto"/>
          <w:sz w:val="24"/>
          <w:szCs w:val="24"/>
        </w:rPr>
        <w:t>监理</w:t>
      </w:r>
      <w:r>
        <w:rPr>
          <w:rFonts w:hint="eastAsia" w:ascii="宋体" w:hAnsi="宋体" w:eastAsia="宋体" w:cs="宋体"/>
          <w:bCs/>
          <w:color w:val="auto"/>
          <w:sz w:val="24"/>
          <w:szCs w:val="24"/>
          <w:lang w:val="en-US" w:eastAsia="zh-CN"/>
        </w:rPr>
        <w:t>甲</w:t>
      </w:r>
      <w:r>
        <w:rPr>
          <w:rFonts w:hint="eastAsia" w:ascii="宋体" w:hAnsi="宋体" w:eastAsia="宋体" w:cs="宋体"/>
          <w:bCs/>
          <w:color w:val="auto"/>
          <w:sz w:val="24"/>
          <w:szCs w:val="24"/>
        </w:rPr>
        <w:t>级</w:t>
      </w:r>
      <w:r>
        <w:rPr>
          <w:rFonts w:hint="eastAsia" w:ascii="宋体" w:hAnsi="宋体" w:eastAsia="宋体" w:cs="宋体"/>
          <w:bCs/>
          <w:color w:val="auto"/>
          <w:sz w:val="24"/>
          <w:szCs w:val="24"/>
          <w:lang w:val="en-US" w:eastAsia="zh-CN"/>
        </w:rPr>
        <w:t>和人防监理丙级</w:t>
      </w:r>
      <w:r>
        <w:rPr>
          <w:rFonts w:hint="eastAsia" w:ascii="宋体" w:hAnsi="宋体" w:eastAsia="宋体" w:cs="宋体"/>
          <w:bCs/>
          <w:color w:val="auto"/>
          <w:sz w:val="24"/>
          <w:szCs w:val="24"/>
        </w:rPr>
        <w:t>及以上</w:t>
      </w:r>
      <w:r>
        <w:rPr>
          <w:rFonts w:hint="eastAsia" w:ascii="宋体" w:hAnsi="宋体" w:eastAsia="宋体" w:cs="宋体"/>
          <w:bCs/>
          <w:color w:val="auto"/>
          <w:sz w:val="24"/>
          <w:szCs w:val="24"/>
          <w:lang w:val="en-US" w:eastAsia="zh-CN"/>
        </w:rPr>
        <w:t>监理</w:t>
      </w:r>
      <w:r>
        <w:rPr>
          <w:rFonts w:hint="eastAsia" w:ascii="宋体" w:hAnsi="宋体" w:eastAsia="宋体" w:cs="宋体"/>
          <w:bCs/>
          <w:color w:val="auto"/>
          <w:sz w:val="24"/>
          <w:szCs w:val="24"/>
        </w:rPr>
        <w:t>资质或监理综合资质</w:t>
      </w:r>
      <w:r>
        <w:rPr>
          <w:rFonts w:hint="eastAsia" w:ascii="宋体" w:hAnsi="宋体" w:eastAsia="宋体" w:cs="宋体"/>
          <w:bCs/>
          <w:color w:val="auto"/>
          <w:sz w:val="24"/>
          <w:szCs w:val="24"/>
          <w:lang w:val="en-US" w:eastAsia="zh-CN"/>
        </w:rPr>
        <w:t>和人防监理丙级</w:t>
      </w:r>
      <w:r>
        <w:rPr>
          <w:rFonts w:hint="eastAsia" w:ascii="宋体" w:hAnsi="宋体" w:eastAsia="宋体" w:cs="宋体"/>
          <w:bCs/>
          <w:color w:val="auto"/>
          <w:sz w:val="24"/>
          <w:szCs w:val="24"/>
        </w:rPr>
        <w:t>及以上</w:t>
      </w:r>
      <w:r>
        <w:rPr>
          <w:rFonts w:hint="eastAsia" w:ascii="宋体" w:hAnsi="宋体" w:eastAsia="宋体" w:cs="宋体"/>
          <w:bCs/>
          <w:color w:val="auto"/>
          <w:sz w:val="24"/>
          <w:szCs w:val="24"/>
          <w:lang w:val="en-US" w:eastAsia="zh-CN"/>
        </w:rPr>
        <w:t>监理</w:t>
      </w:r>
      <w:r>
        <w:rPr>
          <w:rFonts w:hint="eastAsia" w:ascii="宋体" w:hAnsi="宋体" w:eastAsia="宋体" w:cs="宋体"/>
          <w:bCs/>
          <w:color w:val="auto"/>
          <w:sz w:val="24"/>
          <w:szCs w:val="24"/>
        </w:rPr>
        <w:t>资质。拟派项目总监须具有</w:t>
      </w:r>
      <w:r>
        <w:rPr>
          <w:rFonts w:hint="eastAsia" w:ascii="宋体" w:hAnsi="宋体" w:eastAsia="宋体" w:cs="宋体"/>
          <w:bCs/>
          <w:color w:val="auto"/>
          <w:sz w:val="24"/>
          <w:szCs w:val="24"/>
          <w:lang w:val="en-US" w:eastAsia="zh-CN"/>
        </w:rPr>
        <w:t>房屋建筑</w:t>
      </w:r>
      <w:r>
        <w:rPr>
          <w:rFonts w:hint="eastAsia" w:ascii="宋体" w:hAnsi="宋体" w:eastAsia="宋体" w:cs="宋体"/>
          <w:bCs/>
          <w:color w:val="auto"/>
          <w:sz w:val="24"/>
          <w:szCs w:val="24"/>
        </w:rPr>
        <w:t>工程专业注册监理工程师资格。</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3.2</w:t>
      </w:r>
      <w:r>
        <w:rPr>
          <w:rFonts w:hint="eastAsia" w:ascii="宋体" w:hAnsi="宋体" w:eastAsia="宋体" w:cs="宋体"/>
          <w:bCs/>
          <w:color w:val="auto"/>
          <w:sz w:val="24"/>
          <w:szCs w:val="24"/>
          <w:lang w:eastAsia="zh-CN"/>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ascii="宋体" w:hAnsi="宋体" w:eastAsia="宋体" w:cs="宋体"/>
          <w:bCs/>
          <w:color w:val="auto"/>
          <w:sz w:val="24"/>
          <w:szCs w:val="24"/>
        </w:rPr>
        <w:t>。</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3.3本次招标不接受联合体投标。</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3.4本次招标实行资格后审。</w:t>
      </w:r>
    </w:p>
    <w:p>
      <w:pPr>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4.网上下载招标文件</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5.招标文件和施工图纸的获取</w:t>
      </w:r>
    </w:p>
    <w:p>
      <w:pPr>
        <w:tabs>
          <w:tab w:val="left" w:pos="982"/>
        </w:tabs>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5.1招标文件的获取：投标人于投标文件递交截止时间前均可登录《全国公共资源交易平台(河南省▪许昌市)》</w:t>
      </w:r>
      <w:r>
        <w:rPr>
          <w:rFonts w:hint="eastAsia" w:ascii="宋体" w:hAnsi="宋体" w:eastAsia="宋体" w:cs="宋体"/>
          <w:color w:val="auto"/>
          <w:sz w:val="24"/>
          <w:szCs w:val="24"/>
        </w:rPr>
        <w:t>（http://ggzy.xuchang.gov.cn/）</w:t>
      </w:r>
      <w:r>
        <w:rPr>
          <w:rFonts w:hint="eastAsia" w:ascii="宋体" w:hAnsi="宋体" w:eastAsia="宋体" w:cs="宋体"/>
          <w:bCs/>
          <w:color w:val="auto"/>
          <w:sz w:val="24"/>
          <w:szCs w:val="24"/>
        </w:rPr>
        <w:t>，通过“投标人/供应商登录” 入口自行下载。</w:t>
      </w:r>
    </w:p>
    <w:p>
      <w:pPr>
        <w:pStyle w:val="1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图纸下载地址</w:t>
      </w:r>
      <w:r>
        <w:rPr>
          <w:rFonts w:hint="eastAsia" w:ascii="宋体" w:hAnsi="宋体" w:eastAsia="宋体" w:cs="宋体"/>
          <w:color w:val="auto"/>
          <w:sz w:val="24"/>
          <w:szCs w:val="24"/>
          <w:lang w:eastAsia="zh-CN"/>
        </w:rPr>
        <w:t xml:space="preserve">：链接: https://pan.baidu.com/s/1ufGC6pwO_mKIzTSzJhIMdQ </w:t>
      </w:r>
    </w:p>
    <w:p>
      <w:pPr>
        <w:pStyle w:val="1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提取码: ne7s </w:t>
      </w:r>
    </w:p>
    <w:p>
      <w:pPr>
        <w:tabs>
          <w:tab w:val="left" w:pos="982"/>
        </w:tabs>
        <w:spacing w:line="440" w:lineRule="exact"/>
        <w:ind w:firstLine="600" w:firstLineChars="25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5.2招标文件每套售价300元，投标人于开标结束后转账至支付宝账号15617225567（转账时请备注项目编号、所属标段及公司名称）。</w:t>
      </w:r>
    </w:p>
    <w:p>
      <w:pPr>
        <w:autoSpaceDE w:val="0"/>
        <w:autoSpaceDN w:val="0"/>
        <w:adjustRightInd w:val="0"/>
        <w:spacing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6.投标文件的提交</w:t>
      </w:r>
    </w:p>
    <w:p>
      <w:pPr>
        <w:spacing w:line="53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 xml:space="preserve">6.1 </w:t>
      </w:r>
      <w:r>
        <w:rPr>
          <w:rFonts w:hint="eastAsia" w:ascii="宋体" w:hAnsi="宋体" w:eastAsia="宋体" w:cs="宋体"/>
          <w:bCs/>
          <w:color w:val="auto"/>
          <w:sz w:val="24"/>
          <w:szCs w:val="24"/>
        </w:rPr>
        <w:t xml:space="preserve"> 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6.2 投标文件提交的截止时间及开标时间：</w:t>
      </w:r>
      <w:r>
        <w:rPr>
          <w:rFonts w:hint="eastAsia" w:ascii="宋体" w:hAnsi="宋体" w:eastAsia="宋体" w:cs="宋体"/>
          <w:color w:val="auto"/>
          <w:sz w:val="24"/>
          <w:szCs w:val="24"/>
          <w:lang w:eastAsia="zh-CN"/>
        </w:rPr>
        <w:t>2020年</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en-US" w:eastAsia="zh-CN"/>
        </w:rPr>
        <w:t>3招标人（代理机构）线上开标地点：许昌市公共资源交易中心（龙兴路与竹林路交汇处创业服务中心 C 座）三楼开标（一）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30" w:lineRule="exact"/>
        <w:ind w:firstLine="465"/>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逾期送达（未成功上传）的或者未按规定解密的电子投标文件，招标人不予受理。</w:t>
      </w:r>
    </w:p>
    <w:p>
      <w:pPr>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7.发布公告的媒介</w:t>
      </w:r>
    </w:p>
    <w:p>
      <w:pPr>
        <w:spacing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本公告同时在《全国公共资源交易平台(河南省▪许昌市)》、《河南省电子招标投标公共服务平台》上发布。</w:t>
      </w:r>
    </w:p>
    <w:p>
      <w:pPr>
        <w:spacing w:line="440" w:lineRule="exac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8.联系方式</w:t>
      </w:r>
    </w:p>
    <w:p>
      <w:pPr>
        <w:spacing w:line="440" w:lineRule="exact"/>
        <w:ind w:firstLine="46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szCs w:val="24"/>
          <w:lang w:eastAsia="zh-CN"/>
        </w:rPr>
        <w:t>许昌市东泰建设工程有限公司</w:t>
      </w:r>
    </w:p>
    <w:p>
      <w:pPr>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地    址：许昌市新兴东路    </w:t>
      </w:r>
    </w:p>
    <w:p>
      <w:pPr>
        <w:spacing w:line="440" w:lineRule="exact"/>
        <w:ind w:firstLine="46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李先生</w:t>
      </w:r>
      <w:r>
        <w:rPr>
          <w:rFonts w:hint="eastAsia" w:ascii="宋体" w:hAnsi="宋体" w:eastAsia="宋体" w:cs="宋体"/>
          <w:color w:val="auto"/>
          <w:sz w:val="24"/>
          <w:szCs w:val="24"/>
          <w:lang w:val="en-US" w:eastAsia="zh-CN"/>
        </w:rPr>
        <w:t xml:space="preserve"> </w:t>
      </w:r>
    </w:p>
    <w:p>
      <w:pPr>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0374-2952651 </w:t>
      </w:r>
      <w:r>
        <w:rPr>
          <w:rFonts w:hint="eastAsia" w:ascii="宋体" w:hAnsi="宋体" w:eastAsia="宋体" w:cs="宋体"/>
          <w:color w:val="auto"/>
          <w:sz w:val="24"/>
          <w:szCs w:val="24"/>
        </w:rPr>
        <w:t xml:space="preserve"> </w:t>
      </w:r>
    </w:p>
    <w:p>
      <w:pPr>
        <w:spacing w:line="440" w:lineRule="exact"/>
        <w:ind w:firstLine="46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代理机构：</w:t>
      </w:r>
      <w:r>
        <w:rPr>
          <w:rFonts w:hint="eastAsia" w:ascii="宋体" w:hAnsi="宋体" w:eastAsia="宋体" w:cs="宋体"/>
          <w:color w:val="auto"/>
          <w:sz w:val="24"/>
          <w:szCs w:val="24"/>
          <w:lang w:eastAsia="zh-CN"/>
        </w:rPr>
        <w:t>河南鼎华招标代理有限公司</w:t>
      </w:r>
    </w:p>
    <w:p>
      <w:pPr>
        <w:spacing w:line="440" w:lineRule="exact"/>
        <w:ind w:firstLine="46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地址：许昌市</w:t>
      </w:r>
      <w:r>
        <w:rPr>
          <w:rFonts w:hint="eastAsia" w:ascii="宋体" w:hAnsi="宋体" w:eastAsia="宋体" w:cs="宋体"/>
          <w:color w:val="auto"/>
          <w:sz w:val="24"/>
          <w:szCs w:val="24"/>
          <w:lang w:eastAsia="zh-CN"/>
        </w:rPr>
        <w:t>新许路建设银行三楼</w:t>
      </w:r>
    </w:p>
    <w:p>
      <w:pPr>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罗</w:t>
      </w:r>
      <w:r>
        <w:rPr>
          <w:rFonts w:hint="eastAsia" w:ascii="宋体" w:hAnsi="宋体" w:eastAsia="宋体" w:cs="宋体"/>
          <w:color w:val="auto"/>
          <w:sz w:val="24"/>
          <w:szCs w:val="24"/>
        </w:rPr>
        <w:t>女士</w:t>
      </w:r>
    </w:p>
    <w:p>
      <w:pPr>
        <w:spacing w:line="440" w:lineRule="exact"/>
        <w:ind w:firstLine="465"/>
        <w:rPr>
          <w:rFonts w:hint="eastAsia" w:ascii="宋体" w:hAnsi="宋体" w:eastAsia="宋体" w:cs="宋体"/>
          <w:color w:val="auto"/>
          <w:sz w:val="24"/>
          <w:szCs w:val="24"/>
          <w:lang w:val="en-US"/>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13137427609</w:t>
      </w:r>
    </w:p>
    <w:p>
      <w:pPr>
        <w:pStyle w:val="11"/>
        <w:ind w:firstLine="240"/>
        <w:jc w:val="righ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许昌市东泰建设工程有限公司</w:t>
      </w:r>
    </w:p>
    <w:p>
      <w:pPr>
        <w:pStyle w:val="11"/>
        <w:wordWrap w:val="0"/>
        <w:ind w:firstLine="240"/>
        <w:jc w:val="right"/>
        <w:rPr>
          <w:rFonts w:hint="eastAsia" w:ascii="宋体" w:hAnsi="宋体" w:eastAsia="宋体" w:cs="宋体"/>
          <w:color w:val="auto"/>
          <w:sz w:val="24"/>
          <w:szCs w:val="24"/>
        </w:rPr>
      </w:pPr>
      <w:r>
        <w:rPr>
          <w:rFonts w:hint="eastAsia" w:ascii="宋体" w:hAnsi="宋体" w:eastAsia="宋体" w:cs="宋体"/>
          <w:bCs/>
          <w:color w:val="auto"/>
          <w:sz w:val="24"/>
          <w:szCs w:val="24"/>
        </w:rPr>
        <w:t>20</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13</w:t>
      </w:r>
      <w:r>
        <w:rPr>
          <w:rFonts w:hint="eastAsia" w:ascii="宋体" w:hAnsi="宋体" w:eastAsia="宋体" w:cs="宋体"/>
          <w:bCs/>
          <w:color w:val="auto"/>
          <w:sz w:val="24"/>
          <w:szCs w:val="24"/>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26" w:beforeAutospacing="0" w:after="0" w:afterAutospacing="0" w:line="360" w:lineRule="auto"/>
        <w:ind w:left="0" w:right="0"/>
        <w:jc w:val="left"/>
        <w:textAlignment w:val="auto"/>
        <w:rPr>
          <w:rFonts w:hint="eastAsia" w:ascii="宋体" w:hAnsi="宋体" w:eastAsia="宋体" w:cs="宋体"/>
          <w:b w:val="0"/>
          <w:i w:val="0"/>
          <w:color w:val="auto"/>
          <w:sz w:val="24"/>
          <w:szCs w:val="24"/>
        </w:rPr>
      </w:pPr>
      <w:r>
        <w:rPr>
          <w:rFonts w:hint="eastAsia" w:ascii="宋体" w:hAnsi="宋体" w:eastAsia="宋体" w:cs="宋体"/>
          <w:b/>
          <w:i w:val="0"/>
          <w:color w:val="auto"/>
          <w:kern w:val="0"/>
          <w:sz w:val="24"/>
          <w:szCs w:val="24"/>
          <w:u w:val="none"/>
          <w:shd w:val="clear" w:fill="FFFFFF"/>
          <w:lang w:val="en-US" w:eastAsia="zh-CN" w:bidi="ar"/>
        </w:rPr>
        <w:t>温馨提示：</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本项目为全流程电子化交易项目，请认真阅读招标文件，并注意以下事项。</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1.投标人应按招标文件规定编制、提交、解密电子投标文件。</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2.电子文件下载、制作、提交期间和远程不见面开标（电子投标文件的解密）环节，投标人须使用同一个CA数字证书（证书须在有效期内并可正常使用）。</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3.电子投标文件的制作</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3.1 投标人登录《全国公共资源交易平台(河南省▪许昌市)》公共资源交易系统（</w:t>
      </w:r>
      <w:r>
        <w:rPr>
          <w:rFonts w:hint="eastAsia" w:ascii="宋体" w:hAnsi="宋体" w:eastAsia="宋体" w:cs="宋体"/>
          <w:bCs/>
          <w:color w:val="auto"/>
          <w:sz w:val="24"/>
          <w:szCs w:val="24"/>
          <w:lang w:val="en-US" w:eastAsia="zh-CN"/>
        </w:rPr>
        <w:fldChar w:fldCharType="begin"/>
      </w:r>
      <w:r>
        <w:rPr>
          <w:rFonts w:hint="eastAsia" w:ascii="宋体" w:hAnsi="宋体" w:eastAsia="宋体" w:cs="宋体"/>
          <w:bCs/>
          <w:color w:val="auto"/>
          <w:sz w:val="24"/>
          <w:szCs w:val="24"/>
          <w:lang w:val="en-US" w:eastAsia="zh-CN"/>
        </w:rPr>
        <w:instrText xml:space="preserve"> HYPERLINK "http://221.14.6.70:8088/ggzy/" </w:instrText>
      </w:r>
      <w:r>
        <w:rPr>
          <w:rFonts w:hint="eastAsia" w:ascii="宋体" w:hAnsi="宋体" w:eastAsia="宋体" w:cs="宋体"/>
          <w:bCs/>
          <w:color w:val="auto"/>
          <w:sz w:val="24"/>
          <w:szCs w:val="24"/>
          <w:lang w:val="en-US" w:eastAsia="zh-CN"/>
        </w:rPr>
        <w:fldChar w:fldCharType="separate"/>
      </w:r>
      <w:r>
        <w:rPr>
          <w:rFonts w:hint="eastAsia" w:ascii="宋体" w:hAnsi="宋体" w:eastAsia="宋体" w:cs="宋体"/>
          <w:bCs/>
          <w:color w:val="auto"/>
          <w:sz w:val="24"/>
          <w:szCs w:val="24"/>
          <w:lang w:val="en-US" w:eastAsia="zh-CN"/>
        </w:rPr>
        <w:t>http://221.14.6.70:8088/ggzy/</w:t>
      </w:r>
      <w:r>
        <w:rPr>
          <w:rFonts w:hint="eastAsia" w:ascii="宋体" w:hAnsi="宋体" w:eastAsia="宋体" w:cs="宋体"/>
          <w:bCs/>
          <w:color w:val="auto"/>
          <w:sz w:val="24"/>
          <w:szCs w:val="24"/>
          <w:lang w:val="en-US" w:eastAsia="zh-CN"/>
        </w:rPr>
        <w:fldChar w:fldCharType="end"/>
      </w:r>
      <w:r>
        <w:rPr>
          <w:rFonts w:hint="eastAsia" w:ascii="宋体" w:hAnsi="宋体" w:eastAsia="宋体" w:cs="宋体"/>
          <w:bCs/>
          <w:color w:val="auto"/>
          <w:sz w:val="24"/>
          <w:szCs w:val="24"/>
          <w:lang w:val="en-US" w:eastAsia="zh-CN"/>
        </w:rPr>
        <w:t>）下载“许昌投标文件制作系统SEARUN 最新版本”，按招标文件要求制作电子投标文件。</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电子投标文件的制作，参考《全国公共资源交易平台(河南省▪许昌市)》公共资源交易系统——组件下载——交易系统操作手册（投标人、供应商）。</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 投标人须将招标文件要求的资质、业绩、荣誉及相关人员证明材料等资料原件扫描件（或图片）制作到所提交的电子投标文件中。</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3.3投标人对同一项目多个标段进行投标的，应分别下载所投标段的招标文件，按标段制作电子投标文件，并按招标文件要求在相应位置加盖投标人电子印章和法人电子印章。</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一个标段对应生成一个文件夹（xxxx项目xx标段）,其中后缀名为“.file”的文件用于电子投标使用。</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4.投标保证金的提交</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4.1使用银行转帐方式提交的，投标人通过基本账户将款项一次足额递交、成功绑定，以收款人到账时间为准。</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4.1.1投标人网上下载招标文件并根据每个标段的缴纳说明单在开标截止时间前提交。每个投标人每个项目每个标段只有唯一缴纳账号，切勿重复缴纳或错误缴纳。</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4.1.2提交后再次登录</w:t>
      </w:r>
      <w:r>
        <w:rPr>
          <w:rFonts w:hint="eastAsia" w:ascii="宋体" w:hAnsi="宋体" w:eastAsia="宋体" w:cs="宋体"/>
          <w:bCs/>
          <w:color w:val="auto"/>
          <w:sz w:val="24"/>
          <w:szCs w:val="24"/>
          <w:lang w:val="en-US" w:eastAsia="zh-CN"/>
        </w:rPr>
        <w:fldChar w:fldCharType="begin"/>
      </w:r>
      <w:r>
        <w:rPr>
          <w:rFonts w:hint="eastAsia" w:ascii="宋体" w:hAnsi="宋体" w:eastAsia="宋体" w:cs="宋体"/>
          <w:bCs/>
          <w:color w:val="auto"/>
          <w:sz w:val="24"/>
          <w:szCs w:val="24"/>
          <w:lang w:val="en-US" w:eastAsia="zh-CN"/>
        </w:rPr>
        <w:instrText xml:space="preserve"> HYPERLINK "http://221.14.6.70:8088/ggzy" </w:instrText>
      </w:r>
      <w:r>
        <w:rPr>
          <w:rFonts w:hint="eastAsia" w:ascii="宋体" w:hAnsi="宋体" w:eastAsia="宋体" w:cs="宋体"/>
          <w:bCs/>
          <w:color w:val="auto"/>
          <w:sz w:val="24"/>
          <w:szCs w:val="24"/>
          <w:lang w:val="en-US" w:eastAsia="zh-CN"/>
        </w:rPr>
        <w:fldChar w:fldCharType="separate"/>
      </w:r>
      <w:r>
        <w:rPr>
          <w:rFonts w:hint="eastAsia" w:ascii="宋体" w:hAnsi="宋体" w:eastAsia="宋体" w:cs="宋体"/>
          <w:bCs/>
          <w:color w:val="auto"/>
          <w:sz w:val="24"/>
          <w:szCs w:val="24"/>
          <w:lang w:val="en-US" w:eastAsia="zh-CN"/>
        </w:rPr>
        <w:t>http://221.14.6.70:8088/ggzy</w:t>
      </w:r>
      <w:r>
        <w:rPr>
          <w:rFonts w:hint="eastAsia" w:ascii="宋体" w:hAnsi="宋体" w:eastAsia="宋体" w:cs="宋体"/>
          <w:bCs/>
          <w:color w:val="auto"/>
          <w:sz w:val="24"/>
          <w:szCs w:val="24"/>
          <w:lang w:val="en-US" w:eastAsia="zh-CN"/>
        </w:rPr>
        <w:fldChar w:fldCharType="end"/>
      </w:r>
      <w:r>
        <w:rPr>
          <w:rFonts w:hint="eastAsia" w:ascii="宋体" w:hAnsi="宋体" w:eastAsia="宋体" w:cs="宋体"/>
          <w:bCs/>
          <w:color w:val="auto"/>
          <w:sz w:val="24"/>
          <w:szCs w:val="24"/>
          <w:lang w:val="en-US" w:eastAsia="zh-CN"/>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4.1.3投标人按照所投项目及标段将缴纳凭证“许昌公共资源交易中心保证金缴纳回执”附于投标文件中。</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5.加密电子投标文件的提交</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5.1加密电子投标文件应按规定在投标截止时间（开标时间）之前成功提交至《全国公共资源交易平台(河南省▪许昌市)》公共资源交易系统（</w:t>
      </w:r>
      <w:r>
        <w:rPr>
          <w:rFonts w:hint="eastAsia" w:ascii="宋体" w:hAnsi="宋体" w:eastAsia="宋体" w:cs="宋体"/>
          <w:bCs/>
          <w:color w:val="auto"/>
          <w:sz w:val="24"/>
          <w:szCs w:val="24"/>
          <w:lang w:val="en-US" w:eastAsia="zh-CN"/>
        </w:rPr>
        <w:fldChar w:fldCharType="begin"/>
      </w:r>
      <w:r>
        <w:rPr>
          <w:rFonts w:hint="eastAsia" w:ascii="宋体" w:hAnsi="宋体" w:eastAsia="宋体" w:cs="宋体"/>
          <w:bCs/>
          <w:color w:val="auto"/>
          <w:sz w:val="24"/>
          <w:szCs w:val="24"/>
          <w:lang w:val="en-US" w:eastAsia="zh-CN"/>
        </w:rPr>
        <w:instrText xml:space="preserve"> HYPERLINK "http://221.14.6.70:8088/ggzy/" </w:instrText>
      </w:r>
      <w:r>
        <w:rPr>
          <w:rFonts w:hint="eastAsia" w:ascii="宋体" w:hAnsi="宋体" w:eastAsia="宋体" w:cs="宋体"/>
          <w:bCs/>
          <w:color w:val="auto"/>
          <w:sz w:val="24"/>
          <w:szCs w:val="24"/>
          <w:lang w:val="en-US" w:eastAsia="zh-CN"/>
        </w:rPr>
        <w:fldChar w:fldCharType="separate"/>
      </w:r>
      <w:r>
        <w:rPr>
          <w:rFonts w:hint="eastAsia" w:ascii="宋体" w:hAnsi="宋体" w:eastAsia="宋体" w:cs="宋体"/>
          <w:bCs/>
          <w:color w:val="auto"/>
          <w:sz w:val="24"/>
          <w:szCs w:val="24"/>
          <w:lang w:val="en-US" w:eastAsia="zh-CN"/>
        </w:rPr>
        <w:t>http://221.14.6.70:8088/ggzy/</w:t>
      </w:r>
      <w:r>
        <w:rPr>
          <w:rFonts w:hint="eastAsia" w:ascii="宋体" w:hAnsi="宋体" w:eastAsia="宋体" w:cs="宋体"/>
          <w:bCs/>
          <w:color w:val="auto"/>
          <w:sz w:val="24"/>
          <w:szCs w:val="24"/>
          <w:lang w:val="en-US" w:eastAsia="zh-CN"/>
        </w:rPr>
        <w:fldChar w:fldCharType="end"/>
      </w:r>
      <w:r>
        <w:rPr>
          <w:rFonts w:hint="eastAsia" w:ascii="宋体" w:hAnsi="宋体" w:eastAsia="宋体" w:cs="宋体"/>
          <w:bCs/>
          <w:color w:val="auto"/>
          <w:sz w:val="24"/>
          <w:szCs w:val="24"/>
          <w:lang w:val="en-US" w:eastAsia="zh-CN"/>
        </w:rPr>
        <w:t>）。</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投标人应充分考虑并预留技术处理和上传数据所需时间。</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5.2 投标人对同一项目多个标段进行投标的，加密电子投标文件应按标段分别提交。</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5.3 加密电子投标文件成功提交后，《全国公共资源交易平台(河南省▪许昌市)》公共资源交易系统（</w:t>
      </w:r>
      <w:r>
        <w:rPr>
          <w:rFonts w:hint="eastAsia" w:ascii="宋体" w:hAnsi="宋体" w:eastAsia="宋体" w:cs="宋体"/>
          <w:bCs/>
          <w:color w:val="auto"/>
          <w:sz w:val="24"/>
          <w:szCs w:val="24"/>
          <w:lang w:val="en-US" w:eastAsia="zh-CN"/>
        </w:rPr>
        <w:fldChar w:fldCharType="begin"/>
      </w:r>
      <w:r>
        <w:rPr>
          <w:rFonts w:hint="eastAsia" w:ascii="宋体" w:hAnsi="宋体" w:eastAsia="宋体" w:cs="宋体"/>
          <w:bCs/>
          <w:color w:val="auto"/>
          <w:sz w:val="24"/>
          <w:szCs w:val="24"/>
          <w:lang w:val="en-US" w:eastAsia="zh-CN"/>
        </w:rPr>
        <w:instrText xml:space="preserve"> HYPERLINK "http://221.14.6.70:8088/ggzy/" </w:instrText>
      </w:r>
      <w:r>
        <w:rPr>
          <w:rFonts w:hint="eastAsia" w:ascii="宋体" w:hAnsi="宋体" w:eastAsia="宋体" w:cs="宋体"/>
          <w:bCs/>
          <w:color w:val="auto"/>
          <w:sz w:val="24"/>
          <w:szCs w:val="24"/>
          <w:lang w:val="en-US" w:eastAsia="zh-CN"/>
        </w:rPr>
        <w:fldChar w:fldCharType="separate"/>
      </w:r>
      <w:r>
        <w:rPr>
          <w:rFonts w:hint="eastAsia" w:ascii="宋体" w:hAnsi="宋体" w:eastAsia="宋体" w:cs="宋体"/>
          <w:bCs/>
          <w:color w:val="auto"/>
          <w:sz w:val="24"/>
          <w:szCs w:val="24"/>
          <w:lang w:val="en-US" w:eastAsia="zh-CN"/>
        </w:rPr>
        <w:t>http://221.14.6.70:8088/ggzy/</w:t>
      </w:r>
      <w:r>
        <w:rPr>
          <w:rFonts w:hint="eastAsia" w:ascii="宋体" w:hAnsi="宋体" w:eastAsia="宋体" w:cs="宋体"/>
          <w:bCs/>
          <w:color w:val="auto"/>
          <w:sz w:val="24"/>
          <w:szCs w:val="24"/>
          <w:lang w:val="en-US" w:eastAsia="zh-CN"/>
        </w:rPr>
        <w:fldChar w:fldCharType="end"/>
      </w:r>
      <w:r>
        <w:rPr>
          <w:rFonts w:hint="eastAsia" w:ascii="宋体" w:hAnsi="宋体" w:eastAsia="宋体" w:cs="宋体"/>
          <w:bCs/>
          <w:color w:val="auto"/>
          <w:sz w:val="24"/>
          <w:szCs w:val="24"/>
          <w:lang w:val="en-US" w:eastAsia="zh-CN"/>
        </w:rPr>
        <w:t>）生成“投标文件提交回执单”。</w:t>
      </w:r>
    </w:p>
    <w:p>
      <w:p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6.远程不见面开标（电子投标文件的解密）</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 投标人应熟悉《许昌市不见面开标操作手册》，并提前设置不见面开标浏览器（设置流程详见《许昌市不见面开标操作手册》）。</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 《许昌市不见面开标操作手册》下载路径：全国公共资源交易平台（河南省·许昌市）—“资料下载”栏目。</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6.3开标时间前投标人应登录本项目不见面开标大厅，按照招标文件确定的开标时间准时参加网上开标。</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6.4投标人对开标过程和开标记录如有疑义，可在本项目不见面开标大厅“文字互动”对话框或“新增质疑”处在线提出询问。</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6.5根据采购代理机构在“文字互动”对话框的通知，投标人选择功能栏“解密环节”按钮进行电子投标文件解密</w:t>
      </w:r>
      <w:r>
        <w:rPr>
          <w:rFonts w:hint="eastAsia" w:ascii="宋体" w:hAnsi="宋体" w:eastAsia="宋体" w:cs="宋体"/>
          <w:color w:val="auto"/>
          <w:sz w:val="24"/>
          <w:szCs w:val="24"/>
        </w:rPr>
        <w:t>（投标人解密应自代理机构在到达投标截止时间时点击“开标”按钮，开标开始并进行解密60分钟内完成）</w:t>
      </w:r>
      <w:r>
        <w:rPr>
          <w:rFonts w:hint="eastAsia" w:ascii="宋体" w:hAnsi="宋体" w:eastAsia="宋体" w:cs="宋体"/>
          <w:bCs/>
          <w:color w:val="auto"/>
          <w:sz w:val="24"/>
          <w:szCs w:val="24"/>
          <w:lang w:val="en-US" w:eastAsia="zh-CN"/>
        </w:rPr>
        <w:t>。投标人未解密或因投标人原因解密失败的，其投标将被拒绝。</w:t>
      </w:r>
    </w:p>
    <w:p>
      <w:pPr>
        <w:spacing w:line="530" w:lineRule="exact"/>
        <w:ind w:firstLine="46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6.6项目远程不见面开标活动结束时，投标人应在《开标记录表》上进行电子签章。投标人未签章的，视同认可开标结果。</w:t>
      </w:r>
    </w:p>
    <w:p>
      <w:pPr>
        <w:numPr>
          <w:ilvl w:val="0"/>
          <w:numId w:val="2"/>
        </w:numPr>
        <w:spacing w:line="530" w:lineRule="exact"/>
        <w:ind w:firstLine="465"/>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评标依据</w:t>
      </w:r>
    </w:p>
    <w:p>
      <w:pPr>
        <w:numPr>
          <w:ilvl w:val="0"/>
          <w:numId w:val="0"/>
        </w:numPr>
        <w:spacing w:line="53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7.1全流程电子化交易（远程不见面开标）项目，评标委员会以成功上传、解密的电子投标文件为评标依据。</w:t>
      </w:r>
    </w:p>
    <w:p>
      <w:pPr>
        <w:spacing w:line="530" w:lineRule="exact"/>
        <w:ind w:firstLine="465"/>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7.2 评审期间，保持投标文件提供的联系方式畅通，评标委员会随时可能对投标文件内容质询，投标人应及时进行答复（包括但不限于电子文档、电子邮件等）。</w:t>
      </w:r>
    </w:p>
    <w:p>
      <w:pPr>
        <w:spacing w:line="530" w:lineRule="exact"/>
        <w:ind w:firstLine="465"/>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7.3 有多轮报价的，各投标人应提前准备好分项报价，为多轮报价做好准备，在谈判小组发起报价通知后，在规定时间内提交有效报价。</w:t>
      </w:r>
    </w:p>
    <w:p>
      <w:pPr>
        <w:rPr>
          <w:rFonts w:hint="eastAsia" w:hAnsi="宋体" w:cs="宋体"/>
          <w:b/>
          <w:color w:val="auto"/>
          <w:sz w:val="36"/>
          <w:szCs w:val="36"/>
        </w:rPr>
      </w:pPr>
      <w:r>
        <w:rPr>
          <w:rFonts w:hint="eastAsia" w:hAnsi="宋体" w:cs="宋体"/>
          <w:b/>
          <w:color w:val="auto"/>
          <w:sz w:val="36"/>
          <w:szCs w:val="36"/>
        </w:rPr>
        <w:br w:type="page"/>
      </w:r>
    </w:p>
    <w:p>
      <w:pPr>
        <w:widowControl/>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44"/>
        <w:gridCol w:w="2928"/>
        <w:gridCol w:w="158"/>
        <w:gridCol w:w="351"/>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条款号</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条</w:t>
            </w:r>
            <w:r>
              <w:rPr>
                <w:rFonts w:ascii="宋体" w:hAnsi="宋体" w:cs="仿宋_GB2312"/>
                <w:color w:val="auto"/>
                <w:kern w:val="0"/>
                <w:sz w:val="24"/>
              </w:rPr>
              <w:t xml:space="preserve"> </w:t>
            </w:r>
            <w:r>
              <w:rPr>
                <w:rFonts w:hint="eastAsia" w:ascii="宋体" w:hAnsi="宋体" w:cs="仿宋_GB2312"/>
                <w:color w:val="auto"/>
                <w:kern w:val="0"/>
                <w:sz w:val="24"/>
              </w:rPr>
              <w:t>款</w:t>
            </w:r>
            <w:r>
              <w:rPr>
                <w:rFonts w:ascii="宋体" w:hAnsi="宋体" w:cs="仿宋_GB2312"/>
                <w:color w:val="auto"/>
                <w:kern w:val="0"/>
                <w:sz w:val="24"/>
              </w:rPr>
              <w:t xml:space="preserve"> </w:t>
            </w:r>
            <w:r>
              <w:rPr>
                <w:rFonts w:hint="eastAsia" w:ascii="宋体" w:hAnsi="宋体" w:cs="仿宋_GB2312"/>
                <w:color w:val="auto"/>
                <w:kern w:val="0"/>
                <w:sz w:val="24"/>
              </w:rPr>
              <w:t>名</w:t>
            </w:r>
            <w:r>
              <w:rPr>
                <w:rFonts w:ascii="宋体" w:hAnsi="宋体" w:cs="仿宋_GB2312"/>
                <w:color w:val="auto"/>
                <w:kern w:val="0"/>
                <w:sz w:val="24"/>
              </w:rPr>
              <w:t xml:space="preserve"> </w:t>
            </w:r>
            <w:r>
              <w:rPr>
                <w:rFonts w:hint="eastAsia" w:ascii="宋体" w:hAnsi="宋体" w:cs="仿宋_GB2312"/>
                <w:color w:val="auto"/>
                <w:kern w:val="0"/>
                <w:sz w:val="24"/>
              </w:rPr>
              <w:t>称</w:t>
            </w:r>
          </w:p>
        </w:tc>
        <w:tc>
          <w:tcPr>
            <w:tcW w:w="5905"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编</w:t>
            </w:r>
            <w:r>
              <w:rPr>
                <w:rFonts w:ascii="宋体" w:hAnsi="宋体" w:cs="仿宋_GB2312"/>
                <w:color w:val="auto"/>
                <w:kern w:val="0"/>
                <w:sz w:val="24"/>
              </w:rPr>
              <w:t xml:space="preserve"> </w:t>
            </w:r>
            <w:r>
              <w:rPr>
                <w:rFonts w:hint="eastAsia" w:ascii="宋体" w:hAnsi="宋体" w:cs="仿宋_GB2312"/>
                <w:color w:val="auto"/>
                <w:kern w:val="0"/>
                <w:sz w:val="24"/>
              </w:rPr>
              <w:t>列</w:t>
            </w:r>
            <w:r>
              <w:rPr>
                <w:rFonts w:ascii="宋体" w:hAnsi="宋体" w:cs="仿宋_GB2312"/>
                <w:color w:val="auto"/>
                <w:kern w:val="0"/>
                <w:sz w:val="24"/>
              </w:rPr>
              <w:t xml:space="preserve"> </w:t>
            </w:r>
            <w:r>
              <w:rPr>
                <w:rFonts w:hint="eastAsia" w:ascii="宋体" w:hAnsi="宋体" w:cs="仿宋_GB2312"/>
                <w:color w:val="auto"/>
                <w:kern w:val="0"/>
                <w:sz w:val="24"/>
              </w:rPr>
              <w:t>内</w:t>
            </w:r>
            <w:r>
              <w:rPr>
                <w:rFonts w:ascii="宋体" w:hAnsi="宋体" w:cs="仿宋_GB2312"/>
                <w:color w:val="auto"/>
                <w:kern w:val="0"/>
                <w:sz w:val="24"/>
              </w:rPr>
              <w:t xml:space="preserve"> </w:t>
            </w:r>
            <w:r>
              <w:rPr>
                <w:rFonts w:hint="eastAsia" w:ascii="宋体" w:hAnsi="宋体" w:cs="仿宋_GB2312"/>
                <w:color w:val="auto"/>
                <w:kern w:val="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 w:type="dxa"/>
            <w:gridSpan w:val="2"/>
            <w:noWrap w:val="0"/>
            <w:vAlign w:val="center"/>
          </w:tcPr>
          <w:p>
            <w:pPr>
              <w:autoSpaceDE w:val="0"/>
              <w:autoSpaceDN w:val="0"/>
              <w:adjustRightInd w:val="0"/>
              <w:jc w:val="center"/>
              <w:rPr>
                <w:rFonts w:hint="eastAsia" w:ascii="宋体" w:hAnsi="宋体" w:cs="黑体"/>
                <w:color w:val="auto"/>
                <w:kern w:val="0"/>
                <w:sz w:val="24"/>
              </w:rPr>
            </w:pPr>
            <w:bookmarkStart w:id="2" w:name="OLE_LINK17" w:colFirst="1" w:colLast="2"/>
            <w:r>
              <w:rPr>
                <w:rFonts w:ascii="宋体" w:hAnsi="宋体" w:cs="TimesNewRomanPSMT"/>
                <w:color w:val="auto"/>
                <w:sz w:val="24"/>
              </w:rPr>
              <w:t>1.1.</w:t>
            </w:r>
            <w:r>
              <w:rPr>
                <w:rFonts w:hint="eastAsia" w:ascii="宋体" w:hAnsi="宋体" w:cs="TimesNewRomanPSMT"/>
                <w:color w:val="auto"/>
                <w:sz w:val="24"/>
              </w:rPr>
              <w:t>1</w:t>
            </w:r>
          </w:p>
        </w:tc>
        <w:tc>
          <w:tcPr>
            <w:tcW w:w="3086" w:type="dxa"/>
            <w:gridSpan w:val="2"/>
            <w:noWrap w:val="0"/>
            <w:vAlign w:val="center"/>
          </w:tcPr>
          <w:p>
            <w:pPr>
              <w:autoSpaceDE w:val="0"/>
              <w:autoSpaceDN w:val="0"/>
              <w:adjustRightInd w:val="0"/>
              <w:jc w:val="center"/>
              <w:rPr>
                <w:rFonts w:hint="eastAsia" w:ascii="宋体" w:hAnsi="宋体" w:cs="仿宋_GB2312"/>
                <w:color w:val="auto"/>
                <w:kern w:val="0"/>
                <w:sz w:val="24"/>
              </w:rPr>
            </w:pPr>
            <w:r>
              <w:rPr>
                <w:rFonts w:hint="eastAsia" w:ascii="宋体" w:hAnsi="宋体" w:cs="仿宋_GB2312"/>
                <w:color w:val="auto"/>
                <w:sz w:val="24"/>
              </w:rPr>
              <w:t>招标人</w:t>
            </w:r>
          </w:p>
        </w:tc>
        <w:tc>
          <w:tcPr>
            <w:tcW w:w="5905" w:type="dxa"/>
            <w:gridSpan w:val="2"/>
            <w:noWrap w:val="0"/>
            <w:vAlign w:val="center"/>
          </w:tcPr>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招 标 人：</w:t>
            </w:r>
            <w:r>
              <w:rPr>
                <w:rFonts w:hint="eastAsia" w:hAnsi="宋体" w:eastAsia="宋体" w:cs="宋体"/>
                <w:color w:val="auto"/>
                <w:sz w:val="24"/>
                <w:lang w:eastAsia="zh-CN"/>
              </w:rPr>
              <w:t>许昌市东泰建设工程有限公司</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地    址：许昌市新兴东路    </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联 系 人：</w:t>
            </w:r>
            <w:r>
              <w:rPr>
                <w:rFonts w:hint="eastAsia" w:hAnsi="宋体" w:eastAsia="宋体" w:cs="宋体"/>
                <w:color w:val="auto"/>
                <w:sz w:val="24"/>
                <w:lang w:val="en-US" w:eastAsia="zh-CN"/>
              </w:rPr>
              <w:t>李先生</w:t>
            </w:r>
          </w:p>
          <w:p>
            <w:pPr>
              <w:autoSpaceDE w:val="0"/>
              <w:autoSpaceDN w:val="0"/>
              <w:adjustRightInd w:val="0"/>
              <w:spacing w:line="420" w:lineRule="exact"/>
              <w:jc w:val="left"/>
              <w:rPr>
                <w:rFonts w:ascii="宋体" w:hAnsi="宋体" w:cs="仿宋_GB2312"/>
                <w:color w:val="auto"/>
                <w:sz w:val="24"/>
              </w:rPr>
            </w:pPr>
            <w:r>
              <w:rPr>
                <w:rFonts w:hint="eastAsia" w:hAnsi="宋体" w:eastAsia="宋体" w:cs="宋体"/>
                <w:color w:val="auto"/>
                <w:sz w:val="24"/>
              </w:rPr>
              <w:t>联系电话：</w:t>
            </w:r>
            <w:r>
              <w:rPr>
                <w:rFonts w:hint="eastAsia" w:hAnsi="宋体" w:eastAsia="宋体" w:cs="宋体"/>
                <w:color w:val="auto"/>
                <w:sz w:val="24"/>
                <w:lang w:val="en-US" w:eastAsia="zh-CN"/>
              </w:rPr>
              <w:t xml:space="preserve">0374-2952651  </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 w:type="dxa"/>
            <w:gridSpan w:val="2"/>
            <w:noWrap w:val="0"/>
            <w:vAlign w:val="center"/>
          </w:tcPr>
          <w:p>
            <w:pPr>
              <w:autoSpaceDE w:val="0"/>
              <w:autoSpaceDN w:val="0"/>
              <w:adjustRightInd w:val="0"/>
              <w:jc w:val="center"/>
              <w:rPr>
                <w:rFonts w:hint="eastAsia" w:ascii="宋体" w:hAnsi="宋体" w:cs="仿宋_GB2312"/>
                <w:color w:val="auto"/>
                <w:kern w:val="0"/>
                <w:sz w:val="24"/>
              </w:rPr>
            </w:pPr>
            <w:r>
              <w:rPr>
                <w:rFonts w:hint="eastAsia" w:ascii="宋体" w:hAnsi="宋体" w:cs="TimesNewRomanPSMT"/>
                <w:color w:val="auto"/>
                <w:sz w:val="24"/>
              </w:rPr>
              <w:t>1.1.2</w:t>
            </w:r>
          </w:p>
        </w:tc>
        <w:tc>
          <w:tcPr>
            <w:tcW w:w="3086" w:type="dxa"/>
            <w:gridSpan w:val="2"/>
            <w:noWrap w:val="0"/>
            <w:vAlign w:val="center"/>
          </w:tcPr>
          <w:p>
            <w:pPr>
              <w:autoSpaceDE w:val="0"/>
              <w:autoSpaceDN w:val="0"/>
              <w:adjustRightInd w:val="0"/>
              <w:jc w:val="center"/>
              <w:rPr>
                <w:rFonts w:hint="eastAsia" w:ascii="宋体" w:hAnsi="宋体" w:cs="仿宋_GB2312"/>
                <w:color w:val="auto"/>
                <w:kern w:val="0"/>
                <w:sz w:val="24"/>
              </w:rPr>
            </w:pPr>
            <w:r>
              <w:rPr>
                <w:rFonts w:hint="eastAsia" w:ascii="宋体" w:hAnsi="宋体" w:cs="黑体"/>
                <w:color w:val="auto"/>
                <w:sz w:val="24"/>
              </w:rPr>
              <w:t>招标代理机构</w:t>
            </w:r>
          </w:p>
        </w:tc>
        <w:tc>
          <w:tcPr>
            <w:tcW w:w="5905" w:type="dxa"/>
            <w:gridSpan w:val="2"/>
            <w:noWrap w:val="0"/>
            <w:vAlign w:val="center"/>
          </w:tcPr>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代理机构：</w:t>
            </w:r>
            <w:r>
              <w:rPr>
                <w:rFonts w:hint="eastAsia" w:hAnsi="宋体" w:eastAsia="宋体" w:cs="宋体"/>
                <w:color w:val="auto"/>
                <w:sz w:val="24"/>
                <w:lang w:eastAsia="zh-CN"/>
              </w:rPr>
              <w:t>河南鼎华招标代理有限公司</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地址：许昌市</w:t>
            </w:r>
            <w:r>
              <w:rPr>
                <w:rFonts w:hint="eastAsia" w:hAnsi="宋体" w:eastAsia="宋体" w:cs="宋体"/>
                <w:color w:val="auto"/>
                <w:sz w:val="24"/>
                <w:lang w:eastAsia="zh-CN"/>
              </w:rPr>
              <w:t>新许路建设银行三楼</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联系人：</w:t>
            </w:r>
            <w:r>
              <w:rPr>
                <w:rFonts w:hint="eastAsia" w:hAnsi="宋体" w:eastAsia="宋体" w:cs="宋体"/>
                <w:color w:val="auto"/>
                <w:sz w:val="24"/>
                <w:lang w:eastAsia="zh-CN"/>
              </w:rPr>
              <w:t>罗</w:t>
            </w:r>
            <w:r>
              <w:rPr>
                <w:rFonts w:hint="eastAsia" w:hAnsi="宋体" w:eastAsia="宋体" w:cs="宋体"/>
                <w:color w:val="auto"/>
                <w:sz w:val="24"/>
              </w:rPr>
              <w:t>女士</w:t>
            </w:r>
          </w:p>
          <w:p>
            <w:pPr>
              <w:autoSpaceDE w:val="0"/>
              <w:autoSpaceDN w:val="0"/>
              <w:adjustRightInd w:val="0"/>
              <w:spacing w:line="420" w:lineRule="exact"/>
              <w:jc w:val="left"/>
              <w:rPr>
                <w:rFonts w:ascii="宋体" w:hAnsi="宋体" w:cs="仿宋_GB2312"/>
                <w:color w:val="auto"/>
                <w:sz w:val="24"/>
              </w:rPr>
            </w:pPr>
            <w:r>
              <w:rPr>
                <w:rFonts w:hint="eastAsia" w:hAnsi="宋体" w:eastAsia="宋体" w:cs="宋体"/>
                <w:color w:val="auto"/>
                <w:sz w:val="24"/>
              </w:rPr>
              <w:t>电话：</w:t>
            </w:r>
            <w:r>
              <w:rPr>
                <w:rFonts w:hint="eastAsia" w:hAnsi="宋体" w:eastAsia="宋体" w:cs="宋体"/>
                <w:color w:val="auto"/>
                <w:sz w:val="24"/>
                <w:lang w:val="en-US" w:eastAsia="zh-CN"/>
              </w:rPr>
              <w:t>13137427609</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1.1.4</w:t>
            </w:r>
          </w:p>
        </w:tc>
        <w:tc>
          <w:tcPr>
            <w:tcW w:w="3086" w:type="dxa"/>
            <w:gridSpan w:val="2"/>
            <w:noWrap w:val="0"/>
            <w:vAlign w:val="center"/>
          </w:tcPr>
          <w:p>
            <w:pPr>
              <w:widowControl/>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5905" w:type="dxa"/>
            <w:gridSpan w:val="2"/>
            <w:noWrap w:val="0"/>
            <w:vAlign w:val="center"/>
          </w:tcPr>
          <w:p>
            <w:pPr>
              <w:rPr>
                <w:rFonts w:hint="eastAsia" w:ascii="宋体" w:hAnsi="宋体" w:eastAsia="宋体" w:cs="宋体"/>
                <w:color w:val="auto"/>
                <w:sz w:val="24"/>
                <w:lang w:eastAsia="zh-CN"/>
              </w:rPr>
            </w:pPr>
            <w:r>
              <w:rPr>
                <w:rFonts w:hint="eastAsia" w:hAnsi="宋体" w:eastAsia="宋体" w:cs="宋体"/>
                <w:bCs/>
                <w:color w:val="auto"/>
                <w:sz w:val="24"/>
                <w:szCs w:val="24"/>
                <w:lang w:eastAsia="zh-CN"/>
              </w:rPr>
              <w:t>许昌市东泰建设工程有限公司“许昌市东城区孙湾新苑（61-2#地）安置小区项目”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1"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1.1.5</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建设地点</w:t>
            </w:r>
          </w:p>
        </w:tc>
        <w:tc>
          <w:tcPr>
            <w:tcW w:w="5905" w:type="dxa"/>
            <w:gridSpan w:val="2"/>
            <w:noWrap w:val="0"/>
            <w:vAlign w:val="center"/>
          </w:tcPr>
          <w:p>
            <w:pPr>
              <w:autoSpaceDE w:val="0"/>
              <w:autoSpaceDN w:val="0"/>
              <w:adjustRightInd w:val="0"/>
              <w:spacing w:line="420" w:lineRule="exact"/>
              <w:jc w:val="left"/>
              <w:rPr>
                <w:rFonts w:ascii="宋体" w:hAnsi="宋体" w:cs="宋体"/>
                <w:color w:val="auto"/>
                <w:sz w:val="24"/>
              </w:rPr>
            </w:pPr>
            <w:r>
              <w:rPr>
                <w:rFonts w:hint="eastAsia" w:hAnsi="宋体" w:eastAsia="宋体" w:cs="宋体"/>
                <w:color w:val="auto"/>
                <w:sz w:val="24"/>
                <w:lang w:eastAsia="zh-CN"/>
              </w:rPr>
              <w:t>项目位于许昌市东城区</w:t>
            </w:r>
            <w:r>
              <w:rPr>
                <w:rFonts w:hint="eastAsia" w:hAnsi="宋体" w:eastAsia="宋体" w:cs="宋体"/>
                <w:color w:val="auto"/>
                <w:sz w:val="24"/>
                <w:lang w:val="en-US" w:eastAsia="zh-CN"/>
              </w:rPr>
              <w:t>61-2#地块，兴德路以北，莲城大道以南，兴业路以东，德星路以西</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1.2.1</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资金来源</w:t>
            </w:r>
          </w:p>
        </w:tc>
        <w:tc>
          <w:tcPr>
            <w:tcW w:w="5905" w:type="dxa"/>
            <w:gridSpan w:val="2"/>
            <w:noWrap w:val="0"/>
            <w:vAlign w:val="center"/>
          </w:tcPr>
          <w:p>
            <w:pPr>
              <w:autoSpaceDE w:val="0"/>
              <w:autoSpaceDN w:val="0"/>
              <w:adjustRightInd w:val="0"/>
              <w:spacing w:line="320" w:lineRule="exact"/>
              <w:rPr>
                <w:rFonts w:ascii="宋体" w:hAnsi="宋体"/>
                <w:color w:val="auto"/>
                <w:sz w:val="24"/>
              </w:rPr>
            </w:pPr>
            <w:r>
              <w:rPr>
                <w:rFonts w:hint="eastAsia" w:ascii="宋体" w:hAnsi="宋体" w:cs="黑体"/>
                <w:color w:val="auto"/>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1.2.2</w:t>
            </w:r>
          </w:p>
        </w:tc>
        <w:tc>
          <w:tcPr>
            <w:tcW w:w="3086"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出资比例</w:t>
            </w:r>
          </w:p>
        </w:tc>
        <w:tc>
          <w:tcPr>
            <w:tcW w:w="5905" w:type="dxa"/>
            <w:gridSpan w:val="2"/>
            <w:noWrap w:val="0"/>
            <w:vAlign w:val="center"/>
          </w:tcPr>
          <w:p>
            <w:pPr>
              <w:autoSpaceDE w:val="0"/>
              <w:autoSpaceDN w:val="0"/>
              <w:adjustRightInd w:val="0"/>
              <w:spacing w:line="320" w:lineRule="exact"/>
              <w:rPr>
                <w:rFonts w:ascii="宋体" w:hAnsi="宋体" w:cs="黑体"/>
                <w:color w:val="auto"/>
                <w:sz w:val="24"/>
              </w:rPr>
            </w:pPr>
            <w:r>
              <w:rPr>
                <w:rFonts w:hint="eastAsia" w:ascii="宋体"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1.2.3</w:t>
            </w:r>
          </w:p>
        </w:tc>
        <w:tc>
          <w:tcPr>
            <w:tcW w:w="3086"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资金落实情况</w:t>
            </w:r>
          </w:p>
        </w:tc>
        <w:tc>
          <w:tcPr>
            <w:tcW w:w="5905" w:type="dxa"/>
            <w:gridSpan w:val="2"/>
            <w:noWrap w:val="0"/>
            <w:vAlign w:val="center"/>
          </w:tcPr>
          <w:p>
            <w:pPr>
              <w:autoSpaceDE w:val="0"/>
              <w:autoSpaceDN w:val="0"/>
              <w:adjustRightInd w:val="0"/>
              <w:spacing w:line="420" w:lineRule="exact"/>
              <w:rPr>
                <w:rFonts w:hint="eastAsia" w:ascii="宋体" w:hAnsi="宋体" w:cs="黑体"/>
                <w:color w:val="auto"/>
                <w:kern w:val="0"/>
                <w:sz w:val="24"/>
              </w:rPr>
            </w:pPr>
            <w:r>
              <w:rPr>
                <w:rFonts w:hint="eastAsia" w:ascii="宋体" w:hAnsi="宋体" w:cs="仿宋_GB2312"/>
                <w:color w:val="auto"/>
                <w:kern w:val="0"/>
                <w:sz w:val="24"/>
              </w:rPr>
              <w:t>已经落实</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1.3.1</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监理范围</w:t>
            </w:r>
          </w:p>
        </w:tc>
        <w:tc>
          <w:tcPr>
            <w:tcW w:w="5905" w:type="dxa"/>
            <w:gridSpan w:val="2"/>
            <w:tcBorders>
              <w:bottom w:val="single" w:color="auto" w:sz="4" w:space="0"/>
            </w:tcBorders>
            <w:noWrap w:val="0"/>
            <w:vAlign w:val="center"/>
          </w:tcPr>
          <w:p>
            <w:pPr>
              <w:rPr>
                <w:rFonts w:hint="eastAsia" w:ascii="宋体" w:hAnsi="宋体" w:cs="仿宋_GB2312"/>
                <w:color w:val="auto"/>
                <w:kern w:val="0"/>
                <w:sz w:val="24"/>
              </w:rPr>
            </w:pPr>
            <w:r>
              <w:rPr>
                <w:rFonts w:hint="eastAsia" w:hAnsi="宋体" w:cs="宋体"/>
                <w:color w:val="auto"/>
                <w:sz w:val="24"/>
              </w:rPr>
              <w:t>为本项目施工及保修阶段全过程监理工作。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1.3.2</w:t>
            </w:r>
          </w:p>
        </w:tc>
        <w:tc>
          <w:tcPr>
            <w:tcW w:w="3086" w:type="dxa"/>
            <w:gridSpan w:val="2"/>
            <w:tcBorders>
              <w:right w:val="single" w:color="auto" w:sz="4" w:space="0"/>
            </w:tcBorders>
            <w:noWrap w:val="0"/>
            <w:vAlign w:val="center"/>
          </w:tcPr>
          <w:p>
            <w:pPr>
              <w:autoSpaceDE w:val="0"/>
              <w:autoSpaceDN w:val="0"/>
              <w:adjustRightInd w:val="0"/>
              <w:spacing w:line="460" w:lineRule="exact"/>
              <w:jc w:val="center"/>
              <w:rPr>
                <w:rFonts w:hint="eastAsia" w:ascii="宋体" w:hAnsi="宋体" w:cs="仿宋_GB2312"/>
                <w:color w:val="auto"/>
                <w:kern w:val="0"/>
                <w:sz w:val="24"/>
              </w:rPr>
            </w:pPr>
            <w:r>
              <w:rPr>
                <w:rFonts w:hint="eastAsia" w:ascii="宋体" w:hAnsi="宋体" w:cs="仿宋_GB2312"/>
                <w:color w:val="auto"/>
                <w:kern w:val="0"/>
                <w:sz w:val="24"/>
              </w:rPr>
              <w:t>监理服务期</w:t>
            </w:r>
          </w:p>
        </w:tc>
        <w:tc>
          <w:tcPr>
            <w:tcW w:w="59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eastAsia" w:ascii="宋体" w:hAnsi="宋体" w:cs="仿宋_GB2312"/>
                <w:color w:val="auto"/>
                <w:kern w:val="0"/>
                <w:sz w:val="24"/>
              </w:rPr>
            </w:pPr>
            <w:r>
              <w:rPr>
                <w:rFonts w:hint="eastAsia" w:ascii="宋体" w:hAnsi="宋体" w:cs="宋体"/>
                <w:bCs/>
                <w:color w:val="auto"/>
                <w:sz w:val="24"/>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1.3.3</w:t>
            </w:r>
          </w:p>
        </w:tc>
        <w:tc>
          <w:tcPr>
            <w:tcW w:w="3086" w:type="dxa"/>
            <w:gridSpan w:val="2"/>
            <w:noWrap w:val="0"/>
            <w:vAlign w:val="center"/>
          </w:tcPr>
          <w:p>
            <w:pPr>
              <w:ind w:right="-1047" w:rightChars="-308" w:firstLine="960" w:firstLineChars="400"/>
              <w:rPr>
                <w:rFonts w:hint="eastAsia" w:ascii="宋体" w:hAnsi="宋体" w:cs="仿宋_GB2312"/>
                <w:color w:val="auto"/>
                <w:kern w:val="0"/>
                <w:sz w:val="24"/>
              </w:rPr>
            </w:pPr>
            <w:r>
              <w:rPr>
                <w:rFonts w:hint="eastAsia" w:ascii="宋体" w:hAnsi="宋体" w:cs="仿宋_GB2312"/>
                <w:color w:val="auto"/>
                <w:kern w:val="0"/>
                <w:sz w:val="24"/>
              </w:rPr>
              <w:t>质量要求</w:t>
            </w:r>
          </w:p>
        </w:tc>
        <w:tc>
          <w:tcPr>
            <w:tcW w:w="5905" w:type="dxa"/>
            <w:gridSpan w:val="2"/>
            <w:noWrap w:val="0"/>
            <w:vAlign w:val="center"/>
          </w:tcPr>
          <w:p>
            <w:pPr>
              <w:ind w:right="-1047" w:rightChars="-308"/>
              <w:rPr>
                <w:rFonts w:hint="eastAsia" w:ascii="宋体" w:hAnsi="宋体" w:cs="仿宋_GB2312"/>
                <w:color w:val="auto"/>
                <w:kern w:val="0"/>
                <w:sz w:val="24"/>
              </w:rPr>
            </w:pPr>
            <w:r>
              <w:rPr>
                <w:rFonts w:hint="eastAsia" w:hAnsi="宋体" w:cs="宋体"/>
                <w:bCs/>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1.4.1</w:t>
            </w:r>
          </w:p>
        </w:tc>
        <w:tc>
          <w:tcPr>
            <w:tcW w:w="3086" w:type="dxa"/>
            <w:gridSpan w:val="2"/>
            <w:noWrap w:val="0"/>
            <w:vAlign w:val="center"/>
          </w:tcPr>
          <w:p>
            <w:pPr>
              <w:autoSpaceDE w:val="0"/>
              <w:autoSpaceDN w:val="0"/>
              <w:adjustRightInd w:val="0"/>
              <w:spacing w:line="460" w:lineRule="exact"/>
              <w:jc w:val="center"/>
              <w:rPr>
                <w:rFonts w:hint="eastAsia" w:ascii="宋体" w:hAnsi="宋体" w:cs="仿宋_GB2312"/>
                <w:color w:val="auto"/>
                <w:kern w:val="0"/>
                <w:sz w:val="24"/>
              </w:rPr>
            </w:pPr>
            <w:r>
              <w:rPr>
                <w:rFonts w:hint="eastAsia" w:ascii="宋体" w:hAnsi="宋体" w:cs="仿宋_GB2312"/>
                <w:color w:val="auto"/>
                <w:kern w:val="0"/>
                <w:sz w:val="24"/>
              </w:rPr>
              <w:t>投标人资质条件</w:t>
            </w:r>
          </w:p>
        </w:tc>
        <w:tc>
          <w:tcPr>
            <w:tcW w:w="5905" w:type="dxa"/>
            <w:gridSpan w:val="2"/>
            <w:noWrap w:val="0"/>
            <w:vAlign w:val="center"/>
          </w:tcPr>
          <w:p>
            <w:pPr>
              <w:widowControl/>
              <w:spacing w:line="400" w:lineRule="exact"/>
              <w:rPr>
                <w:rFonts w:ascii="宋体" w:hAnsi="宋体"/>
                <w:color w:val="auto"/>
                <w:sz w:val="24"/>
              </w:rPr>
            </w:pPr>
            <w:r>
              <w:rPr>
                <w:rFonts w:hint="eastAsia" w:ascii="宋体" w:hAnsi="宋体"/>
                <w:color w:val="auto"/>
                <w:sz w:val="24"/>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1.4.2</w:t>
            </w:r>
          </w:p>
        </w:tc>
        <w:tc>
          <w:tcPr>
            <w:tcW w:w="3086" w:type="dxa"/>
            <w:gridSpan w:val="2"/>
            <w:noWrap w:val="0"/>
            <w:vAlign w:val="center"/>
          </w:tcPr>
          <w:p>
            <w:pPr>
              <w:autoSpaceDE w:val="0"/>
              <w:autoSpaceDN w:val="0"/>
              <w:adjustRightInd w:val="0"/>
              <w:spacing w:line="460" w:lineRule="exact"/>
              <w:jc w:val="center"/>
              <w:rPr>
                <w:rFonts w:hint="eastAsia" w:ascii="宋体" w:hAnsi="宋体" w:cs="仿宋_GB2312"/>
                <w:color w:val="auto"/>
                <w:kern w:val="0"/>
                <w:sz w:val="24"/>
              </w:rPr>
            </w:pPr>
            <w:r>
              <w:rPr>
                <w:rFonts w:hint="eastAsia" w:ascii="宋体" w:hAnsi="宋体" w:cs="仿宋_GB2312"/>
                <w:color w:val="auto"/>
                <w:kern w:val="0"/>
                <w:sz w:val="24"/>
              </w:rPr>
              <w:t>是否接受联合体投标</w:t>
            </w:r>
          </w:p>
        </w:tc>
        <w:tc>
          <w:tcPr>
            <w:tcW w:w="5905" w:type="dxa"/>
            <w:gridSpan w:val="2"/>
            <w:noWrap w:val="0"/>
            <w:vAlign w:val="top"/>
          </w:tcPr>
          <w:p>
            <w:pPr>
              <w:autoSpaceDE w:val="0"/>
              <w:autoSpaceDN w:val="0"/>
              <w:adjustRightInd w:val="0"/>
              <w:spacing w:line="420" w:lineRule="exact"/>
              <w:jc w:val="left"/>
              <w:rPr>
                <w:rFonts w:ascii="宋体" w:hAnsi="宋体"/>
                <w:color w:val="auto"/>
                <w:sz w:val="24"/>
              </w:rPr>
            </w:pPr>
            <w:r>
              <w:rPr>
                <w:rFonts w:hint="eastAsia" w:ascii="宋体" w:hAnsi="宋体" w:cs="仿宋_GB2312"/>
                <w:color w:val="auto"/>
                <w:kern w:val="0"/>
                <w:sz w:val="24"/>
              </w:rPr>
              <w:t>不接受</w:t>
            </w:r>
            <w:r>
              <w:rPr>
                <w:rFonts w:hint="eastAsia" w:ascii="宋体"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1.9.1</w:t>
            </w:r>
          </w:p>
        </w:tc>
        <w:tc>
          <w:tcPr>
            <w:tcW w:w="3086" w:type="dxa"/>
            <w:gridSpan w:val="2"/>
            <w:noWrap w:val="0"/>
            <w:vAlign w:val="center"/>
          </w:tcPr>
          <w:p>
            <w:pPr>
              <w:jc w:val="center"/>
              <w:rPr>
                <w:rFonts w:hint="eastAsia" w:ascii="宋体" w:hAnsi="宋体" w:cs="黑体"/>
                <w:color w:val="auto"/>
                <w:kern w:val="0"/>
                <w:sz w:val="24"/>
              </w:rPr>
            </w:pPr>
            <w:r>
              <w:rPr>
                <w:rFonts w:hint="eastAsia" w:ascii="宋体" w:hAnsi="宋体" w:cs="仿宋_GB2312"/>
                <w:color w:val="auto"/>
                <w:kern w:val="0"/>
                <w:sz w:val="24"/>
              </w:rPr>
              <w:t>踏勘现场</w:t>
            </w:r>
          </w:p>
        </w:tc>
        <w:tc>
          <w:tcPr>
            <w:tcW w:w="5905" w:type="dxa"/>
            <w:gridSpan w:val="2"/>
            <w:noWrap w:val="0"/>
            <w:vAlign w:val="top"/>
          </w:tcPr>
          <w:p>
            <w:pPr>
              <w:spacing w:line="312" w:lineRule="auto"/>
              <w:rPr>
                <w:rFonts w:ascii="宋体" w:hAnsi="宋体"/>
                <w:color w:val="auto"/>
                <w:sz w:val="24"/>
              </w:rPr>
            </w:pPr>
            <w:r>
              <w:rPr>
                <w:rFonts w:hint="eastAsia" w:ascii="宋体" w:hAnsi="宋体" w:cs="仿宋_GB2312"/>
                <w:color w:val="auto"/>
                <w:kern w:val="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jc w:val="center"/>
              <w:rPr>
                <w:rFonts w:hint="eastAsia" w:ascii="宋体" w:hAnsi="宋体" w:cs="TimesNewRomanPSMT"/>
                <w:color w:val="auto"/>
                <w:kern w:val="0"/>
                <w:sz w:val="24"/>
              </w:rPr>
            </w:pPr>
            <w:r>
              <w:rPr>
                <w:rFonts w:hint="eastAsia" w:ascii="宋体" w:hAnsi="宋体" w:cs="仿宋_GB2312"/>
                <w:color w:val="auto"/>
                <w:kern w:val="0"/>
                <w:sz w:val="24"/>
              </w:rPr>
              <w:t>1.10.1</w:t>
            </w:r>
          </w:p>
        </w:tc>
        <w:tc>
          <w:tcPr>
            <w:tcW w:w="3086" w:type="dxa"/>
            <w:gridSpan w:val="2"/>
            <w:noWrap w:val="0"/>
            <w:vAlign w:val="center"/>
          </w:tcPr>
          <w:p>
            <w:pPr>
              <w:jc w:val="center"/>
              <w:rPr>
                <w:rFonts w:hint="eastAsia" w:ascii="宋体" w:hAnsi="宋体" w:cs="仿宋_GB2312"/>
                <w:color w:val="auto"/>
                <w:kern w:val="0"/>
                <w:sz w:val="24"/>
              </w:rPr>
            </w:pPr>
            <w:r>
              <w:rPr>
                <w:rFonts w:hint="eastAsia" w:ascii="宋体" w:hAnsi="宋体" w:cs="仿宋_GB2312"/>
                <w:color w:val="auto"/>
                <w:kern w:val="0"/>
                <w:sz w:val="24"/>
              </w:rPr>
              <w:t>投标预备会</w:t>
            </w:r>
          </w:p>
        </w:tc>
        <w:tc>
          <w:tcPr>
            <w:tcW w:w="5905" w:type="dxa"/>
            <w:gridSpan w:val="2"/>
            <w:noWrap w:val="0"/>
            <w:vAlign w:val="top"/>
          </w:tcPr>
          <w:p>
            <w:pPr>
              <w:spacing w:line="312" w:lineRule="auto"/>
              <w:rPr>
                <w:rFonts w:ascii="宋体" w:hAnsi="宋体"/>
                <w:color w:val="auto"/>
                <w:sz w:val="24"/>
              </w:rPr>
            </w:pPr>
            <w:r>
              <w:rPr>
                <w:rFonts w:hint="eastAsia" w:ascii="宋体" w:hAnsi="宋体" w:cs="仿宋_GB2312"/>
                <w:color w:val="auto"/>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spacing w:line="360" w:lineRule="auto"/>
              <w:jc w:val="center"/>
              <w:rPr>
                <w:rFonts w:hint="eastAsia" w:ascii="宋体" w:hAnsi="宋体"/>
                <w:color w:val="auto"/>
                <w:sz w:val="24"/>
              </w:rPr>
            </w:pPr>
            <w:r>
              <w:rPr>
                <w:rFonts w:hint="eastAsia" w:ascii="宋体" w:hAnsi="宋体"/>
                <w:color w:val="auto"/>
                <w:sz w:val="24"/>
              </w:rPr>
              <w:t>1.10.2</w:t>
            </w:r>
          </w:p>
        </w:tc>
        <w:tc>
          <w:tcPr>
            <w:tcW w:w="3086" w:type="dxa"/>
            <w:gridSpan w:val="2"/>
            <w:noWrap w:val="0"/>
            <w:vAlign w:val="center"/>
          </w:tcPr>
          <w:p>
            <w:pPr>
              <w:autoSpaceDE w:val="0"/>
              <w:autoSpaceDN w:val="0"/>
              <w:adjustRightInd w:val="0"/>
              <w:spacing w:line="420" w:lineRule="exact"/>
              <w:jc w:val="center"/>
              <w:rPr>
                <w:rFonts w:hint="eastAsia" w:ascii="宋体" w:hAnsi="宋体"/>
                <w:color w:val="auto"/>
                <w:sz w:val="24"/>
              </w:rPr>
            </w:pPr>
            <w:r>
              <w:rPr>
                <w:rFonts w:hint="eastAsia" w:ascii="宋体" w:hAnsi="宋体" w:cs="仿宋_GB2312"/>
                <w:color w:val="auto"/>
                <w:sz w:val="24"/>
              </w:rPr>
              <w:t>投标人提出问题的截止时间</w:t>
            </w:r>
          </w:p>
        </w:tc>
        <w:tc>
          <w:tcPr>
            <w:tcW w:w="5905" w:type="dxa"/>
            <w:gridSpan w:val="2"/>
            <w:noWrap w:val="0"/>
            <w:vAlign w:val="center"/>
          </w:tcPr>
          <w:p>
            <w:pPr>
              <w:autoSpaceDE w:val="0"/>
              <w:autoSpaceDN w:val="0"/>
              <w:adjustRightInd w:val="0"/>
              <w:spacing w:line="420" w:lineRule="exact"/>
              <w:jc w:val="left"/>
              <w:rPr>
                <w:rFonts w:hint="eastAsia" w:ascii="宋体" w:hAnsi="宋体"/>
                <w:color w:val="auto"/>
                <w:sz w:val="24"/>
              </w:rPr>
            </w:pPr>
            <w:r>
              <w:rPr>
                <w:rFonts w:hint="eastAsia" w:ascii="宋体" w:hAnsi="宋体" w:cs="仿宋_GB2312"/>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spacing w:line="360" w:lineRule="auto"/>
              <w:jc w:val="center"/>
              <w:rPr>
                <w:rFonts w:hint="eastAsia" w:ascii="宋体" w:hAnsi="宋体"/>
                <w:color w:val="auto"/>
                <w:sz w:val="24"/>
              </w:rPr>
            </w:pPr>
            <w:r>
              <w:rPr>
                <w:rFonts w:hint="eastAsia" w:ascii="宋体" w:hAnsi="宋体"/>
                <w:color w:val="auto"/>
                <w:sz w:val="24"/>
              </w:rPr>
              <w:t>1.10.3</w:t>
            </w:r>
          </w:p>
        </w:tc>
        <w:tc>
          <w:tcPr>
            <w:tcW w:w="3086" w:type="dxa"/>
            <w:gridSpan w:val="2"/>
            <w:noWrap w:val="0"/>
            <w:vAlign w:val="center"/>
          </w:tcPr>
          <w:p>
            <w:pPr>
              <w:jc w:val="center"/>
              <w:rPr>
                <w:rFonts w:hint="eastAsia" w:ascii="宋体" w:hAnsi="宋体"/>
                <w:color w:val="auto"/>
                <w:sz w:val="24"/>
              </w:rPr>
            </w:pPr>
            <w:r>
              <w:rPr>
                <w:rFonts w:hint="eastAsia" w:ascii="宋体" w:hAnsi="宋体"/>
                <w:color w:val="auto"/>
                <w:sz w:val="24"/>
              </w:rPr>
              <w:t>招标人澄清的时间</w:t>
            </w:r>
          </w:p>
        </w:tc>
        <w:tc>
          <w:tcPr>
            <w:tcW w:w="5905" w:type="dxa"/>
            <w:gridSpan w:val="2"/>
            <w:noWrap w:val="0"/>
            <w:vAlign w:val="center"/>
          </w:tcPr>
          <w:p>
            <w:pPr>
              <w:rPr>
                <w:rFonts w:hint="eastAsia" w:ascii="宋体" w:hAnsi="宋体"/>
                <w:color w:val="auto"/>
                <w:sz w:val="24"/>
              </w:rPr>
            </w:pPr>
            <w:r>
              <w:rPr>
                <w:rFonts w:hint="eastAsia" w:ascii="宋体" w:hAnsi="宋体" w:cs="仿宋_GB2312"/>
                <w:color w:val="auto"/>
                <w:sz w:val="24"/>
              </w:rPr>
              <w:t>投标截止时间15日</w:t>
            </w:r>
            <w:r>
              <w:rPr>
                <w:rFonts w:ascii="宋体" w:hAnsi="宋体" w:cs="仿宋_GB2312"/>
                <w:color w:val="auto"/>
                <w:sz w:val="24"/>
              </w:rPr>
              <w:t>前</w:t>
            </w:r>
            <w:r>
              <w:rPr>
                <w:rFonts w:hint="eastAsia" w:ascii="宋体" w:hAnsi="宋体" w:cs="仿宋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1.11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分包</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1.12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偏离</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2.1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构成招标文件的其他材料</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2.2.1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投标人要求澄清招标文件的截止时间</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黑体"/>
                <w:color w:val="auto"/>
                <w:kern w:val="0"/>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2.2.2</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投标截止时间</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bCs/>
                <w:color w:val="auto"/>
                <w:sz w:val="24"/>
                <w:lang w:eastAsia="zh-CN"/>
              </w:rPr>
              <w:t>2020年</w:t>
            </w:r>
            <w:r>
              <w:rPr>
                <w:rFonts w:hint="eastAsia" w:hAnsi="宋体"/>
                <w:bCs/>
                <w:color w:val="auto"/>
                <w:sz w:val="24"/>
                <w:lang w:val="en-US" w:eastAsia="zh-CN"/>
              </w:rPr>
              <w:t>5</w:t>
            </w:r>
            <w:r>
              <w:rPr>
                <w:rFonts w:hint="eastAsia" w:ascii="宋体" w:hAnsi="宋体"/>
                <w:bCs/>
                <w:color w:val="auto"/>
                <w:sz w:val="24"/>
                <w:lang w:eastAsia="zh-CN"/>
              </w:rPr>
              <w:t>月</w:t>
            </w:r>
            <w:r>
              <w:rPr>
                <w:rFonts w:hint="eastAsia" w:hAnsi="宋体"/>
                <w:bCs/>
                <w:color w:val="auto"/>
                <w:sz w:val="24"/>
                <w:lang w:val="en-US" w:eastAsia="zh-CN"/>
              </w:rPr>
              <w:t>6</w:t>
            </w:r>
            <w:r>
              <w:rPr>
                <w:rFonts w:hint="eastAsia" w:ascii="宋体" w:hAnsi="宋体"/>
                <w:bCs/>
                <w:color w:val="auto"/>
                <w:sz w:val="24"/>
                <w:lang w:eastAsia="zh-CN"/>
              </w:rPr>
              <w:t>日</w:t>
            </w:r>
            <w:r>
              <w:rPr>
                <w:rFonts w:hint="eastAsia" w:hAnsi="宋体"/>
                <w:bCs/>
                <w:color w:val="auto"/>
                <w:sz w:val="24"/>
                <w:lang w:val="en-US" w:eastAsia="zh-CN"/>
              </w:rPr>
              <w:t>8</w:t>
            </w:r>
            <w:r>
              <w:rPr>
                <w:rFonts w:hint="eastAsia" w:ascii="宋体" w:hAnsi="宋体"/>
                <w:bCs/>
                <w:color w:val="auto"/>
                <w:sz w:val="24"/>
                <w:lang w:eastAsia="zh-CN"/>
              </w:rPr>
              <w:t>时</w:t>
            </w:r>
            <w:r>
              <w:rPr>
                <w:rFonts w:hint="eastAsia" w:hAnsi="宋体"/>
                <w:bCs/>
                <w:color w:val="auto"/>
                <w:sz w:val="24"/>
                <w:lang w:val="en-US" w:eastAsia="zh-CN"/>
              </w:rPr>
              <w:t>30</w:t>
            </w:r>
            <w:r>
              <w:rPr>
                <w:rFonts w:hint="eastAsia" w:ascii="宋体" w:hAnsi="宋体"/>
                <w:bCs/>
                <w:color w:val="auto"/>
                <w:sz w:val="24"/>
                <w:lang w:eastAsia="zh-CN"/>
              </w:rPr>
              <w:t>分</w:t>
            </w:r>
            <w:r>
              <w:rPr>
                <w:rFonts w:hint="eastAsia" w:ascii="宋体" w:hAnsi="宋体" w:cs="仿宋_GB2312"/>
                <w:color w:val="auto"/>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2.2.3</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投标人确认收到招标文件澄清的时间</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黑体"/>
                <w:color w:val="auto"/>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2.3.2</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投标人确认收到招标文件修改的时间</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黑体"/>
                <w:color w:val="auto"/>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3.1.1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构成投标文件的其他材料</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黑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3.3.1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投标有效期</w:t>
            </w:r>
          </w:p>
        </w:tc>
        <w:tc>
          <w:tcPr>
            <w:tcW w:w="5905" w:type="dxa"/>
            <w:gridSpan w:val="2"/>
            <w:noWrap w:val="0"/>
            <w:vAlign w:val="top"/>
          </w:tcPr>
          <w:p>
            <w:pPr>
              <w:autoSpaceDE w:val="0"/>
              <w:autoSpaceDN w:val="0"/>
              <w:adjustRightInd w:val="0"/>
              <w:spacing w:line="360" w:lineRule="auto"/>
              <w:jc w:val="left"/>
              <w:rPr>
                <w:rFonts w:hint="eastAsia" w:ascii="宋体" w:hAnsi="宋体" w:cs="黑体"/>
                <w:color w:val="auto"/>
                <w:kern w:val="0"/>
                <w:sz w:val="24"/>
              </w:rPr>
            </w:pPr>
            <w:r>
              <w:rPr>
                <w:rFonts w:hint="eastAsia" w:ascii="宋体" w:hAnsi="宋体" w:cs="仿宋_GB2312"/>
                <w:color w:val="auto"/>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1" w:type="dxa"/>
            <w:gridSpan w:val="2"/>
            <w:noWrap w:val="0"/>
            <w:vAlign w:val="center"/>
          </w:tcPr>
          <w:p>
            <w:pPr>
              <w:autoSpaceDE w:val="0"/>
              <w:autoSpaceDN w:val="0"/>
              <w:adjustRightInd w:val="0"/>
              <w:spacing w:line="420" w:lineRule="exact"/>
              <w:jc w:val="center"/>
              <w:rPr>
                <w:rFonts w:hint="eastAsia" w:ascii="宋体" w:hAnsi="宋体" w:cs="黑体"/>
                <w:color w:val="auto"/>
                <w:kern w:val="0"/>
                <w:sz w:val="24"/>
              </w:rPr>
            </w:pPr>
            <w:bookmarkStart w:id="3" w:name="OLE_LINK22" w:colFirst="1" w:colLast="2"/>
            <w:r>
              <w:rPr>
                <w:rFonts w:ascii="宋体" w:hAnsi="宋体" w:cs="TimesNewRomanPSMT"/>
                <w:color w:val="auto"/>
                <w:kern w:val="0"/>
                <w:sz w:val="24"/>
              </w:rPr>
              <w:t>3.4.1</w:t>
            </w:r>
          </w:p>
        </w:tc>
        <w:tc>
          <w:tcPr>
            <w:tcW w:w="3086" w:type="dxa"/>
            <w:gridSpan w:val="2"/>
            <w:noWrap w:val="0"/>
            <w:vAlign w:val="center"/>
          </w:tcPr>
          <w:p>
            <w:pPr>
              <w:autoSpaceDE w:val="0"/>
              <w:autoSpaceDN w:val="0"/>
              <w:adjustRightInd w:val="0"/>
              <w:spacing w:line="420" w:lineRule="exact"/>
              <w:jc w:val="center"/>
              <w:rPr>
                <w:rFonts w:hint="eastAsia" w:ascii="宋体" w:hAnsi="宋体" w:cs="黑体"/>
                <w:color w:val="auto"/>
                <w:kern w:val="0"/>
                <w:sz w:val="24"/>
              </w:rPr>
            </w:pPr>
            <w:r>
              <w:rPr>
                <w:rFonts w:hint="eastAsia" w:ascii="宋体" w:hAnsi="宋体" w:cs="仿宋_GB2312"/>
                <w:color w:val="auto"/>
                <w:sz w:val="24"/>
              </w:rPr>
              <w:t>投标保证金须知</w:t>
            </w:r>
          </w:p>
        </w:tc>
        <w:tc>
          <w:tcPr>
            <w:tcW w:w="5905" w:type="dxa"/>
            <w:gridSpan w:val="2"/>
            <w:noWrap w:val="0"/>
            <w:vAlign w:val="center"/>
          </w:tcPr>
          <w:p>
            <w:pPr>
              <w:widowControl/>
              <w:spacing w:line="360" w:lineRule="auto"/>
              <w:rPr>
                <w:rFonts w:hint="eastAsia" w:ascii="宋体" w:hAnsi="宋体"/>
                <w:color w:val="auto"/>
                <w:sz w:val="24"/>
              </w:rPr>
            </w:pPr>
            <w:r>
              <w:rPr>
                <w:rFonts w:hint="eastAsia" w:ascii="宋体" w:hAnsi="宋体"/>
                <w:color w:val="auto"/>
                <w:sz w:val="24"/>
              </w:rPr>
              <w:t>1、自文件发布之日起，投标人需进行基本户备案（建设工程项目），已备案的基本户开户银行、账户发生变化的，须在投标保证金缴纳前办理变更手续。</w:t>
            </w:r>
          </w:p>
          <w:p>
            <w:pPr>
              <w:widowControl/>
              <w:spacing w:line="360" w:lineRule="auto"/>
              <w:rPr>
                <w:rFonts w:hint="eastAsia" w:ascii="宋体" w:hAnsi="宋体"/>
                <w:color w:val="auto"/>
                <w:sz w:val="24"/>
              </w:rPr>
            </w:pPr>
            <w:r>
              <w:rPr>
                <w:rFonts w:hint="eastAsia" w:ascii="宋体" w:hAnsi="宋体"/>
                <w:color w:val="auto"/>
                <w:sz w:val="24"/>
              </w:rPr>
              <w:t xml:space="preserve">2、基本户备案流程： </w:t>
            </w:r>
          </w:p>
          <w:p>
            <w:pPr>
              <w:widowControl/>
              <w:spacing w:line="360" w:lineRule="auto"/>
              <w:rPr>
                <w:rFonts w:hint="eastAsia" w:ascii="宋体" w:hAnsi="宋体"/>
                <w:color w:val="auto"/>
                <w:sz w:val="24"/>
              </w:rPr>
            </w:pPr>
            <w:r>
              <w:rPr>
                <w:rFonts w:hint="eastAsia" w:ascii="宋体" w:hAnsi="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widowControl/>
              <w:spacing w:line="360" w:lineRule="auto"/>
              <w:rPr>
                <w:rFonts w:hint="eastAsia" w:ascii="宋体" w:hAnsi="宋体"/>
                <w:color w:val="auto"/>
                <w:sz w:val="24"/>
              </w:rPr>
            </w:pPr>
            <w:r>
              <w:rPr>
                <w:rFonts w:hint="eastAsia" w:ascii="宋体" w:hAnsi="宋体"/>
                <w:color w:val="auto"/>
                <w:sz w:val="24"/>
              </w:rPr>
              <w:t>3、特殊情况处理：</w:t>
            </w:r>
          </w:p>
          <w:p>
            <w:pPr>
              <w:widowControl/>
              <w:spacing w:line="360" w:lineRule="auto"/>
              <w:rPr>
                <w:rFonts w:hint="eastAsia" w:ascii="宋体" w:hAnsi="宋体"/>
                <w:color w:val="auto"/>
                <w:sz w:val="24"/>
              </w:rPr>
            </w:pPr>
            <w:r>
              <w:rPr>
                <w:rFonts w:hint="eastAsia" w:ascii="宋体" w:hAnsi="宋体"/>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widowControl/>
              <w:spacing w:line="360" w:lineRule="auto"/>
              <w:rPr>
                <w:rFonts w:hint="eastAsia" w:ascii="宋体" w:hAnsi="宋体" w:cs="仿宋_GB2312"/>
                <w:b/>
                <w:color w:val="auto"/>
                <w:kern w:val="0"/>
                <w:sz w:val="24"/>
              </w:rPr>
            </w:pPr>
            <w:r>
              <w:rPr>
                <w:rFonts w:hint="eastAsia" w:ascii="宋体" w:hAnsi="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gridSpan w:val="2"/>
            <w:noWrap w:val="0"/>
            <w:vAlign w:val="center"/>
          </w:tcPr>
          <w:p>
            <w:pPr>
              <w:autoSpaceDE w:val="0"/>
              <w:autoSpaceDN w:val="0"/>
              <w:adjustRightInd w:val="0"/>
              <w:spacing w:line="420" w:lineRule="exact"/>
              <w:jc w:val="center"/>
              <w:rPr>
                <w:rFonts w:hint="eastAsia" w:ascii="宋体" w:hAnsi="宋体" w:cs="TimesNewRomanPSMT"/>
                <w:color w:val="auto"/>
                <w:kern w:val="0"/>
                <w:sz w:val="24"/>
              </w:rPr>
            </w:pPr>
            <w:r>
              <w:rPr>
                <w:rFonts w:hint="eastAsia" w:ascii="宋体" w:hAnsi="宋体" w:cs="TimesNewRomanPSMT"/>
                <w:color w:val="auto"/>
                <w:kern w:val="0"/>
                <w:sz w:val="24"/>
              </w:rPr>
              <w:t>3.4.2</w:t>
            </w:r>
          </w:p>
        </w:tc>
        <w:tc>
          <w:tcPr>
            <w:tcW w:w="3086" w:type="dxa"/>
            <w:gridSpan w:val="2"/>
            <w:noWrap w:val="0"/>
            <w:vAlign w:val="center"/>
          </w:tcPr>
          <w:p>
            <w:pPr>
              <w:autoSpaceDE w:val="0"/>
              <w:autoSpaceDN w:val="0"/>
              <w:adjustRightInd w:val="0"/>
              <w:spacing w:line="420" w:lineRule="exact"/>
              <w:jc w:val="center"/>
              <w:rPr>
                <w:rFonts w:hint="eastAsia" w:ascii="宋体" w:hAnsi="宋体" w:cs="仿宋_GB2312"/>
                <w:color w:val="auto"/>
                <w:kern w:val="0"/>
                <w:sz w:val="24"/>
              </w:rPr>
            </w:pPr>
            <w:r>
              <w:rPr>
                <w:rFonts w:hint="eastAsia" w:ascii="宋体" w:hAnsi="宋体" w:cs="仿宋_GB2312"/>
                <w:color w:val="auto"/>
                <w:sz w:val="24"/>
              </w:rPr>
              <w:t>投标保证金</w:t>
            </w:r>
          </w:p>
        </w:tc>
        <w:tc>
          <w:tcPr>
            <w:tcW w:w="5905" w:type="dxa"/>
            <w:gridSpan w:val="2"/>
            <w:noWrap w:val="0"/>
            <w:vAlign w:val="center"/>
          </w:tcPr>
          <w:p>
            <w:pPr>
              <w:widowControl/>
              <w:spacing w:line="360" w:lineRule="auto"/>
              <w:rPr>
                <w:rFonts w:hint="eastAsia" w:ascii="宋体" w:hAnsi="宋体"/>
                <w:b/>
                <w:bCs/>
                <w:color w:val="auto"/>
                <w:sz w:val="24"/>
              </w:rPr>
            </w:pPr>
            <w:r>
              <w:rPr>
                <w:rFonts w:hint="eastAsia" w:ascii="宋体" w:hAnsi="宋体"/>
                <w:color w:val="auto"/>
                <w:sz w:val="24"/>
              </w:rPr>
              <w:t>投标保证金递交截止时间：</w:t>
            </w:r>
            <w:r>
              <w:rPr>
                <w:rFonts w:hint="eastAsia" w:ascii="宋体" w:hAnsi="宋体"/>
                <w:b/>
                <w:bCs/>
                <w:color w:val="auto"/>
                <w:sz w:val="24"/>
              </w:rPr>
              <w:t>同投标截止时间。</w:t>
            </w:r>
          </w:p>
          <w:p>
            <w:pPr>
              <w:widowControl/>
              <w:spacing w:line="360" w:lineRule="auto"/>
              <w:rPr>
                <w:rFonts w:hint="eastAsia" w:ascii="宋体" w:hAnsi="宋体"/>
                <w:b/>
                <w:bCs/>
                <w:color w:val="auto"/>
                <w:sz w:val="24"/>
              </w:rPr>
            </w:pPr>
            <w:r>
              <w:rPr>
                <w:rFonts w:hint="eastAsia" w:ascii="宋体" w:hAnsi="宋体"/>
                <w:b/>
                <w:bCs/>
                <w:color w:val="auto"/>
                <w:sz w:val="24"/>
              </w:rPr>
              <w:t>金额：</w:t>
            </w:r>
            <w:r>
              <w:rPr>
                <w:rFonts w:hint="eastAsia" w:hAnsi="宋体"/>
                <w:b/>
                <w:bCs/>
                <w:color w:val="auto"/>
                <w:sz w:val="24"/>
                <w:lang w:val="en-US" w:eastAsia="zh-CN"/>
              </w:rPr>
              <w:t>捌拾万元</w:t>
            </w:r>
            <w:r>
              <w:rPr>
                <w:rFonts w:hint="eastAsia" w:ascii="宋体" w:hAnsi="宋体"/>
                <w:b/>
                <w:bCs/>
                <w:color w:val="auto"/>
                <w:sz w:val="24"/>
              </w:rPr>
              <w:t>整</w:t>
            </w:r>
            <w:r>
              <w:rPr>
                <w:rFonts w:hint="eastAsia" w:ascii="宋体" w:hAnsi="宋体" w:cs="仿宋_GB2312"/>
                <w:b/>
                <w:bCs/>
                <w:color w:val="auto"/>
                <w:sz w:val="24"/>
              </w:rPr>
              <w:t>（￥</w:t>
            </w:r>
            <w:r>
              <w:rPr>
                <w:rFonts w:hint="eastAsia" w:hAnsi="宋体" w:cs="仿宋_GB2312"/>
                <w:b/>
                <w:bCs/>
                <w:color w:val="auto"/>
                <w:sz w:val="24"/>
                <w:lang w:val="en-US" w:eastAsia="zh-CN"/>
              </w:rPr>
              <w:t>800000</w:t>
            </w:r>
            <w:r>
              <w:rPr>
                <w:rFonts w:hint="eastAsia" w:ascii="宋体" w:hAnsi="宋体" w:cs="仿宋_GB2312"/>
                <w:b/>
                <w:bCs/>
                <w:color w:val="auto"/>
                <w:sz w:val="24"/>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widowControl/>
              <w:spacing w:line="360" w:lineRule="auto"/>
              <w:rPr>
                <w:rFonts w:hint="eastAsia" w:ascii="宋体" w:hAnsi="宋体" w:cs="仿宋_GB2312"/>
                <w:color w:val="auto"/>
                <w:kern w:val="0"/>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r>
              <w:rPr>
                <w:rFonts w:hint="eastAsia" w:ascii="宋体" w:hAnsi="宋体"/>
                <w:color w:val="auto"/>
                <w:sz w:val="24"/>
                <w:lang w:val="zh-CN"/>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3.5.2</w:t>
            </w:r>
          </w:p>
        </w:tc>
        <w:tc>
          <w:tcPr>
            <w:tcW w:w="3086"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ascii="宋体" w:hAnsi="宋体" w:cs="TimesNewRomanPSMT"/>
                <w:color w:val="auto"/>
                <w:kern w:val="0"/>
                <w:sz w:val="24"/>
              </w:rPr>
              <w:t>近年财务状况的年份要求</w:t>
            </w:r>
          </w:p>
        </w:tc>
        <w:tc>
          <w:tcPr>
            <w:tcW w:w="5905"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ascii="宋体" w:hAnsi="宋体" w:cs="TimesNewRomanPSMT"/>
                <w:color w:val="auto"/>
                <w:sz w:val="24"/>
              </w:rPr>
              <w:t>近年，指2016、2017、2018年。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3.5.3</w:t>
            </w:r>
          </w:p>
        </w:tc>
        <w:tc>
          <w:tcPr>
            <w:tcW w:w="3086"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近年完成的类似项目</w:t>
            </w:r>
          </w:p>
        </w:tc>
        <w:tc>
          <w:tcPr>
            <w:tcW w:w="5905"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hAnsi="宋体" w:cs="宋体"/>
                <w:color w:val="auto"/>
                <w:sz w:val="24"/>
              </w:rPr>
              <w:t>近年，指 201</w:t>
            </w:r>
            <w:r>
              <w:rPr>
                <w:rFonts w:hint="eastAsia" w:hAnsi="宋体" w:cs="宋体"/>
                <w:color w:val="auto"/>
                <w:sz w:val="24"/>
                <w:lang w:val="en-US" w:eastAsia="zh-CN"/>
              </w:rPr>
              <w:t>7</w:t>
            </w:r>
            <w:r>
              <w:rPr>
                <w:rFonts w:hint="eastAsia" w:hAnsi="宋体" w:cs="宋体"/>
                <w:color w:val="auto"/>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3.5.5</w:t>
            </w:r>
          </w:p>
        </w:tc>
        <w:tc>
          <w:tcPr>
            <w:tcW w:w="3086"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近年发生的诉讼及仲裁</w:t>
            </w:r>
          </w:p>
        </w:tc>
        <w:tc>
          <w:tcPr>
            <w:tcW w:w="5905" w:type="dxa"/>
            <w:gridSpan w:val="2"/>
            <w:noWrap w:val="0"/>
            <w:vAlign w:val="center"/>
          </w:tcPr>
          <w:p>
            <w:pPr>
              <w:autoSpaceDE w:val="0"/>
              <w:autoSpaceDN w:val="0"/>
              <w:adjustRightInd w:val="0"/>
              <w:rPr>
                <w:rFonts w:hint="eastAsia" w:ascii="宋体" w:hAnsi="宋体" w:cs="TimesNewRomanPSMT"/>
                <w:color w:val="auto"/>
                <w:kern w:val="0"/>
                <w:sz w:val="24"/>
              </w:rPr>
            </w:pPr>
            <w:r>
              <w:rPr>
                <w:rFonts w:hint="eastAsia" w:ascii="宋体" w:hAnsi="宋体" w:cs="仿宋_GB2312"/>
                <w:color w:val="auto"/>
                <w:kern w:val="0"/>
                <w:sz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TimesNewRomanPSMT"/>
                <w:color w:val="auto"/>
                <w:kern w:val="0"/>
                <w:sz w:val="24"/>
              </w:rPr>
            </w:pPr>
            <w:r>
              <w:rPr>
                <w:rFonts w:hint="eastAsia" w:ascii="宋体" w:hAnsi="宋体" w:cs="TimesNewRomanPSMT"/>
                <w:color w:val="auto"/>
                <w:kern w:val="0"/>
                <w:sz w:val="24"/>
              </w:rPr>
              <w:t>3.6</w:t>
            </w:r>
          </w:p>
        </w:tc>
        <w:tc>
          <w:tcPr>
            <w:tcW w:w="3086"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仿宋_GB2312"/>
                <w:color w:val="auto"/>
                <w:kern w:val="0"/>
                <w:sz w:val="24"/>
              </w:rPr>
              <w:t>是否允许递交备选投标方案</w:t>
            </w:r>
          </w:p>
        </w:tc>
        <w:tc>
          <w:tcPr>
            <w:tcW w:w="5905"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bookmarkStart w:id="4" w:name="OLE_LINK23" w:colFirst="1" w:colLast="2"/>
            <w:r>
              <w:rPr>
                <w:rFonts w:ascii="宋体" w:hAnsi="宋体" w:cs="TimesNewRomanPSMT"/>
                <w:color w:val="auto"/>
                <w:kern w:val="0"/>
                <w:sz w:val="24"/>
              </w:rPr>
              <w:t>3.7.3</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签字或盖章要求</w:t>
            </w:r>
          </w:p>
        </w:tc>
        <w:tc>
          <w:tcPr>
            <w:tcW w:w="5905" w:type="dxa"/>
            <w:gridSpan w:val="2"/>
            <w:noWrap w:val="0"/>
            <w:vAlign w:val="top"/>
          </w:tcPr>
          <w:p>
            <w:pPr>
              <w:widowControl/>
              <w:spacing w:line="360" w:lineRule="auto"/>
              <w:rPr>
                <w:rFonts w:hint="eastAsia" w:ascii="宋体" w:hAnsi="宋体"/>
                <w:b/>
                <w:color w:val="auto"/>
                <w:sz w:val="24"/>
                <w:lang w:val="zh-CN"/>
              </w:rPr>
            </w:pPr>
            <w:r>
              <w:rPr>
                <w:rFonts w:hint="eastAsia" w:ascii="宋体" w:hAnsi="宋体"/>
                <w:color w:val="auto"/>
                <w:sz w:val="24"/>
                <w:szCs w:val="22"/>
              </w:rPr>
              <w:t>电子投标文件：按招标文件要求加盖</w:t>
            </w:r>
            <w:r>
              <w:rPr>
                <w:rFonts w:hint="eastAsia" w:ascii="宋体" w:hAnsi="宋体" w:cs="宋体"/>
                <w:color w:val="auto"/>
                <w:sz w:val="24"/>
                <w:szCs w:val="22"/>
                <w:lang w:val="zh-CN"/>
              </w:rPr>
              <w:t>电子印章和法人电子印章</w:t>
            </w:r>
            <w:r>
              <w:rPr>
                <w:rFonts w:hint="eastAsia" w:ascii="宋体"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3.7.4</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投标文件份数</w:t>
            </w:r>
          </w:p>
        </w:tc>
        <w:tc>
          <w:tcPr>
            <w:tcW w:w="5905" w:type="dxa"/>
            <w:gridSpan w:val="2"/>
            <w:noWrap w:val="0"/>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widowControl/>
              <w:spacing w:line="360" w:lineRule="auto"/>
              <w:rPr>
                <w:rFonts w:hint="eastAsia" w:ascii="宋体" w:hAnsi="宋体"/>
                <w:color w:val="auto"/>
                <w:sz w:val="24"/>
                <w:lang w:val="zh-CN"/>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3.7.5</w:t>
            </w:r>
          </w:p>
        </w:tc>
        <w:tc>
          <w:tcPr>
            <w:tcW w:w="3086" w:type="dxa"/>
            <w:gridSpan w:val="2"/>
            <w:noWrap w:val="0"/>
            <w:vAlign w:val="center"/>
          </w:tcPr>
          <w:p>
            <w:pPr>
              <w:autoSpaceDE w:val="0"/>
              <w:autoSpaceDN w:val="0"/>
              <w:adjustRightInd w:val="0"/>
              <w:spacing w:line="420" w:lineRule="exact"/>
              <w:jc w:val="center"/>
              <w:rPr>
                <w:rFonts w:hint="eastAsia" w:ascii="宋体" w:hAnsi="宋体" w:cs="黑体"/>
                <w:color w:val="auto"/>
                <w:kern w:val="0"/>
                <w:sz w:val="24"/>
              </w:rPr>
            </w:pPr>
            <w:r>
              <w:rPr>
                <w:rFonts w:hint="eastAsia" w:hAnsi="宋体" w:eastAsia="宋体" w:cs="宋体"/>
                <w:color w:val="auto"/>
                <w:sz w:val="24"/>
              </w:rPr>
              <w:t>本项目是否采用不见面开标</w:t>
            </w:r>
          </w:p>
        </w:tc>
        <w:tc>
          <w:tcPr>
            <w:tcW w:w="5905" w:type="dxa"/>
            <w:gridSpan w:val="2"/>
            <w:noWrap w:val="0"/>
            <w:vAlign w:val="center"/>
          </w:tcPr>
          <w:p>
            <w:pPr>
              <w:autoSpaceDE w:val="0"/>
              <w:autoSpaceDN w:val="0"/>
              <w:adjustRightInd w:val="0"/>
              <w:spacing w:line="360" w:lineRule="auto"/>
              <w:rPr>
                <w:rFonts w:hint="eastAsia" w:ascii="宋体" w:hAnsi="宋体" w:cs="仿宋_GB2312"/>
                <w:b/>
                <w:color w:val="auto"/>
                <w:kern w:val="0"/>
                <w:sz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bookmarkStart w:id="5" w:name="OLE_LINK27" w:colFirst="1" w:colLast="2"/>
            <w:r>
              <w:rPr>
                <w:rFonts w:ascii="宋体" w:hAnsi="宋体" w:cs="TimesNewRomanPSMT"/>
                <w:color w:val="auto"/>
                <w:kern w:val="0"/>
                <w:sz w:val="24"/>
              </w:rPr>
              <w:t>4.2.2</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递交投标文件地点</w:t>
            </w:r>
          </w:p>
        </w:tc>
        <w:tc>
          <w:tcPr>
            <w:tcW w:w="5905" w:type="dxa"/>
            <w:gridSpan w:val="2"/>
            <w:noWrap w:val="0"/>
            <w:vAlign w:val="center"/>
          </w:tcPr>
          <w:p>
            <w:pPr>
              <w:spacing w:line="360" w:lineRule="auto"/>
              <w:rPr>
                <w:rFonts w:hint="eastAsia" w:ascii="宋体" w:hAnsi="宋体"/>
                <w:color w:val="auto"/>
                <w:sz w:val="24"/>
                <w:u w:val="single"/>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4.2.3</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是否退还投标文件</w:t>
            </w:r>
          </w:p>
        </w:tc>
        <w:tc>
          <w:tcPr>
            <w:tcW w:w="5905" w:type="dxa"/>
            <w:gridSpan w:val="2"/>
            <w:noWrap w:val="0"/>
            <w:vAlign w:val="center"/>
          </w:tcPr>
          <w:p>
            <w:pPr>
              <w:autoSpaceDE w:val="0"/>
              <w:autoSpaceDN w:val="0"/>
              <w:adjustRightInd w:val="0"/>
              <w:spacing w:line="360" w:lineRule="auto"/>
              <w:rPr>
                <w:rFonts w:hint="eastAsia" w:ascii="宋体" w:hAnsi="宋体" w:cs="仿宋_GB2312"/>
                <w:color w:val="auto"/>
                <w:kern w:val="0"/>
                <w:sz w:val="24"/>
              </w:rPr>
            </w:pPr>
            <w:r>
              <w:rPr>
                <w:rFonts w:hint="eastAsia" w:ascii="宋体" w:hAnsi="宋体" w:cs="仿宋_GB2312"/>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5.1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开标时间和地点</w:t>
            </w:r>
          </w:p>
        </w:tc>
        <w:tc>
          <w:tcPr>
            <w:tcW w:w="5905" w:type="dxa"/>
            <w:gridSpan w:val="2"/>
            <w:noWrap w:val="0"/>
            <w:vAlign w:val="top"/>
          </w:tcPr>
          <w:p>
            <w:pPr>
              <w:autoSpaceDE w:val="0"/>
              <w:autoSpaceDN w:val="0"/>
              <w:adjustRightInd w:val="0"/>
              <w:spacing w:line="420" w:lineRule="exact"/>
              <w:jc w:val="left"/>
              <w:rPr>
                <w:rFonts w:ascii="宋体" w:hAnsi="宋体" w:cs="仿宋_GB2312"/>
                <w:color w:val="auto"/>
                <w:kern w:val="0"/>
                <w:sz w:val="24"/>
              </w:rPr>
            </w:pPr>
            <w:r>
              <w:rPr>
                <w:rFonts w:hint="eastAsia" w:ascii="宋体" w:hAnsi="宋体" w:cs="仿宋_GB2312"/>
                <w:color w:val="auto"/>
                <w:kern w:val="0"/>
                <w:sz w:val="24"/>
              </w:rPr>
              <w:t>开标时间：同投标截止时间</w:t>
            </w:r>
          </w:p>
          <w:p>
            <w:pPr>
              <w:spacing w:line="360" w:lineRule="auto"/>
              <w:rPr>
                <w:rFonts w:hint="eastAsia" w:ascii="宋体" w:hAnsi="宋体" w:cs="黑体"/>
                <w:color w:val="auto"/>
                <w:kern w:val="0"/>
                <w:sz w:val="24"/>
              </w:rPr>
            </w:pPr>
            <w:r>
              <w:rPr>
                <w:rFonts w:hint="eastAsia" w:ascii="宋体" w:hAnsi="宋体" w:cs="仿宋_GB2312"/>
                <w:color w:val="auto"/>
                <w:kern w:val="0"/>
                <w:sz w:val="24"/>
              </w:rPr>
              <w:t>开标地点：开标地点:许昌市公共资源交易中心（龙兴路与竹林路交汇处创业服务中心C 座）三楼开标（</w:t>
            </w:r>
            <w:r>
              <w:rPr>
                <w:rFonts w:hint="eastAsia" w:hAnsi="宋体" w:cs="仿宋_GB2312"/>
                <w:color w:val="auto"/>
                <w:kern w:val="0"/>
                <w:sz w:val="24"/>
                <w:lang w:val="en-US" w:eastAsia="zh-CN"/>
              </w:rPr>
              <w:t>一</w:t>
            </w:r>
            <w:r>
              <w:rPr>
                <w:rFonts w:hint="eastAsia" w:ascii="宋体" w:hAnsi="宋体" w:cs="仿宋_GB2312"/>
                <w:color w:val="auto"/>
                <w:kern w:val="0"/>
                <w:sz w:val="24"/>
              </w:rPr>
              <w:t>）室。</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5.2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开标程序</w:t>
            </w:r>
          </w:p>
        </w:tc>
        <w:tc>
          <w:tcPr>
            <w:tcW w:w="5905" w:type="dxa"/>
            <w:gridSpan w:val="2"/>
            <w:noWrap w:val="0"/>
            <w:vAlign w:val="top"/>
          </w:tcPr>
          <w:p>
            <w:pPr>
              <w:spacing w:line="520" w:lineRule="exact"/>
              <w:rPr>
                <w:rFonts w:hAnsi="宋体" w:eastAsia="宋体" w:cs="宋体"/>
                <w:color w:val="auto"/>
                <w:sz w:val="24"/>
              </w:rPr>
            </w:pPr>
            <w:r>
              <w:rPr>
                <w:rFonts w:hint="eastAsia" w:hAnsi="宋体" w:eastAsia="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auto"/>
                <w:sz w:val="24"/>
              </w:rPr>
            </w:pPr>
            <w:r>
              <w:rPr>
                <w:rFonts w:hint="eastAsia" w:hAnsi="宋体" w:eastAsia="宋体" w:cs="宋体"/>
                <w:color w:val="auto"/>
                <w:sz w:val="24"/>
              </w:rPr>
              <w:t>(3)解密完成后，招标人（代理机构）点击“系数抽取”按钮进行系数抽取，系数抽取情况在“公告通知”处显示。</w:t>
            </w:r>
            <w:r>
              <w:rPr>
                <w:rFonts w:hAnsi="宋体" w:eastAsia="宋体" w:cs="宋体"/>
                <w:color w:val="auto"/>
                <w:sz w:val="24"/>
              </w:rPr>
              <w:t xml:space="preserve"> </w:t>
            </w:r>
          </w:p>
          <w:p>
            <w:pPr>
              <w:spacing w:line="520" w:lineRule="exact"/>
              <w:rPr>
                <w:rFonts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rPr>
                <w:rFonts w:hAnsi="宋体" w:eastAsia="宋体" w:cs="宋体"/>
                <w:color w:val="auto"/>
                <w:sz w:val="24"/>
              </w:rPr>
            </w:pPr>
            <w:r>
              <w:rPr>
                <w:rFonts w:hint="eastAsia" w:hAnsi="宋体" w:eastAsia="宋体" w:cs="宋体"/>
                <w:color w:val="auto"/>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int="eastAsia" w:ascii="宋体" w:hAnsi="宋体" w:cs="黑体"/>
                <w:color w:val="auto"/>
                <w:kern w:val="0"/>
                <w:sz w:val="24"/>
              </w:rPr>
            </w:pPr>
            <w:r>
              <w:rPr>
                <w:rFonts w:hint="eastAsia" w:hAnsi="宋体" w:eastAsia="宋体" w:cs="宋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 xml:space="preserve">6.1.1 </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评标委员会的组建</w:t>
            </w:r>
          </w:p>
        </w:tc>
        <w:tc>
          <w:tcPr>
            <w:tcW w:w="5905" w:type="dxa"/>
            <w:gridSpan w:val="2"/>
            <w:noWrap w:val="0"/>
            <w:vAlign w:val="center"/>
          </w:tcPr>
          <w:p>
            <w:pPr>
              <w:spacing w:line="288" w:lineRule="auto"/>
              <w:rPr>
                <w:rFonts w:hint="eastAsia" w:ascii="宋体" w:hAnsi="宋体"/>
                <w:color w:val="auto"/>
                <w:sz w:val="24"/>
              </w:rPr>
            </w:pPr>
            <w:r>
              <w:rPr>
                <w:rFonts w:hint="eastAsia" w:hAnsi="宋体" w:cs="宋体"/>
                <w:color w:val="auto"/>
                <w:sz w:val="24"/>
              </w:rPr>
              <w:t>评标委员会构成：</w:t>
            </w:r>
            <w:r>
              <w:rPr>
                <w:rFonts w:hint="eastAsia" w:ascii="新宋体" w:hAnsi="新宋体" w:eastAsia="新宋体"/>
                <w:color w:val="auto"/>
                <w:sz w:val="24"/>
                <w:lang w:val="en-US" w:eastAsia="zh-CN"/>
              </w:rPr>
              <w:t>9</w:t>
            </w:r>
            <w:r>
              <w:rPr>
                <w:rFonts w:hint="eastAsia" w:ascii="新宋体" w:hAnsi="新宋体" w:eastAsia="新宋体"/>
                <w:color w:val="auto"/>
                <w:sz w:val="24"/>
              </w:rPr>
              <w:t>人，从河南省综合评标专家库中随机抽取</w:t>
            </w:r>
            <w:r>
              <w:rPr>
                <w:rFonts w:hint="eastAsia" w:ascii="新宋体" w:hAnsi="新宋体" w:eastAsia="新宋体"/>
                <w:color w:val="auto"/>
                <w:sz w:val="24"/>
                <w:lang w:val="en-US" w:eastAsia="zh-CN"/>
              </w:rPr>
              <w:t>6人和</w:t>
            </w:r>
            <w:r>
              <w:rPr>
                <w:rFonts w:hint="eastAsia" w:hAnsi="宋体" w:cs="宋体"/>
                <w:bCs/>
                <w:sz w:val="24"/>
              </w:rPr>
              <w:t>招标人代表</w:t>
            </w:r>
            <w:r>
              <w:rPr>
                <w:rFonts w:hint="eastAsia" w:hAnsi="宋体" w:cs="宋体"/>
                <w:bCs/>
                <w:sz w:val="24"/>
                <w:lang w:val="en-US" w:eastAsia="zh-CN"/>
              </w:rPr>
              <w:t>3</w:t>
            </w:r>
            <w:r>
              <w:rPr>
                <w:rFonts w:hint="eastAsia" w:hAnsi="宋体" w:cs="宋体"/>
                <w:bCs/>
                <w:sz w:val="24"/>
              </w:rPr>
              <w:t>人</w:t>
            </w:r>
            <w:r>
              <w:rPr>
                <w:rFonts w:hint="eastAsia" w:ascii="新宋体" w:hAnsi="新宋体" w:eastAsia="新宋体"/>
                <w:color w:val="auto"/>
                <w:sz w:val="24"/>
              </w:rPr>
              <w:t>（其中注册造价工程师不少于</w:t>
            </w:r>
            <w:r>
              <w:rPr>
                <w:rFonts w:hint="eastAsia" w:ascii="新宋体" w:hAnsi="新宋体" w:eastAsia="新宋体"/>
                <w:color w:val="auto"/>
                <w:sz w:val="24"/>
                <w:lang w:val="en-US" w:eastAsia="zh-CN"/>
              </w:rPr>
              <w:t>3</w:t>
            </w:r>
            <w:r>
              <w:rPr>
                <w:rFonts w:hint="eastAsia" w:ascii="新宋体" w:hAnsi="新宋体" w:eastAsia="新宋体"/>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1"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ascii="宋体" w:hAnsi="宋体" w:cs="TimesNewRomanPSMT"/>
                <w:color w:val="auto"/>
                <w:kern w:val="0"/>
                <w:sz w:val="24"/>
              </w:rPr>
              <w:t>7.1</w:t>
            </w:r>
          </w:p>
        </w:tc>
        <w:tc>
          <w:tcPr>
            <w:tcW w:w="3086" w:type="dxa"/>
            <w:gridSpan w:val="2"/>
            <w:noWrap w:val="0"/>
            <w:vAlign w:val="center"/>
          </w:tcPr>
          <w:p>
            <w:pPr>
              <w:autoSpaceDE w:val="0"/>
              <w:autoSpaceDN w:val="0"/>
              <w:adjustRightInd w:val="0"/>
              <w:spacing w:line="360" w:lineRule="auto"/>
              <w:jc w:val="center"/>
              <w:rPr>
                <w:rFonts w:hint="eastAsia" w:ascii="宋体" w:hAnsi="宋体" w:cs="黑体"/>
                <w:color w:val="auto"/>
                <w:kern w:val="0"/>
                <w:sz w:val="24"/>
              </w:rPr>
            </w:pPr>
            <w:r>
              <w:rPr>
                <w:rFonts w:hint="eastAsia" w:ascii="宋体" w:hAnsi="宋体" w:cs="仿宋_GB2312"/>
                <w:color w:val="auto"/>
                <w:kern w:val="0"/>
                <w:sz w:val="24"/>
              </w:rPr>
              <w:t>是否授权评标委员会确定中标人</w:t>
            </w:r>
          </w:p>
        </w:tc>
        <w:tc>
          <w:tcPr>
            <w:tcW w:w="5905" w:type="dxa"/>
            <w:gridSpan w:val="2"/>
            <w:noWrap w:val="0"/>
            <w:vAlign w:val="center"/>
          </w:tcPr>
          <w:p>
            <w:pPr>
              <w:autoSpaceDE w:val="0"/>
              <w:autoSpaceDN w:val="0"/>
              <w:adjustRightInd w:val="0"/>
              <w:spacing w:line="360" w:lineRule="auto"/>
              <w:rPr>
                <w:rFonts w:hint="eastAsia" w:ascii="宋体" w:hAnsi="宋体" w:cs="黑体"/>
                <w:color w:val="auto"/>
                <w:kern w:val="0"/>
                <w:sz w:val="24"/>
              </w:rPr>
            </w:pPr>
            <w:r>
              <w:rPr>
                <w:rFonts w:hint="eastAsia" w:ascii="宋体" w:hAnsi="宋体" w:cs="仿宋_GB2312"/>
                <w:color w:val="auto"/>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5"/>
            <w:noWrap w:val="0"/>
            <w:vAlign w:val="center"/>
          </w:tcPr>
          <w:p>
            <w:pPr>
              <w:autoSpaceDE w:val="0"/>
              <w:autoSpaceDN w:val="0"/>
              <w:adjustRightInd w:val="0"/>
              <w:spacing w:line="360" w:lineRule="auto"/>
              <w:jc w:val="left"/>
              <w:rPr>
                <w:rFonts w:hint="eastAsia" w:ascii="宋体" w:hAnsi="宋体" w:cs="仿宋_GB2312"/>
                <w:color w:val="auto"/>
                <w:kern w:val="0"/>
                <w:sz w:val="24"/>
              </w:rPr>
            </w:pPr>
            <w:r>
              <w:rPr>
                <w:rFonts w:hint="eastAsia" w:ascii="宋体" w:hAnsi="宋体" w:cs="TimesNewRomanPSMT"/>
                <w:color w:val="auto"/>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5"/>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ascii="宋体" w:hAnsi="宋体" w:cs="TimesNewRomanPSMT"/>
                <w:color w:val="auto"/>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44" w:type="dxa"/>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ascii="宋体" w:hAnsi="宋体" w:cs="TimesNewRomanPSMT"/>
                <w:color w:val="auto"/>
                <w:kern w:val="0"/>
                <w:sz w:val="24"/>
              </w:rPr>
              <w:t>10.1.1</w:t>
            </w:r>
          </w:p>
        </w:tc>
        <w:tc>
          <w:tcPr>
            <w:tcW w:w="2928" w:type="dxa"/>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ascii="宋体" w:hAnsi="宋体" w:cs="TimesNewRomanPSMT"/>
                <w:color w:val="auto"/>
                <w:kern w:val="0"/>
                <w:sz w:val="24"/>
              </w:rPr>
              <w:t>类似项目</w:t>
            </w:r>
          </w:p>
        </w:tc>
        <w:tc>
          <w:tcPr>
            <w:tcW w:w="6063" w:type="dxa"/>
            <w:gridSpan w:val="3"/>
            <w:noWrap w:val="0"/>
            <w:vAlign w:val="center"/>
          </w:tcPr>
          <w:p>
            <w:pPr>
              <w:autoSpaceDE w:val="0"/>
              <w:autoSpaceDN w:val="0"/>
              <w:adjustRightInd w:val="0"/>
              <w:spacing w:line="360" w:lineRule="auto"/>
              <w:jc w:val="left"/>
              <w:rPr>
                <w:rFonts w:hint="eastAsia" w:ascii="宋体" w:hAnsi="宋体" w:cs="TimesNewRomanPSMT"/>
                <w:color w:val="auto"/>
                <w:kern w:val="0"/>
                <w:sz w:val="24"/>
              </w:rPr>
            </w:pPr>
            <w:r>
              <w:rPr>
                <w:rFonts w:hint="eastAsia" w:hAnsi="宋体" w:eastAsia="宋体" w:cs="宋体"/>
                <w:color w:val="auto"/>
                <w:sz w:val="24"/>
              </w:rPr>
              <w:t>指201</w:t>
            </w:r>
            <w:r>
              <w:rPr>
                <w:rFonts w:hint="eastAsia" w:hAnsi="宋体" w:eastAsia="宋体" w:cs="宋体"/>
                <w:color w:val="auto"/>
                <w:sz w:val="24"/>
                <w:lang w:val="en-US" w:eastAsia="zh-CN"/>
              </w:rPr>
              <w:t>7</w:t>
            </w:r>
            <w:r>
              <w:rPr>
                <w:rFonts w:hint="eastAsia" w:hAnsi="宋体" w:eastAsia="宋体" w:cs="宋体"/>
                <w:color w:val="auto"/>
                <w:sz w:val="24"/>
              </w:rPr>
              <w:t>年1月1日以来（以合同签订时间为准）</w:t>
            </w:r>
            <w:r>
              <w:rPr>
                <w:rFonts w:hint="eastAsia" w:hAnsi="宋体" w:cs="TimesNewRomanPSMT"/>
                <w:sz w:val="24"/>
              </w:rPr>
              <w:t>以来承接过的</w:t>
            </w:r>
            <w:r>
              <w:rPr>
                <w:rFonts w:hint="eastAsia" w:hAnsi="宋体" w:cs="TimesNewRomanPSMT"/>
                <w:sz w:val="24"/>
                <w:lang w:eastAsia="zh-CN"/>
              </w:rPr>
              <w:t>不低于本招标控制价的</w:t>
            </w:r>
            <w:r>
              <w:rPr>
                <w:rFonts w:hint="eastAsia" w:hAnsi="宋体" w:cs="TimesNewRomanPSMT"/>
                <w:sz w:val="24"/>
              </w:rPr>
              <w:t>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5"/>
            <w:noWrap w:val="0"/>
            <w:vAlign w:val="center"/>
          </w:tcPr>
          <w:p>
            <w:pPr>
              <w:autoSpaceDE w:val="0"/>
              <w:autoSpaceDN w:val="0"/>
              <w:adjustRightInd w:val="0"/>
              <w:spacing w:line="360" w:lineRule="auto"/>
              <w:jc w:val="left"/>
              <w:rPr>
                <w:rFonts w:hint="eastAsia" w:ascii="宋体" w:hAnsi="宋体" w:cs="仿宋_GB2312"/>
                <w:color w:val="auto"/>
                <w:kern w:val="0"/>
                <w:sz w:val="24"/>
              </w:rPr>
            </w:pPr>
            <w:r>
              <w:rPr>
                <w:rFonts w:hint="eastAsia" w:ascii="宋体" w:hAnsi="宋体" w:cs="TimesNewRomanPSMT"/>
                <w:color w:val="auto"/>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44" w:type="dxa"/>
            <w:noWrap w:val="0"/>
            <w:vAlign w:val="center"/>
          </w:tcPr>
          <w:p>
            <w:pPr>
              <w:autoSpaceDE w:val="0"/>
              <w:autoSpaceDN w:val="0"/>
              <w:adjustRightInd w:val="0"/>
              <w:spacing w:line="360" w:lineRule="auto"/>
              <w:jc w:val="center"/>
              <w:rPr>
                <w:rFonts w:ascii="宋体" w:hAnsi="宋体"/>
                <w:bCs/>
                <w:color w:val="auto"/>
                <w:kern w:val="0"/>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本工程设招标控制价：</w:t>
            </w:r>
          </w:p>
          <w:p>
            <w:pPr>
              <w:keepNext/>
              <w:spacing w:line="276" w:lineRule="auto"/>
              <w:ind w:firstLine="240" w:firstLineChars="100"/>
              <w:rPr>
                <w:rFonts w:hint="eastAsia" w:ascii="宋体" w:hAnsi="宋体"/>
                <w:b/>
                <w:color w:val="auto"/>
                <w:sz w:val="24"/>
              </w:rPr>
            </w:pPr>
            <w:r>
              <w:rPr>
                <w:rFonts w:hint="eastAsia" w:ascii="宋体" w:hAnsi="宋体"/>
                <w:b/>
                <w:color w:val="auto"/>
                <w:sz w:val="24"/>
              </w:rPr>
              <w:t>大写：</w:t>
            </w:r>
            <w:r>
              <w:rPr>
                <w:rFonts w:hint="eastAsia" w:hAnsi="宋体"/>
                <w:b/>
                <w:color w:val="auto"/>
                <w:sz w:val="24"/>
                <w:lang w:val="en-US" w:eastAsia="zh-CN"/>
              </w:rPr>
              <w:t>叁亿零捌拾肆万陆仟柒佰柒拾柒元肆角贰分</w:t>
            </w:r>
            <w:r>
              <w:rPr>
                <w:rFonts w:hint="eastAsia" w:ascii="宋体" w:hAnsi="宋体"/>
                <w:b/>
                <w:color w:val="auto"/>
                <w:sz w:val="24"/>
              </w:rPr>
              <w:t xml:space="preserve"> </w:t>
            </w:r>
          </w:p>
          <w:p>
            <w:pPr>
              <w:keepNext/>
              <w:spacing w:line="276" w:lineRule="auto"/>
              <w:ind w:firstLine="240" w:firstLineChars="100"/>
              <w:rPr>
                <w:rFonts w:hint="eastAsia" w:ascii="宋体" w:hAnsi="宋体"/>
                <w:b/>
                <w:color w:val="auto"/>
                <w:sz w:val="24"/>
              </w:rPr>
            </w:pPr>
            <w:r>
              <w:rPr>
                <w:rFonts w:hint="eastAsia" w:ascii="宋体" w:hAnsi="宋体"/>
                <w:b/>
                <w:color w:val="auto"/>
                <w:sz w:val="24"/>
              </w:rPr>
              <w:t>小写：</w:t>
            </w:r>
            <w:r>
              <w:rPr>
                <w:rFonts w:hint="eastAsia" w:hAnsi="宋体"/>
                <w:b/>
                <w:color w:val="auto"/>
                <w:sz w:val="24"/>
                <w:lang w:val="en-US" w:eastAsia="zh-CN"/>
              </w:rPr>
              <w:t>300846777.42</w:t>
            </w:r>
            <w:r>
              <w:rPr>
                <w:rFonts w:hint="eastAsia" w:ascii="宋体" w:hAnsi="宋体"/>
                <w:b/>
                <w:color w:val="auto"/>
                <w:sz w:val="24"/>
              </w:rPr>
              <w:t>元</w:t>
            </w:r>
          </w:p>
          <w:p>
            <w:pPr>
              <w:autoSpaceDE w:val="0"/>
              <w:autoSpaceDN w:val="0"/>
              <w:adjustRightInd w:val="0"/>
              <w:spacing w:line="360" w:lineRule="auto"/>
              <w:ind w:firstLine="240" w:firstLineChars="100"/>
              <w:jc w:val="left"/>
              <w:rPr>
                <w:rFonts w:hint="eastAsia" w:ascii="宋体" w:hAnsi="宋体"/>
                <w:b/>
                <w:color w:val="auto"/>
                <w:sz w:val="24"/>
              </w:rPr>
            </w:pPr>
            <w:r>
              <w:rPr>
                <w:rFonts w:hint="eastAsia" w:ascii="宋体" w:hAnsi="宋体"/>
                <w:b/>
                <w:color w:val="auto"/>
                <w:sz w:val="24"/>
              </w:rPr>
              <w:t>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935" w:type="dxa"/>
            <w:gridSpan w:val="5"/>
            <w:noWrap w:val="0"/>
            <w:vAlign w:val="center"/>
          </w:tcPr>
          <w:p>
            <w:pPr>
              <w:autoSpaceDE w:val="0"/>
              <w:autoSpaceDN w:val="0"/>
              <w:adjustRightInd w:val="0"/>
              <w:spacing w:line="360" w:lineRule="auto"/>
              <w:ind w:firstLine="240" w:firstLineChars="100"/>
              <w:jc w:val="left"/>
              <w:rPr>
                <w:rFonts w:hint="eastAsia" w:ascii="宋体" w:hAnsi="宋体"/>
                <w:b/>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44" w:type="dxa"/>
            <w:noWrap w:val="0"/>
            <w:vAlign w:val="center"/>
          </w:tcPr>
          <w:p>
            <w:pPr>
              <w:spacing w:line="312" w:lineRule="auto"/>
              <w:rPr>
                <w:rFonts w:hint="eastAsia" w:hAnsi="宋体" w:eastAsia="宋体" w:cs="宋体"/>
                <w:color w:val="auto"/>
                <w:sz w:val="24"/>
              </w:rPr>
            </w:pPr>
          </w:p>
        </w:tc>
        <w:tc>
          <w:tcPr>
            <w:tcW w:w="3437" w:type="dxa"/>
            <w:gridSpan w:val="3"/>
            <w:noWrap w:val="0"/>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int="eastAsia" w:hAnsi="宋体" w:eastAsia="宋体" w:cs="宋体"/>
                <w:color w:val="auto"/>
                <w:sz w:val="24"/>
              </w:rPr>
            </w:pPr>
            <w:r>
              <w:rPr>
                <w:rFonts w:hint="eastAsia" w:hAnsi="宋体" w:eastAsia="宋体" w:cs="宋体"/>
                <w:color w:val="auto"/>
                <w:sz w:val="24"/>
              </w:rPr>
              <w:t>评审方式</w:t>
            </w:r>
          </w:p>
        </w:tc>
        <w:tc>
          <w:tcPr>
            <w:tcW w:w="5554" w:type="dxa"/>
            <w:noWrap w:val="0"/>
            <w:vAlign w:val="center"/>
          </w:tcPr>
          <w:p>
            <w:pPr>
              <w:spacing w:line="312" w:lineRule="auto"/>
              <w:rPr>
                <w:rFonts w:hint="eastAsia"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ind w:left="240" w:hanging="240" w:hangingChars="100"/>
              <w:rPr>
                <w:rFonts w:hint="eastAsia" w:ascii="宋体" w:hAnsi="宋体"/>
                <w:color w:val="auto"/>
                <w:sz w:val="24"/>
              </w:rPr>
            </w:pPr>
            <w:r>
              <w:rPr>
                <w:rFonts w:hint="eastAsia" w:ascii="宋体" w:hAnsi="宋体"/>
                <w:color w:val="auto"/>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numPr>
                <w:ilvl w:val="0"/>
                <w:numId w:val="0"/>
              </w:numPr>
              <w:spacing w:line="360" w:lineRule="auto"/>
              <w:rPr>
                <w:rFonts w:hint="eastAsia" w:ascii="宋体" w:hAnsi="宋体" w:cs="宋体"/>
                <w:color w:val="auto"/>
                <w:sz w:val="24"/>
                <w:szCs w:val="22"/>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宋体"/>
                <w:color w:val="auto"/>
                <w:sz w:val="24"/>
                <w:szCs w:val="22"/>
              </w:rPr>
            </w:pPr>
            <w:r>
              <w:rPr>
                <w:rFonts w:hint="eastAsia" w:ascii="宋体" w:hAnsi="宋体" w:cs="宋体"/>
                <w:color w:val="auto"/>
                <w:sz w:val="24"/>
                <w:szCs w:val="22"/>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s="宋体"/>
                <w:color w:val="auto"/>
                <w:sz w:val="24"/>
                <w:szCs w:val="22"/>
              </w:rPr>
            </w:pPr>
            <w:r>
              <w:rPr>
                <w:rFonts w:hint="eastAsia" w:ascii="宋体" w:hAnsi="宋体" w:cs="宋体"/>
                <w:color w:val="auto"/>
                <w:sz w:val="24"/>
                <w:szCs w:val="22"/>
              </w:rPr>
              <w:t>1、在中标通知书发出前，招标人将中标候选人的情况在《全国公共资源交易平台（河南省·许昌市）》、</w:t>
            </w:r>
            <w:r>
              <w:rPr>
                <w:rFonts w:hint="eastAsia" w:ascii="宋体" w:hAnsi="宋体" w:cs="宋体"/>
                <w:color w:val="auto"/>
                <w:sz w:val="24"/>
              </w:rPr>
              <w:t>《河南省电子招标投标公共服务平台》</w:t>
            </w:r>
            <w:r>
              <w:rPr>
                <w:rFonts w:hint="eastAsia" w:ascii="宋体" w:hAnsi="宋体" w:cs="宋体"/>
                <w:color w:val="auto"/>
                <w:sz w:val="24"/>
                <w:szCs w:val="22"/>
              </w:rPr>
              <w:t>予以公示，公示期不少于</w:t>
            </w:r>
            <w:r>
              <w:rPr>
                <w:rFonts w:ascii="宋体" w:hAnsi="宋体" w:cs="宋体"/>
                <w:color w:val="auto"/>
                <w:sz w:val="24"/>
                <w:szCs w:val="22"/>
              </w:rPr>
              <w:t>3</w:t>
            </w:r>
            <w:r>
              <w:rPr>
                <w:rFonts w:hint="eastAsia" w:ascii="宋体" w:hAnsi="宋体" w:cs="宋体"/>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olor w:val="auto"/>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olor w:val="auto"/>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olor w:val="auto"/>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olor w:val="auto"/>
                <w:sz w:val="24"/>
              </w:rPr>
            </w:pPr>
            <w:r>
              <w:rPr>
                <w:rFonts w:hint="eastAsia" w:ascii="宋体" w:hAnsi="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olor w:val="auto"/>
                <w:sz w:val="24"/>
              </w:rPr>
            </w:pPr>
            <w:r>
              <w:rPr>
                <w:rFonts w:hint="eastAsia" w:ascii="宋体" w:hAnsi="宋体" w:cs="仿宋_GB2312"/>
                <w:color w:val="auto"/>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olor w:val="auto"/>
                <w:sz w:val="24"/>
              </w:rPr>
            </w:pPr>
          </w:p>
        </w:tc>
        <w:tc>
          <w:tcPr>
            <w:tcW w:w="8991" w:type="dxa"/>
            <w:gridSpan w:val="4"/>
            <w:noWrap w:val="0"/>
            <w:vAlign w:val="center"/>
          </w:tcPr>
          <w:p>
            <w:pPr>
              <w:spacing w:line="360" w:lineRule="auto"/>
              <w:rPr>
                <w:rFonts w:hint="eastAsia" w:ascii="宋体" w:hAnsi="宋体" w:cs="仿宋_GB2312"/>
                <w:color w:val="auto"/>
                <w:kern w:val="0"/>
                <w:sz w:val="24"/>
              </w:rPr>
            </w:pPr>
            <w:r>
              <w:rPr>
                <w:rFonts w:hint="eastAsia" w:ascii="宋体" w:hAnsi="宋体" w:cs="仿宋_GB2312"/>
                <w:color w:val="auto"/>
                <w:kern w:val="0"/>
                <w:sz w:val="24"/>
              </w:rPr>
              <w:t>构成本招标文件的各个组成文件应互为解释，互为说明；</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10.12.1如有不明确或不一致，构成合同文件组成内容，以合同文件约定内容为准，且以专用合同条款约定的合同文件优先顺序解释；</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10.12.2除招标文件中有特别规定外，仅适用于招标投标阶段的规定，按招标公告（投标邀请书）、投标人须知、评标办法、投标文件格式的先后顺序解释；</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10.12.3同一组成文件中就同一事项的规定或约定不一致的，以编排顺序在后者为准；</w:t>
            </w:r>
          </w:p>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10.12.4同一组成文件不同版本之间有不一致的，以形成时间在后者为准。</w:t>
            </w:r>
          </w:p>
          <w:p>
            <w:pPr>
              <w:spacing w:line="360" w:lineRule="auto"/>
              <w:rPr>
                <w:rFonts w:hint="eastAsia" w:ascii="宋体" w:hAnsi="宋体"/>
                <w:color w:val="auto"/>
                <w:sz w:val="24"/>
              </w:rPr>
            </w:pPr>
            <w:r>
              <w:rPr>
                <w:rFonts w:hint="eastAsia" w:ascii="宋体" w:hAnsi="宋体" w:cs="仿宋_GB2312"/>
                <w:color w:val="auto"/>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仿宋_GB2312"/>
                <w:color w:val="auto"/>
                <w:kern w:val="0"/>
                <w:sz w:val="24"/>
              </w:rPr>
            </w:pPr>
            <w:r>
              <w:rPr>
                <w:rFonts w:hint="eastAsia" w:ascii="宋体" w:hAnsi="宋体" w:cs="仿宋_GB2312"/>
                <w:color w:val="auto"/>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宋体"/>
                <w:b/>
                <w:color w:val="auto"/>
                <w:kern w:val="0"/>
                <w:sz w:val="24"/>
              </w:rPr>
            </w:pPr>
            <w:r>
              <w:rPr>
                <w:rFonts w:hint="eastAsia" w:ascii="宋体" w:hAnsi="宋体" w:cs="宋体"/>
                <w:b/>
                <w:color w:val="auto"/>
                <w:kern w:val="0"/>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s="宋体"/>
                <w:b/>
                <w:color w:val="auto"/>
                <w:kern w:val="0"/>
                <w:sz w:val="24"/>
              </w:rPr>
            </w:pPr>
          </w:p>
        </w:tc>
        <w:tc>
          <w:tcPr>
            <w:tcW w:w="8991" w:type="dxa"/>
            <w:gridSpan w:val="4"/>
            <w:noWrap w:val="0"/>
            <w:vAlign w:val="center"/>
          </w:tcPr>
          <w:p>
            <w:pPr>
              <w:numPr>
                <w:ilvl w:val="0"/>
                <w:numId w:val="3"/>
              </w:numPr>
              <w:autoSpaceDE w:val="0"/>
              <w:autoSpaceDN w:val="0"/>
              <w:spacing w:line="440" w:lineRule="exact"/>
              <w:jc w:val="left"/>
              <w:outlineLvl w:val="0"/>
              <w:rPr>
                <w:rFonts w:hint="eastAsia" w:hAnsi="宋体" w:eastAsia="宋体" w:cs="宋体"/>
                <w:color w:val="auto"/>
                <w:sz w:val="24"/>
              </w:rPr>
            </w:pPr>
            <w:bookmarkStart w:id="6" w:name="OLE_LINK41"/>
            <w:r>
              <w:rPr>
                <w:rFonts w:hint="eastAsia" w:hAnsi="宋体" w:eastAsia="宋体" w:cs="宋体"/>
                <w:color w:val="auto"/>
                <w:sz w:val="24"/>
              </w:rPr>
              <w:t>未成功上传的投标文件；</w:t>
            </w:r>
            <w:bookmarkEnd w:id="6"/>
          </w:p>
          <w:p>
            <w:pPr>
              <w:numPr>
                <w:ilvl w:val="0"/>
                <w:numId w:val="0"/>
              </w:numPr>
              <w:autoSpaceDE w:val="0"/>
              <w:autoSpaceDN w:val="0"/>
              <w:spacing w:line="440" w:lineRule="exact"/>
              <w:jc w:val="left"/>
              <w:outlineLvl w:val="0"/>
              <w:rPr>
                <w:rFonts w:hint="eastAsia" w:ascii="宋体" w:hAnsi="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5"/>
            <w:noWrap w:val="0"/>
            <w:vAlign w:val="center"/>
          </w:tcPr>
          <w:p>
            <w:pPr>
              <w:spacing w:line="360" w:lineRule="auto"/>
              <w:rPr>
                <w:rFonts w:hint="eastAsia" w:ascii="宋体" w:hAnsi="宋体" w:cs="仿宋_GB2312"/>
                <w:color w:val="auto"/>
                <w:kern w:val="0"/>
                <w:sz w:val="24"/>
              </w:rPr>
            </w:pPr>
            <w:bookmarkStart w:id="7" w:name="_Toc283559965"/>
            <w:bookmarkStart w:id="8" w:name="_Toc225243456"/>
            <w:bookmarkStart w:id="9" w:name="OLE_LINK30" w:colFirst="0" w:colLast="1"/>
            <w:r>
              <w:rPr>
                <w:rFonts w:hint="eastAsia" w:ascii="宋体" w:hAnsi="宋体" w:cs="宋体"/>
                <w:b/>
                <w:color w:val="auto"/>
                <w:kern w:val="0"/>
                <w:sz w:val="24"/>
              </w:rPr>
              <w:t>10.13.</w:t>
            </w:r>
            <w:bookmarkEnd w:id="7"/>
            <w:bookmarkEnd w:id="8"/>
            <w:r>
              <w:rPr>
                <w:rFonts w:hint="eastAsia" w:ascii="宋体" w:hAnsi="宋体" w:cs="宋体"/>
                <w:b/>
                <w:color w:val="auto"/>
                <w:kern w:val="0"/>
                <w:sz w:val="24"/>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44" w:type="dxa"/>
            <w:noWrap w:val="0"/>
            <w:vAlign w:val="center"/>
          </w:tcPr>
          <w:p>
            <w:pPr>
              <w:spacing w:line="360" w:lineRule="auto"/>
              <w:rPr>
                <w:rFonts w:hint="eastAsia" w:ascii="宋体" w:hAnsi="宋体" w:cs="宋体"/>
                <w:b/>
                <w:color w:val="auto"/>
                <w:kern w:val="0"/>
                <w:sz w:val="24"/>
              </w:rPr>
            </w:pPr>
          </w:p>
        </w:tc>
        <w:tc>
          <w:tcPr>
            <w:tcW w:w="8991" w:type="dxa"/>
            <w:gridSpan w:val="4"/>
            <w:noWrap w:val="0"/>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》，并设置不见面开标浏览器（设置流程详见《</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spacing w:line="360" w:lineRule="auto"/>
              <w:rPr>
                <w:rFonts w:hint="eastAsia" w:ascii="宋体" w:hAnsi="宋体" w:cs="宋体"/>
                <w:b/>
                <w:color w:val="auto"/>
                <w:kern w:val="0"/>
                <w:sz w:val="24"/>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bookmarkEnd w:id="9"/>
    </w:tbl>
    <w:p>
      <w:pPr>
        <w:autoSpaceDE w:val="0"/>
        <w:autoSpaceDN w:val="0"/>
        <w:adjustRightInd w:val="0"/>
        <w:outlineLvl w:val="0"/>
        <w:rPr>
          <w:rFonts w:hAnsi="宋体" w:cs="宋体"/>
          <w:b/>
          <w:color w:val="auto"/>
          <w:sz w:val="28"/>
          <w:szCs w:val="28"/>
        </w:rPr>
      </w:pPr>
    </w:p>
    <w:p>
      <w:pPr>
        <w:autoSpaceDE w:val="0"/>
        <w:autoSpaceDN w:val="0"/>
        <w:spacing w:line="440" w:lineRule="exact"/>
        <w:jc w:val="left"/>
        <w:outlineLvl w:val="0"/>
        <w:rPr>
          <w:rFonts w:hAnsi="宋体" w:cs="宋体"/>
          <w:color w:val="auto"/>
          <w:sz w:val="24"/>
        </w:rPr>
      </w:pPr>
      <w:bookmarkStart w:id="10"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11" w:name="_Toc152042311"/>
      <w:bookmarkStart w:id="12" w:name="_Toc144974503"/>
      <w:bookmarkStart w:id="13" w:name="_Toc152045535"/>
      <w:bookmarkStart w:id="14" w:name="_Toc179632552"/>
      <w:r>
        <w:rPr>
          <w:rFonts w:hint="eastAsia" w:hAnsi="宋体" w:cs="宋体"/>
          <w:b/>
          <w:color w:val="auto"/>
          <w:sz w:val="24"/>
        </w:rPr>
        <w:t>1.5 费用承担</w:t>
      </w:r>
      <w:bookmarkEnd w:id="11"/>
      <w:bookmarkEnd w:id="12"/>
      <w:bookmarkEnd w:id="13"/>
      <w:bookmarkEnd w:id="1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5" w:name="_Toc144974504"/>
      <w:bookmarkStart w:id="16" w:name="_Toc152042312"/>
      <w:bookmarkStart w:id="17" w:name="_Toc179632553"/>
      <w:bookmarkStart w:id="18" w:name="_Toc152045536"/>
      <w:r>
        <w:rPr>
          <w:rFonts w:hint="eastAsia" w:hAnsi="宋体" w:cs="宋体"/>
          <w:b/>
          <w:color w:val="auto"/>
          <w:sz w:val="24"/>
        </w:rPr>
        <w:t>1.6 保密</w:t>
      </w:r>
      <w:bookmarkEnd w:id="15"/>
      <w:bookmarkEnd w:id="16"/>
      <w:bookmarkEnd w:id="17"/>
      <w:bookmarkEnd w:id="1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9" w:name="_Toc144974505"/>
      <w:bookmarkStart w:id="20" w:name="_Toc152045537"/>
      <w:bookmarkStart w:id="21" w:name="_Toc179632554"/>
      <w:bookmarkStart w:id="22" w:name="_Toc152042313"/>
      <w:r>
        <w:rPr>
          <w:rFonts w:hint="eastAsia" w:hAnsi="宋体" w:cs="宋体"/>
          <w:b/>
          <w:color w:val="auto"/>
          <w:sz w:val="24"/>
        </w:rPr>
        <w:t>1.7 语言</w:t>
      </w:r>
      <w:bookmarkEnd w:id="19"/>
      <w:r>
        <w:rPr>
          <w:rFonts w:hint="eastAsia" w:hAnsi="宋体" w:cs="宋体"/>
          <w:b/>
          <w:color w:val="auto"/>
          <w:sz w:val="24"/>
        </w:rPr>
        <w:t>文字</w:t>
      </w:r>
      <w:bookmarkEnd w:id="20"/>
      <w:bookmarkEnd w:id="21"/>
      <w:bookmarkEnd w:id="2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3" w:name="_Toc144974506"/>
      <w:bookmarkStart w:id="24" w:name="_Toc179632555"/>
      <w:bookmarkStart w:id="25" w:name="_Toc152045538"/>
      <w:bookmarkStart w:id="26" w:name="_Toc152042314"/>
      <w:r>
        <w:rPr>
          <w:rFonts w:hint="eastAsia" w:hAnsi="宋体" w:cs="宋体"/>
          <w:b/>
          <w:color w:val="auto"/>
          <w:sz w:val="24"/>
        </w:rPr>
        <w:t>1.8 计量单位</w:t>
      </w:r>
      <w:bookmarkEnd w:id="23"/>
      <w:bookmarkEnd w:id="24"/>
      <w:bookmarkEnd w:id="25"/>
      <w:bookmarkEnd w:id="2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10"/>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7" w:name="_Toc283559948"/>
      <w:r>
        <w:rPr>
          <w:rFonts w:hint="eastAsia" w:hAnsi="宋体" w:cs="宋体"/>
          <w:b/>
          <w:color w:val="auto"/>
          <w:sz w:val="24"/>
        </w:rPr>
        <w:t>1.10 投标预备会</w:t>
      </w:r>
      <w:bookmarkEnd w:id="27"/>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8" w:name="_Toc283559949"/>
      <w:r>
        <w:rPr>
          <w:rFonts w:hint="eastAsia" w:hAnsi="宋体" w:cs="宋体"/>
          <w:b/>
          <w:color w:val="auto"/>
          <w:sz w:val="24"/>
        </w:rPr>
        <w:t>1.11 分包</w:t>
      </w:r>
      <w:bookmarkEnd w:id="28"/>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9" w:name="_Toc283559950"/>
      <w:r>
        <w:rPr>
          <w:rFonts w:hint="eastAsia" w:hAnsi="宋体" w:cs="宋体"/>
          <w:b/>
          <w:color w:val="auto"/>
          <w:sz w:val="24"/>
        </w:rPr>
        <w:t>1.12 偏离</w:t>
      </w:r>
      <w:bookmarkEnd w:id="29"/>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30" w:name="_Toc283559951"/>
      <w:r>
        <w:rPr>
          <w:rFonts w:hint="eastAsia" w:hAnsi="宋体"/>
          <w:b/>
          <w:color w:val="auto"/>
        </w:rPr>
        <w:t>2. 招标文件</w:t>
      </w:r>
      <w:bookmarkEnd w:id="30"/>
    </w:p>
    <w:p>
      <w:pPr>
        <w:autoSpaceDE w:val="0"/>
        <w:autoSpaceDN w:val="0"/>
        <w:spacing w:line="450" w:lineRule="exact"/>
        <w:jc w:val="left"/>
        <w:outlineLvl w:val="0"/>
        <w:rPr>
          <w:rFonts w:hAnsi="宋体" w:cs="宋体"/>
          <w:b/>
          <w:color w:val="auto"/>
          <w:sz w:val="24"/>
        </w:rPr>
      </w:pPr>
      <w:bookmarkStart w:id="31" w:name="_Toc283559952"/>
      <w:r>
        <w:rPr>
          <w:rFonts w:hint="eastAsia" w:hAnsi="宋体" w:cs="宋体"/>
          <w:b/>
          <w:color w:val="auto"/>
          <w:sz w:val="24"/>
        </w:rPr>
        <w:t>2.1 招标文件的组成</w:t>
      </w:r>
      <w:bookmarkEnd w:id="31"/>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32" w:name="_Toc283559953"/>
      <w:r>
        <w:rPr>
          <w:rFonts w:hint="eastAsia" w:hAnsi="宋体" w:cs="宋体"/>
          <w:b/>
          <w:color w:val="auto"/>
          <w:sz w:val="24"/>
        </w:rPr>
        <w:t>2.2 招标文件的澄清</w:t>
      </w:r>
      <w:bookmarkEnd w:id="32"/>
    </w:p>
    <w:p>
      <w:pPr>
        <w:autoSpaceDE w:val="0"/>
        <w:autoSpaceDN w:val="0"/>
        <w:adjustRightInd w:val="0"/>
        <w:spacing w:line="450" w:lineRule="exact"/>
        <w:ind w:firstLine="616" w:firstLineChars="257"/>
        <w:jc w:val="left"/>
        <w:rPr>
          <w:rFonts w:hAnsi="宋体" w:cs="宋体"/>
          <w:color w:val="auto"/>
          <w:sz w:val="24"/>
        </w:rPr>
      </w:pPr>
      <w:bookmarkStart w:id="33"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33"/>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4" w:name="_Toc152042322"/>
      <w:bookmarkStart w:id="35" w:name="_Toc179632564"/>
      <w:bookmarkStart w:id="36" w:name="_Toc152045546"/>
      <w:bookmarkStart w:id="37" w:name="_Toc144974514"/>
      <w:r>
        <w:rPr>
          <w:rFonts w:hint="eastAsia" w:hAnsi="宋体" w:cs="宋体"/>
          <w:b/>
          <w:color w:val="auto"/>
          <w:sz w:val="24"/>
        </w:rPr>
        <w:t>3. 投标文件</w:t>
      </w:r>
      <w:bookmarkEnd w:id="34"/>
      <w:bookmarkEnd w:id="35"/>
      <w:bookmarkEnd w:id="36"/>
      <w:bookmarkEnd w:id="37"/>
    </w:p>
    <w:p>
      <w:pPr>
        <w:autoSpaceDE w:val="0"/>
        <w:autoSpaceDN w:val="0"/>
        <w:spacing w:line="420" w:lineRule="exact"/>
        <w:jc w:val="left"/>
        <w:outlineLvl w:val="0"/>
        <w:rPr>
          <w:rFonts w:hAnsi="宋体" w:cs="宋体"/>
          <w:b/>
          <w:color w:val="auto"/>
          <w:sz w:val="24"/>
        </w:rPr>
      </w:pPr>
      <w:bookmarkStart w:id="38"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（1）投标函及投标函附录；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（2）法定代表人身份证明、授权委托书；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（3）投标保证金；</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（4）项目管理机构配备情况；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（5）投标单位基本信息表；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（6）资格证明文件；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（7）近年完成的类似项目情况；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（9）近年发生的诉讼及仲裁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9"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9"/>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8"/>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40" w:name="_Toc282436964"/>
      <w:bookmarkStart w:id="41" w:name="_Toc283559960"/>
      <w:r>
        <w:rPr>
          <w:rFonts w:hint="eastAsia" w:hAnsi="宋体" w:cs="宋体"/>
          <w:b/>
          <w:bCs/>
          <w:color w:val="auto"/>
          <w:sz w:val="24"/>
        </w:rPr>
        <w:t xml:space="preserve">3.4 </w:t>
      </w:r>
      <w:bookmarkEnd w:id="40"/>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3.5.1 “投标人基本情况表”应附企业法人营业执照副本等材料的原件扫描件（或图片）。</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rPr>
        <w:t xml:space="preserve">（新成立不足三年的企业提供自成立之日以来现有年限的财务会计报表）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42" w:name="_Toc152045553"/>
      <w:bookmarkStart w:id="43" w:name="_Toc144974521"/>
      <w:bookmarkStart w:id="44" w:name="_Toc179632571"/>
      <w:bookmarkStart w:id="45" w:name="_Toc152042329"/>
      <w:r>
        <w:rPr>
          <w:rFonts w:hint="eastAsia" w:hAnsi="宋体" w:cs="宋体"/>
          <w:b/>
          <w:color w:val="auto"/>
          <w:sz w:val="24"/>
        </w:rPr>
        <w:t>备选投标方案</w:t>
      </w:r>
    </w:p>
    <w:bookmarkEnd w:id="42"/>
    <w:bookmarkEnd w:id="43"/>
    <w:bookmarkEnd w:id="44"/>
    <w:bookmarkEnd w:id="45"/>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41"/>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6"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6"/>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7" w:name="_Toc283559964"/>
      <w:r>
        <w:rPr>
          <w:rFonts w:hint="eastAsia" w:hAnsi="宋体" w:cs="宋体"/>
          <w:b/>
          <w:color w:val="auto"/>
          <w:sz w:val="24"/>
        </w:rPr>
        <w:t>4.2 投标文件的修改与撤回</w:t>
      </w:r>
      <w:bookmarkEnd w:id="4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8" w:name="_Toc283559967"/>
      <w:r>
        <w:rPr>
          <w:rFonts w:hint="eastAsia" w:hAnsi="宋体"/>
          <w:b/>
          <w:color w:val="auto"/>
        </w:rPr>
        <w:t>5. 开标</w:t>
      </w:r>
      <w:bookmarkEnd w:id="48"/>
    </w:p>
    <w:p>
      <w:pPr>
        <w:autoSpaceDE w:val="0"/>
        <w:autoSpaceDN w:val="0"/>
        <w:adjustRightInd w:val="0"/>
        <w:spacing w:line="440" w:lineRule="exact"/>
        <w:jc w:val="left"/>
        <w:outlineLvl w:val="0"/>
        <w:rPr>
          <w:rFonts w:hAnsi="宋体" w:cs="宋体"/>
          <w:b/>
          <w:color w:val="auto"/>
          <w:sz w:val="24"/>
        </w:rPr>
      </w:pPr>
      <w:bookmarkStart w:id="49" w:name="_Toc283559968"/>
      <w:r>
        <w:rPr>
          <w:rFonts w:hint="eastAsia" w:hAnsi="宋体" w:cs="宋体"/>
          <w:b/>
          <w:color w:val="auto"/>
          <w:sz w:val="24"/>
        </w:rPr>
        <w:t>5.1 开标时间和地点</w:t>
      </w:r>
      <w:bookmarkEnd w:id="49"/>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pStyle w:val="20"/>
        <w:spacing w:line="440" w:lineRule="exact"/>
        <w:ind w:firstLine="480" w:firstLineChars="200"/>
        <w:jc w:val="both"/>
        <w:outlineLvl w:val="0"/>
        <w:rPr>
          <w:rFonts w:hint="eastAsia" w:hAnsi="宋体" w:eastAsia="宋体" w:cs="宋体"/>
          <w:color w:val="auto"/>
          <w:sz w:val="24"/>
        </w:rPr>
      </w:pPr>
      <w:bookmarkStart w:id="50" w:name="_Toc283559970"/>
      <w:r>
        <w:rPr>
          <w:rFonts w:hint="eastAsia" w:hAnsi="宋体" w:eastAsia="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pStyle w:val="20"/>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pStyle w:val="20"/>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 xml:space="preserve">(3)解密完成后，招标人（代理机构）点击“系数抽取”按钮进行系数抽取，系数抽取情况在“公告通知”处显示。 </w:t>
      </w:r>
    </w:p>
    <w:p>
      <w:pPr>
        <w:pStyle w:val="20"/>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pStyle w:val="20"/>
        <w:spacing w:line="440" w:lineRule="exact"/>
        <w:ind w:firstLine="480" w:firstLineChars="200"/>
        <w:jc w:val="both"/>
        <w:outlineLvl w:val="0"/>
        <w:rPr>
          <w:rFonts w:hint="eastAsia" w:hAnsi="宋体" w:eastAsia="宋体" w:cs="宋体"/>
          <w:color w:val="auto"/>
          <w:sz w:val="24"/>
        </w:rPr>
      </w:pPr>
      <w:r>
        <w:rPr>
          <w:rFonts w:hint="eastAsia" w:hAnsi="宋体" w:eastAsia="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50"/>
    </w:p>
    <w:p>
      <w:pPr>
        <w:autoSpaceDE w:val="0"/>
        <w:autoSpaceDN w:val="0"/>
        <w:adjustRightInd w:val="0"/>
        <w:spacing w:line="440" w:lineRule="exact"/>
        <w:jc w:val="left"/>
        <w:outlineLvl w:val="0"/>
        <w:rPr>
          <w:rFonts w:hAnsi="宋体" w:cs="宋体"/>
          <w:b/>
          <w:color w:val="auto"/>
          <w:sz w:val="24"/>
        </w:rPr>
      </w:pPr>
      <w:bookmarkStart w:id="51" w:name="_Toc283559971"/>
      <w:r>
        <w:rPr>
          <w:rFonts w:hint="eastAsia" w:hAnsi="宋体" w:cs="宋体"/>
          <w:b/>
          <w:color w:val="auto"/>
          <w:sz w:val="24"/>
        </w:rPr>
        <w:t>6.1 评标委员会</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2" w:name="_Toc283559972"/>
      <w:r>
        <w:rPr>
          <w:rFonts w:hint="eastAsia" w:hAnsi="宋体" w:cs="宋体"/>
          <w:b/>
          <w:color w:val="auto"/>
          <w:sz w:val="24"/>
        </w:rPr>
        <w:t>6.2 评标原则</w:t>
      </w:r>
      <w:bookmarkEnd w:id="5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3" w:name="_Toc283559973"/>
      <w:r>
        <w:rPr>
          <w:rFonts w:hint="eastAsia" w:hAnsi="宋体" w:cs="宋体"/>
          <w:b/>
          <w:color w:val="auto"/>
          <w:sz w:val="24"/>
        </w:rPr>
        <w:t>6.3 评标</w:t>
      </w:r>
      <w:bookmarkEnd w:id="5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54" w:name="_Toc283559974"/>
      <w:r>
        <w:rPr>
          <w:rFonts w:hint="eastAsia" w:hAnsi="宋体"/>
          <w:b/>
          <w:color w:val="auto"/>
        </w:rPr>
        <w:t>7. 合同授予</w:t>
      </w:r>
      <w:bookmarkEnd w:id="54"/>
    </w:p>
    <w:p>
      <w:pPr>
        <w:autoSpaceDE w:val="0"/>
        <w:autoSpaceDN w:val="0"/>
        <w:spacing w:line="440" w:lineRule="exact"/>
        <w:jc w:val="left"/>
        <w:outlineLvl w:val="0"/>
        <w:rPr>
          <w:rFonts w:hAnsi="宋体" w:cs="宋体"/>
          <w:b/>
          <w:color w:val="auto"/>
          <w:sz w:val="24"/>
        </w:rPr>
      </w:pPr>
      <w:bookmarkStart w:id="55" w:name="_Toc283559975"/>
      <w:r>
        <w:rPr>
          <w:rFonts w:hint="eastAsia" w:hAnsi="宋体" w:cs="宋体"/>
          <w:b/>
          <w:color w:val="auto"/>
          <w:sz w:val="24"/>
        </w:rPr>
        <w:t>7.1 定标方式</w:t>
      </w:r>
      <w:bookmarkEnd w:id="55"/>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6" w:name="_Toc283559976"/>
      <w:r>
        <w:rPr>
          <w:rFonts w:hint="eastAsia" w:hAnsi="宋体" w:cs="宋体"/>
          <w:b/>
          <w:color w:val="auto"/>
          <w:sz w:val="24"/>
        </w:rPr>
        <w:t>7.2 中标通知</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7" w:name="_Toc144974537"/>
      <w:bookmarkStart w:id="58" w:name="_Toc152042345"/>
      <w:bookmarkStart w:id="59" w:name="_Toc152045569"/>
      <w:bookmarkStart w:id="60"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7"/>
      <w:bookmarkEnd w:id="58"/>
      <w:bookmarkEnd w:id="59"/>
      <w:bookmarkEnd w:id="60"/>
      <w:bookmarkStart w:id="61" w:name="_Toc283559977"/>
      <w:r>
        <w:rPr>
          <w:rFonts w:hint="eastAsia" w:hAnsi="宋体" w:cs="宋体"/>
          <w:b/>
          <w:color w:val="auto"/>
          <w:sz w:val="24"/>
        </w:rPr>
        <w:t>3签订合同</w:t>
      </w:r>
      <w:bookmarkEnd w:id="6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62" w:name="_Toc283559978"/>
      <w:r>
        <w:rPr>
          <w:rFonts w:hint="eastAsia" w:hAnsi="宋体" w:cs="宋体"/>
          <w:b/>
          <w:color w:val="auto"/>
          <w:sz w:val="24"/>
        </w:rPr>
        <w:t>8. 重新招标和不再招标</w:t>
      </w:r>
      <w:bookmarkEnd w:id="62"/>
    </w:p>
    <w:p>
      <w:pPr>
        <w:autoSpaceDE w:val="0"/>
        <w:autoSpaceDN w:val="0"/>
        <w:adjustRightInd w:val="0"/>
        <w:spacing w:line="440" w:lineRule="exact"/>
        <w:jc w:val="left"/>
        <w:outlineLvl w:val="0"/>
        <w:rPr>
          <w:rFonts w:hAnsi="宋体" w:cs="宋体"/>
          <w:b/>
          <w:color w:val="auto"/>
          <w:sz w:val="24"/>
        </w:rPr>
      </w:pPr>
      <w:bookmarkStart w:id="63" w:name="_Toc283559979"/>
      <w:r>
        <w:rPr>
          <w:rFonts w:hint="eastAsia" w:hAnsi="宋体" w:cs="宋体"/>
          <w:b/>
          <w:color w:val="auto"/>
          <w:sz w:val="24"/>
        </w:rPr>
        <w:t>8.1 重新招标</w:t>
      </w:r>
      <w:bookmarkEnd w:id="63"/>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4" w:name="_Toc283559980"/>
      <w:r>
        <w:rPr>
          <w:rFonts w:hint="eastAsia" w:hAnsi="宋体" w:cs="宋体"/>
          <w:b/>
          <w:color w:val="auto"/>
          <w:sz w:val="24"/>
        </w:rPr>
        <w:t>8.2 不再招标</w:t>
      </w:r>
      <w:bookmarkEnd w:id="64"/>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5" w:name="_Toc283559981"/>
      <w:r>
        <w:rPr>
          <w:rFonts w:hint="eastAsia" w:hAnsi="宋体"/>
          <w:b/>
          <w:color w:val="auto"/>
        </w:rPr>
        <w:t>9. 纪律和监督</w:t>
      </w:r>
      <w:bookmarkEnd w:id="65"/>
    </w:p>
    <w:p>
      <w:pPr>
        <w:autoSpaceDE w:val="0"/>
        <w:autoSpaceDN w:val="0"/>
        <w:adjustRightInd w:val="0"/>
        <w:spacing w:line="440" w:lineRule="exact"/>
        <w:jc w:val="left"/>
        <w:outlineLvl w:val="0"/>
        <w:rPr>
          <w:rFonts w:hAnsi="宋体" w:cs="宋体"/>
          <w:b/>
          <w:color w:val="auto"/>
          <w:sz w:val="24"/>
        </w:rPr>
      </w:pPr>
      <w:bookmarkStart w:id="66" w:name="_Toc283559982"/>
      <w:r>
        <w:rPr>
          <w:rFonts w:hint="eastAsia" w:hAnsi="宋体" w:cs="宋体"/>
          <w:b/>
          <w:color w:val="auto"/>
          <w:sz w:val="24"/>
        </w:rPr>
        <w:t>9.1 对招标人的纪律要求</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7" w:name="_Toc283559983"/>
      <w:r>
        <w:rPr>
          <w:rFonts w:hint="eastAsia" w:hAnsi="宋体" w:cs="宋体"/>
          <w:b/>
          <w:color w:val="auto"/>
          <w:sz w:val="24"/>
        </w:rPr>
        <w:t>9.2 对投标人的纪律要求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8" w:name="_Toc283559984"/>
      <w:r>
        <w:rPr>
          <w:rFonts w:hint="eastAsia" w:hAnsi="宋体" w:cs="宋体"/>
          <w:b/>
          <w:color w:val="auto"/>
          <w:sz w:val="24"/>
        </w:rPr>
        <w:t>9.3 对评标委员会成员的纪律要求</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9" w:name="_Toc283559985"/>
      <w:r>
        <w:rPr>
          <w:rFonts w:hint="eastAsia" w:hAnsi="宋体" w:cs="宋体"/>
          <w:b/>
          <w:color w:val="auto"/>
          <w:sz w:val="24"/>
        </w:rPr>
        <w:t>9.4 对与评标活动有关的工作人员的纪律要求</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70" w:name="_Toc283559986"/>
      <w:r>
        <w:rPr>
          <w:rFonts w:hint="eastAsia" w:hAnsi="宋体" w:cs="宋体"/>
          <w:b/>
          <w:color w:val="auto"/>
          <w:sz w:val="24"/>
        </w:rPr>
        <w:t>9.5 投诉</w:t>
      </w:r>
      <w:bookmarkEnd w:id="7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71" w:name="_Toc283559987"/>
      <w:r>
        <w:rPr>
          <w:rFonts w:hint="eastAsia" w:hAnsi="宋体"/>
          <w:b/>
          <w:color w:val="auto"/>
        </w:rPr>
        <w:t>10. 需要补充的其他内容</w:t>
      </w:r>
      <w:bookmarkEnd w:id="7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jc w:val="right"/>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right="960"/>
        <w:jc w:val="right"/>
        <w:rPr>
          <w:rFonts w:hAnsi="宋体" w:cs="宋体"/>
          <w:color w:val="auto"/>
          <w:sz w:val="24"/>
        </w:rPr>
      </w:pPr>
      <w:r>
        <w:rPr>
          <w:rFonts w:hint="eastAsia" w:hAnsi="宋体" w:cs="宋体"/>
          <w:color w:val="auto"/>
          <w:sz w:val="24"/>
        </w:rPr>
        <w:t>年    月   日</w:t>
      </w:r>
    </w:p>
    <w:p>
      <w:pPr>
        <w:spacing w:line="480" w:lineRule="exact"/>
        <w:jc w:val="righ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bookmarkStart w:id="72" w:name="_Toc283559990"/>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6</w:t>
      </w:r>
      <w:r>
        <w:rPr>
          <w:rFonts w:hint="eastAsia" w:hAnsi="宋体" w:cs="宋体"/>
          <w:color w:val="auto"/>
          <w:sz w:val="24"/>
        </w:rPr>
        <w:t>人</w:t>
      </w:r>
      <w:r>
        <w:rPr>
          <w:rFonts w:hint="eastAsia" w:hAnsi="宋体" w:cs="宋体"/>
          <w:color w:val="auto"/>
          <w:sz w:val="24"/>
          <w:lang w:eastAsia="zh-CN"/>
        </w:rPr>
        <w:t>和</w:t>
      </w:r>
      <w:r>
        <w:rPr>
          <w:rFonts w:hint="eastAsia" w:hAnsi="宋体" w:cs="宋体"/>
          <w:bCs/>
          <w:sz w:val="24"/>
        </w:rPr>
        <w:t>招标人代表</w:t>
      </w:r>
      <w:r>
        <w:rPr>
          <w:rFonts w:hint="eastAsia" w:hAnsi="宋体" w:cs="宋体"/>
          <w:bCs/>
          <w:sz w:val="24"/>
          <w:lang w:val="en-US" w:eastAsia="zh-CN"/>
        </w:rPr>
        <w:t>3</w:t>
      </w:r>
      <w:r>
        <w:rPr>
          <w:rFonts w:hint="eastAsia" w:hAnsi="宋体" w:cs="宋体"/>
          <w:bCs/>
          <w:sz w:val="24"/>
        </w:rPr>
        <w:t>人</w:t>
      </w:r>
      <w:r>
        <w:rPr>
          <w:rFonts w:hint="eastAsia" w:hAnsi="宋体" w:cs="宋体"/>
          <w:color w:val="auto"/>
          <w:sz w:val="24"/>
        </w:rPr>
        <w:t>组成，其中注册造价工程师不少于</w:t>
      </w:r>
      <w:r>
        <w:rPr>
          <w:rFonts w:hint="eastAsia" w:hAnsi="宋体" w:cs="宋体"/>
          <w:color w:val="auto"/>
          <w:sz w:val="24"/>
          <w:lang w:val="en-US" w:eastAsia="zh-CN"/>
        </w:rPr>
        <w:t>3</w:t>
      </w:r>
      <w:r>
        <w:rPr>
          <w:rFonts w:hint="eastAsia" w:hAnsi="宋体" w:cs="宋体"/>
          <w:color w:val="auto"/>
          <w:sz w:val="24"/>
        </w:rPr>
        <w:t>人。评标委员会主任从</w:t>
      </w:r>
      <w:r>
        <w:rPr>
          <w:rFonts w:hint="eastAsia" w:hAnsi="宋体" w:cs="宋体"/>
          <w:color w:val="auto"/>
          <w:sz w:val="24"/>
          <w:lang w:val="en-US" w:eastAsia="zh-CN"/>
        </w:rPr>
        <w:t>6</w:t>
      </w:r>
      <w:bookmarkStart w:id="83" w:name="_GoBack"/>
      <w:bookmarkEnd w:id="83"/>
      <w:r>
        <w:rPr>
          <w:rFonts w:hint="eastAsia" w:hAnsi="宋体" w:cs="宋体"/>
          <w:color w:val="auto"/>
          <w:sz w:val="24"/>
        </w:rPr>
        <w:t>名随机抽取的评标专家中产生，与投标人有利害关系的专家不得进入评标委员会。</w:t>
      </w:r>
    </w:p>
    <w:p>
      <w:pPr>
        <w:snapToGrid w:val="0"/>
        <w:spacing w:line="360" w:lineRule="auto"/>
        <w:rPr>
          <w:rFonts w:ascii="新宋体" w:hAnsi="新宋体" w:eastAsia="新宋体"/>
          <w:color w:val="auto"/>
          <w:sz w:val="24"/>
        </w:rPr>
      </w:pPr>
      <w:r>
        <w:rPr>
          <w:rFonts w:hint="eastAsia" w:hAnsi="宋体" w:cs="宋体"/>
          <w:color w:val="auto"/>
          <w:sz w:val="24"/>
        </w:rPr>
        <w:t xml:space="preserve">     </w:t>
      </w:r>
      <w:r>
        <w:rPr>
          <w:rFonts w:hint="eastAsia" w:ascii="新宋体" w:hAnsi="新宋体" w:eastAsia="新宋体"/>
          <w:color w:val="auto"/>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四、评标程序为：</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（一）清标；</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（二）初步评审；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（三）详细评审；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（四）问题的澄清、说明或补正；</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（五）推荐中标候选人；</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（六）评标现场宣布中标候选人确定结果并在指定媒体上进行公示。</w:t>
      </w:r>
    </w:p>
    <w:p>
      <w:pPr>
        <w:spacing w:line="440" w:lineRule="exact"/>
        <w:ind w:firstLine="480" w:firstLineChars="200"/>
        <w:rPr>
          <w:rFonts w:ascii="新宋体" w:hAnsi="新宋体" w:eastAsia="新宋体"/>
          <w:b/>
          <w:color w:val="auto"/>
          <w:sz w:val="24"/>
        </w:rPr>
      </w:pPr>
      <w:r>
        <w:rPr>
          <w:rFonts w:hint="eastAsia" w:ascii="新宋体" w:hAnsi="新宋体" w:eastAsia="新宋体"/>
          <w:bCs/>
          <w:color w:val="auto"/>
          <w:sz w:val="24"/>
        </w:rPr>
        <w:t>五、</w:t>
      </w:r>
      <w:r>
        <w:rPr>
          <w:rFonts w:hint="eastAsia" w:ascii="新宋体" w:hAnsi="新宋体" w:eastAsia="新宋体"/>
          <w:b/>
          <w:color w:val="auto"/>
          <w:sz w:val="24"/>
        </w:rPr>
        <w:t>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5.1 </w:t>
      </w:r>
      <w:r>
        <w:rPr>
          <w:rFonts w:hint="eastAsia" w:ascii="新宋体" w:hAnsi="新宋体" w:eastAsia="新宋体"/>
          <w:bCs/>
          <w:color w:val="auto"/>
          <w:sz w:val="24"/>
        </w:rPr>
        <w:t>投标文件存在下列情形之一的，按废标处理：</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（6）投标文件没有对招标文件的实质性要求和条件作出响应（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p>
    <w:p>
      <w:pPr>
        <w:spacing w:line="360" w:lineRule="auto"/>
        <w:ind w:firstLine="480" w:firstLineChars="200"/>
        <w:rPr>
          <w:rFonts w:hint="eastAsia" w:ascii="新宋体" w:hAnsi="新宋体" w:eastAsia="新宋体" w:cs="宋体"/>
          <w:bCs/>
          <w:color w:val="auto"/>
          <w:sz w:val="24"/>
          <w:lang w:eastAsia="zh-CN"/>
        </w:rPr>
      </w:pPr>
      <w:r>
        <w:rPr>
          <w:rFonts w:hint="eastAsia" w:ascii="新宋体" w:hAnsi="新宋体" w:eastAsia="新宋体" w:cs="宋体"/>
          <w:bCs/>
          <w:color w:val="auto"/>
          <w:sz w:val="24"/>
        </w:rPr>
        <w:t>（7）投标人是否有串通投标、弄虚作假、行贿等违法行为</w:t>
      </w:r>
      <w:r>
        <w:rPr>
          <w:rFonts w:hint="eastAsia" w:ascii="新宋体" w:hAnsi="新宋体" w:eastAsia="新宋体" w:cs="宋体"/>
          <w:bCs/>
          <w:color w:val="auto"/>
          <w:sz w:val="24"/>
          <w:lang w:eastAsia="zh-CN"/>
        </w:rPr>
        <w:t>。</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5.2投标文件存在下列情形之一的，按废标处理：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（3）规费和安全文明施工措施费违背工程造价计价有关规定的；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（5）未按照招标文件所列明的暂列金额、暂估价编制投标报价的。</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（6）住房和城乡建设部《标准施工招标文件》规定的其他否决条件。</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5.3清标内容：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bl>
    <w:p>
      <w:pPr>
        <w:tabs>
          <w:tab w:val="left" w:pos="1260"/>
        </w:tabs>
        <w:autoSpaceDE w:val="0"/>
        <w:autoSpaceDN w:val="0"/>
        <w:adjustRightInd w:val="0"/>
        <w:spacing w:line="420" w:lineRule="exact"/>
        <w:ind w:firstLine="480" w:firstLineChars="200"/>
        <w:jc w:val="left"/>
        <w:rPr>
          <w:rFonts w:hAnsi="宋体" w:cs="宋体"/>
          <w:b/>
          <w:color w:val="auto"/>
          <w:sz w:val="24"/>
          <w:szCs w:val="24"/>
        </w:rPr>
      </w:pPr>
      <w:r>
        <w:rPr>
          <w:rFonts w:hint="eastAsia" w:hAnsi="宋体" w:cs="宋体"/>
          <w:b/>
          <w:color w:val="auto"/>
          <w:sz w:val="24"/>
          <w:szCs w:val="24"/>
        </w:rPr>
        <w:t>注：不在上述范围内且不具有实质性影响的内容，均不能作为清标的依据或理由。</w:t>
      </w:r>
    </w:p>
    <w:p>
      <w:pPr>
        <w:pStyle w:val="11"/>
        <w:spacing w:line="420" w:lineRule="exact"/>
        <w:ind w:firstLine="480" w:firstLineChars="200"/>
        <w:rPr>
          <w:rFonts w:hAnsi="宋体" w:cs="宋体"/>
          <w:b/>
          <w:color w:val="auto"/>
          <w:sz w:val="24"/>
          <w:szCs w:val="24"/>
        </w:rPr>
      </w:pPr>
      <w:r>
        <w:rPr>
          <w:rFonts w:hint="eastAsia" w:hAnsi="宋体" w:cs="宋体"/>
          <w:b/>
          <w:color w:val="auto"/>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20" w:lineRule="exact"/>
        <w:ind w:firstLine="480" w:firstLineChars="200"/>
        <w:rPr>
          <w:rFonts w:hAnsi="宋体" w:eastAsia="宋体" w:cs="宋体"/>
          <w:b/>
          <w:color w:val="auto"/>
          <w:sz w:val="24"/>
        </w:rPr>
      </w:pPr>
      <w:r>
        <w:rPr>
          <w:rFonts w:hint="eastAsia" w:hAnsi="宋体" w:eastAsia="宋体" w:cs="宋体"/>
          <w:b/>
          <w:color w:val="auto"/>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20" w:lineRule="exact"/>
        <w:ind w:firstLine="480" w:firstLineChars="200"/>
        <w:rPr>
          <w:rFonts w:hAnsi="宋体" w:eastAsia="宋体" w:cs="宋体"/>
          <w:b/>
          <w:color w:val="auto"/>
          <w:sz w:val="24"/>
        </w:rPr>
      </w:pPr>
      <w:r>
        <w:rPr>
          <w:rFonts w:hint="eastAsia" w:hAnsi="宋体" w:eastAsia="宋体" w:cs="宋体"/>
          <w:b/>
          <w:color w:val="auto"/>
          <w:sz w:val="24"/>
        </w:rPr>
        <w:t>六、详细评审</w:t>
      </w:r>
    </w:p>
    <w:p>
      <w:pPr>
        <w:spacing w:line="42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73" w:name="_Toc273546398"/>
            <w:bookmarkStart w:id="74" w:name="_Toc270931534"/>
            <w:bookmarkStart w:id="75" w:name="_Toc272833453"/>
            <w:bookmarkStart w:id="76" w:name="_Toc295572535"/>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6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pacing w:val="-4"/>
                <w:sz w:val="21"/>
                <w:szCs w:val="21"/>
              </w:rPr>
            </w:pPr>
            <w:r>
              <w:rPr>
                <w:color w:val="auto"/>
                <w:spacing w:val="-4"/>
                <w:sz w:val="21"/>
                <w:szCs w:val="21"/>
              </w:rPr>
              <w:t>3.</w:t>
            </w:r>
            <w:r>
              <w:rPr>
                <w:rFonts w:hint="eastAsia"/>
                <w:color w:val="auto"/>
                <w:spacing w:val="-4"/>
                <w:sz w:val="21"/>
                <w:szCs w:val="21"/>
              </w:rPr>
              <w:t>主要物资计划：主要物资（含</w:t>
            </w:r>
            <w:r>
              <w:rPr>
                <w:color w:val="auto"/>
                <w:spacing w:val="-4"/>
                <w:sz w:val="21"/>
                <w:szCs w:val="21"/>
              </w:rPr>
              <w:t>PC</w:t>
            </w:r>
            <w:r>
              <w:rPr>
                <w:rFonts w:hint="eastAsia"/>
                <w:color w:val="auto"/>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施工进度表或网络计划图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4"/>
        <w:rPr>
          <w:rFonts w:hAnsi="宋体" w:cs="宋体"/>
          <w:color w:val="auto"/>
          <w:sz w:val="24"/>
          <w:szCs w:val="24"/>
        </w:rPr>
      </w:pPr>
      <w:r>
        <w:rPr>
          <w:rFonts w:hint="eastAsia" w:hAnsi="宋体" w:cs="宋体"/>
          <w:color w:val="auto"/>
          <w:sz w:val="24"/>
          <w:szCs w:val="24"/>
        </w:rPr>
        <w:t>（1）工程量清单报价评标基准价计算公式为：</w:t>
      </w:r>
    </w:p>
    <w:p>
      <w:pPr>
        <w:snapToGrid w:val="0"/>
        <w:spacing w:line="360" w:lineRule="auto"/>
        <w:ind w:firstLine="484"/>
        <w:rPr>
          <w:rFonts w:hAnsi="宋体" w:cs="宋体"/>
          <w:color w:val="auto"/>
          <w:sz w:val="24"/>
          <w:szCs w:val="24"/>
        </w:rPr>
      </w:pPr>
      <w:r>
        <w:rPr>
          <w:rFonts w:hint="eastAsia" w:hAnsi="宋体" w:cs="宋体"/>
          <w:color w:val="auto"/>
          <w:sz w:val="24"/>
          <w:szCs w:val="24"/>
        </w:rPr>
        <w:t>评标基准价＝最高投标限价×K+投标报价×（1－K）。</w:t>
      </w:r>
    </w:p>
    <w:p>
      <w:pPr>
        <w:snapToGrid w:val="0"/>
        <w:spacing w:line="360" w:lineRule="auto"/>
        <w:ind w:firstLine="484"/>
        <w:rPr>
          <w:rFonts w:hAnsi="宋体" w:cs="宋体"/>
          <w:color w:val="auto"/>
          <w:sz w:val="24"/>
          <w:szCs w:val="24"/>
        </w:rPr>
      </w:pPr>
      <w:r>
        <w:rPr>
          <w:rFonts w:hint="eastAsia" w:hAnsi="宋体" w:cs="宋体"/>
          <w:color w:val="auto"/>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484"/>
        <w:rPr>
          <w:rFonts w:hAnsi="宋体" w:cs="宋体"/>
          <w:color w:val="auto"/>
          <w:sz w:val="24"/>
          <w:szCs w:val="24"/>
        </w:rPr>
      </w:pPr>
      <w:r>
        <w:rPr>
          <w:rFonts w:hint="eastAsia" w:hAnsi="宋体" w:cs="宋体"/>
          <w:color w:val="auto"/>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4"/>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分部分项工程项目清单单价评审（10分）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color w:val="auto"/>
          <w:sz w:val="24"/>
          <w:szCs w:val="24"/>
        </w:rPr>
      </w:pPr>
      <w:r>
        <w:rPr>
          <w:rFonts w:hint="eastAsia" w:hAnsi="宋体" w:cs="宋体"/>
          <w:color w:val="auto"/>
          <w:sz w:val="24"/>
          <w:szCs w:val="24"/>
        </w:rPr>
        <w:t>投标人报价在综合单价基准值95%–103%范围内（不含95%和103%）的，每项得0.5分；在综合单价基准值90%–95%范围内（含90%和95%）每项得0.25分。满分共计10分。超出该范围的不得分。</w:t>
      </w:r>
      <w:r>
        <w:rPr>
          <w:rFonts w:hint="eastAsia" w:hAnsi="宋体" w:cs="宋体"/>
          <w:b/>
          <w:bCs/>
          <w:color w:val="auto"/>
          <w:sz w:val="24"/>
          <w:szCs w:val="24"/>
        </w:rPr>
        <w:t xml:space="preserve">    </w:t>
      </w:r>
    </w:p>
    <w:p>
      <w:pPr>
        <w:numPr>
          <w:ilvl w:val="0"/>
          <w:numId w:val="4"/>
        </w:numPr>
        <w:snapToGrid w:val="0"/>
        <w:spacing w:line="360" w:lineRule="auto"/>
        <w:ind w:firstLine="481"/>
        <w:rPr>
          <w:rFonts w:hAnsi="宋体" w:cs="宋体"/>
          <w:b/>
          <w:bCs/>
          <w:color w:val="auto"/>
          <w:sz w:val="24"/>
          <w:szCs w:val="24"/>
        </w:rPr>
      </w:pPr>
      <w:r>
        <w:rPr>
          <w:rFonts w:hint="eastAsia" w:hAnsi="宋体" w:cs="宋体"/>
          <w:b/>
          <w:bCs/>
          <w:color w:val="auto"/>
          <w:sz w:val="24"/>
          <w:szCs w:val="24"/>
        </w:rPr>
        <w:t>措施项目费的评审（不含安全文明措施费）（5分）</w:t>
      </w:r>
    </w:p>
    <w:p>
      <w:pPr>
        <w:snapToGrid w:val="0"/>
        <w:spacing w:line="360" w:lineRule="auto"/>
        <w:ind w:firstLine="480" w:firstLineChars="200"/>
        <w:rPr>
          <w:rFonts w:hAnsi="宋体" w:cs="宋体"/>
          <w:b/>
          <w:bCs/>
          <w:color w:val="auto"/>
          <w:sz w:val="24"/>
          <w:szCs w:val="24"/>
        </w:rPr>
      </w:pPr>
      <w:r>
        <w:rPr>
          <w:rFonts w:hint="eastAsia" w:hAnsi="宋体" w:cs="宋体"/>
          <w:color w:val="auto"/>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5"/>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主要材料单价的评审（5分）</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从最高投标限价中材料总价权重最大的前10-20项材料中抽取6项，在剩余材料中抽取4项。</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ind w:firstLine="480" w:firstLineChars="200"/>
        <w:rPr>
          <w:rFonts w:hint="eastAsia" w:hAnsi="宋体" w:cs="宋体" w:eastAsiaTheme="minorEastAsia"/>
          <w:b/>
          <w:color w:val="auto"/>
          <w:sz w:val="24"/>
          <w:szCs w:val="24"/>
          <w:lang w:eastAsia="zh-CN"/>
        </w:rPr>
      </w:pPr>
      <w:r>
        <w:rPr>
          <w:rFonts w:hint="eastAsia" w:hAnsi="宋体" w:cs="宋体"/>
          <w:b/>
          <w:color w:val="auto"/>
          <w:sz w:val="24"/>
          <w:szCs w:val="24"/>
        </w:rPr>
        <w:t>注:主材价格</w:t>
      </w:r>
      <w:r>
        <w:rPr>
          <w:rFonts w:hint="eastAsia" w:hAnsi="宋体" w:cs="宋体"/>
          <w:b/>
          <w:color w:val="auto"/>
          <w:sz w:val="24"/>
          <w:szCs w:val="24"/>
          <w:lang w:eastAsia="zh-CN"/>
        </w:rPr>
        <w:t>在中标后</w:t>
      </w:r>
      <w:r>
        <w:rPr>
          <w:rFonts w:hint="eastAsia" w:hAnsi="宋体" w:cs="宋体"/>
          <w:b/>
          <w:color w:val="auto"/>
          <w:sz w:val="24"/>
          <w:szCs w:val="24"/>
          <w:lang w:val="en-US" w:eastAsia="zh-CN"/>
        </w:rPr>
        <w:t>2年之内按照国家相应的法律法规做相应</w:t>
      </w:r>
      <w:r>
        <w:rPr>
          <w:rFonts w:hint="eastAsia" w:hAnsi="宋体" w:cs="宋体"/>
          <w:b/>
          <w:color w:val="auto"/>
          <w:sz w:val="24"/>
          <w:szCs w:val="24"/>
        </w:rPr>
        <w:t>调整</w:t>
      </w:r>
      <w:r>
        <w:rPr>
          <w:rFonts w:hint="eastAsia" w:hAnsi="宋体" w:cs="宋体"/>
          <w:b/>
          <w:color w:val="auto"/>
          <w:sz w:val="24"/>
          <w:szCs w:val="24"/>
          <w:lang w:eastAsia="zh-CN"/>
        </w:rPr>
        <w:t>。</w:t>
      </w:r>
    </w:p>
    <w:p>
      <w:pPr>
        <w:snapToGrid w:val="0"/>
        <w:spacing w:line="360" w:lineRule="auto"/>
        <w:ind w:firstLine="480" w:firstLineChars="200"/>
        <w:rPr>
          <w:rFonts w:hint="eastAsia" w:hAnsi="宋体" w:cs="宋体"/>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（四）综合标（25分）</w:t>
      </w:r>
    </w:p>
    <w:tbl>
      <w:tblPr>
        <w:tblStyle w:val="1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eastAsia="宋体" w:cs="宋体"/>
                <w:sz w:val="21"/>
                <w:szCs w:val="21"/>
              </w:rPr>
            </w:pPr>
            <w:r>
              <w:rPr>
                <w:rFonts w:hint="eastAsia" w:hAnsi="宋体" w:eastAsia="宋体" w:cs="宋体"/>
                <w:sz w:val="21"/>
                <w:szCs w:val="21"/>
              </w:rPr>
              <w:t>序号</w:t>
            </w:r>
          </w:p>
        </w:tc>
        <w:tc>
          <w:tcPr>
            <w:tcW w:w="2050" w:type="dxa"/>
            <w:vAlign w:val="center"/>
          </w:tcPr>
          <w:p>
            <w:pPr>
              <w:jc w:val="center"/>
              <w:rPr>
                <w:rFonts w:hAnsi="宋体" w:eastAsia="宋体" w:cs="宋体"/>
                <w:sz w:val="21"/>
                <w:szCs w:val="21"/>
              </w:rPr>
            </w:pPr>
            <w:r>
              <w:rPr>
                <w:rFonts w:hint="eastAsia" w:hAnsi="宋体" w:eastAsia="宋体" w:cs="宋体"/>
                <w:b/>
                <w:sz w:val="21"/>
                <w:szCs w:val="21"/>
              </w:rPr>
              <w:t>量化因素</w:t>
            </w:r>
          </w:p>
        </w:tc>
        <w:tc>
          <w:tcPr>
            <w:tcW w:w="4950" w:type="dxa"/>
            <w:vAlign w:val="center"/>
          </w:tcPr>
          <w:p>
            <w:pPr>
              <w:jc w:val="center"/>
              <w:rPr>
                <w:rFonts w:hAnsi="宋体" w:eastAsia="宋体" w:cs="宋体"/>
                <w:sz w:val="21"/>
                <w:szCs w:val="21"/>
              </w:rPr>
            </w:pPr>
            <w:r>
              <w:rPr>
                <w:rFonts w:hint="eastAsia" w:hAnsi="宋体" w:eastAsia="宋体" w:cs="宋体"/>
                <w:b/>
                <w:sz w:val="21"/>
                <w:szCs w:val="21"/>
              </w:rPr>
              <w:t>评分标准</w:t>
            </w:r>
          </w:p>
        </w:tc>
        <w:tc>
          <w:tcPr>
            <w:tcW w:w="2074" w:type="dxa"/>
            <w:vAlign w:val="center"/>
          </w:tcPr>
          <w:p>
            <w:pPr>
              <w:jc w:val="center"/>
              <w:rPr>
                <w:rFonts w:hAnsi="宋体" w:eastAsia="宋体" w:cs="宋体"/>
                <w:b/>
                <w:sz w:val="21"/>
                <w:szCs w:val="21"/>
              </w:rPr>
            </w:pPr>
            <w:r>
              <w:rPr>
                <w:rFonts w:hint="eastAsia" w:hAnsi="宋体" w:eastAsia="宋体" w:cs="宋体"/>
                <w:b/>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rFonts w:eastAsia="宋体"/>
                <w:sz w:val="21"/>
                <w:szCs w:val="21"/>
              </w:rPr>
            </w:pPr>
            <w:r>
              <w:rPr>
                <w:rFonts w:hint="eastAsia"/>
                <w:sz w:val="21"/>
                <w:szCs w:val="21"/>
              </w:rPr>
              <w:t>1</w:t>
            </w:r>
          </w:p>
        </w:tc>
        <w:tc>
          <w:tcPr>
            <w:tcW w:w="2050" w:type="dxa"/>
            <w:vAlign w:val="center"/>
          </w:tcPr>
          <w:p>
            <w:pPr>
              <w:autoSpaceDE w:val="0"/>
              <w:autoSpaceDN w:val="0"/>
              <w:adjustRightInd w:val="0"/>
              <w:rPr>
                <w:sz w:val="21"/>
                <w:szCs w:val="21"/>
              </w:rPr>
            </w:pPr>
            <w:r>
              <w:rPr>
                <w:rFonts w:hint="eastAsia"/>
                <w:sz w:val="21"/>
                <w:szCs w:val="21"/>
              </w:rPr>
              <w:t>企业业绩（0-4分）</w:t>
            </w:r>
          </w:p>
        </w:tc>
        <w:tc>
          <w:tcPr>
            <w:tcW w:w="4950" w:type="dxa"/>
            <w:vAlign w:val="center"/>
          </w:tcPr>
          <w:p>
            <w:pPr>
              <w:snapToGrid w:val="0"/>
              <w:spacing w:line="360" w:lineRule="auto"/>
              <w:rPr>
                <w:sz w:val="21"/>
                <w:szCs w:val="21"/>
              </w:rPr>
            </w:pPr>
            <w:r>
              <w:rPr>
                <w:rFonts w:hint="eastAsia" w:hAnsi="宋体" w:eastAsia="宋体" w:cs="宋体"/>
                <w:sz w:val="21"/>
                <w:szCs w:val="21"/>
              </w:rPr>
              <w:t>2017年1月1日以来（以合同签订时间为准）：企业具有类似工程施工业绩者，每项得2分，本项最高得</w:t>
            </w:r>
            <w:r>
              <w:rPr>
                <w:rFonts w:hint="eastAsia" w:hAnsi="宋体" w:cs="宋体"/>
                <w:sz w:val="21"/>
                <w:szCs w:val="21"/>
              </w:rPr>
              <w:t>4</w:t>
            </w:r>
            <w:r>
              <w:rPr>
                <w:rFonts w:hint="eastAsia" w:hAnsi="宋体" w:eastAsia="宋体" w:cs="宋体"/>
                <w:sz w:val="21"/>
                <w:szCs w:val="21"/>
              </w:rPr>
              <w:t>分。（以中标公示</w:t>
            </w:r>
            <w:r>
              <w:rPr>
                <w:rFonts w:hAnsi="宋体" w:eastAsia="宋体" w:cs="宋体"/>
                <w:sz w:val="21"/>
                <w:szCs w:val="21"/>
              </w:rPr>
              <w:t>截图、</w:t>
            </w:r>
            <w:r>
              <w:rPr>
                <w:rFonts w:hint="eastAsia" w:hAnsi="宋体" w:eastAsia="宋体" w:cs="宋体"/>
                <w:sz w:val="21"/>
                <w:szCs w:val="21"/>
              </w:rPr>
              <w:t>施工合同和竣工验收表为准或中标</w:t>
            </w:r>
            <w:r>
              <w:rPr>
                <w:rFonts w:hAnsi="宋体" w:eastAsia="宋体" w:cs="宋体"/>
                <w:sz w:val="21"/>
                <w:szCs w:val="21"/>
              </w:rPr>
              <w:t>公示截图、</w:t>
            </w:r>
            <w:r>
              <w:rPr>
                <w:rFonts w:hint="eastAsia" w:hAnsi="宋体" w:eastAsia="宋体" w:cs="宋体"/>
                <w:sz w:val="21"/>
                <w:szCs w:val="21"/>
              </w:rPr>
              <w:t>施工合同和中标通知书为准）</w:t>
            </w:r>
          </w:p>
        </w:tc>
        <w:tc>
          <w:tcPr>
            <w:tcW w:w="2074" w:type="dxa"/>
            <w:vAlign w:val="center"/>
          </w:tcPr>
          <w:p>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rFonts w:eastAsia="宋体"/>
                <w:sz w:val="21"/>
                <w:szCs w:val="21"/>
              </w:rPr>
            </w:pPr>
            <w:r>
              <w:rPr>
                <w:rFonts w:hint="eastAsia"/>
                <w:sz w:val="21"/>
                <w:szCs w:val="21"/>
              </w:rPr>
              <w:t>2</w:t>
            </w:r>
          </w:p>
        </w:tc>
        <w:tc>
          <w:tcPr>
            <w:tcW w:w="2050" w:type="dxa"/>
            <w:vAlign w:val="center"/>
          </w:tcPr>
          <w:p>
            <w:pPr>
              <w:rPr>
                <w:sz w:val="21"/>
                <w:szCs w:val="21"/>
              </w:rPr>
            </w:pPr>
            <w:r>
              <w:rPr>
                <w:rFonts w:hint="eastAsia"/>
                <w:sz w:val="21"/>
                <w:szCs w:val="21"/>
              </w:rPr>
              <w:t>项目经理业绩(0-6分）</w:t>
            </w:r>
          </w:p>
        </w:tc>
        <w:tc>
          <w:tcPr>
            <w:tcW w:w="4950" w:type="dxa"/>
            <w:vAlign w:val="center"/>
          </w:tcPr>
          <w:p>
            <w:pPr>
              <w:snapToGrid w:val="0"/>
              <w:spacing w:line="360" w:lineRule="auto"/>
              <w:rPr>
                <w:sz w:val="21"/>
                <w:szCs w:val="21"/>
              </w:rPr>
            </w:pPr>
            <w:r>
              <w:rPr>
                <w:rFonts w:hint="eastAsia" w:hAnsi="宋体" w:eastAsia="宋体" w:cs="宋体"/>
                <w:sz w:val="21"/>
                <w:szCs w:val="21"/>
              </w:rPr>
              <w:t>2017年1月1日以来（以合同签订时间为准）：拟派项目经理具有类似工程施工业绩者，得6分，本项最高得</w:t>
            </w:r>
            <w:r>
              <w:rPr>
                <w:rFonts w:hint="eastAsia" w:hAnsi="宋体" w:cs="宋体"/>
                <w:sz w:val="21"/>
                <w:szCs w:val="21"/>
              </w:rPr>
              <w:t>6</w:t>
            </w:r>
            <w:r>
              <w:rPr>
                <w:rFonts w:hint="eastAsia" w:hAnsi="宋体" w:eastAsia="宋体" w:cs="宋体"/>
                <w:sz w:val="21"/>
                <w:szCs w:val="21"/>
              </w:rPr>
              <w:t>分。（以中标公示</w:t>
            </w:r>
            <w:r>
              <w:rPr>
                <w:rFonts w:hAnsi="宋体" w:eastAsia="宋体" w:cs="宋体"/>
                <w:sz w:val="21"/>
                <w:szCs w:val="21"/>
              </w:rPr>
              <w:t>截图</w:t>
            </w:r>
            <w:r>
              <w:rPr>
                <w:rFonts w:hint="eastAsia" w:hAnsi="宋体" w:eastAsia="宋体" w:cs="宋体"/>
                <w:sz w:val="21"/>
                <w:szCs w:val="21"/>
              </w:rPr>
              <w:t>、施工合同和竣工验收表为准或中标公示</w:t>
            </w:r>
            <w:r>
              <w:rPr>
                <w:rFonts w:hAnsi="宋体" w:eastAsia="宋体" w:cs="宋体"/>
                <w:sz w:val="21"/>
                <w:szCs w:val="21"/>
              </w:rPr>
              <w:t>截图</w:t>
            </w:r>
            <w:r>
              <w:rPr>
                <w:rFonts w:hint="eastAsia" w:hAnsi="宋体" w:eastAsia="宋体" w:cs="宋体"/>
                <w:sz w:val="21"/>
                <w:szCs w:val="21"/>
              </w:rPr>
              <w:t>、施工合同和中标通知书为准。若施工合同或竣工验收表中未注明项目经理姓名者须提供建设单位出具的相关证明文件）。</w:t>
            </w:r>
          </w:p>
        </w:tc>
        <w:tc>
          <w:tcPr>
            <w:tcW w:w="2074" w:type="dxa"/>
            <w:vAlign w:val="center"/>
          </w:tcPr>
          <w:p>
            <w:pPr>
              <w:jc w:val="center"/>
              <w:rPr>
                <w:sz w:val="21"/>
                <w:szCs w:val="21"/>
              </w:rPr>
            </w:pPr>
            <w:r>
              <w:rPr>
                <w:sz w:val="21"/>
                <w:szCs w:val="21"/>
              </w:rPr>
              <w:t>0</w:t>
            </w:r>
            <w:r>
              <w:rPr>
                <w:rFonts w:hint="eastAsia"/>
                <w:sz w:val="21"/>
                <w:szCs w:val="21"/>
              </w:rPr>
              <w:t>＜得分</w:t>
            </w:r>
            <w:r>
              <w:rPr>
                <w:sz w:val="21"/>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rFonts w:eastAsia="宋体"/>
                <w:sz w:val="21"/>
                <w:szCs w:val="21"/>
              </w:rPr>
            </w:pPr>
            <w:r>
              <w:rPr>
                <w:rFonts w:hint="eastAsia"/>
                <w:sz w:val="21"/>
                <w:szCs w:val="21"/>
              </w:rPr>
              <w:t>3</w:t>
            </w:r>
          </w:p>
        </w:tc>
        <w:tc>
          <w:tcPr>
            <w:tcW w:w="2050" w:type="dxa"/>
            <w:vMerge w:val="restart"/>
            <w:vAlign w:val="center"/>
          </w:tcPr>
          <w:p>
            <w:pPr>
              <w:spacing w:line="240" w:lineRule="exact"/>
              <w:jc w:val="left"/>
              <w:rPr>
                <w:sz w:val="21"/>
                <w:szCs w:val="21"/>
              </w:rPr>
            </w:pPr>
            <w:r>
              <w:rPr>
                <w:rFonts w:hint="eastAsia"/>
                <w:sz w:val="21"/>
                <w:szCs w:val="21"/>
              </w:rPr>
              <w:t>优惠承诺（1-4分）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优惠承诺应是书面的符合工程实际情况，确保依法依规，优惠合理，详实可行。</w:t>
            </w:r>
          </w:p>
        </w:tc>
        <w:tc>
          <w:tcPr>
            <w:tcW w:w="2074" w:type="dxa"/>
            <w:vAlign w:val="center"/>
          </w:tcPr>
          <w:p>
            <w:pPr>
              <w:jc w:val="center"/>
              <w:rPr>
                <w:sz w:val="21"/>
                <w:szCs w:val="21"/>
              </w:rPr>
            </w:pPr>
            <w:r>
              <w:rPr>
                <w:sz w:val="21"/>
                <w:szCs w:val="21"/>
              </w:rPr>
              <w:t>3</w:t>
            </w:r>
            <w:r>
              <w:rPr>
                <w:rFonts w:hint="eastAsia"/>
                <w:sz w:val="21"/>
                <w:szCs w:val="21"/>
              </w:rPr>
              <w:t>＜得分</w:t>
            </w:r>
            <w:r>
              <w:rPr>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sz w:val="21"/>
                <w:szCs w:val="21"/>
              </w:rPr>
            </w:pPr>
          </w:p>
        </w:tc>
        <w:tc>
          <w:tcPr>
            <w:tcW w:w="2050" w:type="dxa"/>
            <w:vMerge w:val="continue"/>
            <w:vAlign w:val="center"/>
          </w:tcPr>
          <w:p>
            <w:pPr>
              <w:spacing w:line="240" w:lineRule="exact"/>
              <w:jc w:val="left"/>
              <w:rPr>
                <w:sz w:val="21"/>
                <w:szCs w:val="21"/>
              </w:rPr>
            </w:pPr>
          </w:p>
        </w:tc>
        <w:tc>
          <w:tcPr>
            <w:tcW w:w="4950" w:type="dxa"/>
            <w:vAlign w:val="center"/>
          </w:tcPr>
          <w:p>
            <w:pPr>
              <w:snapToGrid w:val="0"/>
              <w:spacing w:line="360" w:lineRule="auto"/>
              <w:jc w:val="left"/>
              <w:rPr>
                <w:rFonts w:hAnsi="宋体" w:eastAsia="宋体" w:cs="宋体"/>
                <w:sz w:val="21"/>
                <w:szCs w:val="21"/>
              </w:rPr>
            </w:pPr>
            <w:r>
              <w:rPr>
                <w:rFonts w:hint="eastAsia" w:hAnsi="宋体" w:eastAsia="宋体" w:cs="宋体"/>
                <w:sz w:val="21"/>
                <w:szCs w:val="21"/>
              </w:rPr>
              <w:t>优惠承诺符合工程实际情况，确保依法依规，优惠基本合理，基本详实可行。</w:t>
            </w:r>
          </w:p>
        </w:tc>
        <w:tc>
          <w:tcPr>
            <w:tcW w:w="2074" w:type="dxa"/>
            <w:vAlign w:val="center"/>
          </w:tcPr>
          <w:p>
            <w:pPr>
              <w:jc w:val="center"/>
              <w:rPr>
                <w:sz w:val="21"/>
                <w:szCs w:val="21"/>
              </w:rPr>
            </w:pPr>
            <w:r>
              <w:rPr>
                <w:sz w:val="21"/>
                <w:szCs w:val="21"/>
              </w:rPr>
              <w:t>1≤</w:t>
            </w:r>
            <w:r>
              <w:rPr>
                <w:rFonts w:hint="eastAsia"/>
                <w:sz w:val="21"/>
                <w:szCs w:val="21"/>
              </w:rPr>
              <w:t>得分</w:t>
            </w:r>
            <w:r>
              <w:rPr>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rFonts w:eastAsia="宋体"/>
                <w:sz w:val="21"/>
                <w:szCs w:val="21"/>
              </w:rPr>
            </w:pPr>
            <w:r>
              <w:rPr>
                <w:rFonts w:hint="eastAsia"/>
                <w:sz w:val="21"/>
                <w:szCs w:val="21"/>
              </w:rPr>
              <w:t>4</w:t>
            </w:r>
          </w:p>
        </w:tc>
        <w:tc>
          <w:tcPr>
            <w:tcW w:w="2050" w:type="dxa"/>
            <w:vMerge w:val="restart"/>
            <w:vAlign w:val="center"/>
          </w:tcPr>
          <w:p>
            <w:pPr>
              <w:spacing w:line="240" w:lineRule="exact"/>
              <w:jc w:val="center"/>
              <w:rPr>
                <w:sz w:val="21"/>
                <w:szCs w:val="21"/>
              </w:rPr>
            </w:pPr>
            <w:r>
              <w:rPr>
                <w:rFonts w:hint="eastAsia"/>
                <w:sz w:val="21"/>
                <w:szCs w:val="21"/>
              </w:rPr>
              <w:t>履职尽责承诺</w:t>
            </w:r>
          </w:p>
          <w:p>
            <w:pPr>
              <w:spacing w:line="240" w:lineRule="exact"/>
              <w:jc w:val="center"/>
              <w:rPr>
                <w:sz w:val="21"/>
                <w:szCs w:val="21"/>
              </w:rPr>
            </w:pPr>
            <w:r>
              <w:rPr>
                <w:rFonts w:hint="eastAsia"/>
                <w:sz w:val="21"/>
                <w:szCs w:val="21"/>
              </w:rPr>
              <w:t>（1-3分）</w:t>
            </w:r>
          </w:p>
        </w:tc>
        <w:tc>
          <w:tcPr>
            <w:tcW w:w="4950" w:type="dxa"/>
            <w:vAlign w:val="center"/>
          </w:tcPr>
          <w:p>
            <w:pPr>
              <w:snapToGrid w:val="0"/>
              <w:spacing w:line="360" w:lineRule="auto"/>
              <w:jc w:val="left"/>
              <w:rPr>
                <w:rFonts w:hAnsi="宋体" w:eastAsia="宋体" w:cs="宋体"/>
                <w:sz w:val="21"/>
                <w:szCs w:val="21"/>
              </w:rPr>
            </w:pPr>
            <w:r>
              <w:rPr>
                <w:rFonts w:hint="eastAsia" w:hAnsi="宋体" w:eastAsia="宋体" w:cs="宋体"/>
                <w:sz w:val="21"/>
                <w:szCs w:val="21"/>
              </w:rPr>
              <w:t>具有全面、详实、可行、合法有效的书面保证技术措施落实到位的承诺和落实不到位的处理承诺。</w:t>
            </w:r>
          </w:p>
        </w:tc>
        <w:tc>
          <w:tcPr>
            <w:tcW w:w="2074" w:type="dxa"/>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sz w:val="21"/>
                <w:szCs w:val="21"/>
              </w:rPr>
            </w:pPr>
          </w:p>
        </w:tc>
        <w:tc>
          <w:tcPr>
            <w:tcW w:w="2050" w:type="dxa"/>
            <w:vMerge w:val="continue"/>
            <w:vAlign w:val="center"/>
          </w:tcPr>
          <w:p>
            <w:pPr>
              <w:spacing w:line="240" w:lineRule="exact"/>
              <w:jc w:val="center"/>
              <w:rPr>
                <w:sz w:val="21"/>
                <w:szCs w:val="21"/>
              </w:rPr>
            </w:pPr>
          </w:p>
        </w:tc>
        <w:tc>
          <w:tcPr>
            <w:tcW w:w="4950" w:type="dxa"/>
            <w:vAlign w:val="center"/>
          </w:tcPr>
          <w:p>
            <w:pPr>
              <w:snapToGrid w:val="0"/>
              <w:spacing w:line="360" w:lineRule="auto"/>
              <w:jc w:val="left"/>
              <w:rPr>
                <w:rFonts w:hAnsi="宋体" w:eastAsia="宋体" w:cs="宋体"/>
                <w:sz w:val="21"/>
                <w:szCs w:val="21"/>
              </w:rPr>
            </w:pPr>
            <w:r>
              <w:rPr>
                <w:rFonts w:hint="eastAsia" w:hAnsi="宋体" w:eastAsia="宋体" w:cs="宋体"/>
                <w:sz w:val="21"/>
                <w:szCs w:val="21"/>
              </w:rPr>
              <w:t>具有可行、合法有效的书面保证技术措施落实到位的承诺和落实不到位的处理承诺，履职尽责承诺，提供承包商履约保证。</w:t>
            </w:r>
          </w:p>
        </w:tc>
        <w:tc>
          <w:tcPr>
            <w:tcW w:w="2074" w:type="dxa"/>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rFonts w:eastAsia="宋体"/>
                <w:sz w:val="21"/>
                <w:szCs w:val="21"/>
              </w:rPr>
            </w:pPr>
            <w:r>
              <w:rPr>
                <w:rFonts w:hint="eastAsia"/>
                <w:sz w:val="21"/>
                <w:szCs w:val="21"/>
              </w:rPr>
              <w:t>5</w:t>
            </w:r>
          </w:p>
        </w:tc>
        <w:tc>
          <w:tcPr>
            <w:tcW w:w="2050" w:type="dxa"/>
            <w:vAlign w:val="center"/>
          </w:tcPr>
          <w:p>
            <w:pPr>
              <w:spacing w:line="240" w:lineRule="exact"/>
              <w:jc w:val="center"/>
              <w:rPr>
                <w:sz w:val="21"/>
                <w:szCs w:val="21"/>
              </w:rPr>
            </w:pPr>
            <w:r>
              <w:rPr>
                <w:rFonts w:hint="eastAsia"/>
                <w:sz w:val="21"/>
                <w:szCs w:val="21"/>
              </w:rPr>
              <w:t>企业信用（含纳税诚信）（0-4分）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1、企业提供近年来信用评估机构出具的企业信用等级证书和信用等级报告且等级为AAA级的，得2分。（需提供有效期内的信用等级证书及信用等级报告）</w:t>
            </w:r>
          </w:p>
          <w:p>
            <w:pPr>
              <w:spacing w:line="300" w:lineRule="exact"/>
              <w:jc w:val="left"/>
              <w:rPr>
                <w:rFonts w:hAnsi="宋体" w:eastAsia="宋体" w:cs="宋体"/>
                <w:sz w:val="21"/>
                <w:szCs w:val="21"/>
              </w:rPr>
            </w:pPr>
            <w:r>
              <w:rPr>
                <w:rFonts w:hint="eastAsia" w:hAnsi="宋体" w:eastAsia="宋体" w:cs="宋体"/>
                <w:sz w:val="21"/>
                <w:szCs w:val="21"/>
              </w:rPr>
              <w:t>2、企业近年来获得过</w:t>
            </w:r>
            <w:r>
              <w:rPr>
                <w:rFonts w:hAnsi="宋体" w:eastAsia="宋体" w:cs="宋体"/>
                <w:sz w:val="21"/>
                <w:szCs w:val="21"/>
              </w:rPr>
              <w:t>省</w:t>
            </w:r>
            <w:r>
              <w:rPr>
                <w:rFonts w:hint="eastAsia" w:hAnsi="宋体" w:eastAsia="宋体" w:cs="宋体"/>
                <w:sz w:val="21"/>
                <w:szCs w:val="21"/>
              </w:rPr>
              <w:t>级及</w:t>
            </w:r>
            <w:r>
              <w:rPr>
                <w:rFonts w:hAnsi="宋体" w:eastAsia="宋体" w:cs="宋体"/>
                <w:sz w:val="21"/>
                <w:szCs w:val="21"/>
              </w:rPr>
              <w:t>以上建筑业</w:t>
            </w:r>
            <w:r>
              <w:rPr>
                <w:rFonts w:hint="eastAsia" w:hAnsi="宋体" w:eastAsia="宋体" w:cs="宋体"/>
                <w:sz w:val="21"/>
                <w:szCs w:val="21"/>
              </w:rPr>
              <w:t>先进</w:t>
            </w:r>
            <w:r>
              <w:rPr>
                <w:rFonts w:hAnsi="宋体" w:eastAsia="宋体" w:cs="宋体"/>
                <w:sz w:val="21"/>
                <w:szCs w:val="21"/>
              </w:rPr>
              <w:t>企业的得1</w:t>
            </w:r>
            <w:r>
              <w:rPr>
                <w:rFonts w:hint="eastAsia" w:hAnsi="宋体" w:eastAsia="宋体" w:cs="宋体"/>
                <w:sz w:val="21"/>
                <w:szCs w:val="21"/>
              </w:rPr>
              <w:t>分；（提供</w:t>
            </w:r>
            <w:r>
              <w:rPr>
                <w:rFonts w:hAnsi="宋体" w:eastAsia="宋体" w:cs="宋体"/>
                <w:sz w:val="21"/>
                <w:szCs w:val="21"/>
              </w:rPr>
              <w:t>证书与文件扫描件</w:t>
            </w:r>
            <w:r>
              <w:rPr>
                <w:rFonts w:hint="eastAsia" w:hAnsi="宋体" w:eastAsia="宋体" w:cs="宋体"/>
                <w:sz w:val="21"/>
                <w:szCs w:val="21"/>
              </w:rPr>
              <w:t>）</w:t>
            </w:r>
          </w:p>
          <w:p>
            <w:pPr>
              <w:spacing w:line="300" w:lineRule="exact"/>
              <w:jc w:val="left"/>
              <w:rPr>
                <w:rFonts w:hint="eastAsia" w:hAnsi="宋体" w:eastAsia="宋体" w:cs="宋体"/>
                <w:sz w:val="21"/>
                <w:szCs w:val="21"/>
              </w:rPr>
            </w:pPr>
            <w:r>
              <w:rPr>
                <w:rFonts w:hint="eastAsia" w:hAnsi="宋体" w:eastAsia="宋体" w:cs="宋体"/>
                <w:sz w:val="21"/>
                <w:szCs w:val="21"/>
              </w:rPr>
              <w:t>3、企业近年来</w:t>
            </w:r>
            <w:r>
              <w:rPr>
                <w:rFonts w:hAnsi="宋体" w:eastAsia="宋体" w:cs="宋体"/>
                <w:sz w:val="21"/>
                <w:szCs w:val="21"/>
              </w:rPr>
              <w:t>获得过省级</w:t>
            </w:r>
            <w:r>
              <w:rPr>
                <w:rFonts w:hint="eastAsia" w:hAnsi="宋体" w:eastAsia="宋体" w:cs="宋体"/>
                <w:sz w:val="21"/>
                <w:szCs w:val="21"/>
              </w:rPr>
              <w:t>及</w:t>
            </w:r>
            <w:r>
              <w:rPr>
                <w:rFonts w:hAnsi="宋体" w:eastAsia="宋体" w:cs="宋体"/>
                <w:sz w:val="21"/>
                <w:szCs w:val="21"/>
              </w:rPr>
              <w:t>以上建筑</w:t>
            </w:r>
            <w:r>
              <w:rPr>
                <w:rFonts w:hint="eastAsia" w:hAnsi="宋体" w:eastAsia="宋体" w:cs="宋体"/>
                <w:sz w:val="21"/>
                <w:szCs w:val="21"/>
              </w:rPr>
              <w:t>安全先进</w:t>
            </w:r>
            <w:r>
              <w:rPr>
                <w:rFonts w:hAnsi="宋体" w:eastAsia="宋体" w:cs="宋体"/>
                <w:sz w:val="21"/>
                <w:szCs w:val="21"/>
              </w:rPr>
              <w:t>企业的得1</w:t>
            </w:r>
            <w:r>
              <w:rPr>
                <w:rFonts w:hint="eastAsia" w:hAnsi="宋体" w:eastAsia="宋体" w:cs="宋体"/>
                <w:sz w:val="21"/>
                <w:szCs w:val="21"/>
              </w:rPr>
              <w:t>分；（提供</w:t>
            </w:r>
            <w:r>
              <w:rPr>
                <w:rFonts w:hAnsi="宋体" w:eastAsia="宋体" w:cs="宋体"/>
                <w:sz w:val="21"/>
                <w:szCs w:val="21"/>
              </w:rPr>
              <w:t>证书与文件扫描件</w:t>
            </w:r>
            <w:r>
              <w:rPr>
                <w:rFonts w:hint="eastAsia" w:hAnsi="宋体" w:eastAsia="宋体" w:cs="宋体"/>
                <w:sz w:val="21"/>
                <w:szCs w:val="21"/>
              </w:rPr>
              <w:t>）</w:t>
            </w:r>
          </w:p>
        </w:tc>
        <w:tc>
          <w:tcPr>
            <w:tcW w:w="2074" w:type="dxa"/>
            <w:vAlign w:val="center"/>
          </w:tcPr>
          <w:p>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sz w:val="21"/>
                <w:szCs w:val="21"/>
              </w:rPr>
            </w:pPr>
            <w:r>
              <w:rPr>
                <w:rFonts w:hint="eastAsia"/>
                <w:sz w:val="21"/>
                <w:szCs w:val="21"/>
              </w:rPr>
              <w:t>6</w:t>
            </w:r>
          </w:p>
        </w:tc>
        <w:tc>
          <w:tcPr>
            <w:tcW w:w="2050" w:type="dxa"/>
            <w:vAlign w:val="center"/>
          </w:tcPr>
          <w:p>
            <w:pPr>
              <w:spacing w:line="240" w:lineRule="exact"/>
              <w:jc w:val="left"/>
              <w:rPr>
                <w:sz w:val="21"/>
                <w:szCs w:val="21"/>
              </w:rPr>
            </w:pPr>
            <w:r>
              <w:rPr>
                <w:rFonts w:hint="eastAsia"/>
                <w:sz w:val="21"/>
                <w:szCs w:val="21"/>
              </w:rPr>
              <w:t>项目负责人信用（0-2分）</w:t>
            </w:r>
          </w:p>
        </w:tc>
        <w:tc>
          <w:tcPr>
            <w:tcW w:w="4950" w:type="dxa"/>
            <w:vAlign w:val="center"/>
          </w:tcPr>
          <w:p>
            <w:pPr>
              <w:spacing w:line="300" w:lineRule="exact"/>
              <w:jc w:val="left"/>
              <w:rPr>
                <w:rFonts w:hAnsi="宋体" w:eastAsia="宋体" w:cs="宋体"/>
                <w:sz w:val="21"/>
                <w:szCs w:val="21"/>
                <w:highlight w:val="yellow"/>
              </w:rPr>
            </w:pPr>
            <w:r>
              <w:rPr>
                <w:rFonts w:hint="eastAsia" w:hAnsi="宋体" w:eastAsia="宋体" w:cs="宋体"/>
                <w:sz w:val="21"/>
                <w:szCs w:val="21"/>
              </w:rPr>
              <w:t>项目经理近年来获得过省级及以上</w:t>
            </w:r>
            <w:r>
              <w:rPr>
                <w:rFonts w:hAnsi="宋体" w:eastAsia="宋体" w:cs="宋体"/>
                <w:sz w:val="21"/>
                <w:szCs w:val="21"/>
              </w:rPr>
              <w:t>优秀项目经理</w:t>
            </w:r>
            <w:r>
              <w:rPr>
                <w:rFonts w:hint="eastAsia" w:hAnsi="宋体" w:eastAsia="宋体" w:cs="宋体"/>
                <w:sz w:val="21"/>
                <w:szCs w:val="21"/>
              </w:rPr>
              <w:t>荣誉</w:t>
            </w:r>
            <w:r>
              <w:rPr>
                <w:rFonts w:hAnsi="宋体" w:eastAsia="宋体" w:cs="宋体"/>
                <w:sz w:val="21"/>
                <w:szCs w:val="21"/>
              </w:rPr>
              <w:t>称号</w:t>
            </w:r>
            <w:r>
              <w:rPr>
                <w:rFonts w:hint="eastAsia" w:hAnsi="宋体" w:eastAsia="宋体" w:cs="宋体"/>
                <w:sz w:val="21"/>
                <w:szCs w:val="21"/>
              </w:rPr>
              <w:t>的得2分，本项最高得2分。（提供证书与</w:t>
            </w:r>
            <w:r>
              <w:rPr>
                <w:rFonts w:hAnsi="宋体" w:eastAsia="宋体" w:cs="宋体"/>
                <w:sz w:val="21"/>
                <w:szCs w:val="21"/>
              </w:rPr>
              <w:t>文件</w:t>
            </w:r>
            <w:r>
              <w:rPr>
                <w:rFonts w:hint="eastAsia" w:hAnsi="宋体" w:eastAsia="宋体" w:cs="宋体"/>
                <w:sz w:val="21"/>
                <w:szCs w:val="21"/>
              </w:rPr>
              <w:t>原件扫描件）</w:t>
            </w:r>
          </w:p>
        </w:tc>
        <w:tc>
          <w:tcPr>
            <w:tcW w:w="2074" w:type="dxa"/>
            <w:vAlign w:val="center"/>
          </w:tcPr>
          <w:p>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sz w:val="21"/>
                <w:szCs w:val="21"/>
              </w:rPr>
            </w:pPr>
            <w:r>
              <w:rPr>
                <w:rFonts w:hint="eastAsia"/>
                <w:sz w:val="21"/>
                <w:szCs w:val="21"/>
              </w:rPr>
              <w:t>7</w:t>
            </w:r>
          </w:p>
        </w:tc>
        <w:tc>
          <w:tcPr>
            <w:tcW w:w="2050" w:type="dxa"/>
            <w:vAlign w:val="center"/>
          </w:tcPr>
          <w:p>
            <w:pPr>
              <w:jc w:val="center"/>
              <w:rPr>
                <w:sz w:val="21"/>
                <w:szCs w:val="21"/>
              </w:rPr>
            </w:pPr>
            <w:r>
              <w:rPr>
                <w:rFonts w:hint="eastAsia"/>
                <w:sz w:val="21"/>
                <w:szCs w:val="21"/>
              </w:rPr>
              <w:t>招标人意见（0-2分）</w:t>
            </w:r>
          </w:p>
        </w:tc>
        <w:tc>
          <w:tcPr>
            <w:tcW w:w="4950" w:type="dxa"/>
            <w:vAlign w:val="center"/>
          </w:tcPr>
          <w:p>
            <w:pPr>
              <w:snapToGrid w:val="0"/>
              <w:spacing w:line="360" w:lineRule="auto"/>
              <w:rPr>
                <w:rFonts w:hAnsi="宋体" w:eastAsia="宋体" w:cs="宋体"/>
                <w:sz w:val="21"/>
                <w:szCs w:val="21"/>
              </w:rPr>
            </w:pPr>
            <w:r>
              <w:rPr>
                <w:rFonts w:hint="eastAsia"/>
                <w:sz w:val="21"/>
                <w:szCs w:val="21"/>
              </w:rPr>
              <w:t>招标人意见均为2分。</w:t>
            </w:r>
          </w:p>
        </w:tc>
        <w:tc>
          <w:tcPr>
            <w:tcW w:w="2074" w:type="dxa"/>
            <w:vAlign w:val="center"/>
          </w:tcPr>
          <w:p>
            <w:pPr>
              <w:jc w:val="center"/>
              <w:rPr>
                <w:sz w:val="21"/>
                <w:szCs w:val="21"/>
              </w:rPr>
            </w:pPr>
            <w:r>
              <w:rPr>
                <w:sz w:val="21"/>
                <w:szCs w:val="21"/>
              </w:rPr>
              <w:t>0≤</w:t>
            </w:r>
            <w:r>
              <w:rPr>
                <w:rFonts w:hint="eastAsia"/>
                <w:sz w:val="21"/>
                <w:szCs w:val="21"/>
              </w:rPr>
              <w:t>得分</w:t>
            </w:r>
            <w:r>
              <w:rPr>
                <w:sz w:val="21"/>
                <w:szCs w:val="21"/>
              </w:rPr>
              <w:t>≤2</w:t>
            </w:r>
            <w:r>
              <w:rPr>
                <w:rFonts w:hint="eastAsia"/>
                <w:sz w:val="21"/>
                <w:szCs w:val="21"/>
              </w:rPr>
              <w:t>分</w:t>
            </w:r>
          </w:p>
        </w:tc>
      </w:tr>
    </w:tbl>
    <w:p>
      <w:pPr>
        <w:spacing w:line="400" w:lineRule="exact"/>
        <w:ind w:left="475" w:leftChars="140"/>
        <w:rPr>
          <w:rFonts w:hAnsi="Times New Roman" w:cs="Times New Roman"/>
          <w:b/>
          <w:sz w:val="24"/>
          <w:szCs w:val="24"/>
        </w:rPr>
      </w:pPr>
      <w:r>
        <w:rPr>
          <w:rFonts w:hint="eastAsia"/>
          <w:b/>
          <w:sz w:val="24"/>
          <w:szCs w:val="24"/>
        </w:rPr>
        <w:t>注：1）业绩合同以合同签订日期为准，获奖证书以发证日期为准。</w:t>
      </w:r>
    </w:p>
    <w:p>
      <w:pPr>
        <w:spacing w:line="400" w:lineRule="exact"/>
        <w:ind w:left="475" w:leftChars="140"/>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400" w:lineRule="exact"/>
        <w:ind w:firstLine="480" w:firstLineChars="200"/>
        <w:rPr>
          <w:b/>
          <w:sz w:val="24"/>
          <w:szCs w:val="24"/>
        </w:rPr>
      </w:pPr>
      <w:r>
        <w:rPr>
          <w:rFonts w:hint="eastAsia"/>
          <w:b/>
          <w:sz w:val="24"/>
          <w:szCs w:val="24"/>
        </w:rPr>
        <w:t>3）近年来指201</w:t>
      </w:r>
      <w:r>
        <w:rPr>
          <w:b/>
          <w:sz w:val="24"/>
          <w:szCs w:val="24"/>
        </w:rPr>
        <w:t>7</w:t>
      </w:r>
      <w:r>
        <w:rPr>
          <w:rFonts w:hint="eastAsia"/>
          <w:b/>
          <w:sz w:val="24"/>
          <w:szCs w:val="24"/>
        </w:rPr>
        <w:t>年1月1日以来。</w:t>
      </w:r>
    </w:p>
    <w:p>
      <w:pPr>
        <w:snapToGrid w:val="0"/>
        <w:spacing w:line="400" w:lineRule="exact"/>
        <w:ind w:firstLine="480" w:firstLineChars="200"/>
        <w:rPr>
          <w:b/>
          <w:sz w:val="24"/>
          <w:szCs w:val="24"/>
        </w:rPr>
      </w:pPr>
      <w:r>
        <w:rPr>
          <w:rFonts w:hint="eastAsia"/>
          <w:b/>
          <w:sz w:val="24"/>
          <w:szCs w:val="24"/>
        </w:rPr>
        <w:t>4)</w:t>
      </w:r>
      <w:r>
        <w:rPr>
          <w:b/>
          <w:sz w:val="24"/>
          <w:szCs w:val="24"/>
        </w:rPr>
        <w:t xml:space="preserve"> </w:t>
      </w:r>
      <w:r>
        <w:rPr>
          <w:rFonts w:hint="eastAsia"/>
          <w:b/>
          <w:sz w:val="24"/>
          <w:szCs w:val="24"/>
        </w:rPr>
        <w:t>企业</w:t>
      </w:r>
      <w:r>
        <w:rPr>
          <w:b/>
          <w:sz w:val="24"/>
          <w:szCs w:val="24"/>
        </w:rPr>
        <w:t>业绩</w:t>
      </w:r>
      <w:r>
        <w:rPr>
          <w:rFonts w:hint="eastAsia"/>
          <w:b/>
          <w:sz w:val="24"/>
          <w:szCs w:val="24"/>
        </w:rPr>
        <w:t>指合同额</w:t>
      </w:r>
      <w:r>
        <w:rPr>
          <w:b/>
          <w:sz w:val="24"/>
          <w:szCs w:val="24"/>
        </w:rPr>
        <w:t>不低于</w:t>
      </w:r>
      <w:r>
        <w:rPr>
          <w:rFonts w:hint="eastAsia"/>
          <w:b/>
          <w:sz w:val="24"/>
          <w:szCs w:val="24"/>
          <w:lang w:eastAsia="zh-CN"/>
        </w:rPr>
        <w:t>本招标控制价</w:t>
      </w:r>
      <w:r>
        <w:rPr>
          <w:b/>
          <w:sz w:val="24"/>
          <w:szCs w:val="24"/>
        </w:rPr>
        <w:t>的建筑工程施工总承包业绩。</w:t>
      </w:r>
    </w:p>
    <w:p>
      <w:pPr>
        <w:snapToGrid w:val="0"/>
        <w:spacing w:line="400" w:lineRule="exact"/>
        <w:ind w:firstLine="360" w:firstLineChars="150"/>
        <w:rPr>
          <w:rFonts w:hint="eastAsia"/>
          <w:b/>
          <w:sz w:val="24"/>
          <w:szCs w:val="24"/>
        </w:rPr>
      </w:pPr>
      <w:r>
        <w:rPr>
          <w:rFonts w:hint="eastAsia"/>
          <w:b/>
          <w:sz w:val="24"/>
          <w:szCs w:val="24"/>
        </w:rPr>
        <w:t xml:space="preserve"> 5）企业业绩与</w:t>
      </w:r>
      <w:r>
        <w:rPr>
          <w:b/>
          <w:sz w:val="24"/>
          <w:szCs w:val="24"/>
        </w:rPr>
        <w:t>项目经理业绩可</w:t>
      </w:r>
      <w:r>
        <w:rPr>
          <w:rFonts w:hint="eastAsia"/>
          <w:b/>
          <w:sz w:val="24"/>
          <w:szCs w:val="24"/>
        </w:rPr>
        <w:t>重复使用</w:t>
      </w:r>
      <w:r>
        <w:rPr>
          <w:b/>
          <w:sz w:val="24"/>
          <w:szCs w:val="24"/>
        </w:rPr>
        <w:t>。</w:t>
      </w:r>
    </w:p>
    <w:p>
      <w:pPr>
        <w:snapToGrid w:val="0"/>
        <w:spacing w:line="400" w:lineRule="exact"/>
        <w:ind w:firstLine="480" w:firstLineChars="200"/>
        <w:rPr>
          <w:b/>
          <w:sz w:val="24"/>
          <w:szCs w:val="24"/>
        </w:rPr>
      </w:pPr>
    </w:p>
    <w:p>
      <w:pPr>
        <w:snapToGrid w:val="0"/>
        <w:spacing w:line="360" w:lineRule="auto"/>
        <w:rPr>
          <w:rFonts w:hAnsi="宋体" w:cs="宋体"/>
          <w:color w:val="auto"/>
          <w:sz w:val="24"/>
          <w:szCs w:val="24"/>
        </w:rPr>
      </w:pPr>
      <w:r>
        <w:rPr>
          <w:rFonts w:hint="eastAsia" w:hAnsi="宋体" w:cs="宋体"/>
          <w:b/>
          <w:bCs/>
          <w:color w:val="auto"/>
          <w:sz w:val="24"/>
          <w:szCs w:val="24"/>
        </w:rPr>
        <w:t>（五）投标人综合得分</w:t>
      </w:r>
    </w:p>
    <w:p>
      <w:pPr>
        <w:snapToGrid w:val="0"/>
        <w:spacing w:line="360" w:lineRule="auto"/>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投标人综合得分＝技术标得分＋商务标得分＋综合标得分 </w:t>
      </w:r>
    </w:p>
    <w:p>
      <w:pPr>
        <w:spacing w:line="440" w:lineRule="exact"/>
        <w:rPr>
          <w:rFonts w:ascii="新宋体" w:hAnsi="新宋体" w:eastAsia="新宋体" w:cs="宋体"/>
          <w:b/>
          <w:color w:val="auto"/>
          <w:sz w:val="24"/>
        </w:rPr>
      </w:pPr>
      <w:r>
        <w:rPr>
          <w:rFonts w:hint="eastAsia" w:ascii="新宋体" w:hAnsi="新宋体" w:eastAsia="新宋体" w:cs="宋体"/>
          <w:b/>
          <w:color w:val="auto"/>
          <w:sz w:val="24"/>
        </w:rPr>
        <w:t xml:space="preserve">（六）中标候选人排序 </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color w:val="auto"/>
          <w:sz w:val="24"/>
        </w:rPr>
      </w:pPr>
      <w:r>
        <w:rPr>
          <w:rFonts w:hint="eastAsia" w:ascii="新宋体" w:hAnsi="新宋体" w:eastAsia="新宋体"/>
          <w:b/>
          <w:bCs/>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七、定标</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八、评标注意事项</w:t>
      </w:r>
      <w:bookmarkEnd w:id="73"/>
      <w:bookmarkEnd w:id="74"/>
      <w:bookmarkEnd w:id="75"/>
      <w:bookmarkEnd w:id="76"/>
    </w:p>
    <w:p>
      <w:pPr>
        <w:spacing w:line="400" w:lineRule="exact"/>
        <w:ind w:firstLine="480" w:firstLineChars="200"/>
        <w:rPr>
          <w:rFonts w:hAnsi="宋体" w:cs="宋体"/>
          <w:bCs/>
          <w:color w:val="auto"/>
          <w:sz w:val="24"/>
          <w:szCs w:val="24"/>
        </w:rPr>
      </w:pPr>
      <w:r>
        <w:rPr>
          <w:rFonts w:hint="eastAsia" w:hAnsi="宋体" w:cs="宋体"/>
          <w:bCs/>
          <w:color w:val="auto"/>
          <w:sz w:val="24"/>
          <w:szCs w:val="24"/>
        </w:rPr>
        <w:t>评标委员会应按下列原则进行评分汇总统计：</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color w:val="auto"/>
          <w:sz w:val="24"/>
        </w:rPr>
      </w:pPr>
      <w:r>
        <w:rPr>
          <w:rFonts w:hint="eastAsia" w:hAnsi="宋体" w:cs="宋体"/>
          <w:bCs/>
          <w:color w:val="auto"/>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3.分数计算过程中，保留两位小数，小数点后第三位四舍五入。</w:t>
      </w:r>
    </w:p>
    <w:p>
      <w:pPr>
        <w:pStyle w:val="21"/>
        <w:keepNext w:val="0"/>
        <w:keepLines w:val="0"/>
        <w:ind w:firstLine="480" w:firstLineChars="200"/>
        <w:rPr>
          <w:rFonts w:ascii="新宋体" w:hAnsi="新宋体" w:eastAsia="新宋体"/>
          <w:b/>
          <w:color w:val="auto"/>
          <w:szCs w:val="24"/>
        </w:rPr>
      </w:pPr>
      <w:r>
        <w:rPr>
          <w:rFonts w:hint="eastAsia" w:ascii="新宋体" w:hAnsi="新宋体" w:eastAsia="新宋体"/>
          <w:b/>
          <w:color w:val="auto"/>
          <w:szCs w:val="24"/>
        </w:rPr>
        <w:t>九、评标报告</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ind w:firstLine="480" w:firstLineChars="200"/>
        <w:rPr>
          <w:rFonts w:ascii="新宋体" w:hAnsi="新宋体" w:eastAsia="新宋体"/>
          <w:b/>
          <w:color w:val="auto"/>
          <w:szCs w:val="24"/>
        </w:rPr>
      </w:pPr>
      <w:r>
        <w:rPr>
          <w:rFonts w:hint="eastAsia" w:ascii="新宋体" w:hAnsi="新宋体" w:eastAsia="新宋体"/>
          <w:b/>
          <w:color w:val="auto"/>
        </w:rPr>
        <w:t>十、</w:t>
      </w:r>
      <w:r>
        <w:rPr>
          <w:rFonts w:hint="eastAsia" w:ascii="新宋体" w:hAnsi="新宋体" w:eastAsia="新宋体"/>
          <w:b/>
          <w:color w:val="auto"/>
          <w:szCs w:val="24"/>
        </w:rPr>
        <w:t>公示</w:t>
      </w:r>
    </w:p>
    <w:p>
      <w:pPr>
        <w:spacing w:line="420" w:lineRule="exact"/>
        <w:ind w:firstLine="480" w:firstLineChars="200"/>
        <w:rPr>
          <w:rFonts w:ascii="新宋体" w:hAnsi="新宋体" w:eastAsia="新宋体"/>
          <w:color w:val="auto"/>
          <w:sz w:val="24"/>
        </w:rPr>
      </w:pPr>
      <w:r>
        <w:rPr>
          <w:rFonts w:ascii="新宋体" w:hAnsi="新宋体" w:eastAsia="新宋体"/>
          <w:color w:val="auto"/>
          <w:sz w:val="24"/>
        </w:rPr>
        <w:t>中标人确定后，招标人应当</w:t>
      </w:r>
      <w:r>
        <w:rPr>
          <w:rFonts w:hint="eastAsia" w:ascii="新宋体" w:hAnsi="新宋体" w:eastAsia="新宋体"/>
          <w:color w:val="auto"/>
          <w:sz w:val="24"/>
        </w:rPr>
        <w:t>告知各投标人</w:t>
      </w:r>
      <w:r>
        <w:rPr>
          <w:rFonts w:ascii="新宋体" w:hAnsi="新宋体" w:eastAsia="新宋体"/>
          <w:color w:val="auto"/>
          <w:sz w:val="24"/>
        </w:rPr>
        <w:t>，</w:t>
      </w:r>
      <w:r>
        <w:rPr>
          <w:rFonts w:hint="eastAsia" w:ascii="新宋体" w:hAnsi="新宋体" w:eastAsia="新宋体"/>
          <w:color w:val="auto"/>
          <w:sz w:val="24"/>
        </w:rPr>
        <w:t>质疑</w:t>
      </w:r>
      <w:r>
        <w:rPr>
          <w:rFonts w:ascii="新宋体" w:hAnsi="新宋体" w:eastAsia="新宋体"/>
          <w:color w:val="auto"/>
          <w:sz w:val="24"/>
        </w:rPr>
        <w:t>时间不少于3日。</w:t>
      </w:r>
      <w:r>
        <w:rPr>
          <w:rFonts w:hint="eastAsia" w:ascii="新宋体" w:hAnsi="新宋体" w:eastAsia="新宋体"/>
          <w:color w:val="auto"/>
          <w:sz w:val="24"/>
        </w:rPr>
        <w:t>质疑</w:t>
      </w:r>
      <w:r>
        <w:rPr>
          <w:rFonts w:ascii="新宋体" w:hAnsi="新宋体" w:eastAsia="新宋体"/>
          <w:color w:val="auto"/>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十一、特殊情况的处置程序</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11.1关于澄清、说明或补正</w:t>
      </w:r>
    </w:p>
    <w:p>
      <w:pPr>
        <w:spacing w:line="430" w:lineRule="exact"/>
        <w:ind w:firstLine="480" w:firstLineChars="200"/>
        <w:outlineLvl w:val="0"/>
        <w:rPr>
          <w:rFonts w:ascii="新宋体" w:hAnsi="新宋体" w:eastAsia="新宋体"/>
          <w:color w:val="auto"/>
          <w:sz w:val="24"/>
        </w:rPr>
      </w:pPr>
      <w:r>
        <w:rPr>
          <w:rFonts w:hint="eastAsia" w:ascii="新宋体" w:hAns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11.2关于评标活动暂停</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11.3关于评标中途更换评标委员会成员</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11.3.1除非发生下列情况之一，评标委员会成员不得在评标中途更换：</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（1）因不可抗拒的客观原因，不能到场或需在评标中途退出评标活动。</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（2）根据法律法规规定，某个或某几个评标委员会成员需要回避。</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11.4记名投票</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color w:val="auto"/>
          <w:sz w:val="24"/>
        </w:rPr>
      </w:pPr>
      <w:r>
        <w:rPr>
          <w:rFonts w:hint="eastAsia"/>
          <w:b/>
          <w:color w:val="auto"/>
          <w:sz w:val="24"/>
        </w:rPr>
        <w:t>11.5评标委员会对评标结果有异议的</w:t>
      </w:r>
    </w:p>
    <w:p>
      <w:pPr>
        <w:adjustRightInd w:val="0"/>
        <w:snapToGrid w:val="0"/>
        <w:spacing w:line="430" w:lineRule="exact"/>
        <w:rPr>
          <w:rFonts w:hAnsi="宋体" w:cs="宋体"/>
          <w:color w:val="auto"/>
          <w:spacing w:val="-3"/>
          <w:sz w:val="24"/>
        </w:rPr>
      </w:pPr>
      <w:r>
        <w:rPr>
          <w:rFonts w:hint="eastAsia"/>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720" w:firstLineChars="200"/>
        <w:jc w:val="center"/>
        <w:rPr>
          <w:rFonts w:hAnsi="宋体" w:cs="宋体"/>
          <w:b/>
          <w:color w:val="auto"/>
          <w:sz w:val="36"/>
          <w:szCs w:val="36"/>
        </w:rPr>
      </w:pPr>
      <w:r>
        <w:rPr>
          <w:rFonts w:hint="eastAsia" w:hAnsi="宋体" w:cs="宋体"/>
          <w:b/>
          <w:color w:val="auto"/>
          <w:sz w:val="36"/>
          <w:szCs w:val="36"/>
        </w:rPr>
        <w:t>第四章 合同条款</w:t>
      </w:r>
      <w:bookmarkEnd w:id="72"/>
    </w:p>
    <w:p>
      <w:pPr>
        <w:tabs>
          <w:tab w:val="left" w:pos="5000"/>
        </w:tabs>
        <w:spacing w:line="360" w:lineRule="auto"/>
        <w:ind w:firstLine="490"/>
        <w:rPr>
          <w:rFonts w:hAnsi="宋体" w:cs="宋体"/>
          <w:bCs/>
          <w:color w:val="auto"/>
          <w:sz w:val="28"/>
          <w:szCs w:val="28"/>
        </w:rPr>
      </w:pPr>
      <w:bookmarkStart w:id="77"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7"/>
      <w:bookmarkStart w:id="78"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rPr>
      </w:pPr>
      <w:r>
        <w:rPr>
          <w:rFonts w:hint="eastAsia" w:hAnsi="宋体" w:cs="宋体"/>
          <w:color w:val="auto"/>
          <w:sz w:val="24"/>
        </w:rPr>
        <w:t>(2) 《建设工程工程量清单计价规范》GB50500-2013及相关配套文件。</w:t>
      </w:r>
    </w:p>
    <w:p>
      <w:pPr>
        <w:spacing w:line="440" w:lineRule="exact"/>
        <w:ind w:left="1" w:firstLine="480" w:firstLineChars="200"/>
        <w:rPr>
          <w:rFonts w:hAnsi="宋体" w:cs="宋体"/>
          <w:color w:val="auto"/>
          <w:sz w:val="24"/>
        </w:rPr>
      </w:pPr>
      <w:r>
        <w:rPr>
          <w:rFonts w:hint="eastAsia" w:hAnsi="宋体" w:cs="宋体"/>
          <w:color w:val="auto"/>
          <w:sz w:val="24"/>
        </w:rPr>
        <w:t>(3)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(4)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(5)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(6)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(7) 施工现场情况、工程特点及拟定的投标施工组织设计或施工方案；</w:t>
      </w:r>
    </w:p>
    <w:p>
      <w:pPr>
        <w:spacing w:line="440" w:lineRule="exact"/>
        <w:ind w:left="1" w:firstLine="480" w:firstLineChars="200"/>
        <w:rPr>
          <w:rFonts w:hint="eastAsia" w:hAnsi="宋体" w:cs="宋体"/>
          <w:color w:val="auto"/>
          <w:sz w:val="24"/>
        </w:rPr>
      </w:pPr>
      <w:r>
        <w:rPr>
          <w:rFonts w:hint="eastAsia" w:hAnsi="宋体" w:cs="宋体"/>
          <w:color w:val="auto"/>
          <w:sz w:val="24"/>
        </w:rPr>
        <w:t>(8) 与建设项目相关的标准、规定等技术资料；</w:t>
      </w:r>
    </w:p>
    <w:p>
      <w:pPr>
        <w:spacing w:line="440" w:lineRule="exact"/>
        <w:ind w:left="1" w:firstLine="480" w:firstLineChars="200"/>
        <w:rPr>
          <w:rFonts w:hint="eastAsia" w:hAnsi="宋体" w:cs="宋体"/>
          <w:color w:val="auto"/>
          <w:sz w:val="24"/>
        </w:rPr>
      </w:pPr>
      <w:r>
        <w:rPr>
          <w:rFonts w:hint="eastAsia" w:hAnsi="宋体" w:cs="宋体"/>
          <w:color w:val="auto"/>
          <w:sz w:val="24"/>
        </w:rPr>
        <w:t>(9) 税金按 9%计入预算；</w:t>
      </w:r>
    </w:p>
    <w:p>
      <w:pPr>
        <w:spacing w:line="440" w:lineRule="exact"/>
        <w:ind w:left="1" w:firstLine="480" w:firstLineChars="200"/>
        <w:rPr>
          <w:rFonts w:hint="eastAsia" w:hAnsi="宋体" w:cs="宋体"/>
          <w:color w:val="auto"/>
          <w:sz w:val="24"/>
        </w:rPr>
      </w:pPr>
      <w:r>
        <w:rPr>
          <w:rFonts w:hint="eastAsia" w:hAnsi="宋体" w:cs="宋体"/>
          <w:color w:val="auto"/>
          <w:sz w:val="24"/>
          <w:lang w:eastAsia="zh-CN"/>
        </w:rPr>
        <w:t>（</w:t>
      </w:r>
      <w:r>
        <w:rPr>
          <w:rFonts w:hint="eastAsia" w:hAnsi="宋体" w:cs="宋体"/>
          <w:color w:val="auto"/>
          <w:sz w:val="24"/>
          <w:lang w:val="en-US" w:eastAsia="zh-CN"/>
        </w:rPr>
        <w:t>10</w:t>
      </w:r>
      <w:r>
        <w:rPr>
          <w:rFonts w:hint="eastAsia" w:hAnsi="宋体" w:cs="宋体"/>
          <w:color w:val="auto"/>
          <w:sz w:val="24"/>
          <w:lang w:eastAsia="zh-CN"/>
        </w:rPr>
        <w:t>）</w:t>
      </w:r>
      <w:r>
        <w:rPr>
          <w:rFonts w:hint="eastAsia" w:hAnsi="宋体" w:cs="宋体"/>
          <w:color w:val="auto"/>
          <w:sz w:val="24"/>
        </w:rPr>
        <w:t>其他的相关资料：</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autoSpaceDE w:val="0"/>
        <w:autoSpaceDN w:val="0"/>
        <w:adjustRightInd w:val="0"/>
        <w:jc w:val="center"/>
        <w:outlineLvl w:val="0"/>
        <w:rPr>
          <w:rFonts w:hAnsi="宋体" w:cs="宋体"/>
          <w:b/>
          <w:color w:val="auto"/>
          <w:sz w:val="24"/>
        </w:rPr>
      </w:pPr>
      <w:r>
        <w:rPr>
          <w:rFonts w:hAnsi="宋体" w:cs="宋体"/>
          <w:b/>
          <w:color w:val="auto"/>
          <w:sz w:val="36"/>
          <w:szCs w:val="36"/>
        </w:rPr>
        <w:br w:type="page"/>
      </w:r>
      <w:bookmarkEnd w:id="78"/>
    </w:p>
    <w:p>
      <w:pPr>
        <w:autoSpaceDE w:val="0"/>
        <w:autoSpaceDN w:val="0"/>
        <w:adjustRightInd w:val="0"/>
        <w:jc w:val="center"/>
        <w:outlineLvl w:val="0"/>
        <w:rPr>
          <w:rFonts w:hAnsi="宋体" w:cs="宋体"/>
          <w:b/>
          <w:color w:val="auto"/>
          <w:sz w:val="36"/>
          <w:szCs w:val="36"/>
        </w:rPr>
      </w:pPr>
      <w:bookmarkStart w:id="79" w:name="_Toc278443522"/>
      <w:r>
        <w:rPr>
          <w:rFonts w:hint="eastAsia" w:hAnsi="宋体" w:cs="宋体"/>
          <w:b/>
          <w:color w:val="auto"/>
          <w:sz w:val="36"/>
          <w:szCs w:val="36"/>
        </w:rPr>
        <w:t>第</w:t>
      </w:r>
      <w:r>
        <w:rPr>
          <w:rFonts w:hint="eastAsia" w:hAnsi="宋体" w:cs="宋体"/>
          <w:b/>
          <w:color w:val="auto"/>
          <w:sz w:val="36"/>
          <w:szCs w:val="36"/>
          <w:lang w:eastAsia="zh-CN"/>
        </w:rPr>
        <w:t>六</w:t>
      </w:r>
      <w:r>
        <w:rPr>
          <w:rFonts w:hint="eastAsia" w:hAnsi="宋体" w:cs="宋体"/>
          <w:b/>
          <w:color w:val="auto"/>
          <w:sz w:val="36"/>
          <w:szCs w:val="36"/>
        </w:rPr>
        <w:t>章 技术标准和要求</w:t>
      </w:r>
      <w:bookmarkEnd w:id="79"/>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rPr>
          <w:rFonts w:hint="eastAsia" w:hAnsi="宋体" w:cs="宋体"/>
          <w:b/>
          <w:color w:val="auto"/>
          <w:sz w:val="44"/>
          <w:szCs w:val="44"/>
        </w:rPr>
      </w:pPr>
      <w:r>
        <w:rPr>
          <w:rFonts w:hint="eastAsia" w:hAnsi="宋体" w:cs="宋体"/>
          <w:b/>
          <w:color w:val="auto"/>
          <w:sz w:val="44"/>
          <w:szCs w:val="44"/>
        </w:rPr>
        <w:br w:type="page"/>
      </w: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w:t>
      </w:r>
      <w:r>
        <w:rPr>
          <w:rFonts w:hint="eastAsia" w:hAnsi="宋体" w:cs="宋体"/>
          <w:b/>
          <w:color w:val="auto"/>
          <w:sz w:val="44"/>
          <w:szCs w:val="44"/>
          <w:lang w:eastAsia="zh-CN"/>
        </w:rPr>
        <w:t>七</w:t>
      </w:r>
      <w:r>
        <w:rPr>
          <w:rFonts w:hint="eastAsia" w:hAnsi="宋体" w:cs="宋体"/>
          <w:b/>
          <w:color w:val="auto"/>
          <w:sz w:val="44"/>
          <w:szCs w:val="44"/>
        </w:rPr>
        <w:t>章 投标文件格式</w:t>
      </w: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jc w:val="center"/>
        <w:rPr>
          <w:rFonts w:hAnsi="宋体" w:cs="宋体"/>
          <w:b/>
          <w:color w:val="auto"/>
          <w:sz w:val="36"/>
          <w:szCs w:val="36"/>
        </w:rPr>
      </w:pPr>
    </w:p>
    <w:p>
      <w:pPr>
        <w:pStyle w:val="11"/>
        <w:ind w:firstLine="340"/>
        <w:rPr>
          <w:color w:val="auto"/>
        </w:rPr>
      </w:pPr>
    </w:p>
    <w:p>
      <w:pPr>
        <w:pStyle w:val="11"/>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jc w:val="center"/>
        <w:rPr>
          <w:rFonts w:hAnsi="宋体" w:cs="宋体"/>
          <w:color w:val="auto"/>
          <w:sz w:val="36"/>
          <w:szCs w:val="36"/>
        </w:rPr>
      </w:pPr>
      <w:r>
        <w:rPr>
          <w:rFonts w:hint="eastAsia" w:hAnsi="宋体" w:cs="宋体"/>
          <w:b/>
          <w:color w:val="auto"/>
          <w:sz w:val="36"/>
          <w:szCs w:val="36"/>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七、近年完成的类似项目情况表；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八、正在施工的和新承接的项目情况；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九、近年发生的诉讼及仲裁</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十、其它材料；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tabs>
          <w:tab w:val="center" w:pos="4739"/>
        </w:tabs>
        <w:ind w:left="180"/>
        <w:jc w:val="center"/>
        <w:rPr>
          <w:rFonts w:hAnsi="宋体" w:cs="宋体"/>
          <w:b/>
          <w:color w:val="auto"/>
          <w:sz w:val="32"/>
        </w:rPr>
      </w:pPr>
      <w:r>
        <w:rPr>
          <w:rFonts w:hint="eastAsia" w:hAnsi="宋体" w:cs="宋体"/>
          <w:b/>
          <w:color w:val="auto"/>
          <w:sz w:val="32"/>
        </w:rPr>
        <w:br w:type="page"/>
      </w: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80"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人民币（大写）：元</w:t>
      </w:r>
    </w:p>
    <w:p>
      <w:pPr>
        <w:spacing w:line="480" w:lineRule="exact"/>
        <w:ind w:firstLine="943" w:firstLineChars="393"/>
        <w:rPr>
          <w:rFonts w:hAnsi="宋体" w:cs="宋体"/>
          <w:color w:val="auto"/>
          <w:sz w:val="24"/>
        </w:rPr>
      </w:pPr>
      <w:r>
        <w:rPr>
          <w:rFonts w:hint="eastAsia" w:hAnsi="宋体" w:cs="宋体"/>
          <w:color w:val="auto"/>
          <w:sz w:val="24"/>
        </w:rPr>
        <w:t>RMB￥：元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u w:val="none"/>
        </w:rPr>
        <w:t>天</w:t>
      </w:r>
      <w:r>
        <w:rPr>
          <w:rFonts w:hint="eastAsia" w:hAnsi="宋体" w:cs="宋体"/>
          <w:color w:val="auto"/>
          <w:sz w:val="24"/>
        </w:rPr>
        <w:t>（日历天）内竣工，并确保工程质量达到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随同本投标函递交投标保证金一份，金额为人民币（大写）：元（￥：元）。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日期：年月日</w:t>
      </w: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r>
        <w:rPr>
          <w:rFonts w:hint="eastAsia" w:hAnsi="宋体" w:cs="宋体"/>
          <w:color w:val="auto"/>
          <w:sz w:val="28"/>
          <w:szCs w:val="28"/>
        </w:rPr>
        <w:t>（二）投标函附录</w:t>
      </w:r>
    </w:p>
    <w:p>
      <w:pPr>
        <w:rPr>
          <w:rFonts w:hAnsi="宋体" w:cs="宋体"/>
          <w:color w:val="auto"/>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Ansi="宋体" w:eastAsia="宋体" w:cs="宋体"/>
                <w:color w:val="auto"/>
                <w:sz w:val="24"/>
              </w:rPr>
            </w:pPr>
            <w:r>
              <w:rPr>
                <w:rFonts w:hint="eastAsia" w:hAnsi="宋体" w:eastAsia="宋体" w:cs="宋体"/>
                <w:color w:val="auto"/>
                <w:sz w:val="24"/>
              </w:rPr>
              <w:t>（大写）</w:t>
            </w:r>
          </w:p>
        </w:tc>
        <w:tc>
          <w:tcPr>
            <w:tcW w:w="2694" w:type="dxa"/>
            <w:gridSpan w:val="2"/>
            <w:vAlign w:val="center"/>
          </w:tcPr>
          <w:p>
            <w:pPr>
              <w:rPr>
                <w:rFonts w:hAnsi="宋体" w:eastAsia="宋体" w:cs="宋体"/>
                <w:color w:val="auto"/>
                <w:sz w:val="24"/>
              </w:rPr>
            </w:pPr>
            <w:r>
              <w:rPr>
                <w:rFonts w:hint="eastAsia" w:hAnsi="宋体" w:eastAsia="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Ansi="宋体" w:cs="宋体"/>
                <w:color w:val="auto"/>
                <w:sz w:val="24"/>
              </w:rPr>
            </w:pPr>
            <w:r>
              <w:rPr>
                <w:rFonts w:hint="eastAsia" w:hAnsi="宋体" w:cs="宋体"/>
                <w:color w:val="auto"/>
                <w:sz w:val="24"/>
              </w:rPr>
              <w:t>暂列金额RMB￥：元</w:t>
            </w:r>
          </w:p>
          <w:p>
            <w:pPr>
              <w:spacing w:line="480" w:lineRule="exact"/>
              <w:ind w:firstLine="600" w:firstLineChars="250"/>
              <w:rPr>
                <w:rFonts w:hAnsi="宋体" w:cs="宋体"/>
                <w:color w:val="auto"/>
                <w:sz w:val="24"/>
              </w:rPr>
            </w:pPr>
            <w:r>
              <w:rPr>
                <w:rFonts w:hint="eastAsia" w:hAnsi="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color w:val="auto"/>
                <w:sz w:val="24"/>
              </w:rPr>
            </w:pPr>
            <w:r>
              <w:rPr>
                <w:rFonts w:hint="eastAsia" w:hAnsi="宋体"/>
                <w:color w:val="auto"/>
                <w:sz w:val="24"/>
              </w:rPr>
              <w:t>承  诺：</w:t>
            </w:r>
          </w:p>
          <w:p>
            <w:pPr>
              <w:spacing w:line="276" w:lineRule="auto"/>
              <w:rPr>
                <w:rFonts w:hAnsi="宋体"/>
                <w:color w:val="auto"/>
                <w:sz w:val="24"/>
              </w:rPr>
            </w:pPr>
          </w:p>
          <w:p>
            <w:pPr>
              <w:spacing w:line="276" w:lineRule="auto"/>
              <w:rPr>
                <w:rFonts w:hAnsi="宋体"/>
                <w:color w:val="auto"/>
                <w:sz w:val="24"/>
              </w:rPr>
            </w:pPr>
          </w:p>
          <w:p>
            <w:pPr>
              <w:rPr>
                <w:rFonts w:hAnsi="宋体" w:eastAsia="宋体" w:cs="宋体"/>
                <w:color w:val="auto"/>
                <w:sz w:val="24"/>
              </w:rPr>
            </w:pPr>
            <w:r>
              <w:rPr>
                <w:rFonts w:hint="eastAsia" w:ascii="新宋体" w:hAnsi="新宋体" w:eastAsia="新宋体"/>
                <w:color w:val="auto"/>
                <w:sz w:val="24"/>
              </w:rPr>
              <w:t>（包含优惠承诺、质量承诺、服务承诺及按扬尘污染整治标准进行各工序的施工等）</w:t>
            </w:r>
          </w:p>
        </w:tc>
      </w:tr>
    </w:tbl>
    <w:p>
      <w:pPr>
        <w:ind w:right="475"/>
        <w:jc w:val="right"/>
        <w:rPr>
          <w:rFonts w:hAnsi="宋体" w:cs="宋体"/>
          <w:color w:val="auto"/>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32"/>
        </w:rPr>
      </w:pPr>
      <w:r>
        <w:rPr>
          <w:rFonts w:hint="eastAsia" w:hAnsi="宋体" w:cs="宋体"/>
          <w:color w:val="auto"/>
          <w:sz w:val="28"/>
          <w:szCs w:val="28"/>
        </w:rPr>
        <w:br w:type="page"/>
      </w:r>
      <w:r>
        <w:rPr>
          <w:rFonts w:hint="eastAsia" w:hAnsi="宋体" w:cs="宋体"/>
          <w:b/>
          <w:color w:val="auto"/>
          <w:sz w:val="32"/>
        </w:rPr>
        <w:t>二、</w:t>
      </w:r>
      <w:bookmarkEnd w:id="80"/>
      <w:bookmarkStart w:id="81" w:name="_Toc271787731"/>
      <w:r>
        <w:rPr>
          <w:rFonts w:hint="eastAsia" w:hAnsi="宋体" w:cs="宋体"/>
          <w:b/>
          <w:color w:val="auto"/>
          <w:sz w:val="32"/>
        </w:rPr>
        <w:t>法定代表人身份证明、授权委托书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bookmarkEnd w:id="81"/>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b/>
          <w:bCs/>
          <w:color w:val="auto"/>
          <w:sz w:val="24"/>
        </w:rPr>
      </w:pPr>
      <w:r>
        <w:rPr>
          <w:rFonts w:hint="eastAsia" w:hAnsi="宋体" w:cs="宋体"/>
          <w:color w:val="auto"/>
          <w:sz w:val="24"/>
        </w:rPr>
        <w:t xml:space="preserve">姓名：性别：年龄：职务： </w:t>
      </w:r>
      <w:r>
        <w:rPr>
          <w:rFonts w:hint="eastAsia" w:hAnsi="宋体" w:cs="宋体"/>
          <w:b/>
          <w:bCs/>
          <w:color w:val="auto"/>
          <w:sz w:val="24"/>
        </w:rPr>
        <w:t>联系电话:</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2" w:name="_Toc271787732"/>
      <w:r>
        <w:rPr>
          <w:rFonts w:hint="eastAsia" w:hAnsi="宋体" w:cs="宋体"/>
          <w:b/>
          <w:bCs/>
          <w:color w:val="auto"/>
          <w:sz w:val="28"/>
          <w:szCs w:val="28"/>
        </w:rPr>
        <w:t>（二）授权委托书</w:t>
      </w:r>
      <w:bookmarkEnd w:id="82"/>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b/>
          <w:bCs w:val="0"/>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6"/>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numPr>
          <w:ilvl w:val="0"/>
          <w:numId w:val="0"/>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420" w:lineRule="exact"/>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4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w:t>
            </w: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姓  名</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年  龄</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学历</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职  称</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职  务</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拟在本工程任职</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注册建造师执业资格等级</w:t>
            </w:r>
          </w:p>
        </w:tc>
        <w:tc>
          <w:tcPr>
            <w:tcW w:w="1355" w:type="dxa"/>
            <w:vAlign w:val="center"/>
          </w:tcPr>
          <w:p>
            <w:pPr>
              <w:jc w:val="center"/>
              <w:rPr>
                <w:rFonts w:hAnsi="宋体" w:eastAsia="宋体" w:cs="宋体"/>
                <w:color w:val="auto"/>
                <w:sz w:val="24"/>
              </w:rPr>
            </w:pPr>
            <w:r>
              <w:rPr>
                <w:rFonts w:hint="eastAsia" w:hAnsi="宋体" w:eastAsia="宋体" w:cs="宋体"/>
                <w:color w:val="auto"/>
                <w:sz w:val="24"/>
              </w:rPr>
              <w:t xml:space="preserve">      级</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建造师专业</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安全生产考核合格证书</w:t>
            </w:r>
          </w:p>
        </w:tc>
        <w:tc>
          <w:tcPr>
            <w:tcW w:w="5573" w:type="dxa"/>
            <w:gridSpan w:val="3"/>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毕业学校</w:t>
            </w:r>
          </w:p>
        </w:tc>
        <w:tc>
          <w:tcPr>
            <w:tcW w:w="7878" w:type="dxa"/>
            <w:gridSpan w:val="5"/>
            <w:vAlign w:val="center"/>
          </w:tcPr>
          <w:p>
            <w:pPr>
              <w:ind w:firstLine="960" w:firstLineChars="400"/>
              <w:rPr>
                <w:rFonts w:hAnsi="宋体" w:eastAsia="宋体" w:cs="宋体"/>
                <w:color w:val="auto"/>
                <w:sz w:val="24"/>
              </w:rPr>
            </w:pPr>
            <w:r>
              <w:rPr>
                <w:rFonts w:hint="eastAsia"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auto"/>
                <w:sz w:val="24"/>
              </w:rPr>
            </w:pPr>
            <w:r>
              <w:rPr>
                <w:rFonts w:hint="eastAsia"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时  间</w:t>
            </w:r>
          </w:p>
        </w:tc>
        <w:tc>
          <w:tcPr>
            <w:tcW w:w="3660" w:type="dxa"/>
            <w:gridSpan w:val="3"/>
            <w:vAlign w:val="center"/>
          </w:tcPr>
          <w:p>
            <w:pPr>
              <w:jc w:val="center"/>
              <w:rPr>
                <w:rFonts w:hAnsi="宋体" w:eastAsia="宋体" w:cs="宋体"/>
                <w:color w:val="auto"/>
                <w:sz w:val="24"/>
              </w:rPr>
            </w:pPr>
            <w:r>
              <w:rPr>
                <w:rFonts w:hint="eastAsia" w:hAnsi="宋体" w:eastAsia="宋体" w:cs="宋体"/>
                <w:color w:val="auto"/>
                <w:sz w:val="24"/>
              </w:rPr>
              <w:t>参加过的类似项目名称</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工程概况说明</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主要项目管理人员是指技术负责人、专职安全生产管理员等岗位人员。</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姓    名</w:t>
            </w:r>
          </w:p>
        </w:tc>
        <w:tc>
          <w:tcPr>
            <w:tcW w:w="4458" w:type="dxa"/>
            <w:tcBorders>
              <w:left w:val="nil"/>
            </w:tcBorders>
            <w:vAlign w:val="center"/>
          </w:tcPr>
          <w:p>
            <w:pPr>
              <w:spacing w:line="640" w:lineRule="exact"/>
              <w:rPr>
                <w:rFonts w:hAnsi="宋体" w:eastAsia="宋体" w:cs="宋体"/>
                <w:color w:val="auto"/>
                <w:sz w:val="24"/>
              </w:rPr>
            </w:pPr>
            <w:r>
              <w:rPr>
                <w:rFonts w:hint="eastAsia" w:hAnsi="宋体" w:eastAsia="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性    别</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学历和专业</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拥有的执业资格</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执业资格证书编号</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p>
            <w:pPr>
              <w:jc w:val="center"/>
              <w:rPr>
                <w:rFonts w:hAnsi="宋体" w:eastAsia="宋体" w:cs="宋体"/>
                <w:color w:val="auto"/>
                <w:sz w:val="24"/>
              </w:rPr>
            </w:pPr>
            <w:r>
              <w:rPr>
                <w:rFonts w:hint="eastAsia" w:hAnsi="宋体" w:eastAsia="宋体" w:cs="宋体"/>
                <w:color w:val="auto"/>
                <w:sz w:val="24"/>
              </w:rPr>
              <w:t>业绩</w:t>
            </w:r>
          </w:p>
          <w:p>
            <w:pPr>
              <w:jc w:val="center"/>
              <w:rPr>
                <w:rFonts w:hAnsi="宋体" w:eastAsia="宋体" w:cs="宋体"/>
                <w:color w:val="auto"/>
                <w:sz w:val="24"/>
              </w:rPr>
            </w:pPr>
            <w:r>
              <w:rPr>
                <w:rFonts w:hint="eastAsia" w:hAnsi="宋体" w:eastAsia="宋体" w:cs="宋体"/>
                <w:color w:val="auto"/>
                <w:sz w:val="24"/>
              </w:rPr>
              <w:t>及担</w:t>
            </w:r>
          </w:p>
          <w:p>
            <w:pPr>
              <w:jc w:val="center"/>
              <w:rPr>
                <w:rFonts w:hAnsi="宋体" w:eastAsia="宋体" w:cs="宋体"/>
                <w:color w:val="auto"/>
                <w:sz w:val="24"/>
              </w:rPr>
            </w:pPr>
            <w:r>
              <w:rPr>
                <w:rFonts w:hint="eastAsia" w:hAnsi="宋体" w:eastAsia="宋体" w:cs="宋体"/>
                <w:color w:val="auto"/>
                <w:sz w:val="24"/>
              </w:rPr>
              <w:t>任的</w:t>
            </w:r>
          </w:p>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tc>
        <w:tc>
          <w:tcPr>
            <w:tcW w:w="7586" w:type="dxa"/>
            <w:gridSpan w:val="2"/>
          </w:tcPr>
          <w:p>
            <w:pPr>
              <w:rPr>
                <w:rFonts w:hAnsi="宋体" w:eastAsia="宋体" w:cs="宋体"/>
                <w:color w:val="auto"/>
                <w:sz w:val="24"/>
              </w:rPr>
            </w:pPr>
          </w:p>
        </w:tc>
      </w:tr>
    </w:tbl>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jc w:val="left"/>
        <w:rPr>
          <w:rFonts w:hAnsi="宋体" w:cs="宋体"/>
          <w:color w:val="auto"/>
          <w:sz w:val="24"/>
        </w:rPr>
      </w:pPr>
      <w:r>
        <w:rPr>
          <w:rFonts w:hint="eastAsia" w:hAnsi="宋体" w:cs="宋体"/>
          <w:color w:val="auto"/>
          <w:sz w:val="24"/>
        </w:rPr>
        <w:t xml:space="preserve">备注：应附企业法人营业执照副本等材料的原件扫描件（或图片）。 </w:t>
      </w:r>
    </w:p>
    <w:p>
      <w:pPr>
        <w:autoSpaceDE w:val="0"/>
        <w:autoSpaceDN w:val="0"/>
        <w:adjustRightInd w:val="0"/>
        <w:spacing w:line="360" w:lineRule="auto"/>
        <w:ind w:right="215" w:firstLine="420"/>
        <w:jc w:val="left"/>
        <w:rPr>
          <w:rFonts w:hAnsi="宋体" w:cs="宋体"/>
          <w:color w:val="auto"/>
          <w:sz w:val="24"/>
        </w:rPr>
      </w:pPr>
      <w:r>
        <w:rPr>
          <w:rFonts w:hint="eastAsia" w:hAnsi="宋体" w:cs="宋体"/>
          <w:color w:val="auto"/>
          <w:sz w:val="24"/>
        </w:rPr>
        <w:t xml:space="preserve">  </w:t>
      </w:r>
    </w:p>
    <w:p>
      <w:pPr>
        <w:autoSpaceDE w:val="0"/>
        <w:autoSpaceDN w:val="0"/>
        <w:adjustRightInd w:val="0"/>
        <w:spacing w:line="360" w:lineRule="auto"/>
        <w:ind w:right="215"/>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（附原件扫描件或图片）</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七、近年完成的类似项目情况表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7"/>
        </w:num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年  月  日</w:t>
      </w:r>
    </w:p>
    <w:p>
      <w:pPr>
        <w:autoSpaceDE w:val="0"/>
        <w:autoSpaceDN w:val="0"/>
        <w:spacing w:line="540" w:lineRule="exact"/>
        <w:jc w:val="center"/>
        <w:rPr>
          <w:rFonts w:hAnsi="宋体" w:cs="宋体"/>
          <w:b/>
          <w:color w:val="auto"/>
          <w:sz w:val="44"/>
          <w:szCs w:val="44"/>
        </w:rPr>
      </w:pPr>
      <w:r>
        <w:rPr>
          <w:rFonts w:hint="eastAsia" w:hAnsi="宋体" w:cs="宋体"/>
          <w:b/>
          <w:color w:val="auto"/>
          <w:sz w:val="36"/>
          <w:szCs w:val="36"/>
        </w:rPr>
        <w:br w:type="page"/>
      </w:r>
      <w:r>
        <w:rPr>
          <w:rFonts w:hint="eastAsia" w:hAnsi="宋体" w:cs="宋体"/>
          <w:b/>
          <w:color w:val="auto"/>
          <w:sz w:val="44"/>
          <w:szCs w:val="44"/>
        </w:rPr>
        <w:t>目  录</w:t>
      </w:r>
    </w:p>
    <w:p>
      <w:pPr>
        <w:autoSpaceDE w:val="0"/>
        <w:autoSpaceDN w:val="0"/>
        <w:spacing w:line="540" w:lineRule="exact"/>
        <w:jc w:val="left"/>
        <w:rPr>
          <w:rFonts w:hAnsi="宋体" w:cs="宋体"/>
          <w:b/>
          <w:color w:val="auto"/>
          <w:sz w:val="26"/>
          <w:szCs w:val="26"/>
        </w:rPr>
      </w:pPr>
    </w:p>
    <w:p>
      <w:pPr>
        <w:tabs>
          <w:tab w:val="center" w:pos="4739"/>
        </w:tabs>
        <w:ind w:left="180"/>
        <w:rPr>
          <w:rFonts w:hAnsi="宋体" w:cs="宋体"/>
          <w:b/>
          <w:bCs/>
          <w:color w:val="auto"/>
          <w:sz w:val="26"/>
          <w:szCs w:val="26"/>
        </w:rPr>
      </w:pPr>
      <w:r>
        <w:rPr>
          <w:rFonts w:hint="eastAsia" w:hAnsi="宋体" w:cs="宋体"/>
          <w:b/>
          <w:bCs/>
          <w:color w:val="auto"/>
          <w:sz w:val="26"/>
          <w:szCs w:val="26"/>
        </w:rPr>
        <w:t>（1）内容完整性</w:t>
      </w:r>
    </w:p>
    <w:p>
      <w:pPr>
        <w:tabs>
          <w:tab w:val="center" w:pos="4739"/>
        </w:tabs>
        <w:ind w:left="180"/>
        <w:rPr>
          <w:rFonts w:hAnsi="宋体" w:cs="宋体"/>
          <w:b/>
          <w:bCs/>
          <w:color w:val="auto"/>
          <w:sz w:val="26"/>
          <w:szCs w:val="26"/>
        </w:rPr>
      </w:pPr>
      <w:r>
        <w:rPr>
          <w:rFonts w:hint="eastAsia" w:hAnsi="宋体" w:cs="宋体"/>
          <w:b/>
          <w:bCs/>
          <w:color w:val="auto"/>
          <w:sz w:val="26"/>
          <w:szCs w:val="26"/>
        </w:rPr>
        <w:t>（2）主要施工方案与技术措施</w:t>
      </w:r>
    </w:p>
    <w:p>
      <w:pPr>
        <w:tabs>
          <w:tab w:val="center" w:pos="4739"/>
        </w:tabs>
        <w:ind w:left="180"/>
        <w:rPr>
          <w:rFonts w:hAnsi="宋体" w:cs="宋体"/>
          <w:b/>
          <w:bCs/>
          <w:color w:val="auto"/>
          <w:sz w:val="26"/>
          <w:szCs w:val="26"/>
        </w:rPr>
      </w:pPr>
      <w:r>
        <w:rPr>
          <w:rFonts w:hint="eastAsia" w:hAnsi="宋体" w:cs="宋体"/>
          <w:b/>
          <w:bCs/>
          <w:color w:val="auto"/>
          <w:sz w:val="26"/>
          <w:szCs w:val="26"/>
        </w:rPr>
        <w:t>（3）质量管理体系与措施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（4）安全管理体系与措施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（5）文明施工、环境保护管理体系及施工现场扬尘治理措施</w:t>
      </w:r>
    </w:p>
    <w:p>
      <w:pPr>
        <w:tabs>
          <w:tab w:val="center" w:pos="4739"/>
        </w:tabs>
        <w:ind w:left="180"/>
        <w:rPr>
          <w:rFonts w:hAnsi="宋体" w:cs="宋体"/>
          <w:b/>
          <w:bCs/>
          <w:color w:val="auto"/>
          <w:sz w:val="26"/>
          <w:szCs w:val="26"/>
        </w:rPr>
      </w:pPr>
      <w:r>
        <w:rPr>
          <w:rFonts w:hint="eastAsia" w:hAnsi="宋体" w:cs="宋体"/>
          <w:b/>
          <w:bCs/>
          <w:color w:val="auto"/>
          <w:sz w:val="26"/>
          <w:szCs w:val="26"/>
        </w:rPr>
        <w:t>（6）工期保证措施</w:t>
      </w:r>
    </w:p>
    <w:p>
      <w:pPr>
        <w:tabs>
          <w:tab w:val="center" w:pos="4739"/>
        </w:tabs>
        <w:ind w:left="180"/>
        <w:rPr>
          <w:rFonts w:hAnsi="宋体" w:cs="宋体"/>
          <w:b/>
          <w:bCs/>
          <w:color w:val="auto"/>
          <w:sz w:val="26"/>
          <w:szCs w:val="26"/>
        </w:rPr>
      </w:pPr>
      <w:r>
        <w:rPr>
          <w:rFonts w:hint="eastAsia" w:hAnsi="宋体" w:cs="宋体"/>
          <w:b/>
          <w:bCs/>
          <w:color w:val="auto"/>
          <w:sz w:val="26"/>
          <w:szCs w:val="26"/>
        </w:rPr>
        <w:t>（7）拟投入资源配备计划</w:t>
      </w:r>
    </w:p>
    <w:p>
      <w:pPr>
        <w:tabs>
          <w:tab w:val="center" w:pos="4739"/>
        </w:tabs>
        <w:ind w:left="180"/>
        <w:rPr>
          <w:rFonts w:hAnsi="宋体" w:cs="宋体"/>
          <w:b/>
          <w:bCs/>
          <w:color w:val="auto"/>
          <w:sz w:val="26"/>
          <w:szCs w:val="26"/>
        </w:rPr>
      </w:pPr>
      <w:r>
        <w:rPr>
          <w:rFonts w:hint="eastAsia" w:hAnsi="宋体" w:cs="宋体"/>
          <w:b/>
          <w:bCs/>
          <w:color w:val="auto"/>
          <w:sz w:val="26"/>
          <w:szCs w:val="26"/>
        </w:rPr>
        <w:t>（8）施工进度表和网络计划图</w:t>
      </w:r>
    </w:p>
    <w:p>
      <w:pPr>
        <w:tabs>
          <w:tab w:val="center" w:pos="4739"/>
        </w:tabs>
        <w:ind w:left="180"/>
        <w:rPr>
          <w:rFonts w:hAnsi="宋体" w:cs="宋体"/>
          <w:b/>
          <w:bCs/>
          <w:color w:val="auto"/>
          <w:sz w:val="26"/>
          <w:szCs w:val="26"/>
        </w:rPr>
      </w:pPr>
      <w:r>
        <w:rPr>
          <w:rFonts w:hint="eastAsia" w:hAnsi="宋体" w:cs="宋体"/>
          <w:b/>
          <w:bCs/>
          <w:color w:val="auto"/>
          <w:sz w:val="26"/>
          <w:szCs w:val="26"/>
        </w:rPr>
        <w:t>（9）施工总平面图布置</w:t>
      </w:r>
    </w:p>
    <w:p>
      <w:pPr>
        <w:tabs>
          <w:tab w:val="center" w:pos="4739"/>
        </w:tabs>
        <w:ind w:left="180"/>
        <w:rPr>
          <w:rFonts w:hAnsi="宋体" w:cs="宋体"/>
          <w:b/>
          <w:bCs/>
          <w:color w:val="auto"/>
          <w:sz w:val="26"/>
          <w:szCs w:val="26"/>
        </w:rPr>
      </w:pPr>
      <w:r>
        <w:rPr>
          <w:rFonts w:hint="eastAsia" w:hAnsi="宋体" w:cs="宋体"/>
          <w:b/>
          <w:bCs/>
          <w:color w:val="auto"/>
          <w:sz w:val="26"/>
          <w:szCs w:val="26"/>
        </w:rPr>
        <w:t>（10）技术创新的应用实施措施</w:t>
      </w:r>
    </w:p>
    <w:p>
      <w:pPr>
        <w:tabs>
          <w:tab w:val="center" w:pos="4739"/>
        </w:tabs>
        <w:ind w:left="180"/>
        <w:rPr>
          <w:rFonts w:hAnsi="宋体" w:cs="宋体"/>
          <w:b/>
          <w:bCs/>
          <w:color w:val="auto"/>
          <w:sz w:val="26"/>
          <w:szCs w:val="26"/>
        </w:rPr>
      </w:pPr>
      <w:r>
        <w:rPr>
          <w:rFonts w:hint="eastAsia" w:hAnsi="宋体" w:cs="宋体"/>
          <w:b/>
          <w:bCs/>
          <w:color w:val="auto"/>
          <w:sz w:val="26"/>
          <w:szCs w:val="26"/>
        </w:rPr>
        <w:t>（11）采用新工艺、新技术、新设备、新材料、BIM等的程度</w:t>
      </w:r>
    </w:p>
    <w:p>
      <w:pPr>
        <w:tabs>
          <w:tab w:val="center" w:pos="4739"/>
        </w:tabs>
        <w:ind w:left="180"/>
        <w:rPr>
          <w:rFonts w:hAnsi="宋体" w:cs="宋体"/>
          <w:b/>
          <w:bCs/>
          <w:color w:val="auto"/>
          <w:sz w:val="26"/>
          <w:szCs w:val="26"/>
        </w:rPr>
      </w:pPr>
      <w:r>
        <w:rPr>
          <w:rFonts w:hint="eastAsia" w:hAnsi="宋体" w:cs="宋体"/>
          <w:b/>
          <w:bCs/>
          <w:color w:val="auto"/>
          <w:sz w:val="26"/>
          <w:szCs w:val="26"/>
        </w:rPr>
        <w:t>（12）施工现场实施信息化监控和数据处理</w:t>
      </w:r>
    </w:p>
    <w:p>
      <w:pPr>
        <w:autoSpaceDE w:val="0"/>
        <w:autoSpaceDN w:val="0"/>
        <w:spacing w:line="540" w:lineRule="exact"/>
        <w:ind w:firstLine="130" w:firstLineChars="50"/>
        <w:jc w:val="left"/>
        <w:rPr>
          <w:rFonts w:hAnsi="宋体" w:cs="宋体"/>
          <w:b/>
          <w:color w:val="auto"/>
          <w:sz w:val="26"/>
          <w:szCs w:val="26"/>
        </w:rPr>
      </w:pPr>
      <w:r>
        <w:rPr>
          <w:rFonts w:hint="eastAsia" w:hAnsi="宋体" w:cs="宋体"/>
          <w:b/>
          <w:bCs/>
          <w:color w:val="auto"/>
          <w:sz w:val="26"/>
          <w:szCs w:val="26"/>
        </w:rPr>
        <w:t>（13）风险管理措施</w:t>
      </w: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0"/>
                            </w:pBdr>
                            <w:ind w:right="360"/>
                            <w:jc w:val="center"/>
                          </w:pPr>
                          <w:r>
                            <w:fldChar w:fldCharType="begin"/>
                          </w:r>
                          <w:r>
                            <w:rPr>
                              <w:rStyle w:val="16"/>
                            </w:rPr>
                            <w:instrText xml:space="preserve"> PAGE </w:instrText>
                          </w:r>
                          <w:r>
                            <w:fldChar w:fldCharType="separate"/>
                          </w:r>
                          <w:r>
                            <w:rPr>
                              <w:rStyle w:val="16"/>
                            </w:rPr>
                            <w:t>33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v:fill on="f" focussize="0,0"/>
              <v:stroke on="f"/>
              <v:imagedata o:title=""/>
              <o:lock v:ext="edit" aspectratio="f"/>
              <v:textbox inset="0mm,0mm,0mm,0mm" style="mso-fit-shape-to-text:t;">
                <w:txbxContent>
                  <w:p>
                    <w:pPr>
                      <w:pStyle w:val="8"/>
                      <w:pBdr>
                        <w:top w:val="single" w:color="auto" w:sz="4" w:space="0"/>
                      </w:pBdr>
                      <w:ind w:right="360"/>
                      <w:jc w:val="center"/>
                    </w:pPr>
                    <w:r>
                      <w:fldChar w:fldCharType="begin"/>
                    </w:r>
                    <w:r>
                      <w:rPr>
                        <w:rStyle w:val="16"/>
                      </w:rPr>
                      <w:instrText xml:space="preserve"> PAGE </w:instrText>
                    </w:r>
                    <w:r>
                      <w:fldChar w:fldCharType="separate"/>
                    </w:r>
                    <w:r>
                      <w:rPr>
                        <w:rStyle w:val="16"/>
                      </w:rP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VNzK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VNzK8BAABL&#10;AwAADgAAAAAAAAABACAAAAAeAQAAZHJzL2Uyb0RvYy54bWxQSwUGAAAAAAYABgBZAQAAPw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F947D"/>
    <w:multiLevelType w:val="singleLevel"/>
    <w:tmpl w:val="A66F947D"/>
    <w:lvl w:ilvl="0" w:tentative="0">
      <w:start w:val="1"/>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30F14155"/>
    <w:multiLevelType w:val="multilevel"/>
    <w:tmpl w:val="30F14155"/>
    <w:lvl w:ilvl="0" w:tentative="0">
      <w:start w:val="1"/>
      <w:numFmt w:val="japaneseCounting"/>
      <w:lvlText w:val="第%1章"/>
      <w:lvlJc w:val="left"/>
      <w:pPr>
        <w:ind w:left="1485" w:hanging="14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7CE5D64E"/>
    <w:multiLevelType w:val="singleLevel"/>
    <w:tmpl w:val="7CE5D64E"/>
    <w:lvl w:ilvl="0" w:tentative="0">
      <w:start w:val="7"/>
      <w:numFmt w:val="decimal"/>
      <w:lvlText w:val="%1."/>
      <w:lvlJc w:val="left"/>
      <w:pPr>
        <w:tabs>
          <w:tab w:val="left" w:pos="312"/>
        </w:tabs>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1673"/>
    <w:rsid w:val="000049AA"/>
    <w:rsid w:val="00010021"/>
    <w:rsid w:val="000310D4"/>
    <w:rsid w:val="00033CBC"/>
    <w:rsid w:val="00033DD3"/>
    <w:rsid w:val="00035EFA"/>
    <w:rsid w:val="000432ED"/>
    <w:rsid w:val="00047FD9"/>
    <w:rsid w:val="0006136C"/>
    <w:rsid w:val="0007083C"/>
    <w:rsid w:val="00071018"/>
    <w:rsid w:val="00084D62"/>
    <w:rsid w:val="000A2681"/>
    <w:rsid w:val="000A4B94"/>
    <w:rsid w:val="000B442C"/>
    <w:rsid w:val="000C5AEA"/>
    <w:rsid w:val="000E4C2F"/>
    <w:rsid w:val="000E5DE8"/>
    <w:rsid w:val="000F3E50"/>
    <w:rsid w:val="000F459D"/>
    <w:rsid w:val="000F66D9"/>
    <w:rsid w:val="000F6F95"/>
    <w:rsid w:val="001015B8"/>
    <w:rsid w:val="00106D22"/>
    <w:rsid w:val="00112BE9"/>
    <w:rsid w:val="0011764D"/>
    <w:rsid w:val="00123585"/>
    <w:rsid w:val="00124C0C"/>
    <w:rsid w:val="0013276C"/>
    <w:rsid w:val="00153D65"/>
    <w:rsid w:val="0015414F"/>
    <w:rsid w:val="00184B91"/>
    <w:rsid w:val="00190CA3"/>
    <w:rsid w:val="001B3FB5"/>
    <w:rsid w:val="001C2139"/>
    <w:rsid w:val="001C4CA8"/>
    <w:rsid w:val="001C5427"/>
    <w:rsid w:val="001D1431"/>
    <w:rsid w:val="001D6C4E"/>
    <w:rsid w:val="001E3E2B"/>
    <w:rsid w:val="001E5C34"/>
    <w:rsid w:val="001F2568"/>
    <w:rsid w:val="001F5720"/>
    <w:rsid w:val="0020445D"/>
    <w:rsid w:val="002415A9"/>
    <w:rsid w:val="002536E6"/>
    <w:rsid w:val="002639F8"/>
    <w:rsid w:val="0026489D"/>
    <w:rsid w:val="00276551"/>
    <w:rsid w:val="00294330"/>
    <w:rsid w:val="00294ACF"/>
    <w:rsid w:val="00296B80"/>
    <w:rsid w:val="002A5517"/>
    <w:rsid w:val="002A696E"/>
    <w:rsid w:val="002B2B03"/>
    <w:rsid w:val="002B535B"/>
    <w:rsid w:val="002B616B"/>
    <w:rsid w:val="002C5BF9"/>
    <w:rsid w:val="002C61C6"/>
    <w:rsid w:val="002D33A7"/>
    <w:rsid w:val="002E2FFB"/>
    <w:rsid w:val="00307604"/>
    <w:rsid w:val="0031627C"/>
    <w:rsid w:val="003276B6"/>
    <w:rsid w:val="00336A88"/>
    <w:rsid w:val="00355A5D"/>
    <w:rsid w:val="003702A0"/>
    <w:rsid w:val="003719AD"/>
    <w:rsid w:val="003B534F"/>
    <w:rsid w:val="003C299D"/>
    <w:rsid w:val="003D2708"/>
    <w:rsid w:val="003E7A71"/>
    <w:rsid w:val="003F4C81"/>
    <w:rsid w:val="003F5ACF"/>
    <w:rsid w:val="004044BC"/>
    <w:rsid w:val="004110FE"/>
    <w:rsid w:val="00416713"/>
    <w:rsid w:val="00425696"/>
    <w:rsid w:val="00425BD2"/>
    <w:rsid w:val="00453901"/>
    <w:rsid w:val="004676FB"/>
    <w:rsid w:val="00470530"/>
    <w:rsid w:val="00472957"/>
    <w:rsid w:val="0047322F"/>
    <w:rsid w:val="00493982"/>
    <w:rsid w:val="004B1B7D"/>
    <w:rsid w:val="004B37FB"/>
    <w:rsid w:val="004B7AB0"/>
    <w:rsid w:val="004D4C2D"/>
    <w:rsid w:val="004F5208"/>
    <w:rsid w:val="00500738"/>
    <w:rsid w:val="0050085D"/>
    <w:rsid w:val="0051240C"/>
    <w:rsid w:val="00516283"/>
    <w:rsid w:val="00524065"/>
    <w:rsid w:val="00547524"/>
    <w:rsid w:val="005D27A6"/>
    <w:rsid w:val="005D3872"/>
    <w:rsid w:val="005D7FF3"/>
    <w:rsid w:val="005F790F"/>
    <w:rsid w:val="0061290A"/>
    <w:rsid w:val="0061481C"/>
    <w:rsid w:val="00615E17"/>
    <w:rsid w:val="006259AD"/>
    <w:rsid w:val="00630F85"/>
    <w:rsid w:val="00631E65"/>
    <w:rsid w:val="00634E07"/>
    <w:rsid w:val="00654127"/>
    <w:rsid w:val="00682561"/>
    <w:rsid w:val="006A480B"/>
    <w:rsid w:val="006B072C"/>
    <w:rsid w:val="006B4DB0"/>
    <w:rsid w:val="006B7778"/>
    <w:rsid w:val="006D5D6D"/>
    <w:rsid w:val="006E08B6"/>
    <w:rsid w:val="006E5339"/>
    <w:rsid w:val="0070276D"/>
    <w:rsid w:val="007122BF"/>
    <w:rsid w:val="00724FD2"/>
    <w:rsid w:val="007318DC"/>
    <w:rsid w:val="007406AC"/>
    <w:rsid w:val="0076091F"/>
    <w:rsid w:val="00761309"/>
    <w:rsid w:val="00772E5C"/>
    <w:rsid w:val="007731AB"/>
    <w:rsid w:val="00776137"/>
    <w:rsid w:val="00790DBC"/>
    <w:rsid w:val="007915BF"/>
    <w:rsid w:val="00792C2C"/>
    <w:rsid w:val="00797F8F"/>
    <w:rsid w:val="007A6662"/>
    <w:rsid w:val="007B6D1A"/>
    <w:rsid w:val="007C0EAF"/>
    <w:rsid w:val="007C1FB6"/>
    <w:rsid w:val="007E1335"/>
    <w:rsid w:val="007E6041"/>
    <w:rsid w:val="007E6EC1"/>
    <w:rsid w:val="007F7D05"/>
    <w:rsid w:val="00805ABC"/>
    <w:rsid w:val="008064A2"/>
    <w:rsid w:val="00807369"/>
    <w:rsid w:val="00841EBB"/>
    <w:rsid w:val="008612AE"/>
    <w:rsid w:val="008620B0"/>
    <w:rsid w:val="00864919"/>
    <w:rsid w:val="008657D9"/>
    <w:rsid w:val="00882E9E"/>
    <w:rsid w:val="00892C13"/>
    <w:rsid w:val="00895B87"/>
    <w:rsid w:val="008A6D13"/>
    <w:rsid w:val="008D074E"/>
    <w:rsid w:val="008D2093"/>
    <w:rsid w:val="008D65E7"/>
    <w:rsid w:val="008E640B"/>
    <w:rsid w:val="008E6A24"/>
    <w:rsid w:val="0090127E"/>
    <w:rsid w:val="00902390"/>
    <w:rsid w:val="009103BB"/>
    <w:rsid w:val="00931AE0"/>
    <w:rsid w:val="00942073"/>
    <w:rsid w:val="009425BA"/>
    <w:rsid w:val="0095421D"/>
    <w:rsid w:val="009555B2"/>
    <w:rsid w:val="0095656E"/>
    <w:rsid w:val="00957C23"/>
    <w:rsid w:val="00962997"/>
    <w:rsid w:val="00964592"/>
    <w:rsid w:val="009725E8"/>
    <w:rsid w:val="00985838"/>
    <w:rsid w:val="009964F6"/>
    <w:rsid w:val="009A5E0F"/>
    <w:rsid w:val="009A6104"/>
    <w:rsid w:val="009B403B"/>
    <w:rsid w:val="009C7D7B"/>
    <w:rsid w:val="009D4DFC"/>
    <w:rsid w:val="00A016E5"/>
    <w:rsid w:val="00A11AEA"/>
    <w:rsid w:val="00A11B8C"/>
    <w:rsid w:val="00A335BB"/>
    <w:rsid w:val="00A34834"/>
    <w:rsid w:val="00A410F4"/>
    <w:rsid w:val="00A422F6"/>
    <w:rsid w:val="00A7544A"/>
    <w:rsid w:val="00A77AF7"/>
    <w:rsid w:val="00A9225E"/>
    <w:rsid w:val="00A948AA"/>
    <w:rsid w:val="00AC684F"/>
    <w:rsid w:val="00AD391E"/>
    <w:rsid w:val="00AD79EB"/>
    <w:rsid w:val="00AE07B7"/>
    <w:rsid w:val="00AE1046"/>
    <w:rsid w:val="00AE1A2D"/>
    <w:rsid w:val="00AF431D"/>
    <w:rsid w:val="00AF5FE8"/>
    <w:rsid w:val="00B0153C"/>
    <w:rsid w:val="00B04F71"/>
    <w:rsid w:val="00B2280C"/>
    <w:rsid w:val="00B258EF"/>
    <w:rsid w:val="00B31840"/>
    <w:rsid w:val="00B354CE"/>
    <w:rsid w:val="00B5742F"/>
    <w:rsid w:val="00B66F77"/>
    <w:rsid w:val="00B80677"/>
    <w:rsid w:val="00BC1F1F"/>
    <w:rsid w:val="00BC5B90"/>
    <w:rsid w:val="00BD2FCE"/>
    <w:rsid w:val="00BE0598"/>
    <w:rsid w:val="00BE245D"/>
    <w:rsid w:val="00C26BCD"/>
    <w:rsid w:val="00C36316"/>
    <w:rsid w:val="00C43D25"/>
    <w:rsid w:val="00C63C42"/>
    <w:rsid w:val="00C70C78"/>
    <w:rsid w:val="00C71D4C"/>
    <w:rsid w:val="00C81278"/>
    <w:rsid w:val="00C92076"/>
    <w:rsid w:val="00CA2F93"/>
    <w:rsid w:val="00CB0D3D"/>
    <w:rsid w:val="00CC5433"/>
    <w:rsid w:val="00CD5058"/>
    <w:rsid w:val="00CE106D"/>
    <w:rsid w:val="00CF1701"/>
    <w:rsid w:val="00CF1BCA"/>
    <w:rsid w:val="00CF4F4B"/>
    <w:rsid w:val="00D03E7F"/>
    <w:rsid w:val="00D55744"/>
    <w:rsid w:val="00D70280"/>
    <w:rsid w:val="00D74B07"/>
    <w:rsid w:val="00D77007"/>
    <w:rsid w:val="00D9302F"/>
    <w:rsid w:val="00D97F1B"/>
    <w:rsid w:val="00DB7688"/>
    <w:rsid w:val="00DC5756"/>
    <w:rsid w:val="00DD68BE"/>
    <w:rsid w:val="00DF203A"/>
    <w:rsid w:val="00DF67C1"/>
    <w:rsid w:val="00E041F2"/>
    <w:rsid w:val="00E36418"/>
    <w:rsid w:val="00E43529"/>
    <w:rsid w:val="00E52957"/>
    <w:rsid w:val="00E6085B"/>
    <w:rsid w:val="00E65D2F"/>
    <w:rsid w:val="00E674F3"/>
    <w:rsid w:val="00E70609"/>
    <w:rsid w:val="00E832A6"/>
    <w:rsid w:val="00E92A9B"/>
    <w:rsid w:val="00E964C7"/>
    <w:rsid w:val="00EA5687"/>
    <w:rsid w:val="00EA7812"/>
    <w:rsid w:val="00EB1ECD"/>
    <w:rsid w:val="00EC7229"/>
    <w:rsid w:val="00EE3507"/>
    <w:rsid w:val="00EF567C"/>
    <w:rsid w:val="00EF7D94"/>
    <w:rsid w:val="00F11597"/>
    <w:rsid w:val="00F21EAE"/>
    <w:rsid w:val="00F23030"/>
    <w:rsid w:val="00F244BB"/>
    <w:rsid w:val="00F379CB"/>
    <w:rsid w:val="00F44D24"/>
    <w:rsid w:val="00F45404"/>
    <w:rsid w:val="00F50182"/>
    <w:rsid w:val="00F51DBA"/>
    <w:rsid w:val="00F56868"/>
    <w:rsid w:val="00F57FC7"/>
    <w:rsid w:val="00F605CE"/>
    <w:rsid w:val="00F61BFC"/>
    <w:rsid w:val="00F65359"/>
    <w:rsid w:val="00F65C07"/>
    <w:rsid w:val="00F67A2C"/>
    <w:rsid w:val="00F9449A"/>
    <w:rsid w:val="00F95ABF"/>
    <w:rsid w:val="00FB522E"/>
    <w:rsid w:val="00FD0750"/>
    <w:rsid w:val="00FE386D"/>
    <w:rsid w:val="00FE4A3E"/>
    <w:rsid w:val="01DB434E"/>
    <w:rsid w:val="025A1A0E"/>
    <w:rsid w:val="02F6111B"/>
    <w:rsid w:val="05330402"/>
    <w:rsid w:val="05B347DC"/>
    <w:rsid w:val="05EB4F15"/>
    <w:rsid w:val="06D71712"/>
    <w:rsid w:val="06E835F7"/>
    <w:rsid w:val="07200BD0"/>
    <w:rsid w:val="079D2552"/>
    <w:rsid w:val="07E778CA"/>
    <w:rsid w:val="08CA67DF"/>
    <w:rsid w:val="08F576CB"/>
    <w:rsid w:val="096449AC"/>
    <w:rsid w:val="0A4866D0"/>
    <w:rsid w:val="0A8E6F0E"/>
    <w:rsid w:val="0A9A38CE"/>
    <w:rsid w:val="0B0010DA"/>
    <w:rsid w:val="0B4C6956"/>
    <w:rsid w:val="0BAC12EB"/>
    <w:rsid w:val="0D6E423F"/>
    <w:rsid w:val="0D8116DE"/>
    <w:rsid w:val="0E2712EE"/>
    <w:rsid w:val="0E274A96"/>
    <w:rsid w:val="0E91297F"/>
    <w:rsid w:val="0EB217EF"/>
    <w:rsid w:val="0F3930AA"/>
    <w:rsid w:val="0FE557E4"/>
    <w:rsid w:val="10085E52"/>
    <w:rsid w:val="102E2652"/>
    <w:rsid w:val="128A5A18"/>
    <w:rsid w:val="13461BA1"/>
    <w:rsid w:val="13CC49C6"/>
    <w:rsid w:val="143F6B2D"/>
    <w:rsid w:val="14D972B5"/>
    <w:rsid w:val="14EC08FF"/>
    <w:rsid w:val="151E2293"/>
    <w:rsid w:val="159A54C1"/>
    <w:rsid w:val="15AC6033"/>
    <w:rsid w:val="1769612C"/>
    <w:rsid w:val="176C0E13"/>
    <w:rsid w:val="19AE1805"/>
    <w:rsid w:val="1A6627AB"/>
    <w:rsid w:val="1A8C3E4C"/>
    <w:rsid w:val="1AC14286"/>
    <w:rsid w:val="1ADA0CB9"/>
    <w:rsid w:val="1B2C4C2E"/>
    <w:rsid w:val="1C063260"/>
    <w:rsid w:val="1C547453"/>
    <w:rsid w:val="1CE276BD"/>
    <w:rsid w:val="1D004958"/>
    <w:rsid w:val="1D0D0CD5"/>
    <w:rsid w:val="1D726CFF"/>
    <w:rsid w:val="1DC44AB9"/>
    <w:rsid w:val="203866A1"/>
    <w:rsid w:val="20FF12C6"/>
    <w:rsid w:val="2119095A"/>
    <w:rsid w:val="21421D01"/>
    <w:rsid w:val="220075A0"/>
    <w:rsid w:val="22E80600"/>
    <w:rsid w:val="22F50FD7"/>
    <w:rsid w:val="2428341C"/>
    <w:rsid w:val="24771949"/>
    <w:rsid w:val="24F0742B"/>
    <w:rsid w:val="25195DDF"/>
    <w:rsid w:val="26166079"/>
    <w:rsid w:val="269D2D47"/>
    <w:rsid w:val="26AC047F"/>
    <w:rsid w:val="27FD27F9"/>
    <w:rsid w:val="280D5608"/>
    <w:rsid w:val="286356D1"/>
    <w:rsid w:val="28C01D96"/>
    <w:rsid w:val="298B75A3"/>
    <w:rsid w:val="2AB95941"/>
    <w:rsid w:val="2ABC6414"/>
    <w:rsid w:val="2C73530F"/>
    <w:rsid w:val="2D2C6D7A"/>
    <w:rsid w:val="2D9C53BB"/>
    <w:rsid w:val="2DEF4A1F"/>
    <w:rsid w:val="2F3A012D"/>
    <w:rsid w:val="2F980F08"/>
    <w:rsid w:val="2FFD3C00"/>
    <w:rsid w:val="30D23E37"/>
    <w:rsid w:val="30E64908"/>
    <w:rsid w:val="30F03510"/>
    <w:rsid w:val="31305B3B"/>
    <w:rsid w:val="32017319"/>
    <w:rsid w:val="32D53070"/>
    <w:rsid w:val="334A48AE"/>
    <w:rsid w:val="3427237C"/>
    <w:rsid w:val="343C7DB6"/>
    <w:rsid w:val="34AF71D7"/>
    <w:rsid w:val="35254EA4"/>
    <w:rsid w:val="35576139"/>
    <w:rsid w:val="358E19EB"/>
    <w:rsid w:val="35DC23A2"/>
    <w:rsid w:val="364F7D1D"/>
    <w:rsid w:val="375271E8"/>
    <w:rsid w:val="377C4C35"/>
    <w:rsid w:val="37B71904"/>
    <w:rsid w:val="3945175B"/>
    <w:rsid w:val="395C40F2"/>
    <w:rsid w:val="39D40903"/>
    <w:rsid w:val="3A3F10F6"/>
    <w:rsid w:val="3A4820C8"/>
    <w:rsid w:val="3AA57CED"/>
    <w:rsid w:val="3B5E1FEA"/>
    <w:rsid w:val="3C526FDA"/>
    <w:rsid w:val="3CD43218"/>
    <w:rsid w:val="3D9824B5"/>
    <w:rsid w:val="3E0C3485"/>
    <w:rsid w:val="3E0C767D"/>
    <w:rsid w:val="3EDE5F9D"/>
    <w:rsid w:val="3F557D77"/>
    <w:rsid w:val="3F653ECD"/>
    <w:rsid w:val="4027753C"/>
    <w:rsid w:val="409547A9"/>
    <w:rsid w:val="40B1193E"/>
    <w:rsid w:val="41A24648"/>
    <w:rsid w:val="423A25CF"/>
    <w:rsid w:val="42B750E0"/>
    <w:rsid w:val="42E171A3"/>
    <w:rsid w:val="45C149C9"/>
    <w:rsid w:val="46170712"/>
    <w:rsid w:val="46A4187E"/>
    <w:rsid w:val="46C97F82"/>
    <w:rsid w:val="476A20C4"/>
    <w:rsid w:val="47983933"/>
    <w:rsid w:val="4B655F27"/>
    <w:rsid w:val="4C2252AF"/>
    <w:rsid w:val="4C536B94"/>
    <w:rsid w:val="4CEF3CF8"/>
    <w:rsid w:val="4D434E2F"/>
    <w:rsid w:val="4E1B15A0"/>
    <w:rsid w:val="4E841886"/>
    <w:rsid w:val="505C6F53"/>
    <w:rsid w:val="51025EEC"/>
    <w:rsid w:val="51773CFC"/>
    <w:rsid w:val="51AA38F2"/>
    <w:rsid w:val="525C2B2E"/>
    <w:rsid w:val="52CB4273"/>
    <w:rsid w:val="52FC1023"/>
    <w:rsid w:val="53CA4438"/>
    <w:rsid w:val="559558C2"/>
    <w:rsid w:val="566A5FED"/>
    <w:rsid w:val="56B8284E"/>
    <w:rsid w:val="56BD391A"/>
    <w:rsid w:val="56E35A9C"/>
    <w:rsid w:val="591D3BA7"/>
    <w:rsid w:val="5962763A"/>
    <w:rsid w:val="596E7B6E"/>
    <w:rsid w:val="5A0920A7"/>
    <w:rsid w:val="5AA9798C"/>
    <w:rsid w:val="5B244A5A"/>
    <w:rsid w:val="5B621989"/>
    <w:rsid w:val="5B74382F"/>
    <w:rsid w:val="5C691376"/>
    <w:rsid w:val="5C7134DE"/>
    <w:rsid w:val="5C931B5A"/>
    <w:rsid w:val="5CAF735A"/>
    <w:rsid w:val="5DFC4336"/>
    <w:rsid w:val="5E352002"/>
    <w:rsid w:val="5F1C7AED"/>
    <w:rsid w:val="5F90413A"/>
    <w:rsid w:val="60565855"/>
    <w:rsid w:val="60F56473"/>
    <w:rsid w:val="60F86FD4"/>
    <w:rsid w:val="610A4B5F"/>
    <w:rsid w:val="616E4CF3"/>
    <w:rsid w:val="61ED3E3C"/>
    <w:rsid w:val="62D339D2"/>
    <w:rsid w:val="633B3EAB"/>
    <w:rsid w:val="639101E7"/>
    <w:rsid w:val="647916AF"/>
    <w:rsid w:val="64B31810"/>
    <w:rsid w:val="650D1C96"/>
    <w:rsid w:val="6518479E"/>
    <w:rsid w:val="65653F46"/>
    <w:rsid w:val="65853E6F"/>
    <w:rsid w:val="663A3606"/>
    <w:rsid w:val="6642520A"/>
    <w:rsid w:val="667C4917"/>
    <w:rsid w:val="66882038"/>
    <w:rsid w:val="66CC144B"/>
    <w:rsid w:val="671656F0"/>
    <w:rsid w:val="67236075"/>
    <w:rsid w:val="67E25F65"/>
    <w:rsid w:val="688641BC"/>
    <w:rsid w:val="69FA48EF"/>
    <w:rsid w:val="6AB32E4C"/>
    <w:rsid w:val="6AF03CEA"/>
    <w:rsid w:val="6C5A1AE7"/>
    <w:rsid w:val="6C637D52"/>
    <w:rsid w:val="6C965D84"/>
    <w:rsid w:val="6CE50C1C"/>
    <w:rsid w:val="6D540B9D"/>
    <w:rsid w:val="6FA96611"/>
    <w:rsid w:val="714900F4"/>
    <w:rsid w:val="71EB3F0D"/>
    <w:rsid w:val="71FD7E36"/>
    <w:rsid w:val="72F15351"/>
    <w:rsid w:val="73AC73AC"/>
    <w:rsid w:val="742A7635"/>
    <w:rsid w:val="749123F0"/>
    <w:rsid w:val="74FF5FC2"/>
    <w:rsid w:val="75B97B58"/>
    <w:rsid w:val="75C23822"/>
    <w:rsid w:val="75DC455E"/>
    <w:rsid w:val="76173E55"/>
    <w:rsid w:val="76340F5C"/>
    <w:rsid w:val="76731A9E"/>
    <w:rsid w:val="7699599E"/>
    <w:rsid w:val="773B0D0D"/>
    <w:rsid w:val="77CA4249"/>
    <w:rsid w:val="78187C8F"/>
    <w:rsid w:val="78412583"/>
    <w:rsid w:val="7855496E"/>
    <w:rsid w:val="78C63E4F"/>
    <w:rsid w:val="798F3220"/>
    <w:rsid w:val="79A1156A"/>
    <w:rsid w:val="79A5544F"/>
    <w:rsid w:val="79C6269C"/>
    <w:rsid w:val="7AA8546C"/>
    <w:rsid w:val="7ABD0011"/>
    <w:rsid w:val="7AED1231"/>
    <w:rsid w:val="7B38651A"/>
    <w:rsid w:val="7B521D5B"/>
    <w:rsid w:val="7B5A74E2"/>
    <w:rsid w:val="7B6D1EB3"/>
    <w:rsid w:val="7B853AC8"/>
    <w:rsid w:val="7C045BEF"/>
    <w:rsid w:val="7C5E37E6"/>
    <w:rsid w:val="7EBE4303"/>
    <w:rsid w:val="7F0707C4"/>
    <w:rsid w:val="7F436895"/>
    <w:rsid w:val="7F590637"/>
    <w:rsid w:val="7F78421F"/>
    <w:rsid w:val="7F8C0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3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style>
  <w:style w:type="paragraph" w:styleId="6">
    <w:name w:val="Body Text 2"/>
    <w:basedOn w:val="1"/>
    <w:qFormat/>
    <w:uiPriority w:val="0"/>
    <w:rPr>
      <w:sz w:val="28"/>
    </w:rPr>
  </w:style>
  <w:style w:type="paragraph" w:styleId="7">
    <w:name w:val="Body Text Indent"/>
    <w:basedOn w:val="1"/>
    <w:qFormat/>
    <w:uiPriority w:val="0"/>
    <w:pPr>
      <w:ind w:firstLine="660"/>
    </w:pPr>
    <w:rPr>
      <w:rFonts w:ascii="宋体" w:hAnsi="宋体"/>
      <w:color w:val="FF0000"/>
      <w:kern w:val="0"/>
      <w:sz w:val="30"/>
    </w:r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next w:val="12"/>
    <w:qFormat/>
    <w:uiPriority w:val="0"/>
    <w:pPr>
      <w:ind w:firstLine="420" w:firstLineChars="100"/>
    </w:pPr>
  </w:style>
  <w:style w:type="paragraph" w:styleId="12">
    <w:name w:val="Body Text First Indent 2"/>
    <w:basedOn w:val="7"/>
    <w:qFormat/>
    <w:uiPriority w:val="0"/>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3"/>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7E340-39B2-4742-ACC0-47D63F0491E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30544</Words>
  <Characters>5217</Characters>
  <Lines>43</Lines>
  <Paragraphs>71</Paragraphs>
  <TotalTime>6</TotalTime>
  <ScaleCrop>false</ScaleCrop>
  <LinksUpToDate>false</LinksUpToDate>
  <CharactersWithSpaces>35690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2019-12-12T00:59:00Z</dcterms:created>
  <dc:creator>Administrator</dc:creator>
  <cp:lastModifiedBy>甛╚＞</cp:lastModifiedBy>
  <cp:lastPrinted>2020-04-09T08:06:00Z</cp:lastPrinted>
  <dcterms:modified xsi:type="dcterms:W3CDTF">2020-04-13T00:38:24Z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