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52"/>
          <w:szCs w:val="52"/>
        </w:rPr>
      </w:pP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建 安 区 建 设 工 程</w:t>
      </w:r>
    </w:p>
    <w:p>
      <w:pPr>
        <w:jc w:val="center"/>
        <w:rPr>
          <w:rFonts w:asciiTheme="minorEastAsia" w:hAnsiTheme="minorEastAsia" w:eastAsiaTheme="minorEastAsia" w:cstheme="minorEastAsia"/>
          <w:b/>
          <w:bCs/>
          <w:sz w:val="21"/>
          <w:szCs w:val="21"/>
        </w:rPr>
      </w:pPr>
    </w:p>
    <w:p>
      <w:pPr>
        <w:rPr>
          <w:rFonts w:asciiTheme="minorEastAsia" w:hAnsiTheme="minorEastAsia" w:eastAsiaTheme="minorEastAsia" w:cstheme="minorEastAsia"/>
          <w:b/>
          <w:bCs/>
          <w:sz w:val="21"/>
          <w:szCs w:val="21"/>
        </w:rPr>
      </w:pPr>
    </w:p>
    <w:p>
      <w:pPr>
        <w:pStyle w:val="2"/>
        <w:ind w:firstLine="211"/>
        <w:rPr>
          <w:rFonts w:asciiTheme="minorEastAsia" w:hAnsiTheme="minorEastAsia" w:eastAsiaTheme="minorEastAsia" w:cstheme="minorEastAsia"/>
          <w:b/>
          <w:bCs/>
          <w:sz w:val="21"/>
          <w:szCs w:val="21"/>
        </w:rPr>
      </w:pPr>
    </w:p>
    <w:p>
      <w:pPr>
        <w:pStyle w:val="4"/>
        <w:ind w:left="680" w:firstLine="422"/>
        <w:rPr>
          <w:rFonts w:hint="default" w:asciiTheme="minorEastAsia" w:hAnsiTheme="minorEastAsia" w:eastAsiaTheme="minorEastAsia" w:cstheme="minorEastAsia"/>
          <w:b/>
          <w:bCs/>
          <w:sz w:val="21"/>
          <w:szCs w:val="21"/>
          <w:lang w:eastAsia="zh-CN"/>
        </w:rPr>
      </w:pP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招</w:t>
      </w: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标</w:t>
      </w: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文</w:t>
      </w: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件</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（二标段）</w:t>
      </w:r>
    </w:p>
    <w:p>
      <w:pPr>
        <w:jc w:val="center"/>
        <w:rPr>
          <w:rFonts w:asciiTheme="minorEastAsia" w:hAnsiTheme="minorEastAsia" w:eastAsiaTheme="minorEastAsia" w:cstheme="minorEastAsia"/>
          <w:b/>
          <w:bCs/>
          <w:sz w:val="32"/>
          <w:szCs w:val="32"/>
        </w:rPr>
      </w:pPr>
    </w:p>
    <w:p>
      <w:pPr>
        <w:rPr>
          <w:rFonts w:asciiTheme="minorEastAsia" w:hAnsiTheme="minorEastAsia" w:eastAsiaTheme="minorEastAsia" w:cstheme="minorEastAsia"/>
          <w:b/>
          <w:bCs/>
          <w:sz w:val="21"/>
          <w:szCs w:val="21"/>
        </w:rPr>
      </w:pPr>
    </w:p>
    <w:p>
      <w:pPr>
        <w:rPr>
          <w:rFonts w:asciiTheme="minorEastAsia" w:hAnsiTheme="minorEastAsia" w:eastAsiaTheme="minorEastAsia" w:cstheme="minorEastAsia"/>
          <w:b/>
          <w:bCs/>
          <w:sz w:val="21"/>
          <w:szCs w:val="21"/>
        </w:rPr>
      </w:pPr>
    </w:p>
    <w:p>
      <w:pPr>
        <w:jc w:val="center"/>
        <w:rPr>
          <w:rFonts w:asciiTheme="minorEastAsia" w:hAnsiTheme="minorEastAsia" w:eastAsiaTheme="minorEastAsia" w:cstheme="minorEastAsia"/>
          <w:b/>
          <w:bCs/>
          <w:sz w:val="32"/>
          <w:szCs w:val="32"/>
        </w:rPr>
      </w:pPr>
    </w:p>
    <w:p>
      <w:pPr>
        <w:spacing w:line="360" w:lineRule="auto"/>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项目编号：建安建工公字〔2020〕</w:t>
      </w:r>
      <w:r>
        <w:rPr>
          <w:rFonts w:hint="eastAsia" w:asciiTheme="minorEastAsia" w:hAnsiTheme="minorEastAsia" w:eastAsiaTheme="minorEastAsia" w:cstheme="minorEastAsia"/>
          <w:b/>
          <w:bCs/>
          <w:sz w:val="32"/>
          <w:szCs w:val="32"/>
          <w:lang w:val="en-US" w:eastAsia="zh-CN"/>
        </w:rPr>
        <w:t>37</w:t>
      </w:r>
      <w:r>
        <w:rPr>
          <w:rFonts w:hint="eastAsia" w:asciiTheme="minorEastAsia" w:hAnsiTheme="minorEastAsia" w:eastAsiaTheme="minorEastAsia" w:cstheme="minorEastAsia"/>
          <w:b/>
          <w:bCs/>
          <w:sz w:val="32"/>
          <w:szCs w:val="32"/>
        </w:rPr>
        <w:t>号</w:t>
      </w:r>
    </w:p>
    <w:p>
      <w:pPr>
        <w:spacing w:line="360" w:lineRule="auto"/>
        <w:ind w:firstLine="1600" w:firstLineChars="500"/>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项目名称：许昌市建安区环保装备制造产业园项目</w:t>
      </w:r>
    </w:p>
    <w:p>
      <w:pPr>
        <w:spacing w:line="360" w:lineRule="auto"/>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招 标 人：</w:t>
      </w:r>
      <w:r>
        <w:rPr>
          <w:rFonts w:hint="eastAsia" w:asciiTheme="minorEastAsia" w:hAnsiTheme="minorEastAsia" w:eastAsiaTheme="minorEastAsia" w:cstheme="minorEastAsia"/>
          <w:b/>
          <w:bCs/>
          <w:sz w:val="32"/>
          <w:szCs w:val="32"/>
          <w:lang w:val="zh-CN"/>
        </w:rPr>
        <w:t>许昌建安水务投资建设开发有限公司</w:t>
      </w:r>
    </w:p>
    <w:p>
      <w:pPr>
        <w:spacing w:line="360" w:lineRule="auto"/>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代理机构：</w:t>
      </w:r>
      <w:r>
        <w:rPr>
          <w:rFonts w:hint="eastAsia" w:asciiTheme="minorEastAsia" w:hAnsiTheme="minorEastAsia" w:eastAsiaTheme="minorEastAsia" w:cstheme="minorEastAsia"/>
          <w:b/>
          <w:bCs/>
          <w:sz w:val="32"/>
          <w:szCs w:val="32"/>
          <w:lang w:val="zh-CN"/>
        </w:rPr>
        <w:t>中建山河建设管理集团有限公司</w:t>
      </w:r>
    </w:p>
    <w:p>
      <w:pPr>
        <w:jc w:val="center"/>
        <w:rPr>
          <w:rFonts w:asciiTheme="minorEastAsia" w:hAnsiTheme="minorEastAsia" w:eastAsiaTheme="minorEastAsia" w:cstheme="minorEastAsia"/>
          <w:b/>
          <w:bCs/>
          <w:sz w:val="16"/>
        </w:rPr>
      </w:pPr>
      <w:r>
        <w:rPr>
          <w:rFonts w:hint="eastAsia" w:asciiTheme="minorEastAsia" w:hAnsiTheme="minorEastAsia" w:eastAsiaTheme="minorEastAsia" w:cstheme="minorEastAsia"/>
          <w:b/>
          <w:bCs/>
          <w:sz w:val="32"/>
          <w:szCs w:val="32"/>
        </w:rPr>
        <w:t xml:space="preserve"> 二〇二〇年四月</w:t>
      </w:r>
    </w:p>
    <w:p>
      <w:pPr>
        <w:ind w:firstLine="4765" w:firstLineChars="1083"/>
        <w:rPr>
          <w:rFonts w:asciiTheme="minorEastAsia" w:hAnsiTheme="minorEastAsia" w:eastAsiaTheme="minorEastAsia" w:cstheme="minorEastAsia"/>
          <w:sz w:val="44"/>
        </w:rPr>
        <w:sectPr>
          <w:headerReference r:id="rId5" w:type="first"/>
          <w:headerReference r:id="rId3" w:type="default"/>
          <w:footerReference r:id="rId6" w:type="default"/>
          <w:headerReference r:id="rId4" w:type="even"/>
          <w:footerReference r:id="rId7" w:type="even"/>
          <w:pgSz w:w="11906" w:h="16838"/>
          <w:pgMar w:top="1417" w:right="1417" w:bottom="1417" w:left="1417" w:header="851" w:footer="992" w:gutter="0"/>
          <w:pgNumType w:start="0"/>
          <w:cols w:space="0" w:num="1"/>
          <w:titlePg/>
          <w:docGrid w:type="linesAndChars" w:linePitch="312" w:charSpace="0"/>
        </w:sectPr>
      </w:pPr>
    </w:p>
    <w:p>
      <w:pPr>
        <w:jc w:val="center"/>
        <w:rPr>
          <w:rFonts w:asciiTheme="minorEastAsia" w:hAnsiTheme="minorEastAsia" w:eastAsiaTheme="minorEastAsia" w:cstheme="minorEastAsia"/>
          <w:b/>
          <w:sz w:val="44"/>
        </w:rPr>
      </w:pPr>
      <w:r>
        <w:rPr>
          <w:rFonts w:hint="eastAsia" w:asciiTheme="minorEastAsia" w:hAnsiTheme="minorEastAsia" w:eastAsiaTheme="minorEastAsia" w:cstheme="minorEastAsia"/>
          <w:b/>
          <w:sz w:val="44"/>
        </w:rPr>
        <w:t>目  录</w:t>
      </w:r>
    </w:p>
    <w:p>
      <w:pPr>
        <w:jc w:val="center"/>
        <w:rPr>
          <w:rFonts w:asciiTheme="minorEastAsia" w:hAnsiTheme="minorEastAsia" w:eastAsiaTheme="minorEastAsia" w:cstheme="minorEastAsia"/>
          <w:b/>
          <w:sz w:val="32"/>
        </w:rPr>
      </w:pPr>
    </w:p>
    <w:p>
      <w:pPr>
        <w:tabs>
          <w:tab w:val="right" w:leader="dot" w:pos="8731"/>
        </w:tabs>
        <w:spacing w:before="120" w:after="120" w:line="360" w:lineRule="auto"/>
        <w:ind w:left="680" w:leftChars="200"/>
        <w:jc w:val="left"/>
        <w:rPr>
          <w:rFonts w:asciiTheme="minorEastAsia" w:hAnsiTheme="minorEastAsia" w:eastAsiaTheme="minorEastAsia" w:cstheme="minorEastAsia"/>
          <w:b/>
          <w:bCs/>
          <w:caps/>
          <w:kern w:val="2"/>
          <w:sz w:val="28"/>
          <w:szCs w:val="28"/>
        </w:rPr>
      </w:pPr>
      <w:r>
        <w:fldChar w:fldCharType="begin"/>
      </w:r>
      <w:r>
        <w:instrText xml:space="preserve"> HYPERLINK \l "_Toc18825" </w:instrText>
      </w:r>
      <w:r>
        <w:fldChar w:fldCharType="separate"/>
      </w:r>
      <w:r>
        <w:rPr>
          <w:rFonts w:hint="eastAsia" w:asciiTheme="minorEastAsia" w:hAnsiTheme="minorEastAsia" w:eastAsiaTheme="minorEastAsia" w:cstheme="minorEastAsia"/>
          <w:b/>
          <w:bCs/>
          <w:caps/>
          <w:kern w:val="2"/>
          <w:sz w:val="28"/>
          <w:szCs w:val="28"/>
        </w:rPr>
        <w:t>第一章 招标公告</w:t>
      </w:r>
      <w:r>
        <w:rPr>
          <w:rFonts w:hint="eastAsia" w:asciiTheme="minorEastAsia" w:hAnsiTheme="minorEastAsia" w:eastAsiaTheme="minorEastAsia" w:cstheme="minorEastAsia"/>
          <w:b/>
          <w:bCs/>
          <w:caps/>
          <w:kern w:val="2"/>
          <w:sz w:val="28"/>
          <w:szCs w:val="28"/>
        </w:rPr>
        <w:tab/>
      </w:r>
      <w:r>
        <w:rPr>
          <w:rFonts w:hint="eastAsia" w:asciiTheme="minorEastAsia" w:hAnsiTheme="minorEastAsia" w:eastAsiaTheme="minorEastAsia" w:cstheme="minorEastAsia"/>
          <w:b/>
          <w:bCs/>
          <w:caps/>
          <w:kern w:val="2"/>
          <w:sz w:val="28"/>
          <w:szCs w:val="28"/>
        </w:rPr>
        <w:fldChar w:fldCharType="end"/>
      </w:r>
    </w:p>
    <w:p>
      <w:pPr>
        <w:tabs>
          <w:tab w:val="right" w:leader="dot" w:pos="8731"/>
        </w:tabs>
        <w:spacing w:before="120" w:after="120" w:line="360" w:lineRule="auto"/>
        <w:ind w:left="680" w:leftChars="200"/>
        <w:jc w:val="left"/>
        <w:rPr>
          <w:rFonts w:asciiTheme="minorEastAsia" w:hAnsiTheme="minorEastAsia" w:eastAsiaTheme="minorEastAsia" w:cstheme="minorEastAsia"/>
          <w:b/>
          <w:bCs/>
          <w:caps/>
          <w:kern w:val="2"/>
          <w:sz w:val="28"/>
          <w:szCs w:val="28"/>
        </w:rPr>
      </w:pPr>
      <w:r>
        <w:fldChar w:fldCharType="begin"/>
      </w:r>
      <w:r>
        <w:instrText xml:space="preserve"> HYPERLINK \l "_Toc5922" </w:instrText>
      </w:r>
      <w:r>
        <w:fldChar w:fldCharType="separate"/>
      </w:r>
      <w:r>
        <w:rPr>
          <w:rFonts w:hint="eastAsia" w:asciiTheme="minorEastAsia" w:hAnsiTheme="minorEastAsia" w:eastAsiaTheme="minorEastAsia" w:cstheme="minorEastAsia"/>
          <w:b/>
          <w:bCs/>
          <w:caps/>
          <w:kern w:val="2"/>
          <w:sz w:val="28"/>
          <w:szCs w:val="28"/>
        </w:rPr>
        <w:t>第二章 投标人须知</w:t>
      </w:r>
      <w:r>
        <w:rPr>
          <w:rFonts w:hint="eastAsia" w:asciiTheme="minorEastAsia" w:hAnsiTheme="minorEastAsia" w:eastAsiaTheme="minorEastAsia" w:cstheme="minorEastAsia"/>
          <w:b/>
          <w:bCs/>
          <w:caps/>
          <w:kern w:val="2"/>
          <w:sz w:val="28"/>
          <w:szCs w:val="28"/>
        </w:rPr>
        <w:tab/>
      </w:r>
      <w:r>
        <w:rPr>
          <w:rFonts w:hint="eastAsia" w:asciiTheme="minorEastAsia" w:hAnsiTheme="minorEastAsia" w:eastAsiaTheme="minorEastAsia" w:cstheme="minorEastAsia"/>
          <w:b/>
          <w:bCs/>
          <w:caps/>
          <w:kern w:val="2"/>
          <w:sz w:val="28"/>
          <w:szCs w:val="28"/>
        </w:rPr>
        <w:fldChar w:fldCharType="end"/>
      </w:r>
    </w:p>
    <w:p>
      <w:pPr>
        <w:tabs>
          <w:tab w:val="right" w:leader="dot" w:pos="8731"/>
        </w:tabs>
        <w:spacing w:before="120" w:after="120" w:line="360" w:lineRule="auto"/>
        <w:ind w:firstLine="2040" w:firstLineChars="600"/>
        <w:jc w:val="left"/>
        <w:rPr>
          <w:rFonts w:asciiTheme="minorEastAsia" w:hAnsiTheme="minorEastAsia" w:eastAsiaTheme="minorEastAsia" w:cstheme="minorEastAsia"/>
          <w:b/>
          <w:bCs/>
          <w:caps/>
          <w:kern w:val="2"/>
          <w:sz w:val="28"/>
          <w:szCs w:val="28"/>
        </w:rPr>
      </w:pPr>
      <w:r>
        <w:fldChar w:fldCharType="begin"/>
      </w:r>
      <w:r>
        <w:instrText xml:space="preserve"> HYPERLINK \l "_Toc18129" </w:instrText>
      </w:r>
      <w:r>
        <w:fldChar w:fldCharType="separate"/>
      </w:r>
      <w:r>
        <w:rPr>
          <w:rFonts w:hint="eastAsia" w:asciiTheme="minorEastAsia" w:hAnsiTheme="minorEastAsia" w:eastAsiaTheme="minorEastAsia" w:cstheme="minorEastAsia"/>
          <w:b/>
          <w:bCs/>
          <w:caps/>
          <w:kern w:val="2"/>
          <w:sz w:val="28"/>
          <w:szCs w:val="28"/>
        </w:rPr>
        <w:t>投标人须知前附表</w:t>
      </w:r>
      <w:r>
        <w:rPr>
          <w:rFonts w:hint="eastAsia" w:asciiTheme="minorEastAsia" w:hAnsiTheme="minorEastAsia" w:eastAsiaTheme="minorEastAsia" w:cstheme="minorEastAsia"/>
          <w:b/>
          <w:bCs/>
          <w:caps/>
          <w:kern w:val="2"/>
          <w:sz w:val="28"/>
          <w:szCs w:val="28"/>
        </w:rPr>
        <w:tab/>
      </w:r>
      <w:r>
        <w:rPr>
          <w:rFonts w:hint="eastAsia" w:asciiTheme="minorEastAsia" w:hAnsiTheme="minorEastAsia" w:eastAsiaTheme="minorEastAsia" w:cstheme="minorEastAsia"/>
          <w:b/>
          <w:bCs/>
          <w:caps/>
          <w:kern w:val="2"/>
          <w:sz w:val="28"/>
          <w:szCs w:val="28"/>
        </w:rPr>
        <w:fldChar w:fldCharType="end"/>
      </w:r>
    </w:p>
    <w:p>
      <w:pPr>
        <w:tabs>
          <w:tab w:val="right" w:leader="dot" w:pos="8731"/>
        </w:tabs>
        <w:spacing w:before="120" w:after="120" w:line="360" w:lineRule="auto"/>
        <w:ind w:left="680" w:leftChars="200"/>
        <w:jc w:val="left"/>
        <w:rPr>
          <w:rFonts w:asciiTheme="minorEastAsia" w:hAnsiTheme="minorEastAsia" w:eastAsiaTheme="minorEastAsia" w:cstheme="minorEastAsia"/>
          <w:b/>
          <w:bCs/>
          <w:caps/>
          <w:kern w:val="2"/>
          <w:sz w:val="28"/>
          <w:szCs w:val="28"/>
        </w:rPr>
      </w:pPr>
      <w:r>
        <w:fldChar w:fldCharType="begin"/>
      </w:r>
      <w:r>
        <w:instrText xml:space="preserve"> HYPERLINK \l "_Toc14084" </w:instrText>
      </w:r>
      <w:r>
        <w:fldChar w:fldCharType="separate"/>
      </w:r>
      <w:r>
        <w:rPr>
          <w:rFonts w:hint="eastAsia" w:asciiTheme="minorEastAsia" w:hAnsiTheme="minorEastAsia" w:eastAsiaTheme="minorEastAsia" w:cstheme="minorEastAsia"/>
          <w:b/>
          <w:bCs/>
          <w:caps/>
          <w:kern w:val="2"/>
          <w:sz w:val="28"/>
          <w:szCs w:val="28"/>
        </w:rPr>
        <w:t>第三章 评标办法（综合评估法）</w:t>
      </w:r>
      <w:r>
        <w:rPr>
          <w:rFonts w:hint="eastAsia" w:asciiTheme="minorEastAsia" w:hAnsiTheme="minorEastAsia" w:eastAsiaTheme="minorEastAsia" w:cstheme="minorEastAsia"/>
          <w:b/>
          <w:bCs/>
          <w:caps/>
          <w:kern w:val="2"/>
          <w:sz w:val="28"/>
          <w:szCs w:val="28"/>
        </w:rPr>
        <w:tab/>
      </w:r>
      <w:r>
        <w:rPr>
          <w:rFonts w:hint="eastAsia" w:asciiTheme="minorEastAsia" w:hAnsiTheme="minorEastAsia" w:eastAsiaTheme="minorEastAsia" w:cstheme="minorEastAsia"/>
          <w:b/>
          <w:bCs/>
          <w:caps/>
          <w:kern w:val="2"/>
          <w:sz w:val="28"/>
          <w:szCs w:val="28"/>
        </w:rPr>
        <w:fldChar w:fldCharType="end"/>
      </w:r>
    </w:p>
    <w:p>
      <w:pPr>
        <w:tabs>
          <w:tab w:val="right" w:leader="dot" w:pos="8731"/>
        </w:tabs>
        <w:spacing w:line="360" w:lineRule="auto"/>
        <w:ind w:firstLine="2040" w:firstLineChars="600"/>
        <w:jc w:val="left"/>
        <w:rPr>
          <w:rFonts w:asciiTheme="minorEastAsia" w:hAnsiTheme="minorEastAsia" w:eastAsiaTheme="minorEastAsia" w:cstheme="minorEastAsia"/>
          <w:b/>
          <w:bCs/>
          <w:smallCaps/>
          <w:kern w:val="2"/>
          <w:sz w:val="28"/>
          <w:szCs w:val="28"/>
        </w:rPr>
      </w:pPr>
      <w:r>
        <w:fldChar w:fldCharType="begin"/>
      </w:r>
      <w:r>
        <w:instrText xml:space="preserve"> HYPERLINK \l "_Toc20119" </w:instrText>
      </w:r>
      <w:r>
        <w:fldChar w:fldCharType="separate"/>
      </w:r>
      <w:r>
        <w:rPr>
          <w:rFonts w:hint="eastAsia" w:asciiTheme="minorEastAsia" w:hAnsiTheme="minorEastAsia" w:eastAsiaTheme="minorEastAsia" w:cstheme="minorEastAsia"/>
          <w:b/>
          <w:bCs/>
          <w:smallCaps/>
          <w:kern w:val="2"/>
          <w:sz w:val="28"/>
          <w:szCs w:val="28"/>
        </w:rPr>
        <w:t>评标办法前附表</w:t>
      </w:r>
      <w:r>
        <w:rPr>
          <w:rFonts w:hint="eastAsia" w:asciiTheme="minorEastAsia" w:hAnsiTheme="minorEastAsia" w:eastAsiaTheme="minorEastAsia" w:cstheme="minorEastAsia"/>
          <w:b/>
          <w:bCs/>
          <w:smallCaps/>
          <w:kern w:val="2"/>
          <w:sz w:val="28"/>
          <w:szCs w:val="28"/>
        </w:rPr>
        <w:tab/>
      </w:r>
      <w:r>
        <w:rPr>
          <w:rFonts w:hint="eastAsia" w:asciiTheme="minorEastAsia" w:hAnsiTheme="minorEastAsia" w:eastAsiaTheme="minorEastAsia" w:cstheme="minorEastAsia"/>
          <w:b/>
          <w:bCs/>
          <w:smallCaps/>
          <w:kern w:val="2"/>
          <w:sz w:val="28"/>
          <w:szCs w:val="28"/>
        </w:rPr>
        <w:fldChar w:fldCharType="end"/>
      </w:r>
    </w:p>
    <w:p>
      <w:pPr>
        <w:tabs>
          <w:tab w:val="right" w:leader="dot" w:pos="8731"/>
        </w:tabs>
        <w:spacing w:before="120" w:after="120" w:line="360" w:lineRule="auto"/>
        <w:ind w:left="680" w:leftChars="200"/>
        <w:jc w:val="left"/>
        <w:rPr>
          <w:rFonts w:asciiTheme="minorEastAsia" w:hAnsiTheme="minorEastAsia" w:eastAsiaTheme="minorEastAsia" w:cstheme="minorEastAsia"/>
          <w:b/>
          <w:bCs/>
          <w:caps/>
          <w:kern w:val="2"/>
          <w:sz w:val="28"/>
          <w:szCs w:val="28"/>
        </w:rPr>
      </w:pPr>
      <w:r>
        <w:fldChar w:fldCharType="begin"/>
      </w:r>
      <w:r>
        <w:instrText xml:space="preserve"> HYPERLINK \l "_Toc23942" </w:instrText>
      </w:r>
      <w:r>
        <w:fldChar w:fldCharType="separate"/>
      </w:r>
      <w:r>
        <w:rPr>
          <w:rFonts w:hint="eastAsia" w:asciiTheme="minorEastAsia" w:hAnsiTheme="minorEastAsia" w:eastAsiaTheme="minorEastAsia" w:cstheme="minorEastAsia"/>
          <w:b/>
          <w:bCs/>
          <w:caps/>
          <w:kern w:val="2"/>
          <w:sz w:val="28"/>
          <w:szCs w:val="28"/>
        </w:rPr>
        <w:t>第四章 合同条款及格式</w:t>
      </w:r>
      <w:r>
        <w:rPr>
          <w:rFonts w:hint="eastAsia" w:asciiTheme="minorEastAsia" w:hAnsiTheme="minorEastAsia" w:eastAsiaTheme="minorEastAsia" w:cstheme="minorEastAsia"/>
          <w:b/>
          <w:bCs/>
          <w:caps/>
          <w:kern w:val="2"/>
          <w:sz w:val="28"/>
          <w:szCs w:val="28"/>
        </w:rPr>
        <w:tab/>
      </w:r>
      <w:r>
        <w:rPr>
          <w:rFonts w:hint="eastAsia" w:asciiTheme="minorEastAsia" w:hAnsiTheme="minorEastAsia" w:eastAsiaTheme="minorEastAsia" w:cstheme="minorEastAsia"/>
          <w:b/>
          <w:bCs/>
          <w:caps/>
          <w:kern w:val="2"/>
          <w:sz w:val="28"/>
          <w:szCs w:val="28"/>
        </w:rPr>
        <w:fldChar w:fldCharType="end"/>
      </w:r>
    </w:p>
    <w:p>
      <w:pPr>
        <w:tabs>
          <w:tab w:val="right" w:leader="dot" w:pos="8731"/>
        </w:tabs>
        <w:spacing w:before="120" w:after="120" w:line="360" w:lineRule="auto"/>
        <w:ind w:left="680" w:leftChars="200"/>
        <w:jc w:val="left"/>
        <w:rPr>
          <w:rFonts w:asciiTheme="minorEastAsia" w:hAnsiTheme="minorEastAsia" w:eastAsiaTheme="minorEastAsia" w:cstheme="minorEastAsia"/>
          <w:b/>
          <w:bCs/>
          <w:caps/>
          <w:kern w:val="2"/>
          <w:sz w:val="28"/>
          <w:szCs w:val="28"/>
        </w:rPr>
      </w:pPr>
      <w:r>
        <w:fldChar w:fldCharType="begin"/>
      </w:r>
      <w:r>
        <w:instrText xml:space="preserve"> HYPERLINK \l "_Toc23942" </w:instrText>
      </w:r>
      <w:r>
        <w:fldChar w:fldCharType="separate"/>
      </w:r>
      <w:r>
        <w:rPr>
          <w:rFonts w:hint="eastAsia" w:asciiTheme="minorEastAsia" w:hAnsiTheme="minorEastAsia" w:eastAsiaTheme="minorEastAsia" w:cstheme="minorEastAsia"/>
          <w:b/>
          <w:bCs/>
          <w:caps/>
          <w:kern w:val="2"/>
          <w:sz w:val="28"/>
          <w:szCs w:val="28"/>
        </w:rPr>
        <w:t>第五章 技术标准和要求</w:t>
      </w:r>
      <w:r>
        <w:rPr>
          <w:rFonts w:hint="eastAsia" w:asciiTheme="minorEastAsia" w:hAnsiTheme="minorEastAsia" w:eastAsiaTheme="minorEastAsia" w:cstheme="minorEastAsia"/>
          <w:b/>
          <w:bCs/>
          <w:caps/>
          <w:kern w:val="2"/>
          <w:sz w:val="28"/>
          <w:szCs w:val="28"/>
        </w:rPr>
        <w:tab/>
      </w:r>
      <w:r>
        <w:rPr>
          <w:rFonts w:hint="eastAsia" w:asciiTheme="minorEastAsia" w:hAnsiTheme="minorEastAsia" w:eastAsiaTheme="minorEastAsia" w:cstheme="minorEastAsia"/>
          <w:b/>
          <w:bCs/>
          <w:caps/>
          <w:kern w:val="2"/>
          <w:sz w:val="28"/>
          <w:szCs w:val="28"/>
        </w:rPr>
        <w:fldChar w:fldCharType="end"/>
      </w:r>
    </w:p>
    <w:p>
      <w:pPr>
        <w:tabs>
          <w:tab w:val="right" w:leader="dot" w:pos="8731"/>
        </w:tabs>
        <w:spacing w:before="120" w:after="120" w:line="360" w:lineRule="auto"/>
        <w:ind w:left="680" w:leftChars="200"/>
        <w:jc w:val="left"/>
        <w:rPr>
          <w:rFonts w:asciiTheme="minorEastAsia" w:hAnsiTheme="minorEastAsia" w:eastAsiaTheme="minorEastAsia" w:cstheme="minorEastAsia"/>
          <w:b/>
          <w:sz w:val="28"/>
          <w:szCs w:val="22"/>
        </w:rPr>
      </w:pPr>
      <w:r>
        <w:fldChar w:fldCharType="begin"/>
      </w:r>
      <w:r>
        <w:instrText xml:space="preserve"> HYPERLINK \l "_Toc23942" </w:instrText>
      </w:r>
      <w:r>
        <w:fldChar w:fldCharType="separate"/>
      </w:r>
      <w:r>
        <w:rPr>
          <w:rFonts w:hint="eastAsia" w:asciiTheme="minorEastAsia" w:hAnsiTheme="minorEastAsia" w:eastAsiaTheme="minorEastAsia" w:cstheme="minorEastAsia"/>
          <w:b/>
          <w:bCs/>
          <w:caps/>
          <w:kern w:val="2"/>
          <w:sz w:val="28"/>
          <w:szCs w:val="28"/>
        </w:rPr>
        <w:t xml:space="preserve">第六章 </w:t>
      </w:r>
      <w:r>
        <w:rPr>
          <w:rFonts w:hint="eastAsia" w:asciiTheme="minorEastAsia" w:hAnsiTheme="minorEastAsia" w:eastAsiaTheme="minorEastAsia" w:cstheme="minorEastAsia"/>
          <w:b/>
          <w:bCs/>
          <w:caps/>
          <w:kern w:val="2"/>
          <w:sz w:val="28"/>
          <w:szCs w:val="28"/>
        </w:rPr>
        <w:fldChar w:fldCharType="end"/>
      </w:r>
      <w:r>
        <w:fldChar w:fldCharType="begin"/>
      </w:r>
      <w:r>
        <w:instrText xml:space="preserve"> HYPERLINK \l "_Toc15384" </w:instrText>
      </w:r>
      <w:r>
        <w:fldChar w:fldCharType="separate"/>
      </w:r>
      <w:r>
        <w:rPr>
          <w:rFonts w:hint="eastAsia" w:asciiTheme="minorEastAsia" w:hAnsiTheme="minorEastAsia" w:eastAsiaTheme="minorEastAsia" w:cstheme="minorEastAsia"/>
          <w:b/>
          <w:bCs/>
          <w:caps/>
          <w:kern w:val="2"/>
          <w:sz w:val="28"/>
          <w:szCs w:val="28"/>
        </w:rPr>
        <w:t>投标文件格式</w:t>
      </w:r>
      <w:r>
        <w:rPr>
          <w:rFonts w:hint="eastAsia" w:asciiTheme="minorEastAsia" w:hAnsiTheme="minorEastAsia" w:eastAsiaTheme="minorEastAsia" w:cstheme="minorEastAsia"/>
          <w:b/>
          <w:bCs/>
          <w:caps/>
          <w:kern w:val="2"/>
          <w:sz w:val="28"/>
          <w:szCs w:val="28"/>
        </w:rPr>
        <w:tab/>
      </w:r>
      <w:r>
        <w:rPr>
          <w:rFonts w:hint="eastAsia" w:asciiTheme="minorEastAsia" w:hAnsiTheme="minorEastAsia" w:eastAsiaTheme="minorEastAsia" w:cstheme="minorEastAsia"/>
          <w:b/>
          <w:bCs/>
          <w:caps/>
          <w:kern w:val="2"/>
          <w:sz w:val="28"/>
          <w:szCs w:val="28"/>
        </w:rPr>
        <w:fldChar w:fldCharType="end"/>
      </w:r>
    </w:p>
    <w:p>
      <w:pPr>
        <w:autoSpaceDE w:val="0"/>
        <w:autoSpaceDN w:val="0"/>
        <w:adjustRightInd w:val="0"/>
        <w:spacing w:line="360" w:lineRule="auto"/>
        <w:jc w:val="center"/>
        <w:rPr>
          <w:rFonts w:asciiTheme="minorEastAsia" w:hAnsiTheme="minorEastAsia" w:eastAsiaTheme="minorEastAsia" w:cstheme="minorEastAsia"/>
          <w:b/>
          <w:sz w:val="36"/>
          <w:szCs w:val="36"/>
        </w:rPr>
      </w:pPr>
      <w:bookmarkStart w:id="0" w:name="_Toc215282124"/>
    </w:p>
    <w:p>
      <w:pPr>
        <w:pStyle w:val="2"/>
        <w:ind w:firstLine="361"/>
        <w:rPr>
          <w:rFonts w:asciiTheme="minorEastAsia" w:hAnsiTheme="minorEastAsia" w:eastAsiaTheme="minorEastAsia" w:cstheme="minorEastAsia"/>
          <w:b/>
          <w:sz w:val="36"/>
          <w:szCs w:val="36"/>
        </w:rPr>
      </w:pPr>
    </w:p>
    <w:p>
      <w:pPr>
        <w:pStyle w:val="4"/>
        <w:ind w:left="680" w:firstLine="680"/>
        <w:rPr>
          <w:rFonts w:hint="default" w:asciiTheme="minorEastAsia" w:hAnsiTheme="minorEastAsia" w:eastAsiaTheme="minorEastAsia" w:cstheme="minorEastAsia"/>
          <w:lang w:eastAsia="zh-CN"/>
        </w:rPr>
      </w:pPr>
    </w:p>
    <w:p>
      <w:pPr>
        <w:pStyle w:val="4"/>
        <w:ind w:left="680" w:firstLine="680"/>
        <w:rPr>
          <w:rFonts w:hint="default" w:asciiTheme="minorEastAsia" w:hAnsiTheme="minorEastAsia" w:eastAsiaTheme="minorEastAsia" w:cstheme="minorEastAsia"/>
          <w:lang w:eastAsia="zh-CN"/>
        </w:rPr>
      </w:pPr>
    </w:p>
    <w:p>
      <w:pPr>
        <w:autoSpaceDE w:val="0"/>
        <w:autoSpaceDN w:val="0"/>
        <w:adjustRightInd w:val="0"/>
        <w:spacing w:line="360" w:lineRule="auto"/>
        <w:jc w:val="center"/>
        <w:rPr>
          <w:rFonts w:asciiTheme="minorEastAsia" w:hAnsiTheme="minorEastAsia" w:eastAsiaTheme="minorEastAsia" w:cstheme="minorEastAsia"/>
          <w:b/>
          <w:sz w:val="36"/>
          <w:szCs w:val="36"/>
        </w:rPr>
      </w:pPr>
    </w:p>
    <w:p>
      <w:pPr>
        <w:autoSpaceDE w:val="0"/>
        <w:autoSpaceDN w:val="0"/>
        <w:adjustRightInd w:val="0"/>
        <w:spacing w:line="360" w:lineRule="auto"/>
        <w:jc w:val="center"/>
        <w:rPr>
          <w:rFonts w:asciiTheme="minorEastAsia" w:hAnsiTheme="minorEastAsia" w:eastAsiaTheme="minorEastAsia" w:cstheme="minorEastAsia"/>
          <w:b/>
          <w:sz w:val="36"/>
          <w:szCs w:val="36"/>
        </w:rPr>
      </w:pPr>
    </w:p>
    <w:p>
      <w:pPr>
        <w:pStyle w:val="2"/>
        <w:ind w:firstLine="340"/>
        <w:rPr>
          <w:rFonts w:asciiTheme="minorEastAsia" w:hAnsiTheme="minorEastAsia" w:eastAsiaTheme="minorEastAsia" w:cstheme="minorEastAsia"/>
        </w:rPr>
      </w:pPr>
    </w:p>
    <w:p>
      <w:pPr>
        <w:autoSpaceDE w:val="0"/>
        <w:autoSpaceDN w:val="0"/>
        <w:adjustRightInd w:val="0"/>
        <w:spacing w:line="360" w:lineRule="auto"/>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w:t>
      </w:r>
    </w:p>
    <w:p>
      <w:pPr>
        <w:autoSpaceDE w:val="0"/>
        <w:autoSpaceDN w:val="0"/>
        <w:adjustRightInd w:val="0"/>
        <w:spacing w:line="42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第一章 招标公告</w:t>
      </w:r>
    </w:p>
    <w:p>
      <w:pPr>
        <w:autoSpaceDE w:val="0"/>
        <w:autoSpaceDN w:val="0"/>
        <w:adjustRightInd w:val="0"/>
        <w:snapToGrid w:val="0"/>
        <w:spacing w:line="360" w:lineRule="auto"/>
        <w:ind w:firstLine="640" w:firstLineChars="200"/>
        <w:jc w:val="center"/>
        <w:outlineLvl w:val="0"/>
        <w:rPr>
          <w:rFonts w:asciiTheme="minorEastAsia" w:hAnsiTheme="minorEastAsia" w:eastAsiaTheme="minorEastAsia" w:cstheme="minorEastAsia"/>
          <w:b/>
          <w:bCs/>
          <w:sz w:val="32"/>
          <w:szCs w:val="32"/>
        </w:rPr>
      </w:pPr>
    </w:p>
    <w:p>
      <w:pPr>
        <w:autoSpaceDE w:val="0"/>
        <w:autoSpaceDN w:val="0"/>
        <w:adjustRightInd w:val="0"/>
        <w:snapToGrid w:val="0"/>
        <w:spacing w:line="360" w:lineRule="auto"/>
        <w:ind w:firstLine="640" w:firstLineChars="200"/>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建安建工公字〔2020〕</w:t>
      </w:r>
      <w:r>
        <w:rPr>
          <w:rFonts w:hint="eastAsia" w:asciiTheme="minorEastAsia" w:hAnsiTheme="minorEastAsia" w:eastAsiaTheme="minorEastAsia" w:cstheme="minorEastAsia"/>
          <w:b/>
          <w:bCs/>
          <w:sz w:val="32"/>
          <w:szCs w:val="32"/>
          <w:lang w:val="en-US" w:eastAsia="zh-CN"/>
        </w:rPr>
        <w:t>37</w:t>
      </w:r>
      <w:r>
        <w:rPr>
          <w:rFonts w:hint="eastAsia" w:asciiTheme="minorEastAsia" w:hAnsiTheme="minorEastAsia" w:eastAsiaTheme="minorEastAsia" w:cstheme="minorEastAsia"/>
          <w:b/>
          <w:bCs/>
          <w:sz w:val="32"/>
          <w:szCs w:val="32"/>
        </w:rPr>
        <w:t xml:space="preserve">号 </w:t>
      </w:r>
    </w:p>
    <w:p>
      <w:pPr>
        <w:autoSpaceDE w:val="0"/>
        <w:autoSpaceDN w:val="0"/>
        <w:adjustRightInd w:val="0"/>
        <w:snapToGrid w:val="0"/>
        <w:spacing w:line="360" w:lineRule="auto"/>
        <w:ind w:firstLine="640" w:firstLineChars="200"/>
        <w:jc w:val="center"/>
        <w:outlineLvl w:val="0"/>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许昌建安水务投资建设开发有限公司</w:t>
      </w:r>
    </w:p>
    <w:p>
      <w:pPr>
        <w:autoSpaceDE w:val="0"/>
        <w:autoSpaceDN w:val="0"/>
        <w:adjustRightInd w:val="0"/>
        <w:snapToGrid w:val="0"/>
        <w:spacing w:line="360" w:lineRule="auto"/>
        <w:ind w:firstLine="640" w:firstLineChars="200"/>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许昌市建安区环保装备制造产业园项目</w:t>
      </w:r>
    </w:p>
    <w:p>
      <w:pPr>
        <w:autoSpaceDE w:val="0"/>
        <w:autoSpaceDN w:val="0"/>
        <w:adjustRightInd w:val="0"/>
        <w:snapToGrid w:val="0"/>
        <w:spacing w:line="360" w:lineRule="auto"/>
        <w:ind w:firstLine="640" w:firstLineChars="200"/>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公开招标公告</w:t>
      </w:r>
    </w:p>
    <w:p>
      <w:pPr>
        <w:autoSpaceDE w:val="0"/>
        <w:autoSpaceDN w:val="0"/>
        <w:adjustRightInd w:val="0"/>
        <w:snapToGrid w:val="0"/>
        <w:spacing w:line="360" w:lineRule="auto"/>
        <w:jc w:val="left"/>
        <w:outlineLvl w:val="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一、项目概况</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1、项目编号：建安建工公字〔2020〕</w:t>
      </w: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sz w:val="24"/>
          <w:szCs w:val="24"/>
        </w:rPr>
        <w:t xml:space="preserve">号 </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2、项目名称：许昌市建安区环保装备制造产业园项目</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3、招标单位：</w:t>
      </w:r>
      <w:r>
        <w:rPr>
          <w:rFonts w:hint="eastAsia" w:asciiTheme="minorEastAsia" w:hAnsiTheme="minorEastAsia" w:eastAsiaTheme="minorEastAsia" w:cstheme="minorEastAsia"/>
          <w:sz w:val="24"/>
          <w:szCs w:val="24"/>
          <w:lang w:val="zh-CN"/>
        </w:rPr>
        <w:t>许昌建安水务投资建设开发有限公司</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4、项目概况：</w:t>
      </w:r>
      <w:r>
        <w:rPr>
          <w:rFonts w:hint="eastAsia" w:asciiTheme="minorEastAsia" w:hAnsiTheme="minorEastAsia" w:eastAsiaTheme="minorEastAsia" w:cstheme="minorEastAsia"/>
          <w:sz w:val="24"/>
          <w:szCs w:val="24"/>
          <w:lang w:val="zh-CN"/>
        </w:rPr>
        <w:t>项目位于建安区</w:t>
      </w:r>
      <w:r>
        <w:rPr>
          <w:rFonts w:hint="eastAsia" w:asciiTheme="minorEastAsia" w:hAnsiTheme="minorEastAsia" w:eastAsiaTheme="minorEastAsia" w:cstheme="minorEastAsia"/>
          <w:sz w:val="24"/>
          <w:szCs w:val="24"/>
        </w:rPr>
        <w:t>，该项目规划总建筑面积 109517.40 ㎡，其中：下料机预加工厂房12013.92 ㎡、电极及金加工厂房 12013.92 ㎡、焊接及结构件加工厂房12013.92 ㎡、辅机厂房 12013.92 ㎡、总装厂房 24750.90 ㎡、敞篷跨 16074.18 ㎡、气体站 73.4 ㎡、综合站房 440.64 ㎡、危废库 220.32㎡、研发办公楼 11897.28 ㎡、倒班宿舍 6168.96 ㎡、主大门及门卫73.4 ㎡，绿化面积 28500 ㎡，绿化率 18.14%，厂区道路及地面硬化面积 95253.81 ㎡，围墙长度 1615m，配套建设大通街（启航大道- 中原路）长 523.765m，规划道路红线宽 30m；环保园南路（启航大道-中原路）长 617.993m，规划道路红线宽 15m。同时配建项目区内给水工程、雨水工程、污水工程、电力工程、弱电工程、消防工程等配套基础设施。</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5、招标控制价</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一标段：以后期经政府财政评审部门评审的设计费用为基数，招标控制费率为98%；</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二标段：以后期经政府财政评审部门评审的工程费用为基数，招标控制费率为98%；</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三标段：以该项目建安费为基数，招标控制费率为0.7%。</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6、标段划分：一标段为工程勘察设计标段；二标段为工程施工；三标段为本项目全过程监理。</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招标范围：一标段招标范围为本工程初步设计、施工图设计及后续相关配套服务设计等工作。二标段招标范围为招标文件、答疑纪要和补充文件（如有）范围内的所有建设内容。三标段招标范围为施工准备、施工期及保修阶段全过程监理服务。</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8、计划工期：一标段：60日历天；二标段：720</w:t>
      </w:r>
      <w:r>
        <w:rPr>
          <w:rFonts w:hint="eastAsia" w:asciiTheme="minorEastAsia" w:hAnsiTheme="minorEastAsia" w:eastAsiaTheme="minorEastAsia" w:cstheme="minorEastAsia"/>
          <w:sz w:val="24"/>
        </w:rPr>
        <w:t>日历天</w:t>
      </w:r>
      <w:r>
        <w:rPr>
          <w:rFonts w:hint="eastAsia" w:asciiTheme="minorEastAsia" w:hAnsiTheme="minorEastAsia" w:eastAsiaTheme="minorEastAsia" w:cstheme="minorEastAsia"/>
          <w:sz w:val="24"/>
          <w:szCs w:val="24"/>
        </w:rPr>
        <w:t>；三标段：同施工工期。</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9、质量要求：合格。</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二、投标人资格要求</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1、资格要求</w:t>
      </w:r>
    </w:p>
    <w:p>
      <w:pPr>
        <w:autoSpaceDE w:val="0"/>
        <w:autoSpaceDN w:val="0"/>
        <w:adjustRightInd w:val="0"/>
        <w:spacing w:line="360" w:lineRule="auto"/>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一标段:</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投标人须具备独立法人资格和合法经营资格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具备建设行政主管部门颁发的工程设计综合甲级资质</w:t>
      </w:r>
      <w:r>
        <w:rPr>
          <w:rFonts w:hint="eastAsia" w:asciiTheme="minorEastAsia" w:hAnsiTheme="minorEastAsia" w:eastAsiaTheme="minorEastAsia" w:cstheme="minorEastAsia"/>
          <w:b/>
          <w:bCs/>
          <w:sz w:val="24"/>
          <w:szCs w:val="24"/>
        </w:rPr>
        <w:t>或</w:t>
      </w:r>
      <w:r>
        <w:rPr>
          <w:rFonts w:hint="eastAsia" w:asciiTheme="minorEastAsia" w:hAnsiTheme="minorEastAsia" w:eastAsiaTheme="minorEastAsia" w:cstheme="minorEastAsia"/>
          <w:sz w:val="24"/>
          <w:szCs w:val="24"/>
        </w:rPr>
        <w:t>具备建筑行业（建筑工程）甲级</w:t>
      </w:r>
      <w:r>
        <w:rPr>
          <w:rFonts w:hint="eastAsia" w:asciiTheme="minorEastAsia" w:hAnsiTheme="minorEastAsia" w:eastAsiaTheme="minorEastAsia" w:cstheme="minorEastAsia"/>
          <w:b/>
          <w:bCs/>
          <w:sz w:val="24"/>
          <w:szCs w:val="24"/>
        </w:rPr>
        <w:t>和</w:t>
      </w:r>
      <w:r>
        <w:rPr>
          <w:rFonts w:hint="eastAsia" w:asciiTheme="minorEastAsia" w:hAnsiTheme="minorEastAsia" w:eastAsiaTheme="minorEastAsia" w:cstheme="minorEastAsia"/>
          <w:sz w:val="24"/>
          <w:szCs w:val="24"/>
        </w:rPr>
        <w:t>机械行业甲级资质；同时具备工程勘察专业类（岩土工程）乙级及以上或工程勘察综合资质；拟派项目负责人须具备一级注册建筑师或一级注册结构工程师执业资格，且在本单位注册。</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二标段：</w:t>
      </w:r>
    </w:p>
    <w:p>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投标人须具备独立法人资格和合法经营资格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具备建设行政主管部门颁发的建筑工程施工总承包壹级及以上资质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同时具备</w:t>
      </w:r>
      <w:r>
        <w:rPr>
          <w:rFonts w:hint="eastAsia" w:asciiTheme="minorEastAsia" w:hAnsiTheme="minorEastAsia" w:eastAsiaTheme="minorEastAsia" w:cstheme="minorEastAsia"/>
          <w:sz w:val="24"/>
          <w:szCs w:val="24"/>
        </w:rPr>
        <w:t>市政公用工程施工总承包叁级及以上</w:t>
      </w:r>
      <w:r>
        <w:rPr>
          <w:rFonts w:hint="eastAsia" w:asciiTheme="minorEastAsia" w:hAnsiTheme="minorEastAsia" w:eastAsiaTheme="minorEastAsia" w:cstheme="minorEastAsia"/>
          <w:b/>
          <w:bCs/>
          <w:sz w:val="24"/>
          <w:szCs w:val="24"/>
          <w:lang w:val="en-US" w:eastAsia="zh-CN"/>
        </w:rPr>
        <w:t>和</w:t>
      </w:r>
      <w:r>
        <w:rPr>
          <w:rFonts w:hint="eastAsia" w:asciiTheme="minorEastAsia" w:hAnsiTheme="minorEastAsia" w:eastAsiaTheme="minorEastAsia" w:cstheme="minorEastAsia"/>
          <w:sz w:val="24"/>
          <w:szCs w:val="24"/>
        </w:rPr>
        <w:t>公路工程施工总承包叁级及以上资质，且具备有效的企业安全生产许可证；投标人拟派项目负责人应具备建筑工程专业一级及以上注册建造师执业资格，有效的安全生产考核合格证，且未担任其他在施建设工程项目的项目负责人</w:t>
      </w:r>
      <w:r>
        <w:rPr>
          <w:rFonts w:hint="eastAsia" w:asciiTheme="minorEastAsia" w:hAnsiTheme="minorEastAsia" w:eastAsiaTheme="minorEastAsia" w:cstheme="minorEastAsia"/>
          <w:sz w:val="24"/>
          <w:szCs w:val="24"/>
          <w:lang w:eastAsia="zh-CN"/>
        </w:rPr>
        <w:t>。</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三标段：</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投标人须具备独立法人资格和合法经营资格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具备建设行政主管部门颁发的工程监理综合资质</w:t>
      </w:r>
      <w:r>
        <w:rPr>
          <w:rFonts w:hint="eastAsia" w:asciiTheme="minorEastAsia" w:hAnsiTheme="minorEastAsia" w:eastAsiaTheme="minorEastAsia" w:cstheme="minorEastAsia"/>
          <w:b/>
          <w:bCs/>
          <w:sz w:val="24"/>
          <w:szCs w:val="24"/>
        </w:rPr>
        <w:t>或</w:t>
      </w:r>
      <w:r>
        <w:rPr>
          <w:rFonts w:hint="eastAsia" w:asciiTheme="minorEastAsia" w:hAnsiTheme="minorEastAsia" w:eastAsiaTheme="minorEastAsia" w:cstheme="minorEastAsia"/>
          <w:sz w:val="24"/>
          <w:szCs w:val="24"/>
        </w:rPr>
        <w:t>建筑工程专业甲级资质。拟派项目总监须具备建筑专业注册监理工程师执业资格。</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2、信誉要求</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招标人、代理机构或评标专家委员会评标现场查询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；信用信息查询记录和证据留存具体方式：经评标专家委员会确认的查询结果网页截图作为查询记录和证据，与其他文件一并保存。</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本项目不接受联合体投标。</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sz w:val="24"/>
          <w:szCs w:val="24"/>
        </w:rPr>
        <w:t>本项目不得转包、挂靠及违法分包。</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三、投标报名时间及方式</w:t>
      </w:r>
    </w:p>
    <w:p>
      <w:pPr>
        <w:autoSpaceDE w:val="0"/>
        <w:autoSpaceDN w:val="0"/>
        <w:adjustRightInd w:val="0"/>
        <w:snapToGri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四、招标文件的获取</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1、招标文件下载：投标人于投标文件递交截止时间前均可在全国公共资源交易平台（河南省·许昌市）自行下载本项目招标文件。</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2、招标文件每套售价100元/标段，递交投标文件时缴纳给招标代理机构，售后不退。</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五、投标文件的递交</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1、本项目为全流程电子化交易项目，须提交电子投标文件和电子介质（U盘）存储的投标文件。</w:t>
      </w:r>
    </w:p>
    <w:p>
      <w:pPr>
        <w:widowControl/>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2、投标文件提交的截止时间及开标时间：</w:t>
      </w:r>
      <w:r>
        <w:rPr>
          <w:rFonts w:hint="eastAsia" w:asciiTheme="minorEastAsia" w:hAnsiTheme="minorEastAsia" w:eastAsiaTheme="minorEastAsia" w:cstheme="minorEastAsia"/>
          <w:b/>
          <w:sz w:val="24"/>
        </w:rPr>
        <w:t>2020年</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rPr>
        <w:t xml:space="preserve"> 日</w:t>
      </w:r>
      <w:r>
        <w:rPr>
          <w:rFonts w:hint="eastAsia" w:asciiTheme="minorEastAsia" w:hAnsiTheme="minorEastAsia" w:eastAsiaTheme="minorEastAsia" w:cstheme="minorEastAsia"/>
          <w:b/>
          <w:sz w:val="24"/>
          <w:lang w:val="en-US" w:eastAsia="zh-CN"/>
        </w:rPr>
        <w:t>9</w:t>
      </w:r>
      <w:r>
        <w:rPr>
          <w:rFonts w:hint="eastAsia" w:asciiTheme="minorEastAsia" w:hAnsiTheme="minorEastAsia" w:eastAsiaTheme="minorEastAsia" w:cstheme="minorEastAsia"/>
          <w:b/>
          <w:sz w:val="24"/>
        </w:rPr>
        <w:t xml:space="preserve"> 时</w:t>
      </w:r>
      <w:r>
        <w:rPr>
          <w:rFonts w:hint="eastAsia" w:asciiTheme="minorEastAsia" w:hAnsiTheme="minorEastAsia" w:eastAsiaTheme="minorEastAsia" w:cstheme="minorEastAsia"/>
          <w:b/>
          <w:sz w:val="24"/>
          <w:lang w:val="en-US" w:eastAsia="zh-CN"/>
        </w:rPr>
        <w:t>30</w:t>
      </w:r>
      <w:r>
        <w:rPr>
          <w:rFonts w:hint="eastAsia" w:asciiTheme="minorEastAsia" w:hAnsiTheme="minorEastAsia" w:eastAsiaTheme="minorEastAsia" w:cstheme="minorEastAsia"/>
          <w:b/>
          <w:sz w:val="24"/>
        </w:rPr>
        <w:t>分。</w:t>
      </w:r>
    </w:p>
    <w:p>
      <w:pPr>
        <w:widowControl/>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3、电子投标文件的提交：电子投标文件应在投标文件提交截止时间（开标时间）之前成功提交至《全国公共资源交易平台(河南省▪许昌市)》公共资源交易系统，提交2份使用电子介质</w:t>
      </w:r>
      <w:r>
        <w:rPr>
          <w:rFonts w:hint="eastAsia" w:asciiTheme="minorEastAsia" w:hAnsiTheme="minorEastAsia" w:eastAsiaTheme="minorEastAsia" w:cstheme="minorEastAsia"/>
          <w:sz w:val="24"/>
          <w:szCs w:val="24"/>
        </w:rPr>
        <w:t>（U盘）</w:t>
      </w:r>
      <w:r>
        <w:rPr>
          <w:rFonts w:hint="eastAsia" w:asciiTheme="minorEastAsia" w:hAnsiTheme="minorEastAsia" w:eastAsiaTheme="minorEastAsia" w:cstheme="minorEastAsia"/>
          <w:bCs/>
          <w:sz w:val="24"/>
        </w:rPr>
        <w:t>存储的备份文件。</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rPr>
        <w:t>4、电子介质存储的投标文件提交地点</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许昌市建安区新元大道兴业大厦4楼开标</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室。</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5、未通过《全国公共资源交易平台(河南省▪许昌市)》下载招标文件的投标人，其投标文件将拒收。</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6、逾期送达的或者未送达指定地点的电子介质存储的投标文件的，招标人不予受理。</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六、发布公告的媒介</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本公告同时在《全国公共资源交易平台（河南省·许昌市）》和《河南省电子招标投标公共服务平台》上发布。</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七、联系方式</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招标人：</w:t>
      </w:r>
      <w:r>
        <w:rPr>
          <w:rFonts w:hint="eastAsia" w:asciiTheme="minorEastAsia" w:hAnsiTheme="minorEastAsia" w:eastAsiaTheme="minorEastAsia" w:cstheme="minorEastAsia"/>
          <w:sz w:val="24"/>
          <w:szCs w:val="24"/>
          <w:lang w:val="zh-CN"/>
        </w:rPr>
        <w:t>许昌建安水务投资建设开发有限公司</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项目负责人：乔起</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电话：17630310062</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代理机构：中建山河建设管理集团有限公司</w:t>
      </w:r>
    </w:p>
    <w:p>
      <w:pPr>
        <w:autoSpaceDE w:val="0"/>
        <w:autoSpaceDN w:val="0"/>
        <w:adjustRightInd w:val="0"/>
        <w:spacing w:line="360" w:lineRule="auto"/>
        <w:ind w:firstLine="48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项目负责人：郑晓光</w:t>
      </w:r>
    </w:p>
    <w:p>
      <w:pPr>
        <w:autoSpaceDE w:val="0"/>
        <w:autoSpaceDN w:val="0"/>
        <w:adjustRightInd w:val="0"/>
        <w:spacing w:line="360" w:lineRule="auto"/>
        <w:ind w:firstLine="48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电话：13569917698</w:t>
      </w:r>
    </w:p>
    <w:p>
      <w:pPr>
        <w:autoSpaceDE w:val="0"/>
        <w:autoSpaceDN w:val="0"/>
        <w:adjustRightInd w:val="0"/>
        <w:snapToGrid w:val="0"/>
        <w:spacing w:line="360" w:lineRule="auto"/>
        <w:ind w:firstLine="480" w:firstLineChars="200"/>
        <w:jc w:val="left"/>
        <w:outlineLvl w:val="0"/>
        <w:rPr>
          <w:rFonts w:asciiTheme="minorEastAsia" w:hAnsiTheme="minorEastAsia" w:eastAsiaTheme="minorEastAsia" w:cstheme="minorEastAsia"/>
          <w:sz w:val="24"/>
          <w:szCs w:val="24"/>
        </w:rPr>
      </w:pPr>
    </w:p>
    <w:p>
      <w:pPr>
        <w:pStyle w:val="2"/>
        <w:ind w:firstLine="5760" w:firstLineChars="2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2"/>
        <w:ind w:firstLine="4800" w:firstLineChars="20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许昌建安水务投资建设开发有限公司</w:t>
      </w:r>
    </w:p>
    <w:p>
      <w:pPr>
        <w:pStyle w:val="2"/>
        <w:ind w:firstLine="6240" w:firstLineChars="2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w:t>
      </w:r>
    </w:p>
    <w:p>
      <w:pPr>
        <w:pStyle w:val="2"/>
        <w:ind w:firstLine="340"/>
        <w:rPr>
          <w:rFonts w:asciiTheme="minorEastAsia" w:hAnsiTheme="minorEastAsia" w:eastAsiaTheme="minorEastAsia" w:cstheme="minorEastAsia"/>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Ansi="宋体" w:cs="宋体"/>
          <w:b/>
          <w:bCs/>
          <w:sz w:val="24"/>
          <w:szCs w:val="24"/>
        </w:rPr>
        <w:t>4.</w:t>
      </w:r>
      <w:r>
        <w:rPr>
          <w:rFonts w:hint="eastAsia" w:hAnsi="宋体" w:cs="宋体"/>
          <w:b/>
          <w:bCs/>
          <w:sz w:val="24"/>
          <w:szCs w:val="24"/>
        </w:rPr>
        <w:t>投标保证金的提交</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w:t>
      </w:r>
      <w:r>
        <w:rPr>
          <w:rFonts w:hint="eastAsia" w:hAnsi="宋体" w:cs="宋体"/>
          <w:bCs/>
          <w:sz w:val="24"/>
          <w:szCs w:val="24"/>
        </w:rPr>
        <w:t>使用银行转帐方式提交的，投标人通过基本账户将款项一次足额递交、成功绑定，以收款人到账时间为准。</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4.1.1</w:t>
      </w:r>
      <w:r>
        <w:rPr>
          <w:rFonts w:hint="eastAsia" w:hAnsi="宋体" w:cs="宋体"/>
          <w:bCs/>
          <w:sz w:val="24"/>
          <w:szCs w:val="24"/>
        </w:rPr>
        <w:t>投标人网上下载招标文件并根据每个标段的缴纳说明单在开标截止时间前提交。每个投标人每个项目每个标段只有唯一缴纳账号，切勿重复缴纳或错误缴纳。</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4.1.2</w:t>
      </w:r>
      <w:r>
        <w:rPr>
          <w:rFonts w:hint="eastAsia" w:hAnsi="宋体" w:cs="宋体"/>
          <w:bCs/>
          <w:sz w:val="24"/>
          <w:szCs w:val="24"/>
        </w:rPr>
        <w:t>提交后再次登录</w:t>
      </w:r>
      <w:r>
        <w:fldChar w:fldCharType="begin"/>
      </w:r>
      <w:r>
        <w:instrText xml:space="preserve"> HYPERLINK "http://221.14.6.70:8088/ggzy" </w:instrText>
      </w:r>
      <w:r>
        <w:fldChar w:fldCharType="separate"/>
      </w:r>
      <w:r>
        <w:rPr>
          <w:rFonts w:hAnsi="宋体" w:cs="宋体"/>
          <w:bCs/>
          <w:sz w:val="24"/>
          <w:szCs w:val="24"/>
        </w:rPr>
        <w:t>http://221.14.6.70:8088/ggzy</w:t>
      </w:r>
      <w:r>
        <w:rPr>
          <w:rFonts w:hAnsi="宋体" w:cs="宋体"/>
          <w:bCs/>
          <w:sz w:val="24"/>
          <w:szCs w:val="24"/>
        </w:rPr>
        <w:fldChar w:fldCharType="end"/>
      </w:r>
      <w:r>
        <w:rPr>
          <w:rFonts w:hint="eastAsia" w:hAnsi="宋体" w:cs="宋体"/>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4.1.3</w:t>
      </w:r>
      <w:r>
        <w:rPr>
          <w:rFonts w:hint="eastAsia" w:hAnsi="宋体" w:cs="宋体"/>
          <w:bCs/>
          <w:sz w:val="24"/>
          <w:szCs w:val="24"/>
        </w:rPr>
        <w:t>投标人按照所投项目及标段将缴纳凭证“许昌市建安区公共资源交易中心保证金缴纳回执”附于投标文件中。</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4.2</w:t>
      </w:r>
      <w:r>
        <w:rPr>
          <w:rFonts w:hint="eastAsia" w:hAnsi="宋体" w:cs="宋体"/>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5.加密电子投标文件的提交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5.1电子投标文件应在招标文件规定的投标文件提交截止时间（开标时间）之前成功提交至《全国公共资源交易平台(河南省▪许昌市)》公共资源交易系统（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6.评标依据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6.1采用全流程电子化交易评标时，评标委员会以电子投标文件为依据评标。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6.2全流程电子化交易如因系统异常情况无法完成，将以人工方式进行。评标委员会以</w:t>
      </w:r>
      <w:r>
        <w:rPr>
          <w:rFonts w:hint="eastAsia" w:hAnsi="宋体"/>
          <w:sz w:val="24"/>
        </w:rPr>
        <w:t>存储有备份文件的电子介质</w:t>
      </w:r>
      <w:r>
        <w:rPr>
          <w:rFonts w:hint="eastAsia" w:hAnsi="宋体" w:cs="宋体"/>
          <w:sz w:val="24"/>
          <w:szCs w:val="24"/>
        </w:rPr>
        <w:t>为依据评标。</w:t>
      </w:r>
    </w:p>
    <w:p>
      <w:pPr>
        <w:pStyle w:val="2"/>
        <w:ind w:firstLine="340"/>
        <w:rPr>
          <w:rFonts w:asciiTheme="minorEastAsia" w:hAnsiTheme="minorEastAsia" w:eastAsiaTheme="minorEastAsia" w:cstheme="minorEastAsia"/>
        </w:rPr>
      </w:pPr>
    </w:p>
    <w:p>
      <w:pPr>
        <w:tabs>
          <w:tab w:val="left" w:pos="4140"/>
          <w:tab w:val="left" w:pos="4260"/>
        </w:tabs>
        <w:spacing w:line="360" w:lineRule="auto"/>
        <w:ind w:right="-578" w:rightChars="-170" w:firstLine="360" w:firstLineChars="10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br w:type="page"/>
      </w:r>
      <w:r>
        <w:rPr>
          <w:rFonts w:hint="eastAsia" w:asciiTheme="minorEastAsia" w:hAnsiTheme="minorEastAsia" w:eastAsiaTheme="minorEastAsia" w:cstheme="minorEastAsia"/>
          <w:b/>
          <w:sz w:val="36"/>
          <w:szCs w:val="36"/>
        </w:rPr>
        <w:t xml:space="preserve">               第二章  </w:t>
      </w:r>
      <w:bookmarkEnd w:id="0"/>
      <w:r>
        <w:rPr>
          <w:rFonts w:hint="eastAsia" w:asciiTheme="minorEastAsia" w:hAnsiTheme="minorEastAsia" w:eastAsiaTheme="minorEastAsia" w:cstheme="minorEastAsia"/>
          <w:b/>
          <w:sz w:val="36"/>
          <w:szCs w:val="36"/>
        </w:rPr>
        <w:t>投标人须知</w:t>
      </w:r>
    </w:p>
    <w:p>
      <w:pPr>
        <w:autoSpaceDE w:val="0"/>
        <w:autoSpaceDN w:val="0"/>
        <w:adjustRightInd w:val="0"/>
        <w:outlineLvl w:val="0"/>
        <w:rPr>
          <w:rFonts w:asciiTheme="minorEastAsia" w:hAnsiTheme="minorEastAsia" w:eastAsiaTheme="minorEastAsia" w:cstheme="minorEastAsia"/>
          <w:b/>
          <w:sz w:val="28"/>
          <w:szCs w:val="28"/>
        </w:rPr>
      </w:pPr>
      <w:bookmarkStart w:id="1" w:name="_Toc283559940"/>
      <w:r>
        <w:rPr>
          <w:rFonts w:hint="eastAsia" w:asciiTheme="minorEastAsia" w:hAnsiTheme="minorEastAsia" w:eastAsiaTheme="minorEastAsia" w:cstheme="minorEastAsia"/>
          <w:b/>
          <w:sz w:val="28"/>
          <w:szCs w:val="28"/>
        </w:rPr>
        <w:t>投标人须知前附表</w:t>
      </w:r>
      <w:bookmarkEnd w:id="1"/>
    </w:p>
    <w:tbl>
      <w:tblPr>
        <w:tblStyle w:val="16"/>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 款 名 称</w:t>
            </w:r>
          </w:p>
        </w:tc>
        <w:tc>
          <w:tcPr>
            <w:tcW w:w="6278"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278" w:type="dxa"/>
            <w:gridSpan w:val="2"/>
            <w:vAlign w:val="center"/>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r>
              <w:rPr>
                <w:rFonts w:hint="eastAsia" w:asciiTheme="minorEastAsia" w:hAnsiTheme="minorEastAsia" w:eastAsiaTheme="minorEastAsia" w:cstheme="minorEastAsia"/>
                <w:sz w:val="24"/>
                <w:lang w:val="zh-CN"/>
              </w:rPr>
              <w:t>许昌建安水务投资建设开发有限公司</w:t>
            </w:r>
          </w:p>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地址：建安区兴业大厦</w:t>
            </w:r>
          </w:p>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项目负责人：乔起</w:t>
            </w:r>
          </w:p>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电话：17630310062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招标代理机构</w:t>
            </w:r>
          </w:p>
        </w:tc>
        <w:tc>
          <w:tcPr>
            <w:tcW w:w="6278" w:type="dxa"/>
            <w:gridSpan w:val="2"/>
            <w:vAlign w:val="center"/>
          </w:tcPr>
          <w:p>
            <w:pPr>
              <w:autoSpaceDE w:val="0"/>
              <w:autoSpaceDN w:val="0"/>
              <w:adjustRightInd w:val="0"/>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招标代理机构名称：中建山河建设管理集团有限公司</w:t>
            </w:r>
          </w:p>
          <w:p>
            <w:pPr>
              <w:tabs>
                <w:tab w:val="left" w:pos="4140"/>
                <w:tab w:val="left" w:pos="4260"/>
              </w:tabs>
              <w:spacing w:line="360" w:lineRule="auto"/>
              <w:ind w:right="-578" w:rightChars="-17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项目负责人：郑晓光</w:t>
            </w:r>
          </w:p>
          <w:p>
            <w:pPr>
              <w:tabs>
                <w:tab w:val="left" w:pos="4140"/>
                <w:tab w:val="left" w:pos="4260"/>
              </w:tabs>
              <w:spacing w:line="360" w:lineRule="auto"/>
              <w:ind w:right="-578" w:rightChars="-17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许昌市建安区环保装备制造产业园项目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出资比例</w:t>
            </w:r>
          </w:p>
        </w:tc>
        <w:tc>
          <w:tcPr>
            <w:tcW w:w="6278" w:type="dxa"/>
            <w:gridSpan w:val="2"/>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资金落实情况</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招标文件、答疑纪要和补充文件（如有）范围内的所有建设内容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二标段：720日历天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w:t>
            </w:r>
          </w:p>
        </w:tc>
        <w:tc>
          <w:tcPr>
            <w:tcW w:w="6278" w:type="dxa"/>
            <w:gridSpan w:val="2"/>
          </w:tcPr>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1、资格要求</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二标段：</w:t>
            </w:r>
          </w:p>
          <w:p>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投标人须具备独立法人资格和合法经营资格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具备建设行政主管部门颁发的建筑工程施工总承包壹级及以上资质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同时具备</w:t>
            </w:r>
            <w:r>
              <w:rPr>
                <w:rFonts w:hint="eastAsia" w:asciiTheme="minorEastAsia" w:hAnsiTheme="minorEastAsia" w:eastAsiaTheme="minorEastAsia" w:cstheme="minorEastAsia"/>
                <w:sz w:val="24"/>
                <w:szCs w:val="24"/>
              </w:rPr>
              <w:t>市政公用工程施工总承包叁级及以上</w:t>
            </w:r>
            <w:r>
              <w:rPr>
                <w:rFonts w:hint="eastAsia" w:asciiTheme="minorEastAsia" w:hAnsiTheme="minorEastAsia" w:eastAsiaTheme="minorEastAsia" w:cstheme="minorEastAsia"/>
                <w:b/>
                <w:bCs/>
                <w:sz w:val="24"/>
                <w:szCs w:val="24"/>
                <w:lang w:val="en-US" w:eastAsia="zh-CN"/>
              </w:rPr>
              <w:t>和</w:t>
            </w:r>
            <w:r>
              <w:rPr>
                <w:rFonts w:hint="eastAsia" w:asciiTheme="minorEastAsia" w:hAnsiTheme="minorEastAsia" w:eastAsiaTheme="minorEastAsia" w:cstheme="minorEastAsia"/>
                <w:sz w:val="24"/>
                <w:szCs w:val="24"/>
              </w:rPr>
              <w:t>公路工程施工总承包叁级及以上资质，且具备有效的企业安全生产许可证；投标人拟派项目负责人应具备建筑工程专业一级及以上注册建造师执业资格，有效的安全生产考核合格证，且未担任其他在施建设工程项目的项目负责人</w:t>
            </w:r>
            <w:r>
              <w:rPr>
                <w:rFonts w:hint="eastAsia" w:asciiTheme="minorEastAsia" w:hAnsiTheme="minorEastAsia" w:eastAsiaTheme="minorEastAsia" w:cstheme="minorEastAsia"/>
                <w:sz w:val="24"/>
                <w:szCs w:val="24"/>
                <w:lang w:eastAsia="zh-CN"/>
              </w:rPr>
              <w:t>。</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2、信誉要求</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招标人、代理机构或评标专家委员会评标现场查询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；信用信息查询记录和证据留存具体方式：经评标专家委员会确认的查询结果网页截图作为查询记录和证据，与其他文件一并保存。</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本项目不接受联合体投标。</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sz w:val="24"/>
                <w:szCs w:val="24"/>
              </w:rPr>
              <w:t>本项目不得转包、挂靠及违法分包。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2590" w:type="dxa"/>
            <w:gridSpan w:val="4"/>
            <w:vAlign w:val="center"/>
          </w:tcPr>
          <w:p>
            <w:pPr>
              <w:autoSpaceDE w:val="0"/>
              <w:autoSpaceDN w:val="0"/>
              <w:adjustRightInd w:val="0"/>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w:t>
            </w:r>
          </w:p>
          <w:p>
            <w:pPr>
              <w:autoSpaceDE w:val="0"/>
              <w:autoSpaceDN w:val="0"/>
              <w:adjustRightInd w:val="0"/>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w:t>
            </w:r>
          </w:p>
        </w:tc>
        <w:tc>
          <w:tcPr>
            <w:tcW w:w="6278"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2590" w:type="dxa"/>
            <w:gridSpan w:val="4"/>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278"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1.12 </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p>
        </w:tc>
        <w:tc>
          <w:tcPr>
            <w:tcW w:w="2590" w:type="dxa"/>
            <w:gridSpan w:val="4"/>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招标文件的获取</w:t>
            </w:r>
          </w:p>
        </w:tc>
        <w:tc>
          <w:tcPr>
            <w:tcW w:w="6278" w:type="dxa"/>
            <w:gridSpan w:val="2"/>
          </w:tcPr>
          <w:p>
            <w:pPr>
              <w:autoSpaceDE w:val="0"/>
              <w:autoSpaceDN w:val="0"/>
              <w:adjustRightInd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招标文件的获取：投标人于投标文件递交截止时间前均可登录《全国公共资源交易平台(河南省▪许昌市)》，通过“投标人/供应商登录”后自行下载。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278" w:type="dxa"/>
            <w:gridSpan w:val="2"/>
            <w:vAlign w:val="center"/>
          </w:tcPr>
          <w:p>
            <w:pPr>
              <w:autoSpaceDE w:val="0"/>
              <w:autoSpaceDN w:val="0"/>
              <w:adjustRightInd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278"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2020年</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rPr>
              <w:t xml:space="preserve"> 日</w:t>
            </w:r>
            <w:r>
              <w:rPr>
                <w:rFonts w:hint="eastAsia" w:asciiTheme="minorEastAsia" w:hAnsiTheme="minorEastAsia" w:eastAsiaTheme="minorEastAsia" w:cstheme="minorEastAsia"/>
                <w:b/>
                <w:sz w:val="24"/>
                <w:lang w:val="en-US" w:eastAsia="zh-CN"/>
              </w:rPr>
              <w:t>9</w:t>
            </w:r>
            <w:r>
              <w:rPr>
                <w:rFonts w:hint="eastAsia" w:asciiTheme="minorEastAsia" w:hAnsiTheme="minorEastAsia" w:eastAsiaTheme="minorEastAsia" w:cstheme="minorEastAsia"/>
                <w:b/>
                <w:sz w:val="24"/>
              </w:rPr>
              <w:t xml:space="preserve"> 时</w:t>
            </w:r>
            <w:r>
              <w:rPr>
                <w:rFonts w:hint="eastAsia" w:asciiTheme="minorEastAsia" w:hAnsiTheme="minorEastAsia" w:eastAsiaTheme="minorEastAsia" w:cstheme="minorEastAsia"/>
                <w:b/>
                <w:sz w:val="24"/>
                <w:lang w:val="en-US" w:eastAsia="zh-CN"/>
              </w:rPr>
              <w:t>30</w:t>
            </w:r>
            <w:r>
              <w:rPr>
                <w:rFonts w:hint="eastAsia" w:asciiTheme="minorEastAsia" w:hAnsiTheme="minorEastAsia" w:eastAsiaTheme="minorEastAsia" w:cstheme="minorEastAsia"/>
                <w:b/>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278"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278"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590" w:type="dxa"/>
            <w:gridSpan w:val="4"/>
            <w:vAlign w:val="center"/>
          </w:tcPr>
          <w:p>
            <w:pPr>
              <w:autoSpaceDE w:val="0"/>
              <w:autoSpaceDN w:val="0"/>
              <w:adjustRightInd w:val="0"/>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bookmarkStart w:id="2" w:name="OLE_LINK3" w:colFirst="0" w:colLast="2"/>
            <w:bookmarkStart w:id="3" w:name="_Hlk424659721"/>
            <w:bookmarkStart w:id="4" w:name="OLE_LINK4" w:colFirst="0" w:colLast="2"/>
            <w:r>
              <w:rPr>
                <w:rFonts w:hint="eastAsia" w:asciiTheme="minorEastAsia" w:hAnsiTheme="minorEastAsia" w:eastAsiaTheme="minorEastAsia" w:cstheme="minorEastAsia"/>
                <w:sz w:val="24"/>
              </w:rPr>
              <w:t>3.4.2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78" w:type="dxa"/>
            <w:gridSpan w:val="2"/>
            <w:vAlign w:val="center"/>
          </w:tcPr>
          <w:p>
            <w:pPr>
              <w:autoSpaceDE w:val="0"/>
              <w:autoSpaceDN w:val="0"/>
              <w:adjustRightInd w:val="0"/>
              <w:spacing w:line="276"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2590" w:type="dxa"/>
            <w:gridSpan w:val="4"/>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近年财务状况要求</w:t>
            </w:r>
          </w:p>
        </w:tc>
        <w:tc>
          <w:tcPr>
            <w:tcW w:w="6278" w:type="dxa"/>
            <w:gridSpan w:val="2"/>
            <w:vAlign w:val="center"/>
          </w:tcPr>
          <w:p>
            <w:pPr>
              <w:autoSpaceDE w:val="0"/>
              <w:autoSpaceDN w:val="0"/>
              <w:adjustRightInd w:val="0"/>
              <w:spacing w:line="276"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 w:val="24"/>
              </w:rPr>
              <w:t>近年，指</w:t>
            </w:r>
            <w:r>
              <w:rPr>
                <w:rFonts w:hint="eastAsia" w:ascii="宋体" w:hAnsi="宋体" w:cs="宋体"/>
                <w:sz w:val="24"/>
                <w:szCs w:val="24"/>
              </w:rPr>
              <w:t>2016、2017、2018年</w:t>
            </w:r>
            <w:r>
              <w:rPr>
                <w:rFonts w:hint="eastAsia" w:ascii="宋体" w:hAnsi="宋体" w:cs="宋体"/>
                <w:sz w:val="24"/>
                <w:szCs w:val="24"/>
                <w:lang w:eastAsia="zh-CN"/>
              </w:rPr>
              <w:t>（</w:t>
            </w:r>
            <w:r>
              <w:rPr>
                <w:rFonts w:hint="eastAsia" w:ascii="宋体" w:hAnsi="宋体" w:cs="宋体"/>
                <w:sz w:val="24"/>
                <w:szCs w:val="24"/>
                <w:lang w:val="en-US" w:eastAsia="zh-CN"/>
              </w:rPr>
              <w:t>或2017、2018、2019年</w:t>
            </w:r>
            <w:r>
              <w:rPr>
                <w:rFonts w:hint="eastAsia" w:ascii="宋体" w:hAnsi="宋体" w:cs="宋体"/>
                <w:sz w:val="24"/>
                <w:szCs w:val="24"/>
                <w:lang w:eastAsia="zh-CN"/>
              </w:rPr>
              <w:t>）</w:t>
            </w:r>
            <w:r>
              <w:rPr>
                <w:rFonts w:hint="eastAsia" w:asciiTheme="minorEastAsia" w:hAnsiTheme="minorEastAsia" w:eastAsiaTheme="minorEastAsia" w:cstheme="minorEastAsia"/>
                <w:sz w:val="24"/>
              </w:rPr>
              <w:t>。（不足年份，按成立年份起）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w:t>
            </w:r>
          </w:p>
        </w:tc>
        <w:tc>
          <w:tcPr>
            <w:tcW w:w="6278" w:type="dxa"/>
            <w:gridSpan w:val="2"/>
            <w:vAlign w:val="center"/>
          </w:tcPr>
          <w:p>
            <w:pPr>
              <w:autoSpaceDE w:val="0"/>
              <w:autoSpaceDN w:val="0"/>
              <w:adjustRightInd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w:t>
            </w:r>
          </w:p>
        </w:tc>
        <w:tc>
          <w:tcPr>
            <w:tcW w:w="6278" w:type="dxa"/>
            <w:gridSpan w:val="2"/>
            <w:vAlign w:val="center"/>
          </w:tcPr>
          <w:p>
            <w:pPr>
              <w:autoSpaceDE w:val="0"/>
              <w:autoSpaceDN w:val="0"/>
              <w:adjustRightInd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278" w:type="dxa"/>
            <w:gridSpan w:val="2"/>
            <w:vAlign w:val="center"/>
          </w:tcPr>
          <w:p>
            <w:pPr>
              <w:autoSpaceDE w:val="0"/>
              <w:autoSpaceDN w:val="0"/>
              <w:adjustRightInd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投标文件签字或盖章要求</w:t>
            </w:r>
          </w:p>
        </w:tc>
        <w:tc>
          <w:tcPr>
            <w:tcW w:w="6278" w:type="dxa"/>
            <w:gridSpan w:val="2"/>
            <w:vAlign w:val="center"/>
          </w:tcPr>
          <w:p>
            <w:pPr>
              <w:autoSpaceDE w:val="0"/>
              <w:autoSpaceDN w:val="0"/>
              <w:adjustRightIn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szCs w:val="22"/>
              </w:rPr>
            </w:pPr>
          </w:p>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投标文件副本份数及其他要求</w:t>
            </w:r>
          </w:p>
        </w:tc>
        <w:tc>
          <w:tcPr>
            <w:tcW w:w="6278" w:type="dxa"/>
            <w:gridSpan w:val="2"/>
            <w:vAlign w:val="center"/>
          </w:tcPr>
          <w:p>
            <w:pPr>
              <w:autoSpaceDE w:val="0"/>
              <w:autoSpaceDN w:val="0"/>
              <w:adjustRightInd w:val="0"/>
              <w:spacing w:line="360" w:lineRule="auto"/>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1、电子投标文件</w:t>
            </w:r>
          </w:p>
          <w:p>
            <w:pPr>
              <w:autoSpaceDE w:val="0"/>
              <w:autoSpaceDN w:val="0"/>
              <w:adjustRightInd w:val="0"/>
              <w:spacing w:line="360" w:lineRule="auto"/>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（1）成功上传至《全国公共资源交易平台（河南省·许昌市）》公共资源交易系统电子投标文件1份（文件格式为：XX公司XXX项目编号.file）。</w:t>
            </w:r>
          </w:p>
          <w:p>
            <w:pPr>
              <w:autoSpaceDE w:val="0"/>
              <w:autoSpaceDN w:val="0"/>
              <w:adjustRightInd w:val="0"/>
              <w:spacing w:line="360" w:lineRule="auto"/>
              <w:jc w:val="left"/>
              <w:rPr>
                <w:rFonts w:hint="default" w:eastAsia="宋体" w:asciiTheme="minorEastAsia" w:hAnsiTheme="minorEastAsia" w:cstheme="minorEastAsia"/>
                <w:sz w:val="24"/>
                <w:szCs w:val="22"/>
                <w:lang w:val="en-US" w:eastAsia="zh-CN"/>
              </w:rPr>
            </w:pPr>
            <w:r>
              <w:rPr>
                <w:rFonts w:hint="eastAsia" w:asciiTheme="minorEastAsia" w:hAnsiTheme="minorEastAsia" w:eastAsiaTheme="minorEastAsia" w:cstheme="minorEastAsia"/>
                <w:sz w:val="24"/>
                <w:szCs w:val="22"/>
              </w:rPr>
              <w:t>（2）使用电子介质（U盘）存储的投标文件2份文件格式为：XXX公司XXX（项目编号）.bin。</w:t>
            </w:r>
            <w:r>
              <w:rPr>
                <w:rFonts w:hint="eastAsia" w:asciiTheme="minorEastAsia" w:hAnsiTheme="minorEastAsia" w:eastAsiaTheme="minorEastAsia" w:cstheme="minorEastAsia"/>
                <w:sz w:val="24"/>
                <w:szCs w:val="22"/>
                <w:lang w:eastAsia="zh-CN"/>
              </w:rPr>
              <w:t>（</w:t>
            </w:r>
            <w:r>
              <w:rPr>
                <w:rFonts w:hint="eastAsia" w:asciiTheme="minorEastAsia" w:hAnsiTheme="minorEastAsia" w:eastAsiaTheme="minorEastAsia" w:cstheme="minorEastAsia"/>
                <w:sz w:val="24"/>
                <w:szCs w:val="22"/>
                <w:lang w:val="en-US" w:eastAsia="zh-CN"/>
              </w:rPr>
              <w:t>同时生成与电子投标文件</w:t>
            </w:r>
            <w:r>
              <w:rPr>
                <w:rFonts w:hint="eastAsia" w:hAnsi="宋体" w:cs="宋体"/>
                <w:sz w:val="24"/>
                <w:szCs w:val="22"/>
              </w:rPr>
              <w:t>内容、格式、水印码、</w:t>
            </w:r>
            <w:r>
              <w:rPr>
                <w:rFonts w:hint="eastAsia" w:hAnsi="宋体" w:cs="宋体"/>
                <w:b w:val="0"/>
                <w:bCs/>
                <w:sz w:val="24"/>
                <w:szCs w:val="22"/>
              </w:rPr>
              <w:t>电子签章</w:t>
            </w:r>
            <w:r>
              <w:rPr>
                <w:rFonts w:hint="eastAsia" w:hAnsi="宋体" w:cs="宋体"/>
                <w:b w:val="0"/>
                <w:bCs/>
                <w:sz w:val="24"/>
                <w:szCs w:val="22"/>
                <w:lang w:val="en-US" w:eastAsia="zh-CN"/>
              </w:rPr>
              <w:t>一致的电子文件2份用于监督部门、招标人及代理机构存档。</w:t>
            </w:r>
            <w:r>
              <w:rPr>
                <w:rFonts w:hint="eastAsia" w:asciiTheme="minorEastAsia" w:hAnsiTheme="minorEastAsia" w:eastAsiaTheme="minorEastAsia" w:cstheme="minorEastAsia"/>
                <w:sz w:val="24"/>
                <w:szCs w:val="22"/>
                <w:lang w:eastAsia="zh-CN"/>
              </w:rPr>
              <w:t>）</w:t>
            </w:r>
          </w:p>
          <w:p>
            <w:pPr>
              <w:autoSpaceDE w:val="0"/>
              <w:autoSpaceDN w:val="0"/>
              <w:adjustRightIn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szCs w:val="22"/>
              </w:rPr>
            </w:pPr>
          </w:p>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投标文件是否需分册装订</w:t>
            </w:r>
          </w:p>
        </w:tc>
        <w:tc>
          <w:tcPr>
            <w:tcW w:w="6278" w:type="dxa"/>
            <w:gridSpan w:val="2"/>
            <w:vAlign w:val="center"/>
          </w:tcPr>
          <w:p>
            <w:pPr>
              <w:autoSpaceDE w:val="0"/>
              <w:autoSpaceDN w:val="0"/>
              <w:adjustRightInd w:val="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√不需要</w:t>
            </w:r>
          </w:p>
          <w:p>
            <w:pPr>
              <w:autoSpaceDE w:val="0"/>
              <w:autoSpaceDN w:val="0"/>
              <w:adjustRightIn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□需要，分册装订要求：无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封套上写明</w:t>
            </w:r>
          </w:p>
        </w:tc>
        <w:tc>
          <w:tcPr>
            <w:tcW w:w="6278" w:type="dxa"/>
            <w:gridSpan w:val="2"/>
          </w:tcPr>
          <w:p>
            <w:pPr>
              <w:autoSpaceDE w:val="0"/>
              <w:autoSpaceDN w:val="0"/>
              <w:adjustRightInd w:val="0"/>
              <w:spacing w:line="3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p>
            <w:pPr>
              <w:autoSpaceDE w:val="0"/>
              <w:autoSpaceDN w:val="0"/>
              <w:adjustRightInd w:val="0"/>
              <w:spacing w:line="3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　</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（工程名称/标段）     </w:t>
            </w:r>
            <w:r>
              <w:rPr>
                <w:rFonts w:hint="eastAsia" w:asciiTheme="minorEastAsia" w:hAnsiTheme="minorEastAsia" w:eastAsiaTheme="minorEastAsia" w:cstheme="minorEastAsia"/>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开标时间：同投标截止时间</w:t>
            </w:r>
          </w:p>
          <w:p>
            <w:pPr>
              <w:autoSpaceDE w:val="0"/>
              <w:autoSpaceDN w:val="0"/>
              <w:adjustRightInd w:val="0"/>
              <w:spacing w:line="42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6.1.1 </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78"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评标委员会构成：由评标专家</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人组成。</w:t>
            </w:r>
          </w:p>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7.4</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履约保证金</w:t>
            </w:r>
          </w:p>
        </w:tc>
        <w:tc>
          <w:tcPr>
            <w:tcW w:w="6278"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不超过中标合同金额的</w:t>
            </w:r>
            <w:r>
              <w:rPr>
                <w:rFonts w:hint="eastAsia" w:asciiTheme="minorEastAsia" w:hAnsiTheme="minorEastAsia" w:eastAsiaTheme="minorEastAsia" w:cstheme="minorEastAsia"/>
                <w:sz w:val="24"/>
                <w:szCs w:val="22"/>
                <w:lang w:val="en-US" w:eastAsia="zh-CN"/>
              </w:rPr>
              <w:t>5</w:t>
            </w:r>
            <w:r>
              <w:rPr>
                <w:rFonts w:hint="eastAsia" w:asciiTheme="minorEastAsia" w:hAnsiTheme="minorEastAsia" w:eastAsiaTheme="minorEastAsia" w:cstheme="minorEastAsia"/>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1"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类似项目</w:t>
            </w:r>
          </w:p>
        </w:tc>
        <w:tc>
          <w:tcPr>
            <w:tcW w:w="7219" w:type="dxa"/>
            <w:gridSpan w:val="4"/>
            <w:vAlign w:val="center"/>
          </w:tcPr>
          <w:p>
            <w:pPr>
              <w:autoSpaceDE w:val="0"/>
              <w:autoSpaceDN w:val="0"/>
              <w:adjustRightInd w:val="0"/>
              <w:spacing w:line="420" w:lineRule="exact"/>
              <w:jc w:val="lef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施工类：指具有单项合同金额壹亿元及以上的建筑工程</w:t>
            </w:r>
            <w:r>
              <w:rPr>
                <w:rFonts w:hint="eastAsia" w:asciiTheme="minorEastAsia" w:hAnsiTheme="minorEastAsia" w:eastAsiaTheme="minorEastAsia" w:cstheme="minorEastAsia"/>
                <w:b/>
                <w:bCs/>
                <w:sz w:val="24"/>
                <w:szCs w:val="22"/>
                <w:lang w:val="en-US" w:eastAsia="zh-CN"/>
              </w:rPr>
              <w:t>类</w:t>
            </w:r>
            <w:r>
              <w:rPr>
                <w:rFonts w:hint="eastAsia" w:asciiTheme="minorEastAsia" w:hAnsiTheme="minorEastAsia" w:eastAsiaTheme="minorEastAsia" w:cstheme="minorEastAsia"/>
                <w:b/>
                <w:bCs/>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招标控制价</w:t>
            </w:r>
          </w:p>
        </w:tc>
        <w:tc>
          <w:tcPr>
            <w:tcW w:w="7219" w:type="dxa"/>
            <w:gridSpan w:val="4"/>
            <w:vAlign w:val="center"/>
          </w:tcPr>
          <w:p>
            <w:pPr>
              <w:keepNext/>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本工程设招标控制价：</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二标段：以后期经政府财政评审部门评审的工程费用为基数，招标控制费率为98%。</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特别说明：</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凡投标人的投标报价高于招标控制价（不含等于“招标控制价”）的，该投标人的投标文件应予拒绝。</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3037" w:type="dxa"/>
            <w:gridSpan w:val="4"/>
            <w:vAlign w:val="center"/>
          </w:tcPr>
          <w:p>
            <w:pPr>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技术标是否采用“暗标”评审方式</w:t>
            </w:r>
          </w:p>
        </w:tc>
        <w:tc>
          <w:tcPr>
            <w:tcW w:w="5753" w:type="dxa"/>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pStyle w:val="2"/>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b/>
                <w:bCs/>
                <w:sz w:val="24"/>
                <w:szCs w:val="22"/>
              </w:rPr>
              <w:t>1、开标时各投标人的法定代表人或授权委托人持身份证及授权委托书，到开标现场签到，缺席或逾期不到者视为放弃。各投标单位参加会议人数不得多于两人。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276"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构成本招标文件的各个组成文件应互为解释，互为说明；</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1、如有不明确或不一致，构成合同文件组成内容，以合同文件约定内容为准，且以专用合同条款约定的合同文件优先顺序解释；</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2、除招标文件中有特别规定外，仅适用于招标投标阶段的规定，按招标公告（投标邀请书）、投标人须知、评标办法、投标文件格式的先后顺序解释；</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3、同一组成文件中就同一事项的规定或约定不一致的，以编排顺序在后者为准；</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4、同一组成文件不同版本之间有不一致的，以形成时间在后者为准。</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bookmarkStart w:id="5" w:name="_Toc225243456"/>
            <w:bookmarkStart w:id="6" w:name="_Toc283559965"/>
            <w:r>
              <w:rPr>
                <w:rFonts w:hint="eastAsia" w:asciiTheme="minorEastAsia" w:hAnsiTheme="minorEastAsia" w:eastAsiaTheme="minorEastAsia" w:cstheme="minorEastAsia"/>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1、逾期送达的或者未送达指定地点的电子介质存储的投标文件；</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2、电子介质存储的投标文件未按招标文件要求密封的；</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3、未按招标文件要求缴纳投标保证金的；</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4、开标时法人或授权委托人（持有效的授权委托书）未携带本人身份证到开标现场并签到的；</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10.11.2</w:t>
            </w:r>
          </w:p>
        </w:tc>
        <w:tc>
          <w:tcPr>
            <w:tcW w:w="2434" w:type="dxa"/>
            <w:gridSpan w:val="2"/>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标后履约</w:t>
            </w:r>
          </w:p>
        </w:tc>
        <w:tc>
          <w:tcPr>
            <w:tcW w:w="6356" w:type="dxa"/>
            <w:gridSpan w:val="3"/>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10.11.3</w:t>
            </w:r>
          </w:p>
        </w:tc>
        <w:tc>
          <w:tcPr>
            <w:tcW w:w="2434" w:type="dxa"/>
            <w:gridSpan w:val="2"/>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相关费用</w:t>
            </w:r>
          </w:p>
        </w:tc>
        <w:tc>
          <w:tcPr>
            <w:tcW w:w="6356" w:type="dxa"/>
            <w:gridSpan w:val="3"/>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本项目招标代理费由中标人支付，收费标准参照国家计价格【2002】1980号、发改办价格［2011］534号文件。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10.11.4</w:t>
            </w:r>
          </w:p>
        </w:tc>
        <w:tc>
          <w:tcPr>
            <w:tcW w:w="2434" w:type="dxa"/>
            <w:gridSpan w:val="2"/>
            <w:vAlign w:val="center"/>
          </w:tcPr>
          <w:p>
            <w:pPr>
              <w:spacing w:line="34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招标人实质性响应</w:t>
            </w:r>
          </w:p>
          <w:p>
            <w:pPr>
              <w:spacing w:line="34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w:t>
            </w:r>
          </w:p>
        </w:tc>
        <w:tc>
          <w:tcPr>
            <w:tcW w:w="6356" w:type="dxa"/>
            <w:gridSpan w:val="3"/>
            <w:vAlign w:val="center"/>
          </w:tcPr>
          <w:p>
            <w:pPr>
              <w:spacing w:line="360" w:lineRule="auto"/>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合同价包括完成本项目规定的各项工作的费用、利润、税金及风险等。除合同规定以外，合同总价均不作调整。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3、本项目试行全流程电子化交易，如因交易系统异常情况无法完成，将以人工方式进行。</w:t>
            </w:r>
          </w:p>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5、投标人电子投标文件成功提交后，应打印“投标文件提交回执单”，供开标现场备查。</w:t>
            </w:r>
          </w:p>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6、投标文件制作技术咨询：0374-2961598。</w:t>
            </w:r>
          </w:p>
          <w:p>
            <w:pPr>
              <w:spacing w:line="360" w:lineRule="auto"/>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7、</w:t>
            </w:r>
            <w:r>
              <w:rPr>
                <w:rFonts w:hint="eastAsia" w:asciiTheme="minorEastAsia" w:hAnsiTheme="minorEastAsia" w:eastAsiaTheme="minorEastAsia" w:cstheme="minorEastAsia"/>
                <w:b/>
                <w:sz w:val="24"/>
                <w:szCs w:val="24"/>
                <w:lang w:val="zh-CN"/>
              </w:rPr>
              <w:t>不同投标人电子投标文件记录的网卡MAC地址、CPU序号、硬盘序列号等硬件特征码均相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asciiTheme="minorEastAsia" w:hAnsiTheme="minorEastAsia" w:eastAsiaTheme="minorEastAsia" w:cstheme="minorEastAsia"/>
          <w:b/>
          <w:sz w:val="28"/>
          <w:szCs w:val="28"/>
        </w:rPr>
      </w:pPr>
      <w:bookmarkStart w:id="7" w:name="_Toc283559947"/>
      <w:r>
        <w:rPr>
          <w:rFonts w:hint="eastAsia" w:asciiTheme="minorEastAsia" w:hAnsiTheme="minorEastAsia" w:eastAsiaTheme="minorEastAsia" w:cstheme="minorEastAsia"/>
          <w:b/>
          <w:sz w:val="28"/>
          <w:szCs w:val="28"/>
        </w:rPr>
        <w:t>1. 总则</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1.1.1根据《中华人民共和国招标投标法》等有关法律、法规和规章的规定，本招标项目已具备招标条件，现对该项目设计、采购及施工进行总承包招标。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本招标项目的资金落实情况：见投标人须知前附表。</w:t>
      </w:r>
    </w:p>
    <w:p>
      <w:pPr>
        <w:autoSpaceDE w:val="0"/>
        <w:autoSpaceDN w:val="0"/>
        <w:adjustRightInd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1.3.1 本招标项目的招标范围：见投标人须知前附表。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投标人、项目负责人及设计负责人资格要求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1.4.1投标人、项目负责人、设计负责人资格要求：见投标人须知前附表。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outlineLvl w:val="0"/>
        <w:rPr>
          <w:rFonts w:asciiTheme="minorEastAsia" w:hAnsiTheme="minorEastAsia" w:eastAsiaTheme="minorEastAsia" w:cstheme="minorEastAsia"/>
          <w:b/>
          <w:sz w:val="24"/>
        </w:rPr>
      </w:pPr>
      <w:bookmarkStart w:id="8" w:name="_Toc144974503"/>
      <w:bookmarkStart w:id="9" w:name="_Toc152045535"/>
      <w:bookmarkStart w:id="10" w:name="_Toc152042311"/>
      <w:bookmarkStart w:id="11" w:name="_Toc179632552"/>
      <w:r>
        <w:rPr>
          <w:rFonts w:hint="eastAsia" w:asciiTheme="minorEastAsia" w:hAnsiTheme="minorEastAsia" w:eastAsiaTheme="minorEastAsia" w:cstheme="minorEastAsia"/>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outlineLvl w:val="0"/>
        <w:rPr>
          <w:rFonts w:asciiTheme="minorEastAsia" w:hAnsiTheme="minorEastAsia" w:eastAsiaTheme="minorEastAsia" w:cstheme="minorEastAsia"/>
          <w:b/>
          <w:sz w:val="24"/>
        </w:rPr>
      </w:pPr>
      <w:bookmarkStart w:id="12" w:name="_Toc144974504"/>
      <w:bookmarkStart w:id="13" w:name="_Toc152045536"/>
      <w:bookmarkStart w:id="14" w:name="_Toc179632553"/>
      <w:bookmarkStart w:id="15" w:name="_Toc152042312"/>
      <w:r>
        <w:rPr>
          <w:rFonts w:hint="eastAsia" w:asciiTheme="minorEastAsia" w:hAnsiTheme="minorEastAsia" w:eastAsiaTheme="minorEastAsia" w:cstheme="minorEastAsia"/>
          <w:b/>
          <w:sz w:val="24"/>
        </w:rPr>
        <w:t>1.6 保密</w:t>
      </w:r>
      <w:bookmarkEnd w:id="12"/>
      <w:bookmarkEnd w:id="13"/>
      <w:bookmarkEnd w:id="14"/>
      <w:bookmarkEnd w:id="15"/>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asciiTheme="minorEastAsia" w:hAnsiTheme="minorEastAsia" w:eastAsiaTheme="minorEastAsia" w:cstheme="minorEastAsia"/>
          <w:b/>
          <w:sz w:val="24"/>
        </w:rPr>
      </w:pPr>
      <w:bookmarkStart w:id="16" w:name="_Toc144974505"/>
      <w:bookmarkStart w:id="17" w:name="_Toc152042313"/>
      <w:bookmarkStart w:id="18" w:name="_Toc152045537"/>
      <w:bookmarkStart w:id="19" w:name="_Toc179632554"/>
      <w:r>
        <w:rPr>
          <w:rFonts w:hint="eastAsia" w:asciiTheme="minorEastAsia" w:hAnsiTheme="minorEastAsia" w:eastAsiaTheme="minorEastAsia" w:cstheme="minorEastAsia"/>
          <w:b/>
          <w:sz w:val="24"/>
        </w:rPr>
        <w:t>1.7 语言</w:t>
      </w:r>
      <w:bookmarkEnd w:id="16"/>
      <w:r>
        <w:rPr>
          <w:rFonts w:hint="eastAsia" w:asciiTheme="minorEastAsia" w:hAnsiTheme="minorEastAsia" w:eastAsiaTheme="minorEastAsia" w:cstheme="minorEastAsia"/>
          <w:b/>
          <w:sz w:val="24"/>
        </w:rPr>
        <w:t>文字</w:t>
      </w:r>
      <w:bookmarkEnd w:id="17"/>
      <w:bookmarkEnd w:id="18"/>
      <w:bookmarkEnd w:id="19"/>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outlineLvl w:val="0"/>
        <w:rPr>
          <w:rFonts w:asciiTheme="minorEastAsia" w:hAnsiTheme="minorEastAsia" w:eastAsiaTheme="minorEastAsia" w:cstheme="minorEastAsia"/>
          <w:b/>
          <w:sz w:val="24"/>
        </w:rPr>
      </w:pPr>
      <w:bookmarkStart w:id="20" w:name="_Toc144974506"/>
      <w:bookmarkStart w:id="21" w:name="_Toc152045538"/>
      <w:bookmarkStart w:id="22" w:name="_Toc179632555"/>
      <w:bookmarkStart w:id="23" w:name="_Toc152042314"/>
      <w:r>
        <w:rPr>
          <w:rFonts w:hint="eastAsia" w:asciiTheme="minorEastAsia" w:hAnsiTheme="minorEastAsia" w:eastAsiaTheme="minorEastAsia" w:cstheme="minorEastAsia"/>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7"/>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asciiTheme="minorEastAsia" w:hAnsiTheme="minorEastAsia" w:eastAsiaTheme="minorEastAsia" w:cstheme="minorEastAsia"/>
          <w:b/>
          <w:sz w:val="24"/>
        </w:rPr>
      </w:pPr>
      <w:bookmarkStart w:id="24" w:name="_Toc283559948"/>
      <w:r>
        <w:rPr>
          <w:rFonts w:hint="eastAsia" w:asciiTheme="minorEastAsia" w:hAnsiTheme="minorEastAsia" w:eastAsiaTheme="minorEastAsia" w:cstheme="minorEastAsia"/>
          <w:b/>
          <w:sz w:val="24"/>
        </w:rPr>
        <w:t>1.10 投标预备会</w:t>
      </w:r>
      <w:bookmarkEnd w:id="24"/>
    </w:p>
    <w:p>
      <w:pPr>
        <w:autoSpaceDE w:val="0"/>
        <w:autoSpaceDN w:val="0"/>
        <w:spacing w:line="450" w:lineRule="exact"/>
        <w:ind w:firstLine="470" w:firstLineChars="196"/>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投标人应在投标人须知前附表规定的时间前，将问题在全国公共资源交易平台（河南省·许昌市）系统电子平台上提出。</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招标人在投标人须知前附表规定的时间内，将对投标人所提问题的澄清，在全国公共资源交易平台（河南省·许昌市）系统电子平台上予以澄清。该澄清内容为招标文件的组成部分。</w:t>
      </w:r>
    </w:p>
    <w:p>
      <w:pPr>
        <w:autoSpaceDE w:val="0"/>
        <w:autoSpaceDN w:val="0"/>
        <w:spacing w:line="450" w:lineRule="exact"/>
        <w:jc w:val="left"/>
        <w:outlineLvl w:val="0"/>
        <w:rPr>
          <w:rFonts w:asciiTheme="minorEastAsia" w:hAnsiTheme="minorEastAsia" w:eastAsiaTheme="minorEastAsia" w:cstheme="minorEastAsia"/>
          <w:b/>
          <w:sz w:val="24"/>
        </w:rPr>
      </w:pPr>
      <w:bookmarkStart w:id="25" w:name="_Toc283559949"/>
      <w:r>
        <w:rPr>
          <w:rFonts w:hint="eastAsia" w:asciiTheme="minorEastAsia" w:hAnsiTheme="minorEastAsia" w:eastAsiaTheme="minorEastAsia" w:cstheme="minorEastAsia"/>
          <w:b/>
          <w:sz w:val="24"/>
        </w:rPr>
        <w:t>1.11 分包</w:t>
      </w:r>
      <w:bookmarkEnd w:id="25"/>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 投标人须知前附表规定应当由分包人实施的非主体、非关键性工作，投标人应当按照第五章“发包人要求”的规定提供分包人侯选名单及其相应资料。</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 投标人拟在中标后将中标项目的部分非主体、非关键性工作进行分包的，应符合投标人须知前附表规定的分包内容、分包金额和资质要求等限制性条件。</w:t>
      </w:r>
    </w:p>
    <w:p>
      <w:pPr>
        <w:autoSpaceDE w:val="0"/>
        <w:autoSpaceDN w:val="0"/>
        <w:adjustRightInd w:val="0"/>
        <w:spacing w:line="450" w:lineRule="exact"/>
        <w:jc w:val="left"/>
        <w:outlineLvl w:val="0"/>
        <w:rPr>
          <w:rFonts w:asciiTheme="minorEastAsia" w:hAnsiTheme="minorEastAsia" w:eastAsiaTheme="minorEastAsia" w:cstheme="minorEastAsia"/>
          <w:b/>
          <w:sz w:val="24"/>
          <w:szCs w:val="24"/>
        </w:rPr>
      </w:pPr>
      <w:bookmarkStart w:id="26" w:name="_Toc283559950"/>
      <w:r>
        <w:rPr>
          <w:rFonts w:hint="eastAsia" w:asciiTheme="minorEastAsia" w:hAnsiTheme="minorEastAsia" w:eastAsiaTheme="minorEastAsia" w:cstheme="minorEastAsia"/>
          <w:b/>
          <w:sz w:val="24"/>
        </w:rPr>
        <w:t>1.12 偏</w:t>
      </w:r>
      <w:r>
        <w:rPr>
          <w:rFonts w:hint="eastAsia" w:asciiTheme="minorEastAsia" w:hAnsiTheme="minorEastAsia" w:eastAsiaTheme="minorEastAsia" w:cstheme="minorEastAsia"/>
          <w:b/>
          <w:sz w:val="24"/>
          <w:szCs w:val="24"/>
        </w:rPr>
        <w:t>离</w:t>
      </w:r>
      <w:bookmarkEnd w:id="26"/>
    </w:p>
    <w:p>
      <w:pPr>
        <w:autoSpaceDE w:val="0"/>
        <w:autoSpaceDN w:val="0"/>
        <w:adjustRightInd w:val="0"/>
        <w:spacing w:line="450" w:lineRule="exact"/>
        <w:ind w:firstLine="480" w:firstLineChars="200"/>
        <w:jc w:val="left"/>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投标人须知前附表允许投标文件偏离招标文件某些要求的，偏离应当符合招标文件规定的偏离范围和幅度。</w:t>
      </w:r>
    </w:p>
    <w:p>
      <w:pPr>
        <w:pStyle w:val="20"/>
        <w:spacing w:line="450" w:lineRule="exact"/>
        <w:jc w:val="both"/>
        <w:outlineLvl w:val="0"/>
        <w:rPr>
          <w:rFonts w:asciiTheme="minorEastAsia" w:hAnsiTheme="minorEastAsia" w:eastAsiaTheme="minorEastAsia" w:cstheme="minorEastAsia"/>
          <w:b/>
          <w:color w:val="auto"/>
        </w:rPr>
      </w:pPr>
      <w:bookmarkStart w:id="27" w:name="_Toc283559951"/>
      <w:r>
        <w:rPr>
          <w:rFonts w:hint="eastAsia" w:asciiTheme="minorEastAsia" w:hAnsiTheme="minorEastAsia" w:eastAsiaTheme="minorEastAsia" w:cstheme="minorEastAsia"/>
          <w:b/>
          <w:color w:val="auto"/>
        </w:rPr>
        <w:t>2. 招标文件</w:t>
      </w:r>
      <w:bookmarkEnd w:id="27"/>
    </w:p>
    <w:p>
      <w:pPr>
        <w:autoSpaceDE w:val="0"/>
        <w:autoSpaceDN w:val="0"/>
        <w:spacing w:line="450" w:lineRule="exact"/>
        <w:jc w:val="left"/>
        <w:outlineLvl w:val="0"/>
        <w:rPr>
          <w:rFonts w:asciiTheme="minorEastAsia" w:hAnsiTheme="minorEastAsia" w:eastAsiaTheme="minorEastAsia" w:cstheme="minorEastAsia"/>
          <w:b/>
          <w:sz w:val="24"/>
          <w:szCs w:val="24"/>
        </w:rPr>
      </w:pPr>
      <w:bookmarkStart w:id="28" w:name="_Toc283559952"/>
      <w:r>
        <w:rPr>
          <w:rFonts w:hint="eastAsia" w:asciiTheme="minorEastAsia" w:hAnsiTheme="minorEastAsia" w:eastAsiaTheme="minorEastAsia" w:cstheme="minorEastAsia"/>
          <w:b/>
          <w:sz w:val="24"/>
          <w:szCs w:val="24"/>
        </w:rPr>
        <w:t>2.1 招标文件的组成</w:t>
      </w:r>
      <w:bookmarkEnd w:id="28"/>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本招标文件包括：</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（1）招标公告；</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（2）投标人须知；</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（3）评标办法；</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（4）合同条款及格式；</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（5）技术标准和要求；</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（6）投标文件格式；</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根据本章第2.2 款和第2.</w:t>
      </w:r>
      <w:r>
        <w:rPr>
          <w:rFonts w:hint="eastAsia" w:asciiTheme="minorEastAsia" w:hAnsiTheme="minorEastAsia" w:eastAsiaTheme="minorEastAsia" w:cstheme="minorEastAsia"/>
          <w:sz w:val="24"/>
        </w:rPr>
        <w:t>3 款对招标文件所作的澄清、修改，构成招标文件的组成部分。</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当招标文件、招标文件的澄清或修改等在同一内容的表述上不一致时，以最后发出的书面文件为准。</w:t>
      </w:r>
    </w:p>
    <w:p>
      <w:pPr>
        <w:autoSpaceDE w:val="0"/>
        <w:autoSpaceDN w:val="0"/>
        <w:spacing w:line="450" w:lineRule="exact"/>
        <w:jc w:val="left"/>
        <w:outlineLvl w:val="0"/>
        <w:rPr>
          <w:rFonts w:asciiTheme="minorEastAsia" w:hAnsiTheme="minorEastAsia" w:eastAsiaTheme="minorEastAsia" w:cstheme="minorEastAsia"/>
          <w:b/>
          <w:sz w:val="24"/>
        </w:rPr>
      </w:pPr>
      <w:bookmarkStart w:id="29" w:name="_Toc283559953"/>
      <w:r>
        <w:rPr>
          <w:rFonts w:hint="eastAsia" w:asciiTheme="minorEastAsia" w:hAnsiTheme="minorEastAsia" w:eastAsiaTheme="minorEastAsia" w:cstheme="minorEastAsia"/>
          <w:b/>
          <w:sz w:val="24"/>
        </w:rPr>
        <w:t>2.2 招标文件的澄清</w:t>
      </w:r>
      <w:bookmarkEnd w:id="29"/>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0"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所有澄清、答疑全部以全国公共资源交易平台（河南省·许昌市）系统电子平台发出的为准，不再接受书面形式的递交。</w:t>
      </w:r>
    </w:p>
    <w:p>
      <w:pPr>
        <w:autoSpaceDE w:val="0"/>
        <w:autoSpaceDN w:val="0"/>
        <w:spacing w:line="45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0"/>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在投标截止时间15天前，招标人可以通过全国公共资源交易平台（河南省·许昌市）系统电子平台修改招标文件，如果修改招标文件的时间距投标截止时间不足15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outlineLvl w:val="0"/>
        <w:rPr>
          <w:rFonts w:asciiTheme="minorEastAsia" w:hAnsiTheme="minorEastAsia" w:eastAsiaTheme="minorEastAsia" w:cstheme="minorEastAsia"/>
          <w:b/>
          <w:sz w:val="24"/>
        </w:rPr>
      </w:pPr>
      <w:bookmarkStart w:id="31" w:name="_Toc152042322"/>
      <w:bookmarkStart w:id="32" w:name="_Toc152045546"/>
      <w:bookmarkStart w:id="33" w:name="_Toc144974514"/>
      <w:bookmarkStart w:id="34" w:name="_Toc179632564"/>
      <w:r>
        <w:rPr>
          <w:rFonts w:hint="eastAsia" w:asciiTheme="minorEastAsia" w:hAnsiTheme="minorEastAsia" w:eastAsiaTheme="minorEastAsia" w:cstheme="minorEastAsia"/>
          <w:b/>
          <w:sz w:val="24"/>
        </w:rPr>
        <w:t>3. 投标文件</w:t>
      </w:r>
      <w:bookmarkEnd w:id="31"/>
      <w:bookmarkEnd w:id="32"/>
      <w:bookmarkEnd w:id="33"/>
      <w:bookmarkEnd w:id="34"/>
    </w:p>
    <w:p>
      <w:pPr>
        <w:autoSpaceDE w:val="0"/>
        <w:autoSpaceDN w:val="0"/>
        <w:spacing w:line="420" w:lineRule="exact"/>
        <w:jc w:val="left"/>
        <w:outlineLvl w:val="0"/>
        <w:rPr>
          <w:rFonts w:asciiTheme="minorEastAsia" w:hAnsiTheme="minorEastAsia" w:eastAsiaTheme="minorEastAsia" w:cstheme="minorEastAsia"/>
          <w:b/>
          <w:sz w:val="24"/>
        </w:rPr>
      </w:pPr>
      <w:bookmarkStart w:id="35" w:name="_Toc278443453"/>
      <w:r>
        <w:rPr>
          <w:rFonts w:hint="eastAsia" w:asciiTheme="minorEastAsia" w:hAnsiTheme="minorEastAsia" w:eastAsiaTheme="minorEastAsia" w:cstheme="minorEastAsia"/>
          <w:b/>
          <w:sz w:val="24"/>
        </w:rPr>
        <w:t>3.1投标文件的组成。</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3.1.1投标文件应包括下列内容：</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一、投标函及投标函附录</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二、法定代表人身份证明或附有法定代表人身份证明的授权委托书</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三、投标保证金</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四、施工组织设计</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五、项目管理机构配备情况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六、投标单位基本信息表</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七、资格证明文件</w:t>
      </w:r>
    </w:p>
    <w:p>
      <w:pPr>
        <w:adjustRightInd w:val="0"/>
        <w:snapToGrid w:val="0"/>
        <w:spacing w:line="360" w:lineRule="auto"/>
        <w:ind w:left="1530" w:leftChars="450"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八、近年财务状况</w:t>
      </w:r>
    </w:p>
    <w:p>
      <w:pPr>
        <w:adjustRightInd w:val="0"/>
        <w:snapToGrid w:val="0"/>
        <w:spacing w:line="360" w:lineRule="auto"/>
        <w:ind w:left="1530" w:leftChars="450"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九、近年完成的类似项目情况</w:t>
      </w:r>
    </w:p>
    <w:p>
      <w:pPr>
        <w:adjustRightInd w:val="0"/>
        <w:snapToGrid w:val="0"/>
        <w:spacing w:line="360" w:lineRule="auto"/>
        <w:ind w:left="1530" w:leftChars="450"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十、正在施工的和新承接的项目情况</w:t>
      </w:r>
    </w:p>
    <w:p>
      <w:pPr>
        <w:adjustRightInd w:val="0"/>
        <w:snapToGrid w:val="0"/>
        <w:spacing w:line="360" w:lineRule="auto"/>
        <w:ind w:left="1530" w:leftChars="450"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十一、近年发生的诉讼及仲裁情况</w:t>
      </w:r>
    </w:p>
    <w:p>
      <w:pPr>
        <w:adjustRightInd w:val="0"/>
        <w:snapToGrid w:val="0"/>
        <w:spacing w:line="360" w:lineRule="auto"/>
        <w:ind w:left="1530" w:leftChars="450"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十二、承诺书</w:t>
      </w:r>
    </w:p>
    <w:p>
      <w:pPr>
        <w:spacing w:line="360" w:lineRule="auto"/>
        <w:ind w:left="1530" w:leftChars="450"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十三、其他材料</w:t>
      </w:r>
    </w:p>
    <w:p>
      <w:pPr>
        <w:autoSpaceDE w:val="0"/>
        <w:autoSpaceDN w:val="0"/>
        <w:spacing w:line="420" w:lineRule="exact"/>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36" w:name="OLE_LINK21"/>
      <w:r>
        <w:rPr>
          <w:rFonts w:hint="eastAsia" w:asciiTheme="minorEastAsia" w:hAnsiTheme="minorEastAsia" w:eastAsiaTheme="minorEastAsia" w:cstheme="minorEastAsia"/>
          <w:sz w:val="24"/>
        </w:rPr>
        <w:t>3.2.1 投标人应按招标文件报价要求填写相应表格。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投标人在投标截止时间前修改投标函中的投标总报价，此修改须符合本章第4.3款的有关要求。</w:t>
      </w:r>
    </w:p>
    <w:bookmarkEnd w:id="36"/>
    <w:p>
      <w:pPr>
        <w:tabs>
          <w:tab w:val="left" w:pos="3060"/>
        </w:tabs>
        <w:autoSpaceDE w:val="0"/>
        <w:autoSpaceDN w:val="0"/>
        <w:spacing w:line="420" w:lineRule="exact"/>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35"/>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asciiTheme="minorEastAsia" w:hAnsiTheme="minorEastAsia" w:eastAsiaTheme="minorEastAsia" w:cstheme="minorEastAsia"/>
          <w:sz w:val="24"/>
        </w:rPr>
      </w:pPr>
      <w:bookmarkStart w:id="37" w:name="_Toc282436964"/>
      <w:bookmarkStart w:id="38" w:name="_Toc283559960"/>
      <w:r>
        <w:rPr>
          <w:rFonts w:hint="eastAsia" w:asciiTheme="minorEastAsia" w:hAnsiTheme="minorEastAsia" w:eastAsiaTheme="minorEastAsia" w:cstheme="minorEastAsia"/>
          <w:b/>
          <w:bCs/>
          <w:sz w:val="24"/>
        </w:rPr>
        <w:t>3.4 投标保证金</w:t>
      </w:r>
      <w:bookmarkEnd w:id="37"/>
      <w:r>
        <w:rPr>
          <w:rFonts w:hint="eastAsia" w:ascii="宋体" w:hAnsi="宋体" w:cs="宋体"/>
          <w:b/>
          <w:bCs/>
          <w:sz w:val="24"/>
          <w:szCs w:val="24"/>
        </w:rPr>
        <w:t>（见附表）</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rPr>
        <w:t>3.4.1</w:t>
      </w:r>
      <w:r>
        <w:rPr>
          <w:rFonts w:hint="eastAsia" w:asciiTheme="minorEastAsia" w:hAnsiTheme="minorEastAsia" w:eastAsiaTheme="minorEastAsia" w:cstheme="minorEastAsia"/>
          <w:kern w:val="2"/>
          <w:sz w:val="24"/>
          <w:szCs w:val="24"/>
        </w:rPr>
        <w:t>投标保证金的相关规定</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（1）中标公告发出后，5个工作日内退还非中标人投标保证金及银行同期活期存款利息。</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（3）项目废标或招标人终止招标的，在此后5个工作日内退还投标保证金及银行同期活期存款利息。</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（4）投标活动中出现质疑、投诉的，中标候选人、质疑人和被质疑人、投诉人和被投诉人的投标保证金暂停退还。</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（5）相关投标人有违法违规行为的项目，其投标保证金暂不退还，待行政监督部门对相关情况处置后，按照有关规定办理。</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（6）退还投标保证金，除另有规定外，一般以转账方式一次性退还至投标保证金的原提交账户。</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3.4.2投标人有下列情形之一的，不予退还投标保证金：</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（1）在招标文件要求提交投标文件的截止时间后至投标文件有效期满前撤回投标的； </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（2）中标通知书发出后，中标人无故放弃中标项目或无正当理由在规定时间内不与招标人签订合同或未按招标文件规定提交履约担保的； </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（3）将中标项目转让给他人，或者在投标文件中未说明，且未经招标人同意，将中标项目分包给他人的； </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（4）投标人在招投标活动中弄虚作假、围标串标，骗取中标并经招投标行政监督部门调查核实的； </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（5）拒绝履行合同义务的；</w:t>
      </w:r>
    </w:p>
    <w:p>
      <w:pPr>
        <w:pStyle w:val="9"/>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（6）相关法律、法规规定不予退还的其它情形。</w:t>
      </w:r>
    </w:p>
    <w:p>
      <w:pPr>
        <w:pStyle w:val="9"/>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2"/>
          <w:sz w:val="24"/>
          <w:szCs w:val="24"/>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asciiTheme="minorEastAsia" w:hAnsiTheme="minorEastAsia" w:eastAsiaTheme="minorEastAsia" w:cstheme="minorEastAsia"/>
          <w:bCs/>
          <w:sz w:val="24"/>
          <w:szCs w:val="20"/>
        </w:rPr>
        <w:t>。</w:t>
      </w:r>
    </w:p>
    <w:p>
      <w:pPr>
        <w:autoSpaceDE w:val="0"/>
        <w:autoSpaceDN w:val="0"/>
        <w:spacing w:line="420" w:lineRule="exact"/>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3.5 资格审查资料</w:t>
      </w:r>
    </w:p>
    <w:p>
      <w:pPr>
        <w:spacing w:line="40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3.5.1 “投标人基本情况表”后应附投标人营业执照副本、资质证书副本、安全生产许可证、项目负责人等材料的原件扫描件或图片。</w:t>
      </w:r>
    </w:p>
    <w:p>
      <w:pPr>
        <w:spacing w:line="40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3.5.2 “近年财务状况表”应附经会计师事务所或审计机构审计的财务会计报表，包括资产负债表（或利润表）、现金流量表等原件扫描件或图片，具体年份要求见投标人须知前附表。以联合体单位投标的，由联合体牵头人提供。</w:t>
      </w:r>
    </w:p>
    <w:p>
      <w:pPr>
        <w:spacing w:line="40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投标人的成立时间少于投标人须知前附表规定年份的，应提供成立以来的财务状况表。</w:t>
      </w:r>
    </w:p>
    <w:p>
      <w:pPr>
        <w:spacing w:line="400" w:lineRule="exact"/>
        <w:ind w:firstLine="480" w:firstLineChars="200"/>
        <w:rPr>
          <w:rFonts w:asciiTheme="minorEastAsia" w:hAnsiTheme="minorEastAsia" w:eastAsiaTheme="minorEastAsia" w:cstheme="minorEastAsia"/>
          <w:b/>
          <w:bCs/>
          <w:kern w:val="2"/>
          <w:sz w:val="24"/>
          <w:szCs w:val="24"/>
          <w:u w:val="single"/>
        </w:rPr>
      </w:pPr>
      <w:r>
        <w:rPr>
          <w:rFonts w:hint="eastAsia" w:asciiTheme="minorEastAsia" w:hAnsiTheme="minorEastAsia" w:eastAsiaTheme="minorEastAsia" w:cstheme="minorEastAsia"/>
          <w:kern w:val="2"/>
          <w:sz w:val="24"/>
          <w:szCs w:val="24"/>
        </w:rPr>
        <w:t>3.5.3 “近年完成的类似项目情况表”</w:t>
      </w:r>
      <w:r>
        <w:rPr>
          <w:rFonts w:hint="eastAsia" w:asciiTheme="minorEastAsia" w:hAnsiTheme="minorEastAsia" w:eastAsiaTheme="minorEastAsia" w:cstheme="minorEastAsia"/>
          <w:bCs/>
          <w:kern w:val="2"/>
          <w:sz w:val="24"/>
          <w:szCs w:val="24"/>
        </w:rPr>
        <w:t>需</w:t>
      </w:r>
      <w:r>
        <w:rPr>
          <w:rFonts w:hint="eastAsia" w:asciiTheme="minorEastAsia" w:hAnsiTheme="minorEastAsia" w:eastAsiaTheme="minorEastAsia" w:cstheme="minorEastAsia"/>
          <w:kern w:val="2"/>
          <w:sz w:val="24"/>
          <w:szCs w:val="24"/>
        </w:rPr>
        <w:t>附合同、中标通知书或竣工备案表、合同的原件扫描件或图片，具体年份要求见投标人须知前附表。每张表格只填写一个项目，并标明序号。</w:t>
      </w:r>
    </w:p>
    <w:p>
      <w:pPr>
        <w:spacing w:line="40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3.5.4 “正在施工和新承接的项目情况表”应附合同（或协议书）</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中标通知书</w:t>
      </w:r>
      <w:r>
        <w:rPr>
          <w:rFonts w:hint="eastAsia" w:asciiTheme="minorEastAsia" w:hAnsiTheme="minorEastAsia" w:eastAsiaTheme="minorEastAsia" w:cstheme="minorEastAsia"/>
          <w:kern w:val="2"/>
          <w:sz w:val="24"/>
          <w:szCs w:val="24"/>
        </w:rPr>
        <w:t>的原件扫描件或图片。每张表格只填写一个项目，并标明序号。</w:t>
      </w:r>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3.5.5“近年发生的诉讼及仲裁情况”应说明相关情况，并附法院或仲裁机构作出的判决、裁决等有关法律文书的原件扫描件或图片，具体年份要求见投标人须知前附表，无要求不提供</w:t>
      </w:r>
      <w:r>
        <w:rPr>
          <w:rFonts w:hint="eastAsia" w:asciiTheme="minorEastAsia" w:hAnsiTheme="minorEastAsia" w:eastAsiaTheme="minorEastAsia" w:cstheme="minorEastAsia"/>
          <w:sz w:val="24"/>
          <w:szCs w:val="24"/>
        </w:rPr>
        <w:t>。</w:t>
      </w:r>
    </w:p>
    <w:p>
      <w:pPr>
        <w:autoSpaceDE w:val="0"/>
        <w:autoSpaceDN w:val="0"/>
        <w:adjustRightInd w:val="0"/>
        <w:snapToGrid w:val="0"/>
        <w:spacing w:line="420" w:lineRule="atLeas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39" w:name="_Toc152042329"/>
      <w:bookmarkStart w:id="40" w:name="_Toc152045553"/>
      <w:bookmarkStart w:id="41" w:name="_Toc179632571"/>
      <w:bookmarkStart w:id="42" w:name="_Toc144974521"/>
      <w:r>
        <w:rPr>
          <w:rFonts w:hint="eastAsia" w:asciiTheme="minorEastAsia" w:hAnsiTheme="minorEastAsia" w:eastAsiaTheme="minorEastAsia" w:cstheme="minorEastAsia"/>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38"/>
      <w:bookmarkStart w:id="43" w:name="_Toc283559961"/>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3.7.1 投标文件应参照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 投标人登录许昌公共资源交易系统下载“许昌投标文件制作系统SEARUN V1.1”，按招标文件要求制作电子投标文件。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 使用电子介质（U盘）存储的备份文件2份。</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 同时生成与电子投标文件内容、水印码、电子签章一致的PDF文件。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3.7.6  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3.7.6.1 投标人登录《全国公共资源交易平台（河南省·许昌市）》公共资源交易系统下载“许昌投标文件制作系统SEARUN V1.1” 和操作手册（工程项目），按招标文件要求制作投标文件。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3.7.6.2 投标文件制作技术咨询：0374-2961598。</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3.7.7 当生成的电子投标文件投标报价大小写不一致时，以大写为准。</w:t>
      </w:r>
    </w:p>
    <w:p>
      <w:pPr>
        <w:adjustRightInd w:val="0"/>
        <w:snapToGrid w:val="0"/>
        <w:spacing w:line="420" w:lineRule="atLeas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 投标</w:t>
      </w:r>
      <w:bookmarkEnd w:id="43"/>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44" w:name="_Toc283559962"/>
      <w:r>
        <w:rPr>
          <w:rFonts w:hint="eastAsia" w:asciiTheme="minorEastAsia" w:hAnsiTheme="minorEastAsia" w:eastAsiaTheme="minorEastAsia" w:cstheme="minorEastAsia"/>
          <w:b/>
          <w:sz w:val="24"/>
        </w:rPr>
        <w:t>4.1 投标文件的密封和标记</w:t>
      </w:r>
      <w:bookmarkEnd w:id="44"/>
    </w:p>
    <w:p>
      <w:pPr>
        <w:adjustRightInd w:val="0"/>
        <w:snapToGrid w:val="0"/>
        <w:spacing w:line="420" w:lineRule="atLeast"/>
        <w:ind w:firstLine="480" w:firstLineChars="200"/>
        <w:rPr>
          <w:rFonts w:asciiTheme="minorEastAsia" w:hAnsiTheme="minorEastAsia" w:eastAsiaTheme="minorEastAsia" w:cstheme="minorEastAsia"/>
          <w:sz w:val="24"/>
        </w:rPr>
      </w:pPr>
      <w:bookmarkStart w:id="45" w:name="_Toc283559963"/>
      <w:r>
        <w:rPr>
          <w:rFonts w:hint="eastAsia" w:asciiTheme="minorEastAsia" w:hAnsiTheme="minorEastAsia" w:eastAsiaTheme="minorEastAsia" w:cstheme="minorEastAsia"/>
          <w:sz w:val="24"/>
        </w:rPr>
        <w:t>4.1.1 两份电子介质（U盘）存储的投标文件应密封包装，并加盖单位公章，法定代表人或委托代理人签名，在投标截止时间前递交，密封不符合要求的不予受理。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投标文件的递交</w:t>
      </w:r>
      <w:bookmarkEnd w:id="45"/>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4.2.1 投标人应在投标人须知前附表中规定的投标截止时间前成功上传提交电子投标文件和电子介质（U盘）存储的投标文件。</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46" w:name="_Toc283559964"/>
      <w:r>
        <w:rPr>
          <w:rFonts w:hint="eastAsia" w:asciiTheme="minorEastAsia" w:hAnsiTheme="minorEastAsia" w:eastAsiaTheme="minorEastAsia" w:cstheme="minorEastAsia"/>
          <w:b/>
          <w:sz w:val="24"/>
        </w:rPr>
        <w:t>4.3 投标文件的修改与撤回</w:t>
      </w:r>
      <w:bookmarkEnd w:id="46"/>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20"/>
        <w:snapToGrid w:val="0"/>
        <w:spacing w:line="420" w:lineRule="atLeast"/>
        <w:jc w:val="both"/>
        <w:outlineLvl w:val="0"/>
        <w:rPr>
          <w:rFonts w:asciiTheme="minorEastAsia" w:hAnsiTheme="minorEastAsia" w:eastAsiaTheme="minorEastAsia" w:cstheme="minorEastAsia"/>
          <w:b/>
          <w:color w:val="auto"/>
        </w:rPr>
      </w:pPr>
      <w:bookmarkStart w:id="47" w:name="_Toc283559967"/>
      <w:r>
        <w:rPr>
          <w:rFonts w:hint="eastAsia" w:asciiTheme="minorEastAsia" w:hAnsiTheme="minorEastAsia" w:eastAsiaTheme="minorEastAsia" w:cstheme="minorEastAsia"/>
          <w:b/>
          <w:color w:val="auto"/>
        </w:rPr>
        <w:t>5. 开标</w:t>
      </w:r>
      <w:bookmarkEnd w:id="47"/>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48" w:name="_Toc283559968"/>
      <w:r>
        <w:rPr>
          <w:rFonts w:hint="eastAsia" w:asciiTheme="minorEastAsia" w:hAnsiTheme="minorEastAsia" w:eastAsiaTheme="minorEastAsia" w:cstheme="minorEastAsia"/>
          <w:b/>
          <w:sz w:val="24"/>
        </w:rPr>
        <w:t>5.1 开标时间和地点</w:t>
      </w:r>
      <w:bookmarkEnd w:id="48"/>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招标人在投标人须知前附表中规定的投标截止时间（开标时间）和投标人须知前附表规定的地点公开开标，并邀请所有投标人的法定代表人或其委托代理人准时参加。</w:t>
      </w:r>
    </w:p>
    <w:p>
      <w:pPr>
        <w:autoSpaceDE w:val="0"/>
        <w:autoSpaceDN w:val="0"/>
        <w:adjustRightInd w:val="0"/>
        <w:snapToGrid w:val="0"/>
        <w:spacing w:line="420" w:lineRule="atLeas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5.2 开标程序</w:t>
      </w:r>
    </w:p>
    <w:p>
      <w:pPr>
        <w:adjustRightInd w:val="0"/>
        <w:snapToGrid w:val="0"/>
        <w:spacing w:line="420" w:lineRule="atLeast"/>
        <w:ind w:firstLine="480" w:firstLineChars="200"/>
        <w:rPr>
          <w:rFonts w:asciiTheme="minorEastAsia" w:hAnsiTheme="minorEastAsia" w:eastAsiaTheme="minorEastAsia" w:cstheme="minorEastAsia"/>
          <w:sz w:val="24"/>
        </w:rPr>
      </w:pPr>
      <w:bookmarkStart w:id="49" w:name="_Toc283559970"/>
      <w:r>
        <w:rPr>
          <w:rFonts w:hint="eastAsia" w:asciiTheme="minorEastAsia" w:hAnsiTheme="minorEastAsia" w:eastAsiaTheme="minorEastAsia" w:cstheme="minorEastAsia"/>
          <w:sz w:val="24"/>
        </w:rPr>
        <w:t>5.2.1主持人按下列程序进行开标：</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（2）宣布开标纪律； </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 电子投标文件的解密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5.2.2.2电子投标文件解密异常情况处理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（1）因电子交易系统异常无法解密电子投标文件的，使用电子介质存储文件，以人工方式进行。</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0"/>
        <w:snapToGrid w:val="0"/>
        <w:spacing w:line="420" w:lineRule="atLeast"/>
        <w:jc w:val="both"/>
        <w:outlineLvl w:val="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49"/>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0" w:name="_Toc283559971"/>
      <w:r>
        <w:rPr>
          <w:rFonts w:hint="eastAsia" w:asciiTheme="minorEastAsia" w:hAnsiTheme="minorEastAsia" w:eastAsiaTheme="minorEastAsia" w:cstheme="minorEastAsia"/>
          <w:b/>
          <w:sz w:val="24"/>
        </w:rPr>
        <w:t>6.1 评标委员会</w:t>
      </w:r>
      <w:bookmarkEnd w:id="50"/>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1" w:name="_Toc283559972"/>
      <w:r>
        <w:rPr>
          <w:rFonts w:hint="eastAsia" w:asciiTheme="minorEastAsia" w:hAnsiTheme="minorEastAsia" w:eastAsiaTheme="minorEastAsia" w:cstheme="minorEastAsia"/>
          <w:b/>
          <w:sz w:val="24"/>
        </w:rPr>
        <w:t>6.2 评标原则</w:t>
      </w:r>
      <w:bookmarkEnd w:id="51"/>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2" w:name="_Toc283559973"/>
      <w:r>
        <w:rPr>
          <w:rFonts w:hint="eastAsia" w:asciiTheme="minorEastAsia" w:hAnsiTheme="minorEastAsia" w:eastAsiaTheme="minorEastAsia" w:cstheme="minorEastAsia"/>
          <w:b/>
          <w:sz w:val="24"/>
        </w:rPr>
        <w:t>6.3 评标</w:t>
      </w:r>
      <w:bookmarkEnd w:id="52"/>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20"/>
        <w:snapToGrid w:val="0"/>
        <w:spacing w:line="420" w:lineRule="atLeast"/>
        <w:jc w:val="both"/>
        <w:outlineLvl w:val="0"/>
        <w:rPr>
          <w:rFonts w:asciiTheme="minorEastAsia" w:hAnsiTheme="minorEastAsia" w:eastAsiaTheme="minorEastAsia" w:cstheme="minorEastAsia"/>
          <w:b/>
          <w:color w:val="auto"/>
        </w:rPr>
      </w:pPr>
      <w:bookmarkStart w:id="53" w:name="_Toc283559974"/>
      <w:r>
        <w:rPr>
          <w:rFonts w:hint="eastAsia" w:asciiTheme="minorEastAsia" w:hAnsiTheme="minorEastAsia" w:eastAsiaTheme="minorEastAsia" w:cstheme="minorEastAsia"/>
          <w:b/>
          <w:color w:val="auto"/>
        </w:rPr>
        <w:t>7. 合同授予</w:t>
      </w:r>
      <w:bookmarkEnd w:id="53"/>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4" w:name="_Toc283559975"/>
      <w:r>
        <w:rPr>
          <w:rFonts w:hint="eastAsia" w:asciiTheme="minorEastAsia" w:hAnsiTheme="minorEastAsia" w:eastAsiaTheme="minorEastAsia" w:cstheme="minorEastAsia"/>
          <w:b/>
          <w:sz w:val="24"/>
        </w:rPr>
        <w:t>7.1 定标方式</w:t>
      </w:r>
      <w:bookmarkEnd w:id="54"/>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5" w:name="_Toc283559976"/>
      <w:r>
        <w:rPr>
          <w:rFonts w:hint="eastAsia" w:asciiTheme="minorEastAsia" w:hAnsiTheme="minorEastAsia" w:eastAsiaTheme="minorEastAsia" w:cstheme="minorEastAsia"/>
          <w:b/>
          <w:sz w:val="24"/>
        </w:rPr>
        <w:t>7.2 中标通知</w:t>
      </w:r>
      <w:bookmarkEnd w:id="55"/>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在投标人须知前附表规定的投标有效期内，招标人以书面形式向中标人发出中标通知书，同时将中标结果通知未中标的投标人。</w:t>
      </w:r>
      <w:bookmarkStart w:id="56" w:name="_Toc179632587"/>
      <w:bookmarkStart w:id="57" w:name="_Toc152045569"/>
      <w:bookmarkStart w:id="58" w:name="_Toc144974537"/>
      <w:bookmarkStart w:id="59" w:name="_Toc152042345"/>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7.3 履约担保</w:t>
      </w:r>
    </w:p>
    <w:p>
      <w:pPr>
        <w:autoSpaceDE w:val="0"/>
        <w:autoSpaceDN w:val="0"/>
        <w:adjustRightInd w:val="0"/>
        <w:snapToGrid w:val="0"/>
        <w:spacing w:line="420" w:lineRule="atLeast"/>
        <w:ind w:left="475" w:leftChars="14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7.3.1履约保证金提交方式及注意事项</w:t>
      </w:r>
      <w:r>
        <w:rPr>
          <w:rFonts w:hint="eastAsia" w:asciiTheme="minorEastAsia" w:hAnsiTheme="minorEastAsia" w:eastAsiaTheme="minorEastAsia" w:cstheme="minorEastAsia"/>
          <w:sz w:val="24"/>
          <w:szCs w:val="22"/>
        </w:rPr>
        <w:br w:type="textWrapping"/>
      </w:r>
      <w:r>
        <w:rPr>
          <w:rFonts w:hint="eastAsia" w:asciiTheme="minorEastAsia" w:hAnsiTheme="minorEastAsia" w:eastAsiaTheme="minorEastAsia" w:cstheme="minorEastAsia"/>
          <w:sz w:val="24"/>
          <w:szCs w:val="22"/>
        </w:rPr>
        <w:t>（1）以网银、银行转账支票、银行电汇、银行保函方式提交。</w:t>
      </w:r>
      <w:r>
        <w:rPr>
          <w:rFonts w:hint="eastAsia" w:asciiTheme="minorEastAsia" w:hAnsiTheme="minorEastAsia" w:eastAsiaTheme="minorEastAsia" w:cstheme="minorEastAsia"/>
          <w:sz w:val="24"/>
          <w:szCs w:val="22"/>
        </w:rPr>
        <w:br w:type="textWrapping"/>
      </w:r>
      <w:r>
        <w:rPr>
          <w:rFonts w:hint="eastAsia" w:asciiTheme="minorEastAsia" w:hAnsiTheme="minorEastAsia" w:eastAsiaTheme="minorEastAsia" w:cstheme="minorEastAsia"/>
          <w:sz w:val="24"/>
          <w:szCs w:val="22"/>
        </w:rPr>
        <w:t>（2）现金支票和现金不得作为履约保证金提交方式。</w:t>
      </w:r>
      <w:r>
        <w:rPr>
          <w:rFonts w:hint="eastAsia" w:asciiTheme="minorEastAsia" w:hAnsiTheme="minorEastAsia" w:eastAsiaTheme="minorEastAsia" w:cstheme="minorEastAsia"/>
          <w:sz w:val="24"/>
          <w:szCs w:val="22"/>
        </w:rPr>
        <w:br w:type="textWrapping"/>
      </w:r>
      <w:r>
        <w:rPr>
          <w:rFonts w:hint="eastAsia" w:asciiTheme="minorEastAsia" w:hAnsiTheme="minorEastAsia" w:eastAsiaTheme="minorEastAsia" w:cstheme="minorEastAsia"/>
          <w:sz w:val="24"/>
          <w:szCs w:val="22"/>
        </w:rPr>
        <w:t>（3）中标人必须通过其公司账户按照规定的方式提交，其名称应与中标单位的</w:t>
      </w:r>
    </w:p>
    <w:p>
      <w:pPr>
        <w:autoSpaceDE w:val="0"/>
        <w:autoSpaceDN w:val="0"/>
        <w:adjustRightInd w:val="0"/>
        <w:snapToGrid w:val="0"/>
        <w:spacing w:line="420" w:lineRule="atLeast"/>
        <w:ind w:left="480" w:hanging="480" w:hanging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名称一致。</w:t>
      </w:r>
      <w:r>
        <w:rPr>
          <w:rFonts w:hint="eastAsia" w:asciiTheme="minorEastAsia" w:hAnsiTheme="minorEastAsia" w:eastAsiaTheme="minorEastAsia" w:cstheme="minorEastAsia"/>
          <w:sz w:val="24"/>
          <w:szCs w:val="22"/>
        </w:rPr>
        <w:br w:type="textWrapping"/>
      </w:r>
      <w:r>
        <w:rPr>
          <w:rFonts w:hint="eastAsia" w:asciiTheme="minorEastAsia" w:hAnsiTheme="minorEastAsia" w:eastAsiaTheme="minorEastAsia" w:cstheme="minorEastAsia"/>
          <w:sz w:val="24"/>
          <w:szCs w:val="22"/>
        </w:rPr>
        <w:t>（4）中标人在缴纳履约保证金时，必须在附言、备注和用途栏注明“项目编号</w:t>
      </w:r>
    </w:p>
    <w:p>
      <w:pPr>
        <w:autoSpaceDE w:val="0"/>
        <w:autoSpaceDN w:val="0"/>
        <w:adjustRightInd w:val="0"/>
        <w:snapToGrid w:val="0"/>
        <w:spacing w:line="420" w:lineRule="atLeast"/>
        <w:ind w:left="480" w:hanging="480" w:hangingChars="20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及标段”，否则可能造成延迟退还。</w:t>
      </w:r>
    </w:p>
    <w:p>
      <w:pPr>
        <w:autoSpaceDE w:val="0"/>
        <w:autoSpaceDN w:val="0"/>
        <w:adjustRightInd w:val="0"/>
        <w:snapToGrid w:val="0"/>
        <w:spacing w:line="420" w:lineRule="atLeast"/>
        <w:ind w:left="475" w:leftChars="140"/>
        <w:jc w:val="left"/>
        <w:outlineLvl w:val="0"/>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sz w:val="24"/>
          <w:szCs w:val="22"/>
        </w:rPr>
        <w:t>7.3.2履约保证金提交比例和数额</w:t>
      </w:r>
      <w:r>
        <w:rPr>
          <w:rFonts w:hint="eastAsia" w:asciiTheme="minorEastAsia" w:hAnsiTheme="minorEastAsia" w:eastAsiaTheme="minorEastAsia" w:cstheme="minorEastAsia"/>
          <w:sz w:val="24"/>
          <w:szCs w:val="22"/>
        </w:rPr>
        <w:br w:type="textWrapping"/>
      </w:r>
      <w:r>
        <w:rPr>
          <w:rFonts w:hint="eastAsia" w:asciiTheme="minorEastAsia" w:hAnsiTheme="minorEastAsia" w:eastAsiaTheme="minorEastAsia" w:cstheme="minorEastAsia"/>
          <w:b/>
          <w:bCs/>
          <w:sz w:val="24"/>
          <w:szCs w:val="22"/>
        </w:rPr>
        <w:t>履约保证金数额不得超过中标合同金额的</w:t>
      </w:r>
      <w:r>
        <w:rPr>
          <w:rFonts w:hint="eastAsia" w:asciiTheme="minorEastAsia" w:hAnsiTheme="minorEastAsia" w:eastAsiaTheme="minorEastAsia" w:cstheme="minorEastAsia"/>
          <w:b/>
          <w:bCs/>
          <w:sz w:val="24"/>
          <w:szCs w:val="22"/>
          <w:lang w:val="en-US" w:eastAsia="zh-CN"/>
        </w:rPr>
        <w:t>5</w:t>
      </w:r>
      <w:r>
        <w:rPr>
          <w:rFonts w:hint="eastAsia" w:asciiTheme="minorEastAsia" w:hAnsiTheme="minorEastAsia" w:eastAsiaTheme="minorEastAsia" w:cstheme="minorEastAsia"/>
          <w:b/>
          <w:bCs/>
          <w:sz w:val="24"/>
          <w:szCs w:val="22"/>
        </w:rPr>
        <w:t>%。</w:t>
      </w:r>
    </w:p>
    <w:p>
      <w:pPr>
        <w:autoSpaceDE w:val="0"/>
        <w:autoSpaceDN w:val="0"/>
        <w:adjustRightInd w:val="0"/>
        <w:snapToGrid w:val="0"/>
        <w:spacing w:line="420" w:lineRule="atLeast"/>
        <w:ind w:left="475" w:leftChars="140"/>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7.3.3履约保证金的退还</w:t>
      </w:r>
      <w:r>
        <w:rPr>
          <w:rFonts w:hint="eastAsia" w:asciiTheme="minorEastAsia" w:hAnsiTheme="minorEastAsia" w:eastAsiaTheme="minorEastAsia" w:cstheme="minorEastAsia"/>
          <w:sz w:val="24"/>
          <w:szCs w:val="22"/>
        </w:rPr>
        <w:br w:type="textWrapping"/>
      </w:r>
      <w:r>
        <w:rPr>
          <w:rFonts w:hint="eastAsia" w:asciiTheme="minorEastAsia" w:hAnsiTheme="minorEastAsia" w:eastAsiaTheme="minorEastAsia" w:cstheme="minorEastAsia"/>
          <w:sz w:val="24"/>
          <w:szCs w:val="22"/>
        </w:rPr>
        <w:t>（1）项目完工后，由招标人出具《履约保证金退还通知单》，中心财务凭《履约保证金</w:t>
      </w:r>
    </w:p>
    <w:p>
      <w:pPr>
        <w:autoSpaceDE w:val="0"/>
        <w:autoSpaceDN w:val="0"/>
        <w:adjustRightInd w:val="0"/>
        <w:snapToGrid w:val="0"/>
        <w:spacing w:line="420" w:lineRule="atLeast"/>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退还通知单》在五个工作日内退还履约保证金及银行同期活期存款利息至中标人账户。</w:t>
      </w:r>
    </w:p>
    <w:p>
      <w:pPr>
        <w:autoSpaceDE w:val="0"/>
        <w:autoSpaceDN w:val="0"/>
        <w:adjustRightInd w:val="0"/>
        <w:snapToGrid w:val="0"/>
        <w:spacing w:line="420" w:lineRule="atLeast"/>
        <w:jc w:val="left"/>
        <w:outlineLvl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asciiTheme="minorEastAsia" w:hAnsiTheme="minorEastAsia" w:eastAsiaTheme="minorEastAsia" w:cstheme="minorEastAsia"/>
          <w:sz w:val="24"/>
        </w:rPr>
        <w:t>。</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End w:id="56"/>
      <w:bookmarkEnd w:id="57"/>
      <w:bookmarkEnd w:id="58"/>
      <w:bookmarkEnd w:id="59"/>
      <w:bookmarkStart w:id="60" w:name="_Toc283559977"/>
      <w:r>
        <w:rPr>
          <w:rFonts w:hint="eastAsia" w:asciiTheme="minorEastAsia" w:hAnsiTheme="minorEastAsia" w:eastAsiaTheme="minorEastAsia" w:cstheme="minorEastAsia"/>
          <w:b/>
          <w:sz w:val="24"/>
        </w:rPr>
        <w:t>4签订合同</w:t>
      </w:r>
      <w:bookmarkEnd w:id="60"/>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7.4.2 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8. 重新招标和不再招标</w:t>
      </w:r>
      <w:bookmarkEnd w:id="61"/>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2" w:name="_Toc283559979"/>
      <w:r>
        <w:rPr>
          <w:rFonts w:hint="eastAsia" w:asciiTheme="minorEastAsia" w:hAnsiTheme="minorEastAsia" w:eastAsiaTheme="minorEastAsia" w:cstheme="minorEastAsia"/>
          <w:b/>
          <w:sz w:val="24"/>
        </w:rPr>
        <w:t>8.1 重新招标</w:t>
      </w:r>
      <w:bookmarkEnd w:id="62"/>
    </w:p>
    <w:p>
      <w:pPr>
        <w:autoSpaceDE w:val="0"/>
        <w:autoSpaceDN w:val="0"/>
        <w:adjustRightInd w:val="0"/>
        <w:snapToGrid w:val="0"/>
        <w:spacing w:line="420" w:lineRule="atLeas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napToGrid w:val="0"/>
        <w:spacing w:line="420" w:lineRule="atLeas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 个的；</w:t>
      </w:r>
    </w:p>
    <w:p>
      <w:pPr>
        <w:autoSpaceDE w:val="0"/>
        <w:autoSpaceDN w:val="0"/>
        <w:adjustRightInd w:val="0"/>
        <w:snapToGrid w:val="0"/>
        <w:spacing w:line="420" w:lineRule="atLeas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3" w:name="_Toc283559980"/>
      <w:r>
        <w:rPr>
          <w:rFonts w:hint="eastAsia" w:asciiTheme="minorEastAsia" w:hAnsiTheme="minorEastAsia" w:eastAsiaTheme="minorEastAsia" w:cstheme="minorEastAsia"/>
          <w:b/>
          <w:sz w:val="24"/>
        </w:rPr>
        <w:t>8.2 不再招标</w:t>
      </w:r>
      <w:bookmarkEnd w:id="63"/>
    </w:p>
    <w:p>
      <w:pPr>
        <w:autoSpaceDE w:val="0"/>
        <w:autoSpaceDN w:val="0"/>
        <w:adjustRightInd w:val="0"/>
        <w:snapToGrid w:val="0"/>
        <w:spacing w:line="420" w:lineRule="atLeas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20"/>
        <w:snapToGrid w:val="0"/>
        <w:spacing w:line="420" w:lineRule="atLeast"/>
        <w:jc w:val="both"/>
        <w:outlineLvl w:val="0"/>
        <w:rPr>
          <w:rFonts w:asciiTheme="minorEastAsia" w:hAnsiTheme="minorEastAsia" w:eastAsiaTheme="minorEastAsia" w:cstheme="minorEastAsia"/>
          <w:b/>
          <w:color w:val="auto"/>
        </w:rPr>
      </w:pPr>
      <w:bookmarkStart w:id="64" w:name="_Toc283559981"/>
      <w:r>
        <w:rPr>
          <w:rFonts w:hint="eastAsia" w:asciiTheme="minorEastAsia" w:hAnsiTheme="minorEastAsia" w:eastAsiaTheme="minorEastAsia" w:cstheme="minorEastAsia"/>
          <w:b/>
          <w:color w:val="auto"/>
        </w:rPr>
        <w:t>9. 纪律和监督</w:t>
      </w:r>
      <w:bookmarkEnd w:id="64"/>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5" w:name="_Toc283559982"/>
      <w:r>
        <w:rPr>
          <w:rFonts w:hint="eastAsia" w:asciiTheme="minorEastAsia" w:hAnsiTheme="minorEastAsia" w:eastAsiaTheme="minorEastAsia" w:cstheme="minorEastAsia"/>
          <w:b/>
          <w:sz w:val="24"/>
        </w:rPr>
        <w:t>9.1 对招标人的纪律要求</w:t>
      </w:r>
      <w:bookmarkEnd w:id="65"/>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6" w:name="_Toc283559983"/>
      <w:r>
        <w:rPr>
          <w:rFonts w:hint="eastAsia" w:asciiTheme="minorEastAsia" w:hAnsiTheme="minorEastAsia" w:eastAsiaTheme="minorEastAsia" w:cstheme="minorEastAsia"/>
          <w:b/>
          <w:sz w:val="24"/>
        </w:rPr>
        <w:t>9.2 对投标人的纪律要求</w:t>
      </w:r>
      <w:bookmarkEnd w:id="66"/>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7" w:name="_Toc283559984"/>
      <w:r>
        <w:rPr>
          <w:rFonts w:hint="eastAsia" w:asciiTheme="minorEastAsia" w:hAnsiTheme="minorEastAsia" w:eastAsiaTheme="minorEastAsia" w:cstheme="minorEastAsia"/>
          <w:b/>
          <w:sz w:val="24"/>
        </w:rPr>
        <w:t>9.3 对评标委员会成员的纪律要求</w:t>
      </w:r>
      <w:bookmarkEnd w:id="67"/>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8" w:name="_Toc283559985"/>
      <w:r>
        <w:rPr>
          <w:rFonts w:hint="eastAsia" w:asciiTheme="minorEastAsia" w:hAnsiTheme="minorEastAsia" w:eastAsiaTheme="minorEastAsia" w:cstheme="minorEastAsia"/>
          <w:b/>
          <w:sz w:val="24"/>
        </w:rPr>
        <w:t>9.4 对与评标活动有关的工作人员的纪律要求</w:t>
      </w:r>
      <w:bookmarkEnd w:id="68"/>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9" w:name="_Toc283559986"/>
      <w:r>
        <w:rPr>
          <w:rFonts w:hint="eastAsia" w:asciiTheme="minorEastAsia" w:hAnsiTheme="minorEastAsia" w:eastAsiaTheme="minorEastAsia" w:cstheme="minorEastAsia"/>
          <w:b/>
          <w:sz w:val="24"/>
        </w:rPr>
        <w:t>9.5 投诉</w:t>
      </w:r>
      <w:bookmarkEnd w:id="69"/>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20"/>
        <w:snapToGrid w:val="0"/>
        <w:spacing w:line="420" w:lineRule="atLeast"/>
        <w:jc w:val="both"/>
        <w:outlineLvl w:val="0"/>
        <w:rPr>
          <w:rFonts w:asciiTheme="minorEastAsia" w:hAnsiTheme="minorEastAsia" w:eastAsiaTheme="minorEastAsia" w:cstheme="minorEastAsia"/>
          <w:b/>
          <w:color w:val="auto"/>
        </w:rPr>
      </w:pPr>
      <w:bookmarkStart w:id="70" w:name="_Toc283559987"/>
      <w:r>
        <w:rPr>
          <w:rFonts w:hint="eastAsia" w:asciiTheme="minorEastAsia" w:hAnsiTheme="minorEastAsia" w:eastAsiaTheme="minorEastAsia" w:cstheme="minorEastAsia"/>
          <w:b/>
          <w:color w:val="auto"/>
        </w:rPr>
        <w:t>10. 需要补充的其他内容</w:t>
      </w:r>
      <w:bookmarkEnd w:id="70"/>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autoSpaceDE w:val="0"/>
        <w:autoSpaceDN w:val="0"/>
        <w:adjustRightIn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附表一：问题澄清通知</w:t>
      </w:r>
    </w:p>
    <w:p>
      <w:pPr>
        <w:spacing w:before="312" w:beforeLines="100" w:after="312"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u w:val="single"/>
        </w:rPr>
        <w:t xml:space="preserve">                  </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标</w:t>
      </w:r>
      <w:r>
        <w:rPr>
          <w:rFonts w:hint="eastAsia" w:asciiTheme="minorEastAsia" w:hAnsiTheme="minorEastAsia" w:eastAsiaTheme="minorEastAsia" w:cstheme="minor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时前密封递交至（详细地址）。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招标人或招标代理机构：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（签字或盖章）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80" w:lineRule="exact"/>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pStyle w:val="2"/>
        <w:ind w:firstLine="34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312" w:beforeLines="100" w:after="312"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u w:val="single"/>
        </w:rPr>
        <w:t xml:space="preserve">                  </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标段招标评标委员会：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（盖单位章） </w:t>
      </w:r>
    </w:p>
    <w:p>
      <w:pPr>
        <w:wordWrap w:val="0"/>
        <w:spacing w:before="156" w:beforeLines="50" w:after="156"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（签字） </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rPr>
      </w:pPr>
    </w:p>
    <w:p>
      <w:pPr>
        <w:spacing w:line="400" w:lineRule="exact"/>
        <w:ind w:firstLine="120" w:firstLineChars="50"/>
        <w:rPr>
          <w:rFonts w:asciiTheme="minorEastAsia" w:hAnsiTheme="minorEastAsia" w:eastAsiaTheme="minorEastAsia" w:cstheme="minorEastAsia"/>
          <w:sz w:val="24"/>
        </w:rPr>
      </w:pPr>
    </w:p>
    <w:p>
      <w:pPr>
        <w:spacing w:line="400" w:lineRule="exact"/>
        <w:rPr>
          <w:rFonts w:asciiTheme="minorEastAsia" w:hAnsiTheme="minorEastAsia" w:eastAsiaTheme="minorEastAsia" w:cstheme="minorEastAsia"/>
          <w:sz w:val="24"/>
          <w:u w:val="single"/>
        </w:rPr>
      </w:pPr>
    </w:p>
    <w:p>
      <w:pPr>
        <w:spacing w:line="400" w:lineRule="exact"/>
        <w:rPr>
          <w:rFonts w:asciiTheme="minorEastAsia" w:hAnsiTheme="minorEastAsia" w:eastAsiaTheme="minorEastAsia" w:cstheme="minorEastAsia"/>
          <w:sz w:val="24"/>
          <w:u w:val="single"/>
        </w:rPr>
      </w:pPr>
    </w:p>
    <w:p>
      <w:pPr>
        <w:pStyle w:val="2"/>
        <w:ind w:firstLine="340"/>
        <w:rPr>
          <w:rFonts w:asciiTheme="minorEastAsia" w:hAnsiTheme="minorEastAsia" w:eastAsiaTheme="minorEastAsia" w:cstheme="minorEastAsia"/>
        </w:rPr>
      </w:pPr>
    </w:p>
    <w:p>
      <w:pPr>
        <w:spacing w:line="400" w:lineRule="exact"/>
        <w:rPr>
          <w:rFonts w:asciiTheme="minorEastAsia" w:hAnsiTheme="minorEastAsia" w:eastAsiaTheme="minorEastAsia" w:cstheme="minorEastAsia"/>
          <w:sz w:val="24"/>
          <w:u w:val="single"/>
        </w:rPr>
      </w:pPr>
    </w:p>
    <w:p>
      <w:pPr>
        <w:pStyle w:val="2"/>
        <w:ind w:firstLine="340"/>
        <w:rPr>
          <w:rFonts w:asciiTheme="minorEastAsia" w:hAnsiTheme="minorEastAsia" w:eastAsiaTheme="minorEastAsia" w:cstheme="minorEastAsia"/>
        </w:rPr>
      </w:pPr>
    </w:p>
    <w:p>
      <w:pPr>
        <w:spacing w:line="400" w:lineRule="exact"/>
        <w:rPr>
          <w:rFonts w:asciiTheme="minorEastAsia" w:hAnsiTheme="minorEastAsia" w:eastAsiaTheme="minorEastAsia" w:cstheme="minorEastAsia"/>
          <w:sz w:val="24"/>
          <w:u w:val="single"/>
        </w:rPr>
      </w:pPr>
    </w:p>
    <w:p>
      <w:pPr>
        <w:snapToGrid w:val="0"/>
        <w:spacing w:line="360" w:lineRule="auto"/>
        <w:jc w:val="center"/>
        <w:rPr>
          <w:rFonts w:asciiTheme="minorEastAsia" w:hAnsiTheme="minorEastAsia" w:eastAsiaTheme="minorEastAsia" w:cstheme="minorEastAsia"/>
          <w:b/>
          <w:bCs/>
          <w:sz w:val="28"/>
          <w:szCs w:val="28"/>
          <w:lang w:bidi="ar"/>
        </w:rPr>
      </w:pPr>
      <w:r>
        <w:rPr>
          <w:rFonts w:hint="eastAsia" w:asciiTheme="minorEastAsia" w:hAnsiTheme="minorEastAsia" w:eastAsiaTheme="minorEastAsia" w:cstheme="minorEastAsia"/>
          <w:b/>
          <w:bCs/>
          <w:sz w:val="36"/>
          <w:szCs w:val="36"/>
          <w:lang w:bidi="ar"/>
        </w:rPr>
        <w:t>第三章 评标办法（综合评估法）</w:t>
      </w:r>
      <w:r>
        <w:rPr>
          <w:rFonts w:hint="eastAsia" w:asciiTheme="minorEastAsia" w:hAnsiTheme="minorEastAsia" w:eastAsiaTheme="minorEastAsia" w:cstheme="minorEastAsia"/>
          <w:sz w:val="24"/>
          <w:lang w:bidi="ar"/>
        </w:rPr>
        <w:t xml:space="preserve"> </w:t>
      </w:r>
      <w:r>
        <w:rPr>
          <w:rFonts w:hint="eastAsia" w:asciiTheme="minorEastAsia" w:hAnsiTheme="minorEastAsia" w:eastAsiaTheme="minorEastAsia" w:cstheme="minorEastAsia"/>
          <w:b/>
          <w:bCs/>
          <w:sz w:val="28"/>
          <w:szCs w:val="28"/>
          <w:lang w:bidi="ar"/>
        </w:rPr>
        <w:t xml:space="preserve">   </w:t>
      </w:r>
      <w:bookmarkStart w:id="71" w:name="_Toc247514024"/>
      <w:bookmarkStart w:id="72" w:name="_Toc152045600"/>
      <w:bookmarkStart w:id="73" w:name="_Toc152042377"/>
      <w:bookmarkStart w:id="74" w:name="_Toc247527625"/>
      <w:bookmarkStart w:id="75" w:name="_Toc144974567"/>
    </w:p>
    <w:p>
      <w:pPr>
        <w:snapToGrid w:val="0"/>
        <w:spacing w:line="360" w:lineRule="auto"/>
        <w:ind w:firstLine="480"/>
        <w:rPr>
          <w:rFonts w:asciiTheme="minorEastAsia" w:hAnsiTheme="minorEastAsia" w:eastAsiaTheme="minorEastAsia" w:cstheme="minorEastAsia"/>
          <w:b/>
          <w:bCs/>
          <w:sz w:val="28"/>
          <w:szCs w:val="28"/>
          <w:lang w:bidi="ar"/>
        </w:rPr>
      </w:pPr>
      <w:r>
        <w:rPr>
          <w:rFonts w:hint="eastAsia" w:asciiTheme="minorEastAsia" w:hAnsiTheme="minorEastAsia" w:eastAsiaTheme="minorEastAsia" w:cstheme="minorEastAsia"/>
          <w:b/>
          <w:bCs/>
          <w:sz w:val="28"/>
          <w:szCs w:val="28"/>
          <w:lang w:bidi="ar"/>
        </w:rPr>
        <w:t>评标依据：关于印发简明标准施工招标文件的通知（发改法规【201</w:t>
      </w:r>
      <w:r>
        <w:rPr>
          <w:rFonts w:hint="eastAsia" w:asciiTheme="minorEastAsia" w:hAnsiTheme="minorEastAsia" w:eastAsiaTheme="minorEastAsia" w:cstheme="minorEastAsia"/>
          <w:b/>
          <w:bCs/>
          <w:sz w:val="28"/>
          <w:szCs w:val="28"/>
          <w:lang w:val="en-US" w:eastAsia="zh-CN" w:bidi="ar"/>
        </w:rPr>
        <w:t>1</w:t>
      </w:r>
      <w:r>
        <w:rPr>
          <w:rFonts w:hint="eastAsia" w:asciiTheme="minorEastAsia" w:hAnsiTheme="minorEastAsia" w:eastAsiaTheme="minorEastAsia" w:cstheme="minorEastAsia"/>
          <w:b/>
          <w:bCs/>
          <w:sz w:val="28"/>
          <w:szCs w:val="28"/>
          <w:lang w:bidi="ar"/>
        </w:rPr>
        <w:t>】3018号）</w:t>
      </w:r>
    </w:p>
    <w:p>
      <w:pPr>
        <w:snapToGrid w:val="0"/>
        <w:spacing w:line="360" w:lineRule="auto"/>
        <w:ind w:firstLine="480"/>
        <w:rPr>
          <w:rFonts w:asciiTheme="minorEastAsia" w:hAnsiTheme="minorEastAsia" w:eastAsiaTheme="minorEastAsia" w:cstheme="minorEastAsia"/>
          <w:b/>
          <w:bCs/>
          <w:sz w:val="28"/>
          <w:szCs w:val="28"/>
          <w:lang w:bidi="ar"/>
        </w:rPr>
      </w:pPr>
      <w:r>
        <w:rPr>
          <w:rFonts w:hint="eastAsia" w:asciiTheme="minorEastAsia" w:hAnsiTheme="minorEastAsia" w:eastAsiaTheme="minorEastAsia" w:cstheme="minorEastAsia"/>
          <w:b/>
          <w:bCs/>
          <w:sz w:val="28"/>
          <w:szCs w:val="28"/>
          <w:lang w:bidi="ar"/>
        </w:rPr>
        <w:t>评标办法前附表</w:t>
      </w:r>
    </w:p>
    <w:tbl>
      <w:tblPr>
        <w:tblStyle w:val="16"/>
        <w:tblpPr w:leftFromText="180" w:rightFromText="180" w:vertAnchor="text" w:horzAnchor="page" w:tblpX="1351" w:tblpY="593"/>
        <w:tblOverlap w:val="never"/>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42"/>
        <w:gridCol w:w="832"/>
        <w:gridCol w:w="163"/>
        <w:gridCol w:w="350"/>
        <w:gridCol w:w="1750"/>
        <w:gridCol w:w="56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791" w:type="dxa"/>
            <w:gridSpan w:val="3"/>
            <w:tcBorders>
              <w:top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条款号</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评审因素</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restart"/>
            <w:tcBorders>
              <w:top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2.1.1</w:t>
            </w:r>
          </w:p>
        </w:tc>
        <w:tc>
          <w:tcPr>
            <w:tcW w:w="974" w:type="dxa"/>
            <w:gridSpan w:val="2"/>
            <w:vMerge w:val="restart"/>
            <w:tcBorders>
              <w:top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形式评</w:t>
            </w:r>
          </w:p>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审标准</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投标人名称</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top w:val="nil"/>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top w:val="nil"/>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投标函签字盖章</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top w:val="nil"/>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top w:val="nil"/>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投标文件格式</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top w:val="nil"/>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top w:val="nil"/>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报价唯一</w:t>
            </w: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同一投标人不得提交两个以上不同的投标文件或者投标报价，但招标文件要求提交备选方案投标的除外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restart"/>
            <w:tcBorders>
              <w:top w:val="nil"/>
              <w:right w:val="single" w:color="auto" w:sz="4" w:space="0"/>
            </w:tcBorders>
            <w:vAlign w:val="center"/>
          </w:tcPr>
          <w:p>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2.1.2</w:t>
            </w:r>
          </w:p>
        </w:tc>
        <w:tc>
          <w:tcPr>
            <w:tcW w:w="974" w:type="dxa"/>
            <w:gridSpan w:val="2"/>
            <w:vMerge w:val="restart"/>
            <w:tcBorders>
              <w:top w:val="nil"/>
              <w:right w:val="single" w:color="auto" w:sz="4" w:space="0"/>
            </w:tcBorders>
            <w:vAlign w:val="center"/>
          </w:tcPr>
          <w:p>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资格评</w:t>
            </w:r>
          </w:p>
          <w:p>
            <w:p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审标准</w:t>
            </w:r>
          </w:p>
        </w:tc>
        <w:tc>
          <w:tcPr>
            <w:tcW w:w="2263" w:type="dxa"/>
            <w:gridSpan w:val="3"/>
            <w:tcBorders>
              <w:top w:val="single" w:color="auto" w:sz="4" w:space="0"/>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营业执照</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资质等级</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安全生产许可证</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信誉要求</w:t>
            </w: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1"/>
              </w:rPr>
              <w:t>符合第二章“投标人须知前附表”规定及“投标人须知”第3.5.6项规定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right w:val="single" w:color="auto" w:sz="4" w:space="0"/>
            </w:tcBorders>
            <w:vAlign w:val="center"/>
          </w:tcPr>
          <w:p>
            <w:pPr>
              <w:pStyle w:val="20"/>
              <w:jc w:val="center"/>
              <w:rPr>
                <w:rFonts w:asciiTheme="minorEastAsia" w:hAnsiTheme="minorEastAsia" w:eastAsiaTheme="minorEastAsia" w:cstheme="minorEastAsia"/>
                <w:kern w:val="2"/>
                <w:sz w:val="21"/>
                <w:szCs w:val="21"/>
              </w:rPr>
            </w:pPr>
            <w:r>
              <w:rPr>
                <w:rFonts w:hint="eastAsia" w:hAnsi="宋体"/>
                <w:color w:val="auto"/>
                <w:sz w:val="21"/>
                <w:szCs w:val="21"/>
              </w:rPr>
              <w:t>项目负责人</w:t>
            </w: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r>
              <w:rPr>
                <w:rFonts w:hint="eastAsia" w:ascii="宋体" w:hAnsi="宋体" w:cs="宋体"/>
                <w:sz w:val="21"/>
                <w:szCs w:val="21"/>
              </w:rPr>
              <w:t>符合第二章“投标人须知前附表”第规定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类似项目业绩</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联合体要求</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restart"/>
            <w:tcBorders>
              <w:top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2.1.3</w:t>
            </w:r>
          </w:p>
        </w:tc>
        <w:tc>
          <w:tcPr>
            <w:tcW w:w="974" w:type="dxa"/>
            <w:gridSpan w:val="2"/>
            <w:vMerge w:val="restart"/>
            <w:tcBorders>
              <w:top w:val="single" w:color="auto" w:sz="4" w:space="0"/>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响应性评审标准</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投标报价</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符合第二章“投标人须知”第3.2.4项规定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left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投标内容</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left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工期</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left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质量标准</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left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投标有效期</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left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投标保证金</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left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权利义务</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817" w:type="dxa"/>
            <w:vMerge w:val="continue"/>
            <w:tcBorders>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974" w:type="dxa"/>
            <w:gridSpan w:val="2"/>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kern w:val="2"/>
                <w:sz w:val="21"/>
                <w:szCs w:val="21"/>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承包人建议</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符合第五章“发包人要求”规定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959" w:type="dxa"/>
            <w:gridSpan w:val="2"/>
            <w:tcBorders>
              <w:top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条款号</w:t>
            </w:r>
          </w:p>
        </w:tc>
        <w:tc>
          <w:tcPr>
            <w:tcW w:w="30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条款内容</w:t>
            </w:r>
          </w:p>
        </w:tc>
        <w:tc>
          <w:tcPr>
            <w:tcW w:w="56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959" w:type="dxa"/>
            <w:gridSpan w:val="2"/>
            <w:tcBorders>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2.2.1</w:t>
            </w:r>
          </w:p>
        </w:tc>
        <w:tc>
          <w:tcPr>
            <w:tcW w:w="30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分值构成</w:t>
            </w:r>
          </w:p>
          <w:p>
            <w:pPr>
              <w:spacing w:line="440" w:lineRule="exact"/>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(总分100分)</w:t>
            </w:r>
          </w:p>
        </w:tc>
        <w:tc>
          <w:tcPr>
            <w:tcW w:w="5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施工组织设计：</w:t>
            </w:r>
            <w:r>
              <w:rPr>
                <w:rFonts w:hint="eastAsia" w:asciiTheme="minorEastAsia" w:hAnsiTheme="minorEastAsia" w:eastAsia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lang w:val="zh-CN"/>
              </w:rPr>
              <w:t>0分</w:t>
            </w:r>
          </w:p>
          <w:p>
            <w:pPr>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企业综合实力：30分</w:t>
            </w:r>
          </w:p>
          <w:p>
            <w:pPr>
              <w:jc w:val="left"/>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投标报价：</w:t>
            </w: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lang w:val="zh-CN"/>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8" w:hRule="atLeast"/>
        </w:trPr>
        <w:tc>
          <w:tcPr>
            <w:tcW w:w="959" w:type="dxa"/>
            <w:gridSpan w:val="2"/>
            <w:tcBorders>
              <w:right w:val="single" w:color="auto" w:sz="4" w:space="0"/>
            </w:tcBorders>
            <w:vAlign w:val="center"/>
          </w:tcPr>
          <w:p>
            <w:pPr>
              <w:autoSpaceDE w:val="0"/>
              <w:autoSpaceDN w:val="0"/>
              <w:adjustRightInd w:val="0"/>
              <w:spacing w:line="400" w:lineRule="exact"/>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2.2.2</w:t>
            </w:r>
          </w:p>
        </w:tc>
        <w:tc>
          <w:tcPr>
            <w:tcW w:w="3095" w:type="dxa"/>
            <w:gridSpan w:val="4"/>
            <w:tcBorders>
              <w:left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bCs/>
                <w:kern w:val="2"/>
                <w:sz w:val="21"/>
                <w:szCs w:val="21"/>
                <w:lang w:bidi="ar"/>
              </w:rPr>
            </w:pPr>
            <w:r>
              <w:rPr>
                <w:rFonts w:hint="eastAsia" w:asciiTheme="minorEastAsia" w:hAnsiTheme="minorEastAsia" w:eastAsiaTheme="minorEastAsia" w:cstheme="minorEastAsia"/>
                <w:bCs/>
                <w:kern w:val="2"/>
                <w:sz w:val="21"/>
                <w:szCs w:val="21"/>
                <w:lang w:bidi="ar"/>
              </w:rPr>
              <w:t>评标基准价</w:t>
            </w:r>
          </w:p>
          <w:p>
            <w:pPr>
              <w:spacing w:line="340" w:lineRule="exact"/>
              <w:jc w:val="center"/>
              <w:rPr>
                <w:rFonts w:hint="eastAsia" w:asciiTheme="minorEastAsia" w:hAnsiTheme="minorEastAsia" w:eastAsiaTheme="minorEastAsia" w:cstheme="minorEastAsia"/>
                <w:bCs/>
                <w:kern w:val="2"/>
                <w:sz w:val="21"/>
                <w:szCs w:val="21"/>
                <w:lang w:bidi="ar"/>
              </w:rPr>
            </w:pPr>
            <w:r>
              <w:rPr>
                <w:rFonts w:hint="eastAsia" w:asciiTheme="minorEastAsia" w:hAnsiTheme="minorEastAsia" w:eastAsiaTheme="minorEastAsia" w:cstheme="minorEastAsia"/>
                <w:bCs/>
                <w:kern w:val="2"/>
                <w:sz w:val="21"/>
                <w:szCs w:val="21"/>
                <w:lang w:bidi="ar"/>
              </w:rPr>
              <w:t>计算方法</w:t>
            </w:r>
          </w:p>
          <w:p>
            <w:pPr>
              <w:pStyle w:val="2"/>
              <w:ind w:firstLine="210" w:firstLineChars="100"/>
              <w:rPr>
                <w:rFonts w:asciiTheme="minorEastAsia" w:hAnsiTheme="minorEastAsia" w:eastAsiaTheme="minorEastAsia" w:cstheme="minorEastAsia"/>
                <w:bCs/>
                <w:kern w:val="2"/>
                <w:sz w:val="21"/>
                <w:szCs w:val="21"/>
              </w:rPr>
            </w:pP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textAlignment w:val="baseline"/>
              <w:rPr>
                <w:rFonts w:ascii="宋体" w:hAnsi="宋体" w:cs="宋体"/>
                <w:sz w:val="22"/>
                <w:szCs w:val="22"/>
              </w:rPr>
            </w:pPr>
            <w:r>
              <w:rPr>
                <w:rFonts w:hint="eastAsia" w:ascii="宋体" w:hAnsi="宋体" w:cs="宋体"/>
                <w:sz w:val="22"/>
                <w:szCs w:val="22"/>
              </w:rPr>
              <w:t>有效投标报价为通过初步评审的投标人报价。</w:t>
            </w:r>
          </w:p>
          <w:p>
            <w:pPr>
              <w:spacing w:line="400" w:lineRule="exact"/>
              <w:rPr>
                <w:rFonts w:ascii="宋体" w:hAnsi="宋体" w:cs="宋体"/>
                <w:sz w:val="22"/>
                <w:szCs w:val="22"/>
              </w:rPr>
            </w:pPr>
            <w:r>
              <w:rPr>
                <w:rFonts w:hint="eastAsia" w:ascii="宋体" w:hAnsi="宋体" w:cs="宋体"/>
                <w:sz w:val="22"/>
                <w:szCs w:val="22"/>
              </w:rPr>
              <w:t>有效投标报价的投标人家数为N。</w:t>
            </w:r>
          </w:p>
          <w:p>
            <w:pPr>
              <w:spacing w:line="400" w:lineRule="exact"/>
              <w:ind w:firstLine="440" w:firstLineChars="200"/>
              <w:rPr>
                <w:rFonts w:ascii="宋体" w:hAnsi="宋体" w:cs="宋体"/>
                <w:sz w:val="22"/>
                <w:szCs w:val="22"/>
              </w:rPr>
            </w:pPr>
            <w:r>
              <w:rPr>
                <w:rFonts w:hint="eastAsia" w:ascii="宋体" w:hAnsi="宋体" w:cs="宋体"/>
                <w:sz w:val="22"/>
                <w:szCs w:val="22"/>
              </w:rPr>
              <w:t>当3≤N≤7时，各有效投标报价的算术平均值为投标人平均报价；</w:t>
            </w:r>
          </w:p>
          <w:p>
            <w:pPr>
              <w:spacing w:line="400" w:lineRule="exact"/>
              <w:ind w:firstLine="440" w:firstLineChars="200"/>
              <w:rPr>
                <w:rFonts w:ascii="宋体" w:hAnsi="宋体" w:cs="宋体"/>
                <w:sz w:val="22"/>
                <w:szCs w:val="22"/>
              </w:rPr>
            </w:pPr>
            <w:r>
              <w:rPr>
                <w:rFonts w:hint="eastAsia" w:ascii="宋体" w:hAnsi="宋体" w:cs="宋体"/>
                <w:sz w:val="22"/>
                <w:szCs w:val="22"/>
              </w:rPr>
              <w:t>当7&lt;N≤13时，去掉1个最高报价和1个最低报价后，对剩余有效投标报价进行算术平均，其算术平均值为投标人平均报价；</w:t>
            </w:r>
          </w:p>
          <w:p>
            <w:pPr>
              <w:spacing w:line="400" w:lineRule="exact"/>
              <w:ind w:firstLine="440" w:firstLineChars="200"/>
              <w:rPr>
                <w:rFonts w:ascii="宋体" w:hAnsi="宋体" w:cs="宋体"/>
                <w:sz w:val="22"/>
                <w:szCs w:val="22"/>
              </w:rPr>
            </w:pPr>
            <w:r>
              <w:rPr>
                <w:rFonts w:hint="eastAsia" w:ascii="宋体" w:hAnsi="宋体" w:cs="宋体"/>
                <w:sz w:val="22"/>
                <w:szCs w:val="22"/>
              </w:rPr>
              <w:t>当13&lt;N≤20时，去掉2个最高报价和2个最低报价后，对剩余有效投标报价进行算术平均，其算术平均值为投标人平均报价；</w:t>
            </w:r>
          </w:p>
          <w:p>
            <w:pPr>
              <w:pStyle w:val="2"/>
              <w:ind w:firstLine="440" w:firstLineChars="200"/>
              <w:rPr>
                <w:rFonts w:hAnsi="宋体" w:cs="宋体"/>
                <w:sz w:val="22"/>
                <w:szCs w:val="22"/>
              </w:rPr>
            </w:pPr>
            <w:r>
              <w:rPr>
                <w:rFonts w:hint="eastAsia" w:hAnsi="宋体" w:cs="宋体"/>
                <w:sz w:val="22"/>
                <w:szCs w:val="22"/>
              </w:rPr>
              <w:t>当N＞20时，去掉3个最高报价和3个最低报价后，对剩余有效投标报价进行算术平均，其算术平均值为投标人平均报价；</w:t>
            </w:r>
          </w:p>
          <w:p>
            <w:pPr>
              <w:rPr>
                <w:rFonts w:asciiTheme="minorEastAsia" w:hAnsiTheme="minorEastAsia" w:eastAsiaTheme="minorEastAsia" w:cstheme="minorEastAsia"/>
                <w:sz w:val="21"/>
                <w:szCs w:val="21"/>
                <w:lang w:val="zh-CN"/>
              </w:rPr>
            </w:pPr>
            <w:r>
              <w:rPr>
                <w:rFonts w:hint="eastAsia" w:ascii="宋体" w:hAnsi="宋体" w:cs="宋体"/>
                <w:b/>
                <w:bCs/>
                <w:sz w:val="22"/>
                <w:szCs w:val="22"/>
              </w:rPr>
              <w:t>评标基准价=招标控制费率</w:t>
            </w:r>
            <w:r>
              <w:rPr>
                <w:rFonts w:ascii="Arial" w:hAnsi="Arial" w:cs="Arial"/>
                <w:b/>
                <w:bCs/>
                <w:sz w:val="22"/>
                <w:szCs w:val="22"/>
              </w:rPr>
              <w:t>×</w:t>
            </w:r>
            <w:r>
              <w:rPr>
                <w:rFonts w:hint="eastAsia" w:ascii="宋体" w:hAnsi="宋体" w:cs="宋体"/>
                <w:b/>
                <w:bCs/>
                <w:sz w:val="22"/>
                <w:szCs w:val="22"/>
              </w:rPr>
              <w:t>60%+投标人平均报价</w:t>
            </w:r>
            <w:r>
              <w:rPr>
                <w:rFonts w:ascii="Arial" w:hAnsi="Arial" w:cs="Arial"/>
                <w:b/>
                <w:bCs/>
                <w:sz w:val="22"/>
                <w:szCs w:val="22"/>
              </w:rPr>
              <w:t>×</w:t>
            </w:r>
            <w:r>
              <w:rPr>
                <w:rFonts w:hint="eastAsia" w:ascii="宋体" w:hAnsi="宋体" w:cs="宋体"/>
                <w:b/>
                <w:bCs/>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tcBorders>
              <w:right w:val="single" w:color="auto" w:sz="4" w:space="0"/>
            </w:tcBorders>
            <w:vAlign w:val="center"/>
          </w:tcPr>
          <w:p>
            <w:pPr>
              <w:adjustRightInd w:val="0"/>
              <w:jc w:val="center"/>
              <w:textAlignment w:val="baseline"/>
              <w:rPr>
                <w:rFonts w:hint="eastAsia" w:asciiTheme="minorEastAsia" w:hAnsiTheme="minorEastAsia" w:eastAsiaTheme="minorEastAsia" w:cstheme="minorEastAsia"/>
                <w:bCs/>
                <w:kern w:val="2"/>
                <w:sz w:val="24"/>
                <w:szCs w:val="24"/>
              </w:rPr>
            </w:pPr>
            <w:r>
              <w:rPr>
                <w:rFonts w:hint="eastAsia" w:ascii="宋体" w:hAnsi="宋体" w:cs="宋体"/>
                <w:sz w:val="24"/>
                <w:szCs w:val="24"/>
              </w:rPr>
              <w:t>条款号</w:t>
            </w:r>
          </w:p>
        </w:tc>
        <w:tc>
          <w:tcPr>
            <w:tcW w:w="3095" w:type="dxa"/>
            <w:gridSpan w:val="4"/>
            <w:tcBorders>
              <w:left w:val="single" w:color="auto" w:sz="4" w:space="0"/>
              <w:right w:val="single" w:color="auto" w:sz="4" w:space="0"/>
            </w:tcBorders>
            <w:vAlign w:val="center"/>
          </w:tcPr>
          <w:p>
            <w:pPr>
              <w:adjustRightInd w:val="0"/>
              <w:jc w:val="center"/>
              <w:textAlignment w:val="baseline"/>
              <w:rPr>
                <w:rFonts w:asciiTheme="minorEastAsia" w:hAnsiTheme="minorEastAsia" w:eastAsiaTheme="minorEastAsia" w:cstheme="minorEastAsia"/>
                <w:bCs/>
                <w:kern w:val="2"/>
                <w:sz w:val="24"/>
                <w:szCs w:val="24"/>
              </w:rPr>
            </w:pPr>
            <w:r>
              <w:rPr>
                <w:rFonts w:hint="eastAsia" w:ascii="宋体" w:hAnsi="宋体" w:cs="宋体"/>
                <w:sz w:val="24"/>
                <w:szCs w:val="24"/>
              </w:rPr>
              <w:t>评分因素</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int="eastAsia" w:ascii="宋体" w:hAnsi="宋体" w:cs="宋体"/>
                <w:b/>
                <w:bCs/>
                <w:sz w:val="24"/>
                <w:szCs w:val="24"/>
              </w:rPr>
            </w:pPr>
            <w:r>
              <w:rPr>
                <w:rFonts w:hint="eastAsia" w:ascii="宋体" w:hAnsi="宋体" w:cs="宋体"/>
                <w:sz w:val="24"/>
                <w:szCs w:val="24"/>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restart"/>
            <w:tcBorders>
              <w:right w:val="single" w:color="auto" w:sz="4" w:space="0"/>
            </w:tcBorders>
            <w:vAlign w:val="center"/>
          </w:tcPr>
          <w:p>
            <w:pPr>
              <w:adjustRightInd w:val="0"/>
              <w:jc w:val="center"/>
              <w:textAlignment w:val="baseline"/>
              <w:rPr>
                <w:rFonts w:hint="default" w:ascii="宋体" w:hAnsi="宋体" w:eastAsia="宋体" w:cs="宋体"/>
                <w:sz w:val="24"/>
                <w:szCs w:val="24"/>
                <w:lang w:val="en-US" w:eastAsia="zh-CN"/>
              </w:rPr>
            </w:pPr>
            <w:r>
              <w:rPr>
                <w:rFonts w:hint="eastAsia" w:hAnsi="宋体" w:cs="宋体"/>
                <w:sz w:val="24"/>
                <w:szCs w:val="24"/>
                <w:lang w:val="en-US" w:eastAsia="zh-CN"/>
              </w:rPr>
              <w:t>2.2.4（1）</w:t>
            </w:r>
          </w:p>
        </w:tc>
        <w:tc>
          <w:tcPr>
            <w:tcW w:w="995" w:type="dxa"/>
            <w:gridSpan w:val="2"/>
            <w:vMerge w:val="restart"/>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r>
              <w:rPr>
                <w:rFonts w:hint="eastAsia" w:ascii="宋体" w:hAnsi="宋体" w:cs="宋体"/>
                <w:sz w:val="24"/>
                <w:szCs w:val="24"/>
              </w:rPr>
              <w:t>施工组织设计评分标准</w:t>
            </w:r>
          </w:p>
          <w:p>
            <w:pPr>
              <w:adjustRightInd w:val="0"/>
              <w:jc w:val="center"/>
              <w:textAlignment w:val="baseline"/>
              <w:rPr>
                <w:rFonts w:hint="eastAsia" w:ascii="宋体" w:hAnsi="宋体" w:cs="宋体"/>
                <w:sz w:val="24"/>
                <w:szCs w:val="24"/>
              </w:rPr>
            </w:pPr>
            <w:r>
              <w:rPr>
                <w:rFonts w:hint="eastAsia" w:hAnsi="宋体" w:cs="宋体"/>
                <w:sz w:val="24"/>
                <w:szCs w:val="24"/>
                <w:lang w:val="en-US" w:eastAsia="zh-CN"/>
              </w:rPr>
              <w:t>4</w:t>
            </w:r>
            <w:r>
              <w:rPr>
                <w:rFonts w:hint="eastAsia" w:ascii="宋体" w:hAnsi="宋体" w:cs="宋体"/>
                <w:sz w:val="24"/>
                <w:szCs w:val="24"/>
              </w:rPr>
              <w:t>0分</w:t>
            </w:r>
          </w:p>
          <w:p>
            <w:pPr>
              <w:adjustRightInd w:val="0"/>
              <w:jc w:val="center"/>
              <w:textAlignment w:val="baseline"/>
              <w:rPr>
                <w:rFonts w:hint="eastAsia" w:ascii="宋体" w:hAnsi="宋体" w:cs="宋体"/>
                <w:sz w:val="24"/>
                <w:szCs w:val="24"/>
              </w:rPr>
            </w:pPr>
            <w:r>
              <w:rPr>
                <w:rFonts w:hint="eastAsia" w:ascii="宋体" w:hAnsi="宋体" w:cs="宋体"/>
                <w:sz w:val="24"/>
                <w:szCs w:val="24"/>
              </w:rPr>
              <w:t>（打分保留1位小数）</w:t>
            </w:r>
          </w:p>
        </w:tc>
        <w:tc>
          <w:tcPr>
            <w:tcW w:w="2100" w:type="dxa"/>
            <w:gridSpan w:val="2"/>
            <w:tcBorders>
              <w:left w:val="single" w:color="auto" w:sz="4" w:space="0"/>
              <w:right w:val="single" w:color="auto" w:sz="4" w:space="0"/>
            </w:tcBorders>
            <w:vAlign w:val="center"/>
          </w:tcPr>
          <w:p>
            <w:pPr>
              <w:numPr>
                <w:ilvl w:val="0"/>
                <w:numId w:val="1"/>
              </w:num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主要施工方案和技术措施（</w:t>
            </w:r>
            <w:r>
              <w:rPr>
                <w:rFonts w:hint="eastAsia" w:hAnsi="宋体" w:cs="宋体"/>
                <w:sz w:val="21"/>
                <w:szCs w:val="21"/>
                <w:lang w:val="en-US" w:eastAsia="zh-CN"/>
              </w:rPr>
              <w:t>8</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方案先进、针对性强、合理；各分项工程方案完整  5-</w:t>
            </w:r>
            <w:r>
              <w:rPr>
                <w:rFonts w:hint="eastAsia" w:hAnsi="宋体" w:cs="宋体"/>
                <w:sz w:val="21"/>
                <w:szCs w:val="21"/>
                <w:lang w:val="en-US" w:eastAsia="zh-CN"/>
              </w:rPr>
              <w:t>8</w:t>
            </w:r>
            <w:r>
              <w:rPr>
                <w:rFonts w:hint="eastAsia" w:ascii="宋体" w:hAnsi="宋体" w:cs="宋体"/>
                <w:sz w:val="21"/>
                <w:szCs w:val="21"/>
              </w:rPr>
              <w:t>分</w:t>
            </w:r>
          </w:p>
          <w:p>
            <w:pPr>
              <w:adjustRightInd w:val="0"/>
              <w:spacing w:line="400" w:lineRule="exact"/>
              <w:ind w:left="4830" w:hanging="4830" w:hangingChars="2300"/>
              <w:jc w:val="left"/>
              <w:textAlignment w:val="baseline"/>
              <w:rPr>
                <w:rFonts w:ascii="宋体" w:hAnsi="宋体" w:cs="宋体"/>
                <w:sz w:val="21"/>
                <w:szCs w:val="21"/>
              </w:rPr>
            </w:pPr>
            <w:r>
              <w:rPr>
                <w:rFonts w:hint="eastAsia" w:ascii="宋体" w:hAnsi="宋体" w:cs="宋体"/>
                <w:sz w:val="21"/>
                <w:szCs w:val="21"/>
              </w:rPr>
              <w:t>方案较先进、合理，但针对性不强；各分项工程方案较完整</w:t>
            </w:r>
          </w:p>
          <w:p>
            <w:pPr>
              <w:adjustRightInd w:val="0"/>
              <w:spacing w:line="400" w:lineRule="exact"/>
              <w:ind w:firstLine="4830" w:firstLineChars="2300"/>
              <w:textAlignment w:val="baseline"/>
              <w:rPr>
                <w:rFonts w:ascii="宋体" w:hAnsi="宋体" w:cs="宋体"/>
                <w:sz w:val="21"/>
                <w:szCs w:val="21"/>
              </w:rPr>
            </w:pPr>
            <w:r>
              <w:rPr>
                <w:rFonts w:hint="eastAsia" w:ascii="宋体" w:hAnsi="宋体" w:cs="宋体"/>
                <w:sz w:val="21"/>
                <w:szCs w:val="21"/>
              </w:rPr>
              <w:t>3-5分</w:t>
            </w:r>
          </w:p>
          <w:p>
            <w:pPr>
              <w:adjustRightInd w:val="0"/>
              <w:spacing w:line="400" w:lineRule="exact"/>
              <w:ind w:left="4830" w:leftChars="0" w:hanging="4830" w:hangingChars="2300"/>
              <w:jc w:val="left"/>
              <w:textAlignment w:val="baseline"/>
              <w:rPr>
                <w:rFonts w:hint="eastAsia" w:ascii="宋体" w:hAnsi="宋体" w:cs="宋体"/>
                <w:sz w:val="21"/>
                <w:szCs w:val="21"/>
              </w:rPr>
            </w:pPr>
            <w:r>
              <w:rPr>
                <w:rFonts w:hint="eastAsia" w:ascii="宋体" w:hAnsi="宋体" w:cs="宋体"/>
                <w:sz w:val="21"/>
                <w:szCs w:val="21"/>
              </w:rPr>
              <w:t>方案欠合理，针对性不强；各分项工程方案不完整  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2、工程施工重点、难点分析及对策（</w:t>
            </w:r>
            <w:r>
              <w:rPr>
                <w:rFonts w:hint="eastAsia" w:hAnsi="宋体" w:cs="宋体"/>
                <w:sz w:val="21"/>
                <w:szCs w:val="21"/>
                <w:lang w:val="en-US" w:eastAsia="zh-CN"/>
              </w:rPr>
              <w:t>5</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 xml:space="preserve">结合工程实际，分析准确、到位及对策有效       </w:t>
            </w:r>
            <w:r>
              <w:rPr>
                <w:rFonts w:hint="eastAsia" w:hAnsi="宋体" w:cs="宋体"/>
                <w:sz w:val="21"/>
                <w:szCs w:val="21"/>
                <w:lang w:val="en-US" w:eastAsia="zh-CN"/>
              </w:rPr>
              <w:t xml:space="preserve"> 3</w:t>
            </w:r>
            <w:r>
              <w:rPr>
                <w:rFonts w:hint="eastAsia" w:ascii="宋体" w:hAnsi="宋体" w:cs="宋体"/>
                <w:sz w:val="21"/>
                <w:szCs w:val="21"/>
              </w:rPr>
              <w:t>-</w:t>
            </w:r>
            <w:r>
              <w:rPr>
                <w:rFonts w:hint="eastAsia" w:hAnsi="宋体" w:cs="宋体"/>
                <w:sz w:val="21"/>
                <w:szCs w:val="21"/>
                <w:lang w:val="en-US" w:eastAsia="zh-CN"/>
              </w:rPr>
              <w:t>5</w:t>
            </w:r>
            <w:r>
              <w:rPr>
                <w:rFonts w:hint="eastAsia" w:ascii="宋体" w:hAnsi="宋体" w:cs="宋体"/>
                <w:sz w:val="21"/>
                <w:szCs w:val="21"/>
              </w:rPr>
              <w:t>分</w:t>
            </w:r>
          </w:p>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 xml:space="preserve">结合工程实际及准确性一般，对策较合理          </w:t>
            </w:r>
            <w:r>
              <w:rPr>
                <w:rFonts w:hint="eastAsia" w:hAnsi="宋体" w:cs="宋体"/>
                <w:sz w:val="21"/>
                <w:szCs w:val="21"/>
                <w:lang w:val="en-US" w:eastAsia="zh-CN"/>
              </w:rPr>
              <w:t>1</w:t>
            </w:r>
            <w:r>
              <w:rPr>
                <w:rFonts w:hint="eastAsia" w:ascii="宋体" w:hAnsi="宋体" w:cs="宋体"/>
                <w:sz w:val="21"/>
                <w:szCs w:val="21"/>
              </w:rPr>
              <w:t>-</w:t>
            </w:r>
            <w:r>
              <w:rPr>
                <w:rFonts w:hint="eastAsia" w:hAnsi="宋体" w:cs="宋体"/>
                <w:sz w:val="21"/>
                <w:szCs w:val="21"/>
                <w:lang w:val="en-US" w:eastAsia="zh-CN"/>
              </w:rPr>
              <w:t>3</w:t>
            </w:r>
            <w:r>
              <w:rPr>
                <w:rFonts w:hint="eastAsia" w:ascii="宋体" w:hAnsi="宋体" w:cs="宋体"/>
                <w:sz w:val="21"/>
                <w:szCs w:val="21"/>
              </w:rPr>
              <w:t>分</w:t>
            </w:r>
          </w:p>
          <w:p>
            <w:pPr>
              <w:pStyle w:val="3"/>
              <w:ind w:right="-183" w:rightChars="-54"/>
              <w:rPr>
                <w:rFonts w:hint="eastAsia" w:ascii="宋体" w:hAnsi="宋体" w:cs="宋体"/>
                <w:sz w:val="21"/>
                <w:szCs w:val="21"/>
              </w:rPr>
            </w:pPr>
            <w:r>
              <w:rPr>
                <w:rFonts w:hint="eastAsia" w:hAnsi="宋体" w:cs="宋体"/>
                <w:kern w:val="2"/>
                <w:sz w:val="21"/>
                <w:szCs w:val="21"/>
              </w:rPr>
              <w:t>结合工程实际及准确性不强，对策不合理          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3、质量管理体系与措施（</w:t>
            </w:r>
            <w:r>
              <w:rPr>
                <w:rFonts w:hint="eastAsia" w:hAnsi="宋体" w:cs="宋体"/>
                <w:sz w:val="21"/>
                <w:szCs w:val="21"/>
                <w:lang w:val="en-US" w:eastAsia="zh-CN"/>
              </w:rPr>
              <w:t>4</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 xml:space="preserve">保证体系完整、措施有力                        </w:t>
            </w:r>
            <w:r>
              <w:rPr>
                <w:rFonts w:hint="eastAsia" w:hAnsi="宋体" w:cs="宋体"/>
                <w:sz w:val="21"/>
                <w:szCs w:val="21"/>
                <w:lang w:val="en-US" w:eastAsia="zh-CN"/>
              </w:rPr>
              <w:t>2</w:t>
            </w:r>
            <w:r>
              <w:rPr>
                <w:rFonts w:hint="eastAsia" w:ascii="宋体" w:hAnsi="宋体" w:cs="宋体"/>
                <w:sz w:val="21"/>
                <w:szCs w:val="21"/>
              </w:rPr>
              <w:t>-</w:t>
            </w:r>
            <w:r>
              <w:rPr>
                <w:rFonts w:hint="eastAsia" w:hAnsi="宋体" w:cs="宋体"/>
                <w:sz w:val="21"/>
                <w:szCs w:val="21"/>
                <w:lang w:val="en-US" w:eastAsia="zh-CN"/>
              </w:rPr>
              <w:t>4</w:t>
            </w:r>
            <w:r>
              <w:rPr>
                <w:rFonts w:hint="eastAsia" w:ascii="宋体" w:hAnsi="宋体" w:cs="宋体"/>
                <w:sz w:val="21"/>
                <w:szCs w:val="21"/>
              </w:rPr>
              <w:t>分</w:t>
            </w:r>
          </w:p>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保证体系及措施较为完整                        0-</w:t>
            </w:r>
            <w:r>
              <w:rPr>
                <w:rFonts w:hint="eastAsia" w:hAnsi="宋体" w:cs="宋体"/>
                <w:sz w:val="21"/>
                <w:szCs w:val="21"/>
                <w:lang w:val="en-US" w:eastAsia="zh-CN"/>
              </w:rPr>
              <w:t>2</w:t>
            </w:r>
            <w:r>
              <w:rPr>
                <w:rFonts w:hint="eastAsia" w:ascii="宋体" w:hAnsi="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4、确保工期的技术组织措施（</w:t>
            </w:r>
            <w:r>
              <w:rPr>
                <w:rFonts w:hint="eastAsia" w:hAnsi="宋体" w:cs="宋体"/>
                <w:sz w:val="21"/>
                <w:szCs w:val="21"/>
                <w:lang w:val="en-US" w:eastAsia="zh-CN"/>
              </w:rPr>
              <w:t>3</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优良（方案科学、合理、安全，考虑周全，措施到位，针对性强，完全能够满足招标工程的施工需求）         1-</w:t>
            </w:r>
            <w:r>
              <w:rPr>
                <w:rFonts w:hint="eastAsia" w:hAnsi="宋体" w:cs="宋体"/>
                <w:sz w:val="21"/>
                <w:szCs w:val="21"/>
                <w:lang w:val="en-US" w:eastAsia="zh-CN"/>
              </w:rPr>
              <w:t>3</w:t>
            </w:r>
            <w:r>
              <w:rPr>
                <w:rFonts w:hint="eastAsia" w:ascii="宋体" w:hAnsi="宋体" w:cs="宋体"/>
                <w:sz w:val="21"/>
                <w:szCs w:val="21"/>
              </w:rPr>
              <w:t>分</w:t>
            </w:r>
          </w:p>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一般（方案基本科学、合理、安全，考虑比较周全，措施基本到位，针对性较强，可以满足招标工程的施工要求，但有个别细节需要进一步完善或提高）            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5、安全、文明、环保管理体系与措施（</w:t>
            </w:r>
            <w:r>
              <w:rPr>
                <w:rFonts w:hint="eastAsia" w:hAnsi="宋体" w:cs="宋体"/>
                <w:sz w:val="21"/>
                <w:szCs w:val="21"/>
                <w:lang w:val="en-US" w:eastAsia="zh-CN"/>
              </w:rPr>
              <w:t>3</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措施有针对性、合理、可实施性强                1-</w:t>
            </w:r>
            <w:r>
              <w:rPr>
                <w:rFonts w:hint="eastAsia" w:hAnsi="宋体" w:cs="宋体"/>
                <w:sz w:val="21"/>
                <w:szCs w:val="21"/>
                <w:lang w:val="en-US" w:eastAsia="zh-CN"/>
              </w:rPr>
              <w:t>3</w:t>
            </w:r>
            <w:r>
              <w:rPr>
                <w:rFonts w:hint="eastAsia" w:ascii="宋体" w:hAnsi="宋体" w:cs="宋体"/>
                <w:sz w:val="21"/>
                <w:szCs w:val="21"/>
              </w:rPr>
              <w:t>分</w:t>
            </w:r>
          </w:p>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措施较有针对性、合理，基本可实施              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6、组织机构及管理人员、资源配备计划（</w:t>
            </w:r>
            <w:r>
              <w:rPr>
                <w:rFonts w:hint="eastAsia" w:hAnsi="宋体" w:cs="宋体"/>
                <w:sz w:val="21"/>
                <w:szCs w:val="21"/>
                <w:lang w:val="en-US" w:eastAsia="zh-CN"/>
              </w:rPr>
              <w:t>3</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组织机构模式完全满足工程施工需要，各部门责任、任务明确；劳动力配备计划及主要施工机械配备计划合理、可行1-</w:t>
            </w:r>
            <w:r>
              <w:rPr>
                <w:rFonts w:hint="eastAsia" w:hAnsi="宋体" w:cs="宋体"/>
                <w:sz w:val="21"/>
                <w:szCs w:val="21"/>
                <w:lang w:val="en-US" w:eastAsia="zh-CN"/>
              </w:rPr>
              <w:t>3</w:t>
            </w:r>
            <w:r>
              <w:rPr>
                <w:rFonts w:hint="eastAsia" w:ascii="宋体" w:hAnsi="宋体" w:cs="宋体"/>
                <w:sz w:val="21"/>
                <w:szCs w:val="21"/>
              </w:rPr>
              <w:t xml:space="preserve">分                                                                                           </w:t>
            </w:r>
          </w:p>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组织机构模式基本满足工程施工需要，各部门责任、任务明确；劳动力配备计划及主要施工机械配备计划基本合理、可行</w:t>
            </w:r>
            <w:r>
              <w:rPr>
                <w:rFonts w:hint="eastAsia" w:hAnsi="宋体" w:cs="宋体"/>
                <w:sz w:val="21"/>
                <w:szCs w:val="21"/>
                <w:lang w:val="en-US" w:eastAsia="zh-CN"/>
              </w:rPr>
              <w:t xml:space="preserve">  </w:t>
            </w:r>
            <w:r>
              <w:rPr>
                <w:rFonts w:hint="eastAsia" w:ascii="宋体" w:hAnsi="宋体" w:cs="宋体"/>
                <w:sz w:val="21"/>
                <w:szCs w:val="21"/>
              </w:rPr>
              <w:t>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7、冬雨季施工、施工排水措施（</w:t>
            </w:r>
            <w:r>
              <w:rPr>
                <w:rFonts w:hint="eastAsia" w:hAnsi="宋体" w:cs="宋体"/>
                <w:sz w:val="21"/>
                <w:szCs w:val="21"/>
                <w:lang w:val="en-US" w:eastAsia="zh-CN"/>
              </w:rPr>
              <w:t>3</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措施有针对性、合理、可实施性强               1-</w:t>
            </w:r>
            <w:r>
              <w:rPr>
                <w:rFonts w:hint="eastAsia" w:hAnsi="宋体" w:cs="宋体"/>
                <w:sz w:val="21"/>
                <w:szCs w:val="21"/>
                <w:lang w:val="en-US" w:eastAsia="zh-CN"/>
              </w:rPr>
              <w:t>3</w:t>
            </w:r>
            <w:r>
              <w:rPr>
                <w:rFonts w:hint="eastAsia" w:ascii="宋体" w:hAnsi="宋体" w:cs="宋体"/>
                <w:sz w:val="21"/>
                <w:szCs w:val="21"/>
              </w:rPr>
              <w:t>分</w:t>
            </w:r>
          </w:p>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措施较一般、针对性和实施性一般               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8、紧急情况的处理措施、应急预案及风险控制（</w:t>
            </w:r>
            <w:r>
              <w:rPr>
                <w:rFonts w:hint="eastAsia" w:hAnsi="宋体" w:cs="宋体"/>
                <w:sz w:val="21"/>
                <w:szCs w:val="21"/>
                <w:lang w:val="en-US" w:eastAsia="zh-CN"/>
              </w:rPr>
              <w:t>3</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紧急情况处理措施考虑周全、到位，针对性强      1-</w:t>
            </w:r>
            <w:r>
              <w:rPr>
                <w:rFonts w:hint="eastAsia" w:hAnsi="宋体" w:cs="宋体"/>
                <w:sz w:val="21"/>
                <w:szCs w:val="21"/>
                <w:lang w:val="en-US" w:eastAsia="zh-CN"/>
              </w:rPr>
              <w:t>3</w:t>
            </w:r>
            <w:r>
              <w:rPr>
                <w:rFonts w:hint="eastAsia" w:ascii="宋体" w:hAnsi="宋体" w:cs="宋体"/>
                <w:sz w:val="21"/>
                <w:szCs w:val="21"/>
              </w:rPr>
              <w:t>分</w:t>
            </w:r>
          </w:p>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紧急情况处理措施考虑比较周全、基本到位，针对性较强</w:t>
            </w:r>
          </w:p>
          <w:p>
            <w:pPr>
              <w:adjustRightInd w:val="0"/>
              <w:spacing w:line="400" w:lineRule="exact"/>
              <w:ind w:firstLine="4830" w:firstLineChars="2300"/>
              <w:jc w:val="left"/>
              <w:textAlignment w:val="baseline"/>
              <w:rPr>
                <w:rFonts w:hint="eastAsia" w:ascii="宋体" w:hAnsi="宋体" w:cs="宋体"/>
                <w:sz w:val="21"/>
                <w:szCs w:val="21"/>
              </w:rPr>
            </w:pPr>
            <w:r>
              <w:rPr>
                <w:rFonts w:hint="eastAsia" w:ascii="宋体" w:hAnsi="宋体" w:cs="宋体"/>
                <w:sz w:val="21"/>
                <w:szCs w:val="21"/>
              </w:rPr>
              <w:t>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ascii="宋体" w:hAnsi="宋体" w:cs="宋体"/>
                <w:sz w:val="21"/>
                <w:szCs w:val="21"/>
              </w:rPr>
            </w:pPr>
            <w:r>
              <w:rPr>
                <w:rFonts w:hint="eastAsia" w:ascii="宋体" w:hAnsi="宋体" w:cs="宋体"/>
                <w:sz w:val="21"/>
                <w:szCs w:val="21"/>
              </w:rPr>
              <w:t>9、合理化建议</w:t>
            </w:r>
          </w:p>
          <w:p>
            <w:p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w:t>
            </w:r>
            <w:r>
              <w:rPr>
                <w:rFonts w:hint="eastAsia" w:hAnsi="宋体" w:cs="宋体"/>
                <w:sz w:val="21"/>
                <w:szCs w:val="21"/>
                <w:lang w:val="en-US" w:eastAsia="zh-CN"/>
              </w:rPr>
              <w:t>3</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新技术的应用及在缩短工期、降低工程费用、提高工程质量等方面具有可操作性、合理化建议切实可行          1-</w:t>
            </w:r>
            <w:r>
              <w:rPr>
                <w:rFonts w:hint="eastAsia" w:hAnsi="宋体" w:cs="宋体"/>
                <w:sz w:val="21"/>
                <w:szCs w:val="21"/>
                <w:lang w:val="en-US" w:eastAsia="zh-CN"/>
              </w:rPr>
              <w:t>3</w:t>
            </w:r>
            <w:r>
              <w:rPr>
                <w:rFonts w:hint="eastAsia" w:ascii="宋体" w:hAnsi="宋体" w:cs="宋体"/>
                <w:sz w:val="21"/>
                <w:szCs w:val="21"/>
              </w:rPr>
              <w:t>分</w:t>
            </w:r>
          </w:p>
          <w:p>
            <w:pPr>
              <w:pStyle w:val="3"/>
              <w:ind w:right="63" w:rightChars="0"/>
              <w:rPr>
                <w:rFonts w:hint="eastAsia" w:ascii="宋体" w:hAnsi="宋体" w:cs="宋体"/>
                <w:sz w:val="21"/>
                <w:szCs w:val="21"/>
              </w:rPr>
            </w:pPr>
            <w:r>
              <w:rPr>
                <w:rFonts w:hint="eastAsia" w:hAnsi="宋体" w:cs="宋体"/>
                <w:kern w:val="2"/>
                <w:sz w:val="21"/>
                <w:szCs w:val="21"/>
              </w:rPr>
              <w:t>新技术的应用及在缩短工期、降低工程费用、提高工程质量等方面可操作性一般、合理化建议基本可行        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ascii="宋体" w:hAnsi="宋体" w:cs="宋体"/>
                <w:sz w:val="21"/>
                <w:szCs w:val="21"/>
              </w:rPr>
            </w:pPr>
            <w:r>
              <w:rPr>
                <w:rFonts w:hint="eastAsia" w:ascii="宋体" w:hAnsi="宋体" w:cs="宋体"/>
                <w:sz w:val="21"/>
                <w:szCs w:val="21"/>
              </w:rPr>
              <w:t>10、创新技术</w:t>
            </w:r>
          </w:p>
          <w:p>
            <w:p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w:t>
            </w:r>
            <w:r>
              <w:rPr>
                <w:rFonts w:hint="eastAsia" w:hAnsi="宋体" w:cs="宋体"/>
                <w:sz w:val="21"/>
                <w:szCs w:val="21"/>
                <w:lang w:val="en-US" w:eastAsia="zh-CN"/>
              </w:rPr>
              <w:t>3</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在节能减排、绿色施工、工艺创新方面针对本工程有具体的措施或企业自有创新           1-</w:t>
            </w:r>
            <w:r>
              <w:rPr>
                <w:rFonts w:hint="eastAsia" w:ascii="宋体" w:hAnsi="宋体" w:cs="宋体"/>
                <w:sz w:val="21"/>
                <w:szCs w:val="21"/>
                <w:lang w:val="en-US" w:eastAsia="zh-CN"/>
              </w:rPr>
              <w:t>3</w:t>
            </w:r>
            <w:r>
              <w:rPr>
                <w:rFonts w:hint="eastAsia" w:ascii="宋体" w:hAnsi="宋体" w:cs="宋体"/>
                <w:sz w:val="21"/>
                <w:szCs w:val="21"/>
              </w:rPr>
              <w:t>分</w:t>
            </w:r>
          </w:p>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在节能减排、绿色施工、工艺创新方面针对本工程的措施一般</w:t>
            </w:r>
            <w:r>
              <w:rPr>
                <w:rFonts w:hint="eastAsia" w:hAnsi="宋体" w:cs="宋体"/>
                <w:sz w:val="21"/>
                <w:szCs w:val="21"/>
                <w:lang w:val="en-US" w:eastAsia="zh-CN"/>
              </w:rPr>
              <w:t xml:space="preserve">  </w:t>
            </w:r>
            <w:r>
              <w:rPr>
                <w:rFonts w:hint="eastAsia" w:ascii="宋体" w:hAnsi="宋体" w:cs="宋体"/>
                <w:sz w:val="21"/>
                <w:szCs w:val="21"/>
              </w:rPr>
              <w:t xml:space="preserve"> 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1"/>
                <w:szCs w:val="21"/>
                <w:lang w:val="en-US" w:eastAsia="zh-CN" w:bidi="ar-SA"/>
              </w:rPr>
            </w:pPr>
            <w:r>
              <w:rPr>
                <w:rFonts w:hint="eastAsia" w:ascii="宋体" w:hAnsi="宋体" w:cs="宋体"/>
                <w:sz w:val="21"/>
                <w:szCs w:val="21"/>
              </w:rPr>
              <w:t>11、扬尘治理措施（2分）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ascii="宋体" w:hAnsi="宋体" w:cs="宋体"/>
                <w:sz w:val="21"/>
                <w:szCs w:val="21"/>
              </w:rPr>
            </w:pPr>
            <w:r>
              <w:rPr>
                <w:rFonts w:hint="eastAsia" w:ascii="宋体" w:hAnsi="宋体" w:cs="宋体"/>
                <w:sz w:val="21"/>
                <w:szCs w:val="21"/>
              </w:rPr>
              <w:t>措施有针对性、合理、可实施性强                1-2分</w:t>
            </w:r>
          </w:p>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措施较合理、针对性和实施性一般                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747" w:type="dxa"/>
            <w:gridSpan w:val="7"/>
            <w:tcBorders>
              <w:right w:val="single" w:color="auto" w:sz="4" w:space="0"/>
            </w:tcBorders>
            <w:vAlign w:val="center"/>
          </w:tcPr>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注：1.评委依据施工组织设计编制的内容是否齐全、适用、符合规范等在各分项区间进行打分；</w:t>
            </w:r>
          </w:p>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2.以上各分项若有缺项，该分项为0分。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restart"/>
            <w:tcBorders>
              <w:right w:val="single" w:color="auto" w:sz="4" w:space="0"/>
            </w:tcBorders>
            <w:vAlign w:val="center"/>
          </w:tcPr>
          <w:p>
            <w:pPr>
              <w:adjustRightInd w:val="0"/>
              <w:jc w:val="center"/>
              <w:textAlignment w:val="baseline"/>
              <w:rPr>
                <w:rFonts w:hint="default" w:ascii="宋体" w:hAnsi="宋体" w:eastAsia="宋体" w:cs="宋体"/>
                <w:sz w:val="24"/>
                <w:szCs w:val="24"/>
                <w:lang w:val="en-US" w:eastAsia="zh-CN"/>
              </w:rPr>
            </w:pPr>
            <w:r>
              <w:rPr>
                <w:rFonts w:hint="eastAsia" w:hAnsi="宋体" w:cs="宋体"/>
                <w:sz w:val="24"/>
                <w:szCs w:val="24"/>
                <w:lang w:val="en-US" w:eastAsia="zh-CN"/>
              </w:rPr>
              <w:t>2.2.4（2）</w:t>
            </w:r>
          </w:p>
        </w:tc>
        <w:tc>
          <w:tcPr>
            <w:tcW w:w="995" w:type="dxa"/>
            <w:gridSpan w:val="2"/>
            <w:vMerge w:val="restart"/>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r>
              <w:rPr>
                <w:rFonts w:hint="eastAsia" w:ascii="宋体" w:hAnsi="宋体" w:cs="宋体"/>
                <w:sz w:val="24"/>
                <w:szCs w:val="24"/>
              </w:rPr>
              <w:t>企业综合实力</w:t>
            </w:r>
          </w:p>
          <w:p>
            <w:pPr>
              <w:adjustRightInd w:val="0"/>
              <w:jc w:val="center"/>
              <w:textAlignment w:val="baseline"/>
              <w:rPr>
                <w:rFonts w:hint="eastAsia" w:ascii="宋体" w:hAnsi="宋体" w:cs="宋体"/>
                <w:sz w:val="24"/>
                <w:szCs w:val="24"/>
              </w:rPr>
            </w:pPr>
            <w:r>
              <w:rPr>
                <w:rFonts w:hint="eastAsia" w:ascii="宋体" w:hAnsi="宋体" w:cs="宋体"/>
                <w:sz w:val="24"/>
                <w:szCs w:val="24"/>
              </w:rPr>
              <w:t>30分</w:t>
            </w:r>
          </w:p>
          <w:p>
            <w:pPr>
              <w:adjustRightInd w:val="0"/>
              <w:jc w:val="center"/>
              <w:textAlignment w:val="baseline"/>
              <w:rPr>
                <w:rFonts w:hint="eastAsia" w:ascii="宋体" w:hAnsi="宋体" w:cs="宋体"/>
                <w:sz w:val="24"/>
                <w:szCs w:val="24"/>
              </w:rPr>
            </w:pPr>
            <w:r>
              <w:rPr>
                <w:rFonts w:hint="eastAsia" w:ascii="宋体" w:hAnsi="宋体" w:cs="宋体"/>
                <w:sz w:val="24"/>
                <w:szCs w:val="24"/>
              </w:rPr>
              <w:t>（打分保留1位小数</w:t>
            </w: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eastAsia="宋体" w:cs="宋体"/>
                <w:sz w:val="21"/>
                <w:szCs w:val="21"/>
                <w:lang w:eastAsia="zh-CN"/>
              </w:rPr>
            </w:pPr>
            <w:r>
              <w:rPr>
                <w:rFonts w:hint="eastAsia" w:ascii="宋体" w:hAnsi="宋体" w:cs="宋体"/>
                <w:sz w:val="21"/>
                <w:szCs w:val="21"/>
              </w:rPr>
              <w:t>项目班子配备</w:t>
            </w:r>
            <w:r>
              <w:rPr>
                <w:rFonts w:hint="eastAsia" w:hAnsi="宋体" w:cs="宋体"/>
                <w:sz w:val="21"/>
                <w:szCs w:val="21"/>
                <w:lang w:eastAsia="zh-CN"/>
              </w:rPr>
              <w:t>（</w:t>
            </w:r>
            <w:r>
              <w:rPr>
                <w:rFonts w:hint="eastAsia" w:hAnsi="宋体" w:cs="宋体"/>
                <w:sz w:val="21"/>
                <w:szCs w:val="21"/>
                <w:lang w:val="en-US" w:eastAsia="zh-CN"/>
              </w:rPr>
              <w:t>0-6</w:t>
            </w:r>
            <w:r>
              <w:rPr>
                <w:rFonts w:hint="eastAsia" w:hAnsi="宋体" w:cs="宋体"/>
                <w:sz w:val="21"/>
                <w:szCs w:val="21"/>
                <w:lang w:eastAsia="zh-CN"/>
              </w:rPr>
              <w:t>）</w:t>
            </w:r>
          </w:p>
        </w:tc>
        <w:tc>
          <w:tcPr>
            <w:tcW w:w="5693"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pacing w:line="400" w:lineRule="exact"/>
              <w:jc w:val="left"/>
              <w:textAlignment w:val="baseline"/>
              <w:rPr>
                <w:rFonts w:hint="default" w:ascii="宋体" w:hAnsi="宋体" w:eastAsia="宋体" w:cs="宋体"/>
                <w:sz w:val="21"/>
                <w:szCs w:val="21"/>
                <w:lang w:val="en-US" w:eastAsia="zh-CN"/>
              </w:rPr>
            </w:pPr>
            <w:r>
              <w:rPr>
                <w:rFonts w:hint="eastAsia" w:hAnsi="宋体" w:cs="宋体"/>
                <w:sz w:val="21"/>
                <w:szCs w:val="21"/>
                <w:lang w:val="en-US" w:eastAsia="zh-CN"/>
              </w:rPr>
              <w:t>1、技术负责人具有中级职称者得1分，高级职称者得2分。</w:t>
            </w:r>
          </w:p>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2、施工员、质量员、安全员、材料员、资料员齐全者得4分，缺任何1项，本项得0分。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cs="宋体"/>
                <w:sz w:val="21"/>
                <w:szCs w:val="21"/>
              </w:rPr>
            </w:pPr>
            <w:r>
              <w:rPr>
                <w:rFonts w:hint="eastAsia" w:ascii="宋体" w:hAnsi="宋体" w:cs="宋体"/>
                <w:sz w:val="21"/>
                <w:szCs w:val="21"/>
              </w:rPr>
              <w:t>项目负责人业绩</w:t>
            </w:r>
          </w:p>
          <w:p>
            <w:pPr>
              <w:adjustRightInd w:val="0"/>
              <w:spacing w:line="400" w:lineRule="exact"/>
              <w:jc w:val="center"/>
              <w:textAlignment w:val="baseline"/>
              <w:rPr>
                <w:rFonts w:hint="eastAsia" w:ascii="宋体" w:hAnsi="宋体" w:cs="宋体"/>
                <w:sz w:val="21"/>
                <w:szCs w:val="21"/>
              </w:rPr>
            </w:pPr>
            <w:r>
              <w:rPr>
                <w:rFonts w:hint="eastAsia" w:ascii="宋体" w:hAnsi="宋体" w:cs="宋体"/>
                <w:sz w:val="21"/>
                <w:szCs w:val="21"/>
              </w:rPr>
              <w:t>（0-</w:t>
            </w:r>
            <w:r>
              <w:rPr>
                <w:rFonts w:hint="eastAsia" w:hAnsi="宋体" w:cs="宋体"/>
                <w:sz w:val="21"/>
                <w:szCs w:val="21"/>
                <w:lang w:val="en-US" w:eastAsia="zh-CN"/>
              </w:rPr>
              <w:t>4</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hint="eastAsia" w:ascii="宋体" w:hAnsi="宋体" w:cs="宋体"/>
                <w:sz w:val="21"/>
                <w:szCs w:val="21"/>
              </w:rPr>
            </w:pPr>
            <w:r>
              <w:rPr>
                <w:rFonts w:hint="eastAsia" w:ascii="宋体" w:hAnsi="宋体" w:cs="宋体"/>
                <w:sz w:val="21"/>
                <w:szCs w:val="21"/>
              </w:rPr>
              <w:t>拟派项目负责人近年来具有施工类似业绩者，</w:t>
            </w:r>
            <w:r>
              <w:rPr>
                <w:rFonts w:hint="eastAsia" w:hAnsi="宋体" w:cs="宋体"/>
                <w:sz w:val="21"/>
                <w:szCs w:val="21"/>
                <w:lang w:val="en-US" w:eastAsia="zh-CN"/>
              </w:rPr>
              <w:t>每项</w:t>
            </w:r>
            <w:r>
              <w:rPr>
                <w:rFonts w:hint="eastAsia" w:ascii="宋体" w:hAnsi="宋体" w:cs="宋体"/>
                <w:sz w:val="21"/>
                <w:szCs w:val="21"/>
              </w:rPr>
              <w:t>得</w:t>
            </w:r>
            <w:r>
              <w:rPr>
                <w:rFonts w:hint="eastAsia" w:hAnsi="宋体" w:cs="宋体"/>
                <w:sz w:val="21"/>
                <w:szCs w:val="21"/>
                <w:lang w:val="en-US" w:eastAsia="zh-CN"/>
              </w:rPr>
              <w:t>4</w:t>
            </w:r>
            <w:r>
              <w:rPr>
                <w:rFonts w:hint="eastAsia" w:ascii="宋体" w:hAnsi="宋体" w:cs="宋体"/>
                <w:sz w:val="21"/>
                <w:szCs w:val="21"/>
              </w:rPr>
              <w:t>分</w:t>
            </w:r>
            <w:r>
              <w:rPr>
                <w:rFonts w:hint="eastAsia" w:hAnsi="宋体" w:cs="宋体"/>
                <w:sz w:val="21"/>
                <w:szCs w:val="21"/>
                <w:lang w:eastAsia="zh-CN"/>
              </w:rPr>
              <w:t>，</w:t>
            </w:r>
            <w:r>
              <w:rPr>
                <w:rFonts w:hint="eastAsia" w:hAnsi="宋体" w:cs="宋体"/>
                <w:sz w:val="21"/>
                <w:szCs w:val="21"/>
                <w:lang w:val="en-US" w:eastAsia="zh-CN"/>
              </w:rPr>
              <w:t>最高得4分</w:t>
            </w:r>
            <w:r>
              <w:rPr>
                <w:rFonts w:hint="eastAsia" w:ascii="宋体" w:hAnsi="宋体" w:cs="宋体"/>
                <w:sz w:val="21"/>
                <w:szCs w:val="21"/>
              </w:rPr>
              <w:t>。（须提供合同、中标通知书或竣工</w:t>
            </w:r>
            <w:r>
              <w:rPr>
                <w:rFonts w:hint="eastAsia" w:hAnsi="宋体" w:cs="宋体"/>
                <w:sz w:val="21"/>
                <w:szCs w:val="21"/>
                <w:lang w:val="en-US" w:eastAsia="zh-CN"/>
              </w:rPr>
              <w:t>备</w:t>
            </w:r>
            <w:r>
              <w:rPr>
                <w:rFonts w:hint="eastAsia" w:ascii="宋体" w:hAnsi="宋体" w:cs="宋体"/>
                <w:sz w:val="21"/>
                <w:szCs w:val="21"/>
              </w:rPr>
              <w:t>案表、合同，若上述资料不显示项目负责人姓名，还须同时提供相关证明文件）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cs="宋体"/>
                <w:sz w:val="21"/>
                <w:szCs w:val="21"/>
              </w:rPr>
            </w:pPr>
            <w:r>
              <w:rPr>
                <w:rFonts w:hint="eastAsia" w:ascii="宋体" w:hAnsi="宋体" w:cs="宋体"/>
                <w:sz w:val="21"/>
                <w:szCs w:val="21"/>
              </w:rPr>
              <w:t>企业综合信用</w:t>
            </w:r>
          </w:p>
          <w:p>
            <w:pPr>
              <w:adjustRightInd w:val="0"/>
              <w:spacing w:line="400" w:lineRule="exact"/>
              <w:jc w:val="center"/>
              <w:textAlignment w:val="baseline"/>
              <w:rPr>
                <w:rFonts w:hint="eastAsia" w:ascii="宋体" w:hAnsi="宋体" w:cs="宋体"/>
                <w:sz w:val="21"/>
                <w:szCs w:val="21"/>
              </w:rPr>
            </w:pPr>
            <w:r>
              <w:rPr>
                <w:rFonts w:hint="eastAsia" w:ascii="宋体" w:hAnsi="宋体" w:cs="宋体"/>
                <w:sz w:val="21"/>
                <w:szCs w:val="21"/>
              </w:rPr>
              <w:t>（0-1</w:t>
            </w:r>
            <w:r>
              <w:rPr>
                <w:rFonts w:hint="eastAsia" w:hAnsi="宋体" w:cs="宋体"/>
                <w:sz w:val="21"/>
                <w:szCs w:val="21"/>
                <w:lang w:val="en-US" w:eastAsia="zh-CN"/>
              </w:rPr>
              <w:t>4</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pacing w:line="400" w:lineRule="exact"/>
              <w:jc w:val="left"/>
              <w:textAlignment w:val="baseline"/>
              <w:rPr>
                <w:rFonts w:hint="eastAsia" w:hAnsi="宋体" w:cs="宋体"/>
                <w:sz w:val="21"/>
                <w:szCs w:val="21"/>
                <w:lang w:val="en-US" w:eastAsia="zh-CN"/>
              </w:rPr>
            </w:pPr>
            <w:r>
              <w:rPr>
                <w:rFonts w:hint="eastAsia" w:hAnsi="宋体" w:cs="宋体"/>
                <w:sz w:val="21"/>
                <w:szCs w:val="21"/>
                <w:lang w:val="en-US" w:eastAsia="zh-CN"/>
              </w:rPr>
              <w:t>投标人2017年1月1日以来获得市级及以上建筑业先进企业、安全管理先进企业称号的，每项得1分，满分2分。</w:t>
            </w:r>
          </w:p>
          <w:p>
            <w:pPr>
              <w:numPr>
                <w:ilvl w:val="0"/>
                <w:numId w:val="0"/>
              </w:numPr>
              <w:adjustRightInd w:val="0"/>
              <w:spacing w:line="400" w:lineRule="exact"/>
              <w:jc w:val="left"/>
              <w:textAlignment w:val="baseline"/>
              <w:rPr>
                <w:rFonts w:hint="eastAsia" w:hAnsi="宋体" w:cs="宋体"/>
                <w:sz w:val="21"/>
                <w:szCs w:val="21"/>
                <w:lang w:val="en-US" w:eastAsia="zh-CN"/>
              </w:rPr>
            </w:pPr>
            <w:r>
              <w:rPr>
                <w:rFonts w:hint="eastAsia" w:hAnsi="宋体" w:cs="宋体"/>
                <w:sz w:val="21"/>
                <w:szCs w:val="21"/>
                <w:lang w:val="en-US" w:eastAsia="zh-CN"/>
              </w:rPr>
              <w:t>2、投标人通过AAA信用等级认证且在有效期内的，得4分。</w:t>
            </w:r>
          </w:p>
          <w:p>
            <w:pPr>
              <w:numPr>
                <w:ilvl w:val="0"/>
                <w:numId w:val="0"/>
              </w:numPr>
              <w:adjustRightInd w:val="0"/>
              <w:spacing w:line="400" w:lineRule="exact"/>
              <w:jc w:val="left"/>
              <w:textAlignment w:val="baseline"/>
              <w:rPr>
                <w:rFonts w:hint="eastAsia" w:hAnsi="宋体" w:cs="宋体"/>
                <w:sz w:val="21"/>
                <w:szCs w:val="21"/>
                <w:lang w:val="en-US" w:eastAsia="zh-CN"/>
              </w:rPr>
            </w:pPr>
            <w:r>
              <w:rPr>
                <w:rFonts w:hint="eastAsia" w:hAnsi="宋体" w:cs="宋体"/>
                <w:sz w:val="21"/>
                <w:szCs w:val="21"/>
                <w:lang w:val="en-US" w:eastAsia="zh-CN"/>
              </w:rPr>
              <w:t>3、投标企业近年来具有单项合同金额壹亿元及以上的建筑工程类项目业绩者，每项得2分，本项满分4分。（</w:t>
            </w:r>
            <w:r>
              <w:rPr>
                <w:rFonts w:hint="eastAsia" w:ascii="宋体" w:hAnsi="宋体" w:cs="宋体"/>
                <w:sz w:val="21"/>
                <w:szCs w:val="21"/>
              </w:rPr>
              <w:t>须提供合同、中标通知书或竣工</w:t>
            </w:r>
            <w:r>
              <w:rPr>
                <w:rFonts w:hint="eastAsia" w:hAnsi="宋体" w:cs="宋体"/>
                <w:sz w:val="21"/>
                <w:szCs w:val="21"/>
                <w:lang w:val="en-US" w:eastAsia="zh-CN"/>
              </w:rPr>
              <w:t>备</w:t>
            </w:r>
            <w:r>
              <w:rPr>
                <w:rFonts w:hint="eastAsia" w:ascii="宋体" w:hAnsi="宋体" w:cs="宋体"/>
                <w:sz w:val="21"/>
                <w:szCs w:val="21"/>
              </w:rPr>
              <w:t>案表、合同</w:t>
            </w:r>
            <w:r>
              <w:rPr>
                <w:rFonts w:hint="eastAsia" w:hAnsi="宋体" w:cs="宋体"/>
                <w:sz w:val="21"/>
                <w:szCs w:val="21"/>
                <w:lang w:val="en-US" w:eastAsia="zh-CN"/>
              </w:rPr>
              <w:t>）</w:t>
            </w:r>
          </w:p>
          <w:p>
            <w:pPr>
              <w:numPr>
                <w:ilvl w:val="0"/>
                <w:numId w:val="0"/>
              </w:numPr>
              <w:adjustRightInd w:val="0"/>
              <w:spacing w:line="400" w:lineRule="exact"/>
              <w:jc w:val="left"/>
              <w:textAlignment w:val="baseline"/>
              <w:rPr>
                <w:rFonts w:hint="default"/>
                <w:lang w:val="en-US"/>
              </w:rPr>
            </w:pPr>
            <w:r>
              <w:rPr>
                <w:rFonts w:hint="eastAsia" w:hAnsi="宋体" w:cs="宋体"/>
                <w:sz w:val="21"/>
                <w:szCs w:val="21"/>
                <w:lang w:val="en-US" w:eastAsia="zh-CN"/>
              </w:rPr>
              <w:t>4、投标人提交2016、2017、2018（或2017、2018、2019）年度经中介机构审计的财务报告，要素齐全，真实完整，根据其注册资本、财产总额、资产负债率、主营业务收入、利润总额、税金等情况综合评定、得1-4分。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959" w:type="dxa"/>
            <w:gridSpan w:val="2"/>
            <w:vMerge w:val="continue"/>
            <w:tcBorders>
              <w:right w:val="single" w:color="auto" w:sz="4" w:space="0"/>
            </w:tcBorders>
            <w:vAlign w:val="center"/>
          </w:tcPr>
          <w:p>
            <w:pPr>
              <w:adjustRightInd w:val="0"/>
              <w:jc w:val="center"/>
              <w:textAlignment w:val="baseline"/>
              <w:rPr>
                <w:rFonts w:hint="eastAsia" w:ascii="宋体" w:hAnsi="宋体" w:cs="宋体"/>
                <w:sz w:val="24"/>
                <w:szCs w:val="24"/>
              </w:rPr>
            </w:pPr>
          </w:p>
        </w:tc>
        <w:tc>
          <w:tcPr>
            <w:tcW w:w="995" w:type="dxa"/>
            <w:gridSpan w:val="2"/>
            <w:vMerge w:val="continue"/>
            <w:tcBorders>
              <w:left w:val="single" w:color="auto" w:sz="4" w:space="0"/>
              <w:right w:val="single" w:color="auto" w:sz="4" w:space="0"/>
            </w:tcBorders>
            <w:vAlign w:val="center"/>
          </w:tcPr>
          <w:p>
            <w:pPr>
              <w:adjustRightInd w:val="0"/>
              <w:jc w:val="center"/>
              <w:textAlignment w:val="baseline"/>
              <w:rPr>
                <w:rFonts w:hint="eastAsia" w:ascii="宋体" w:hAnsi="宋体" w:cs="宋体"/>
                <w:sz w:val="24"/>
                <w:szCs w:val="24"/>
              </w:rPr>
            </w:pPr>
          </w:p>
        </w:tc>
        <w:tc>
          <w:tcPr>
            <w:tcW w:w="2100" w:type="dxa"/>
            <w:gridSpan w:val="2"/>
            <w:tcBorders>
              <w:left w:val="single" w:color="auto" w:sz="4" w:space="0"/>
              <w:right w:val="single" w:color="auto" w:sz="4" w:space="0"/>
            </w:tcBorders>
            <w:vAlign w:val="center"/>
          </w:tcPr>
          <w:p>
            <w:pPr>
              <w:adjustRightInd w:val="0"/>
              <w:spacing w:line="400" w:lineRule="exact"/>
              <w:jc w:val="center"/>
              <w:textAlignment w:val="baseline"/>
              <w:rPr>
                <w:rFonts w:hint="eastAsia" w:ascii="宋体" w:hAnsi="宋体" w:cs="宋体"/>
                <w:sz w:val="21"/>
                <w:szCs w:val="21"/>
              </w:rPr>
            </w:pPr>
            <w:r>
              <w:rPr>
                <w:rFonts w:hint="eastAsia" w:ascii="宋体" w:hAnsi="宋体" w:cs="宋体"/>
                <w:sz w:val="21"/>
                <w:szCs w:val="21"/>
              </w:rPr>
              <w:t>服务承诺（0-</w:t>
            </w:r>
            <w:r>
              <w:rPr>
                <w:rFonts w:hint="eastAsia" w:hAnsi="宋体" w:cs="宋体"/>
                <w:sz w:val="21"/>
                <w:szCs w:val="21"/>
                <w:lang w:val="en-US" w:eastAsia="zh-CN"/>
              </w:rPr>
              <w:t>6</w:t>
            </w:r>
            <w:r>
              <w:rPr>
                <w:rFonts w:hint="eastAsia" w:ascii="宋体" w:hAnsi="宋体" w:cs="宋体"/>
                <w:sz w:val="21"/>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textAlignment w:val="baseline"/>
              <w:rPr>
                <w:rFonts w:hint="eastAsia" w:ascii="宋体" w:hAnsi="宋体" w:cs="宋体"/>
                <w:sz w:val="21"/>
                <w:szCs w:val="21"/>
              </w:rPr>
            </w:pPr>
            <w:r>
              <w:rPr>
                <w:rFonts w:hint="eastAsia" w:asciiTheme="minorEastAsia" w:hAnsiTheme="minorEastAsia" w:eastAsiaTheme="minorEastAsia" w:cstheme="minorEastAsia"/>
                <w:kern w:val="2"/>
                <w:sz w:val="21"/>
                <w:szCs w:val="21"/>
              </w:rPr>
              <w:t>投标人针对招标项目的特点和要求，结合自身条件和潜力为招标人排忧解难，由评委根据标书的具体内容酌情打分（0-</w:t>
            </w:r>
            <w:r>
              <w:rPr>
                <w:rFonts w:hint="eastAsia" w:asciiTheme="minorEastAsia" w:hAnsiTheme="minorEastAsia" w:eastAsiaTheme="minorEastAsia" w:cstheme="minorEastAsia"/>
                <w:kern w:val="2"/>
                <w:sz w:val="21"/>
                <w:szCs w:val="21"/>
                <w:lang w:val="en-US" w:eastAsia="zh-CN"/>
              </w:rPr>
              <w:t>6</w:t>
            </w:r>
            <w:r>
              <w:rPr>
                <w:rFonts w:hint="eastAsia" w:asciiTheme="minorEastAsia" w:hAnsiTheme="minorEastAsia" w:eastAsiaTheme="minorEastAsia" w:cstheme="minorEastAsia"/>
                <w:kern w:val="2"/>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9747" w:type="dxa"/>
            <w:gridSpan w:val="7"/>
            <w:tcBorders>
              <w:left w:val="single" w:color="auto" w:sz="4" w:space="0"/>
              <w:bottom w:val="single" w:color="auto" w:sz="4" w:space="0"/>
              <w:right w:val="single" w:color="auto" w:sz="4" w:space="0"/>
            </w:tcBorders>
          </w:tcPr>
          <w:p>
            <w:pPr>
              <w:widowControl/>
              <w:spacing w:line="276" w:lineRule="auto"/>
              <w:jc w:val="left"/>
              <w:textAlignment w:val="baseline"/>
              <w:rPr>
                <w:rFonts w:asciiTheme="minorEastAsia" w:hAnsiTheme="minorEastAsia" w:eastAsiaTheme="minorEastAsia" w:cstheme="minorEastAsia"/>
                <w:b/>
                <w:bCs/>
                <w:kern w:val="2"/>
                <w:sz w:val="21"/>
                <w:szCs w:val="24"/>
              </w:rPr>
            </w:pPr>
            <w:r>
              <w:rPr>
                <w:rFonts w:hint="eastAsia" w:asciiTheme="minorEastAsia" w:hAnsiTheme="minorEastAsia" w:eastAsiaTheme="minorEastAsia" w:cstheme="minorEastAsia"/>
                <w:b/>
                <w:bCs/>
                <w:kern w:val="2"/>
                <w:sz w:val="21"/>
                <w:szCs w:val="24"/>
              </w:rPr>
              <w:t>注：</w:t>
            </w:r>
          </w:p>
          <w:p>
            <w:pPr>
              <w:widowControl/>
              <w:spacing w:line="276" w:lineRule="auto"/>
              <w:jc w:val="left"/>
              <w:textAlignment w:val="baseline"/>
              <w:rPr>
                <w:rFonts w:asciiTheme="minorEastAsia" w:hAnsiTheme="minorEastAsia" w:eastAsiaTheme="minorEastAsia" w:cstheme="minorEastAsia"/>
                <w:b/>
                <w:bCs/>
                <w:kern w:val="2"/>
                <w:sz w:val="21"/>
                <w:szCs w:val="24"/>
              </w:rPr>
            </w:pPr>
            <w:r>
              <w:rPr>
                <w:rFonts w:hint="eastAsia" w:asciiTheme="minorEastAsia" w:hAnsiTheme="minorEastAsia" w:eastAsiaTheme="minorEastAsia" w:cstheme="minorEastAsia"/>
                <w:b/>
                <w:bCs/>
                <w:kern w:val="2"/>
                <w:sz w:val="21"/>
                <w:szCs w:val="24"/>
              </w:rPr>
              <w:t>1、业绩以合同签订日期为准，奖项以获奖证书为准</w:t>
            </w:r>
            <w:r>
              <w:rPr>
                <w:rFonts w:hint="eastAsia" w:asciiTheme="minorEastAsia" w:hAnsiTheme="minorEastAsia" w:eastAsiaTheme="minorEastAsia" w:cstheme="minorEastAsia"/>
                <w:b/>
                <w:bCs/>
                <w:kern w:val="2"/>
                <w:sz w:val="21"/>
                <w:szCs w:val="24"/>
                <w:lang w:eastAsia="zh-CN"/>
              </w:rPr>
              <w:t>，</w:t>
            </w:r>
            <w:r>
              <w:rPr>
                <w:rFonts w:hint="eastAsia" w:asciiTheme="minorEastAsia" w:hAnsiTheme="minorEastAsia" w:eastAsiaTheme="minorEastAsia" w:cstheme="minorEastAsia"/>
                <w:b/>
                <w:bCs/>
                <w:kern w:val="2"/>
                <w:sz w:val="21"/>
                <w:szCs w:val="24"/>
                <w:lang w:val="en-US" w:eastAsia="zh-CN"/>
              </w:rPr>
              <w:t>企业业绩和项目负责人业绩可重复计分</w:t>
            </w:r>
            <w:r>
              <w:rPr>
                <w:rFonts w:hint="eastAsia" w:asciiTheme="minorEastAsia" w:hAnsiTheme="minorEastAsia" w:eastAsiaTheme="minorEastAsia" w:cstheme="minorEastAsia"/>
                <w:b/>
                <w:bCs/>
                <w:kern w:val="2"/>
                <w:sz w:val="21"/>
                <w:szCs w:val="24"/>
              </w:rPr>
              <w:t>。</w:t>
            </w:r>
          </w:p>
          <w:p>
            <w:pPr>
              <w:widowControl/>
              <w:spacing w:line="276" w:lineRule="auto"/>
              <w:jc w:val="left"/>
              <w:textAlignment w:val="baseline"/>
              <w:rPr>
                <w:rFonts w:asciiTheme="minorEastAsia" w:hAnsiTheme="minorEastAsia" w:eastAsiaTheme="minorEastAsia" w:cstheme="minorEastAsia"/>
                <w:b/>
                <w:bCs/>
                <w:kern w:val="2"/>
                <w:sz w:val="21"/>
                <w:szCs w:val="24"/>
              </w:rPr>
            </w:pPr>
            <w:r>
              <w:rPr>
                <w:rFonts w:hint="eastAsia" w:asciiTheme="minorEastAsia" w:hAnsiTheme="minorEastAsia" w:eastAsiaTheme="minorEastAsia" w:cstheme="minorEastAsia"/>
                <w:b/>
                <w:bCs/>
                <w:kern w:val="2"/>
                <w:sz w:val="21"/>
                <w:szCs w:val="24"/>
              </w:rPr>
              <w:t>2</w:t>
            </w:r>
            <w:r>
              <w:rPr>
                <w:rFonts w:hint="eastAsia" w:asciiTheme="minorEastAsia" w:hAnsiTheme="minorEastAsia" w:eastAsiaTheme="minorEastAsia" w:cstheme="minorEastAsia"/>
                <w:b/>
                <w:bCs/>
                <w:kern w:val="2"/>
                <w:sz w:val="21"/>
                <w:szCs w:val="21"/>
              </w:rPr>
              <w:t>、</w:t>
            </w:r>
            <w:r>
              <w:rPr>
                <w:rFonts w:hint="eastAsia" w:asciiTheme="minorEastAsia" w:hAnsiTheme="minorEastAsia" w:eastAsiaTheme="minorEastAsia" w:cstheme="minorEastAsia"/>
                <w:b/>
                <w:bCs/>
                <w:kern w:val="2"/>
                <w:sz w:val="21"/>
                <w:szCs w:val="24"/>
              </w:rPr>
              <w:t>凡评标办法里涉及到的奖项证书、证件及业绩材料等，均应在投标文件中附其原件扫描件或图片，否则该项得分应作0分处理。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959" w:type="dxa"/>
            <w:gridSpan w:val="2"/>
            <w:tcBorders>
              <w:left w:val="single" w:color="auto" w:sz="4" w:space="0"/>
              <w:bottom w:val="single" w:color="auto" w:sz="4" w:space="0"/>
              <w:right w:val="single" w:color="auto" w:sz="4" w:space="0"/>
            </w:tcBorders>
          </w:tcPr>
          <w:p>
            <w:pPr>
              <w:widowControl/>
              <w:spacing w:line="276" w:lineRule="auto"/>
              <w:jc w:val="left"/>
              <w:textAlignment w:val="baseline"/>
              <w:rPr>
                <w:rFonts w:hint="default" w:asciiTheme="minorEastAsia" w:hAnsiTheme="minorEastAsia" w:eastAsiaTheme="minorEastAsia" w:cstheme="minorEastAsia"/>
                <w:b/>
                <w:bCs/>
                <w:kern w:val="2"/>
                <w:sz w:val="21"/>
                <w:szCs w:val="24"/>
                <w:lang w:val="en-US" w:eastAsia="zh-CN"/>
              </w:rPr>
            </w:pPr>
            <w:r>
              <w:rPr>
                <w:rFonts w:hint="eastAsia" w:hAnsi="宋体" w:cs="宋体"/>
                <w:sz w:val="24"/>
                <w:szCs w:val="24"/>
                <w:lang w:val="en-US" w:eastAsia="zh-CN"/>
              </w:rPr>
              <w:t>2.2.4（3）</w:t>
            </w:r>
          </w:p>
        </w:tc>
        <w:tc>
          <w:tcPr>
            <w:tcW w:w="1345" w:type="dxa"/>
            <w:gridSpan w:val="3"/>
            <w:tcBorders>
              <w:left w:val="single" w:color="auto" w:sz="4" w:space="0"/>
              <w:bottom w:val="single" w:color="auto" w:sz="4" w:space="0"/>
              <w:right w:val="single" w:color="auto" w:sz="4" w:space="0"/>
            </w:tcBorders>
          </w:tcPr>
          <w:p>
            <w:pPr>
              <w:widowControl/>
              <w:spacing w:line="276" w:lineRule="auto"/>
              <w:jc w:val="left"/>
              <w:textAlignment w:val="baseline"/>
              <w:rPr>
                <w:rFonts w:hint="eastAsia" w:asciiTheme="minorEastAsia" w:hAnsiTheme="minorEastAsia" w:eastAsiaTheme="minorEastAsia" w:cstheme="minorEastAsia"/>
                <w:b/>
                <w:bCs/>
                <w:kern w:val="2"/>
                <w:sz w:val="21"/>
                <w:szCs w:val="24"/>
              </w:rPr>
            </w:pPr>
            <w:r>
              <w:rPr>
                <w:rFonts w:hint="eastAsia" w:asciiTheme="minorEastAsia" w:hAnsiTheme="minorEastAsia" w:eastAsiaTheme="minorEastAsia" w:cstheme="minorEastAsia"/>
                <w:b/>
                <w:bCs/>
                <w:kern w:val="2"/>
                <w:sz w:val="21"/>
                <w:szCs w:val="24"/>
              </w:rPr>
              <w:t>投标报价评分标准</w:t>
            </w:r>
            <w:r>
              <w:rPr>
                <w:rFonts w:hint="eastAsia" w:asciiTheme="minorEastAsia" w:hAnsiTheme="minorEastAsia" w:eastAsiaTheme="minorEastAsia" w:cstheme="minorEastAsia"/>
                <w:b/>
                <w:bCs/>
                <w:kern w:val="2"/>
                <w:sz w:val="21"/>
                <w:szCs w:val="24"/>
                <w:lang w:val="en-US" w:eastAsia="zh-CN"/>
              </w:rPr>
              <w:t>3</w:t>
            </w:r>
            <w:r>
              <w:rPr>
                <w:rFonts w:hint="eastAsia" w:asciiTheme="minorEastAsia" w:hAnsiTheme="minorEastAsia" w:eastAsiaTheme="minorEastAsia" w:cstheme="minorEastAsia"/>
                <w:b/>
                <w:bCs/>
                <w:kern w:val="2"/>
                <w:sz w:val="21"/>
                <w:szCs w:val="24"/>
              </w:rPr>
              <w:t>0分</w:t>
            </w:r>
          </w:p>
          <w:p>
            <w:pPr>
              <w:widowControl/>
              <w:spacing w:line="276" w:lineRule="auto"/>
              <w:jc w:val="left"/>
              <w:textAlignment w:val="baseline"/>
              <w:rPr>
                <w:rFonts w:hint="eastAsia" w:asciiTheme="minorEastAsia" w:hAnsiTheme="minorEastAsia" w:eastAsiaTheme="minorEastAsia" w:cstheme="minorEastAsia"/>
                <w:b/>
                <w:bCs/>
                <w:kern w:val="2"/>
                <w:sz w:val="21"/>
                <w:szCs w:val="24"/>
              </w:rPr>
            </w:pPr>
            <w:r>
              <w:rPr>
                <w:rFonts w:hint="eastAsia" w:asciiTheme="minorEastAsia" w:hAnsiTheme="minorEastAsia" w:eastAsiaTheme="minorEastAsia" w:cstheme="minorEastAsia"/>
                <w:b/>
                <w:bCs/>
                <w:kern w:val="2"/>
                <w:sz w:val="21"/>
                <w:szCs w:val="24"/>
              </w:rPr>
              <w:t>（保留至小数点后2位）</w:t>
            </w:r>
          </w:p>
        </w:tc>
        <w:tc>
          <w:tcPr>
            <w:tcW w:w="7443" w:type="dxa"/>
            <w:gridSpan w:val="2"/>
            <w:tcBorders>
              <w:left w:val="single" w:color="auto" w:sz="4" w:space="0"/>
              <w:bottom w:val="single" w:color="auto" w:sz="4" w:space="0"/>
              <w:right w:val="single" w:color="auto" w:sz="4" w:space="0"/>
            </w:tcBorders>
          </w:tcPr>
          <w:p>
            <w:pPr>
              <w:widowControl/>
              <w:spacing w:line="276" w:lineRule="auto"/>
              <w:jc w:val="left"/>
              <w:textAlignment w:val="baseline"/>
              <w:rPr>
                <w:rFonts w:hint="eastAsia" w:asciiTheme="minorEastAsia" w:hAnsiTheme="minorEastAsia" w:eastAsiaTheme="minorEastAsia" w:cstheme="minorEastAsia"/>
                <w:b/>
                <w:bCs/>
                <w:kern w:val="2"/>
                <w:sz w:val="21"/>
                <w:szCs w:val="24"/>
              </w:rPr>
            </w:pPr>
            <w:r>
              <w:rPr>
                <w:rFonts w:hint="eastAsia" w:asciiTheme="minorEastAsia" w:hAnsiTheme="minorEastAsia" w:eastAsiaTheme="minorEastAsia" w:cstheme="minorEastAsia"/>
                <w:b/>
                <w:bCs/>
                <w:kern w:val="2"/>
                <w:sz w:val="21"/>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9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定标</w:t>
            </w:r>
          </w:p>
        </w:tc>
        <w:tc>
          <w:tcPr>
            <w:tcW w:w="8788"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jc w:val="lef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确定中标人：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9747"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注：</w:t>
            </w:r>
          </w:p>
          <w:p>
            <w:pPr>
              <w:numPr>
                <w:ilvl w:val="0"/>
                <w:numId w:val="3"/>
              </w:numPr>
              <w:autoSpaceDE w:val="0"/>
              <w:autoSpaceDN w:val="0"/>
              <w:adjustRightInd w:val="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具备独立法人资格的分公司或子公司，其总公司和集团公司的其他公司或子公司的证件不予计分；以总公司名义投标的，其他分公司、子公司的证件不予计分。</w:t>
            </w:r>
          </w:p>
          <w:p>
            <w:pPr>
              <w:jc w:val="left"/>
              <w:rPr>
                <w:rFonts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21"/>
                <w:szCs w:val="21"/>
              </w:rPr>
              <w:t>2、投标人必须对所提供的所有证书、文件等材料的真实性负责，否则承担相应的法律责任。</w:t>
            </w:r>
          </w:p>
        </w:tc>
      </w:tr>
    </w:tbl>
    <w:p>
      <w:pPr>
        <w:snapToGrid w:val="0"/>
        <w:spacing w:line="360" w:lineRule="auto"/>
        <w:ind w:firstLine="480"/>
        <w:rPr>
          <w:rFonts w:hint="eastAsia" w:asciiTheme="minorEastAsia" w:hAnsiTheme="minorEastAsia" w:eastAsiaTheme="minorEastAsia" w:cstheme="minorEastAsia"/>
          <w:sz w:val="24"/>
          <w:lang w:bidi="ar"/>
        </w:rPr>
      </w:pPr>
    </w:p>
    <w:bookmarkEnd w:id="71"/>
    <w:bookmarkEnd w:id="72"/>
    <w:bookmarkEnd w:id="73"/>
    <w:bookmarkEnd w:id="74"/>
    <w:bookmarkEnd w:id="75"/>
    <w:p>
      <w:pPr>
        <w:pStyle w:val="22"/>
        <w:outlineLvl w:val="0"/>
        <w:rPr>
          <w:rFonts w:ascii="宋体" w:hAnsi="宋体" w:eastAsia="宋体"/>
          <w:sz w:val="24"/>
          <w:szCs w:val="24"/>
        </w:rPr>
      </w:pPr>
      <w:bookmarkStart w:id="76" w:name="_Toc10712"/>
      <w:bookmarkStart w:id="77" w:name="_Toc353270366"/>
      <w:bookmarkStart w:id="78" w:name="_Toc283559990"/>
      <w:r>
        <w:rPr>
          <w:rFonts w:hint="eastAsia" w:ascii="宋体" w:hAnsi="宋体" w:eastAsia="宋体"/>
          <w:sz w:val="24"/>
          <w:szCs w:val="24"/>
        </w:rPr>
        <w:t>1. 评标方法</w:t>
      </w:r>
      <w:bookmarkEnd w:id="76"/>
      <w:bookmarkEnd w:id="77"/>
    </w:p>
    <w:p>
      <w:pPr>
        <w:spacing w:line="400" w:lineRule="exact"/>
        <w:ind w:firstLine="480" w:firstLineChars="200"/>
        <w:rPr>
          <w:rFonts w:ascii="宋体" w:hAnsi="宋体" w:cs="宋体"/>
          <w:sz w:val="24"/>
          <w:szCs w:val="24"/>
        </w:rPr>
      </w:pPr>
      <w:r>
        <w:rPr>
          <w:rFonts w:hint="eastAsia" w:ascii="宋体" w:hAnsi="宋体" w:cs="宋体"/>
          <w:sz w:val="24"/>
          <w:szCs w:val="24"/>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pPr>
        <w:pStyle w:val="22"/>
        <w:outlineLvl w:val="0"/>
        <w:rPr>
          <w:rFonts w:ascii="宋体" w:hAnsi="宋体" w:eastAsia="宋体"/>
          <w:sz w:val="24"/>
          <w:szCs w:val="24"/>
        </w:rPr>
      </w:pPr>
      <w:bookmarkStart w:id="79" w:name="_Toc31155"/>
      <w:bookmarkStart w:id="80" w:name="_Toc353270367"/>
      <w:bookmarkStart w:id="81" w:name="_Toc152045601"/>
      <w:bookmarkStart w:id="82" w:name="_Toc152042378"/>
      <w:bookmarkStart w:id="83" w:name="_Toc144974568"/>
      <w:r>
        <w:rPr>
          <w:rFonts w:hint="eastAsia" w:ascii="宋体" w:hAnsi="宋体" w:eastAsia="宋体"/>
          <w:sz w:val="24"/>
          <w:szCs w:val="24"/>
        </w:rPr>
        <w:t>2. 评审标准</w:t>
      </w:r>
      <w:bookmarkEnd w:id="79"/>
      <w:bookmarkEnd w:id="80"/>
      <w:bookmarkEnd w:id="81"/>
      <w:bookmarkEnd w:id="82"/>
      <w:bookmarkEnd w:id="83"/>
    </w:p>
    <w:p>
      <w:pPr>
        <w:pStyle w:val="7"/>
        <w:spacing w:before="0" w:after="0" w:line="400" w:lineRule="exact"/>
        <w:rPr>
          <w:rFonts w:ascii="宋体" w:hAnsi="宋体" w:cs="宋体"/>
          <w:b w:val="0"/>
          <w:sz w:val="24"/>
          <w:szCs w:val="24"/>
        </w:rPr>
      </w:pPr>
      <w:bookmarkStart w:id="84" w:name="_Toc353270368"/>
      <w:bookmarkStart w:id="85" w:name="_Toc456354351"/>
      <w:bookmarkStart w:id="86" w:name="_Toc384733828"/>
      <w:bookmarkStart w:id="87" w:name="_Toc152045602"/>
      <w:bookmarkStart w:id="88" w:name="_Toc152042379"/>
      <w:bookmarkStart w:id="89" w:name="_Toc30698"/>
      <w:bookmarkStart w:id="90" w:name="_Toc467683049"/>
      <w:bookmarkStart w:id="91" w:name="_Toc144974569"/>
      <w:r>
        <w:rPr>
          <w:rFonts w:hint="eastAsia" w:ascii="宋体" w:hAnsi="宋体" w:cs="宋体"/>
          <w:b w:val="0"/>
          <w:sz w:val="24"/>
          <w:szCs w:val="24"/>
        </w:rPr>
        <w:t>2.1 初步评审标准</w:t>
      </w:r>
      <w:bookmarkEnd w:id="84"/>
      <w:bookmarkEnd w:id="85"/>
      <w:bookmarkEnd w:id="86"/>
      <w:bookmarkEnd w:id="87"/>
      <w:bookmarkEnd w:id="88"/>
      <w:bookmarkEnd w:id="89"/>
      <w:bookmarkEnd w:id="90"/>
      <w:bookmarkEnd w:id="91"/>
    </w:p>
    <w:p>
      <w:pPr>
        <w:spacing w:line="400" w:lineRule="exact"/>
        <w:ind w:firstLine="480" w:firstLineChars="200"/>
        <w:rPr>
          <w:rFonts w:ascii="宋体" w:hAnsi="宋体" w:cs="宋体"/>
          <w:sz w:val="24"/>
          <w:szCs w:val="24"/>
        </w:rPr>
      </w:pPr>
      <w:r>
        <w:rPr>
          <w:rFonts w:hint="eastAsia" w:ascii="宋体" w:hAnsi="宋体" w:cs="宋体"/>
          <w:sz w:val="24"/>
          <w:szCs w:val="24"/>
        </w:rPr>
        <w:t>2.1.1 形式评审标准：见评标办法前附表；</w:t>
      </w:r>
    </w:p>
    <w:p>
      <w:pPr>
        <w:spacing w:line="400" w:lineRule="exact"/>
        <w:ind w:firstLine="480" w:firstLineChars="200"/>
        <w:rPr>
          <w:rFonts w:ascii="宋体" w:hAnsi="宋体" w:cs="宋体"/>
          <w:sz w:val="24"/>
          <w:szCs w:val="24"/>
        </w:rPr>
      </w:pPr>
      <w:r>
        <w:rPr>
          <w:rFonts w:hint="eastAsia" w:ascii="宋体" w:hAnsi="宋体" w:cs="宋体"/>
          <w:sz w:val="24"/>
          <w:szCs w:val="24"/>
        </w:rPr>
        <w:t>2.1.2 资格评审标准：见评标办法前附表；</w:t>
      </w:r>
    </w:p>
    <w:p>
      <w:pPr>
        <w:spacing w:line="400" w:lineRule="exact"/>
        <w:ind w:firstLine="480" w:firstLineChars="200"/>
        <w:rPr>
          <w:rFonts w:ascii="宋体" w:hAnsi="宋体" w:cs="宋体"/>
          <w:sz w:val="24"/>
          <w:szCs w:val="24"/>
        </w:rPr>
      </w:pPr>
      <w:r>
        <w:rPr>
          <w:rFonts w:hint="eastAsia" w:ascii="宋体" w:hAnsi="宋体" w:cs="宋体"/>
          <w:sz w:val="24"/>
          <w:szCs w:val="24"/>
        </w:rPr>
        <w:t>2.1.3 响应性评审标准：见评标办法前附表。</w:t>
      </w:r>
    </w:p>
    <w:p>
      <w:pPr>
        <w:pStyle w:val="7"/>
        <w:spacing w:before="0" w:after="0" w:line="400" w:lineRule="exact"/>
        <w:rPr>
          <w:rFonts w:ascii="宋体" w:hAnsi="宋体" w:cs="宋体"/>
          <w:b w:val="0"/>
          <w:sz w:val="24"/>
          <w:szCs w:val="24"/>
        </w:rPr>
      </w:pPr>
      <w:bookmarkStart w:id="92" w:name="_Toc467683050"/>
      <w:bookmarkStart w:id="93" w:name="_Toc384733829"/>
      <w:bookmarkStart w:id="94" w:name="_Toc152045603"/>
      <w:bookmarkStart w:id="95" w:name="_Toc144974570"/>
      <w:bookmarkStart w:id="96" w:name="_Toc12126"/>
      <w:bookmarkStart w:id="97" w:name="_Toc456354352"/>
      <w:bookmarkStart w:id="98" w:name="_Toc353270369"/>
      <w:bookmarkStart w:id="99" w:name="_Toc152042380"/>
      <w:r>
        <w:rPr>
          <w:rFonts w:hint="eastAsia" w:ascii="宋体" w:hAnsi="宋体" w:cs="宋体"/>
          <w:b w:val="0"/>
          <w:sz w:val="24"/>
          <w:szCs w:val="24"/>
        </w:rPr>
        <w:t>2.2 分值构成与评分标准</w:t>
      </w:r>
      <w:bookmarkEnd w:id="92"/>
      <w:bookmarkEnd w:id="93"/>
      <w:bookmarkEnd w:id="94"/>
      <w:bookmarkEnd w:id="95"/>
      <w:bookmarkEnd w:id="96"/>
      <w:bookmarkEnd w:id="97"/>
      <w:bookmarkEnd w:id="98"/>
      <w:bookmarkEnd w:id="99"/>
    </w:p>
    <w:p>
      <w:pPr>
        <w:spacing w:line="400" w:lineRule="exact"/>
        <w:ind w:firstLine="480" w:firstLineChars="200"/>
        <w:rPr>
          <w:rFonts w:ascii="宋体" w:hAnsi="宋体" w:cs="宋体"/>
          <w:sz w:val="24"/>
          <w:szCs w:val="24"/>
        </w:rPr>
      </w:pPr>
      <w:r>
        <w:rPr>
          <w:rFonts w:hint="eastAsia" w:ascii="宋体" w:hAnsi="宋体" w:cs="宋体"/>
          <w:sz w:val="24"/>
          <w:szCs w:val="24"/>
        </w:rPr>
        <w:t>2.2.1 分值构成</w:t>
      </w:r>
    </w:p>
    <w:p>
      <w:pPr>
        <w:spacing w:line="400" w:lineRule="exact"/>
        <w:ind w:firstLine="820" w:firstLineChars="342"/>
        <w:rPr>
          <w:rFonts w:ascii="宋体" w:hAnsi="宋体" w:cs="宋体"/>
          <w:sz w:val="24"/>
          <w:szCs w:val="24"/>
        </w:rPr>
      </w:pPr>
      <w:r>
        <w:rPr>
          <w:rFonts w:hint="eastAsia" w:ascii="宋体" w:hAnsi="宋体" w:cs="宋体"/>
          <w:sz w:val="24"/>
          <w:szCs w:val="24"/>
        </w:rPr>
        <w:t>（1）施工组织设计：见评标办法前附表；</w:t>
      </w:r>
    </w:p>
    <w:p>
      <w:pPr>
        <w:spacing w:line="400" w:lineRule="exact"/>
        <w:ind w:firstLine="820" w:firstLineChars="342"/>
        <w:rPr>
          <w:rFonts w:ascii="宋体" w:hAnsi="宋体" w:cs="宋体"/>
          <w:sz w:val="24"/>
          <w:szCs w:val="24"/>
        </w:rPr>
      </w:pPr>
      <w:r>
        <w:rPr>
          <w:rFonts w:hint="eastAsia" w:ascii="宋体" w:hAnsi="宋体" w:cs="宋体"/>
          <w:sz w:val="24"/>
          <w:szCs w:val="24"/>
        </w:rPr>
        <w:t>（2）企业综合实力：见评标办法前附表；</w:t>
      </w:r>
    </w:p>
    <w:p>
      <w:pPr>
        <w:spacing w:line="400" w:lineRule="exact"/>
        <w:ind w:firstLine="820" w:firstLineChars="342"/>
        <w:rPr>
          <w:rFonts w:ascii="宋体" w:hAnsi="宋体" w:cs="宋体"/>
          <w:sz w:val="24"/>
          <w:szCs w:val="24"/>
        </w:rPr>
      </w:pPr>
      <w:r>
        <w:rPr>
          <w:rFonts w:hint="eastAsia" w:ascii="宋体" w:hAnsi="宋体" w:cs="宋体"/>
          <w:sz w:val="24"/>
          <w:szCs w:val="24"/>
        </w:rPr>
        <w:t>（3）投标报价：见评标办法前附表。</w:t>
      </w:r>
    </w:p>
    <w:p>
      <w:pPr>
        <w:spacing w:line="400" w:lineRule="exact"/>
        <w:ind w:firstLine="480" w:firstLineChars="200"/>
        <w:rPr>
          <w:rFonts w:ascii="宋体" w:hAnsi="宋体" w:cs="宋体"/>
          <w:sz w:val="24"/>
          <w:szCs w:val="24"/>
        </w:rPr>
      </w:pPr>
      <w:r>
        <w:rPr>
          <w:rFonts w:hint="eastAsia" w:ascii="宋体" w:hAnsi="宋体" w:cs="宋体"/>
          <w:sz w:val="24"/>
          <w:szCs w:val="24"/>
        </w:rPr>
        <w:t>2.2.2 评标基准价计算</w:t>
      </w:r>
    </w:p>
    <w:p>
      <w:pPr>
        <w:spacing w:line="400" w:lineRule="exact"/>
        <w:ind w:firstLine="960" w:firstLineChars="400"/>
        <w:rPr>
          <w:rFonts w:ascii="宋体" w:hAnsi="宋体" w:cs="宋体"/>
          <w:sz w:val="24"/>
          <w:szCs w:val="24"/>
        </w:rPr>
      </w:pPr>
      <w:r>
        <w:rPr>
          <w:rFonts w:hint="eastAsia" w:ascii="宋体" w:hAnsi="宋体" w:cs="宋体"/>
          <w:sz w:val="24"/>
          <w:szCs w:val="24"/>
        </w:rPr>
        <w:t>评标基准价计算方法：见评标办法前附表。</w:t>
      </w:r>
    </w:p>
    <w:p>
      <w:pPr>
        <w:spacing w:line="400" w:lineRule="exact"/>
        <w:ind w:firstLine="480" w:firstLineChars="200"/>
        <w:rPr>
          <w:rFonts w:ascii="宋体" w:hAnsi="宋体" w:cs="宋体"/>
          <w:sz w:val="24"/>
          <w:szCs w:val="24"/>
        </w:rPr>
      </w:pPr>
      <w:r>
        <w:rPr>
          <w:rFonts w:hint="eastAsia" w:ascii="宋体" w:hAnsi="宋体" w:cs="宋体"/>
          <w:sz w:val="24"/>
          <w:szCs w:val="24"/>
        </w:rPr>
        <w:t>2.2.3 投标报价的偏差值计算</w:t>
      </w:r>
    </w:p>
    <w:p>
      <w:pPr>
        <w:spacing w:line="400" w:lineRule="exact"/>
        <w:ind w:firstLine="960" w:firstLineChars="400"/>
        <w:rPr>
          <w:rFonts w:ascii="宋体" w:hAnsi="宋体" w:cs="宋体"/>
          <w:sz w:val="24"/>
          <w:szCs w:val="24"/>
        </w:rPr>
      </w:pPr>
      <w:r>
        <w:rPr>
          <w:rFonts w:hint="eastAsia" w:ascii="宋体" w:hAnsi="宋体" w:cs="宋体"/>
          <w:sz w:val="24"/>
          <w:szCs w:val="24"/>
        </w:rPr>
        <w:t>投标报价的偏差值计算公式：见评标办法前附表。</w:t>
      </w:r>
    </w:p>
    <w:p>
      <w:pPr>
        <w:spacing w:line="400" w:lineRule="exact"/>
        <w:ind w:firstLine="480" w:firstLineChars="200"/>
        <w:rPr>
          <w:rFonts w:ascii="宋体" w:hAnsi="宋体" w:cs="宋体"/>
          <w:sz w:val="24"/>
          <w:szCs w:val="24"/>
        </w:rPr>
      </w:pPr>
      <w:r>
        <w:rPr>
          <w:rFonts w:hint="eastAsia" w:ascii="宋体" w:hAnsi="宋体" w:cs="宋体"/>
          <w:sz w:val="24"/>
          <w:szCs w:val="24"/>
        </w:rPr>
        <w:t>2.2.4 评分标准</w:t>
      </w:r>
    </w:p>
    <w:p>
      <w:pPr>
        <w:spacing w:line="400" w:lineRule="exact"/>
        <w:ind w:firstLine="820" w:firstLineChars="342"/>
        <w:rPr>
          <w:rFonts w:ascii="宋体" w:hAnsi="宋体" w:cs="宋体"/>
          <w:sz w:val="24"/>
          <w:szCs w:val="24"/>
        </w:rPr>
      </w:pPr>
      <w:r>
        <w:rPr>
          <w:rFonts w:hint="eastAsia" w:ascii="宋体" w:hAnsi="宋体" w:cs="宋体"/>
          <w:sz w:val="24"/>
          <w:szCs w:val="24"/>
        </w:rPr>
        <w:t>（1）施工组织设计评分标准：见评标办法前附表；</w:t>
      </w:r>
    </w:p>
    <w:p>
      <w:pPr>
        <w:spacing w:line="400" w:lineRule="exact"/>
        <w:ind w:firstLine="820" w:firstLineChars="342"/>
        <w:rPr>
          <w:rFonts w:ascii="宋体" w:hAnsi="宋体" w:cs="宋体"/>
          <w:sz w:val="24"/>
          <w:szCs w:val="24"/>
        </w:rPr>
      </w:pPr>
      <w:r>
        <w:rPr>
          <w:rFonts w:hint="eastAsia" w:ascii="宋体" w:hAnsi="宋体" w:cs="宋体"/>
          <w:sz w:val="24"/>
          <w:szCs w:val="24"/>
        </w:rPr>
        <w:t>（2）企业综合实力评分标准：见评标办法前附表；</w:t>
      </w:r>
    </w:p>
    <w:p>
      <w:pPr>
        <w:spacing w:line="400" w:lineRule="exact"/>
        <w:ind w:firstLine="820" w:firstLineChars="342"/>
        <w:rPr>
          <w:rFonts w:ascii="宋体" w:hAnsi="宋体" w:cs="宋体"/>
          <w:sz w:val="24"/>
          <w:szCs w:val="24"/>
        </w:rPr>
      </w:pPr>
      <w:r>
        <w:rPr>
          <w:rFonts w:hint="eastAsia" w:ascii="宋体" w:hAnsi="宋体" w:cs="宋体"/>
          <w:sz w:val="24"/>
          <w:szCs w:val="24"/>
        </w:rPr>
        <w:t>（3）投标报价评分标准：见评标办法前附表。</w:t>
      </w:r>
    </w:p>
    <w:p>
      <w:pPr>
        <w:pStyle w:val="22"/>
        <w:outlineLvl w:val="0"/>
        <w:rPr>
          <w:rFonts w:ascii="宋体" w:hAnsi="宋体" w:eastAsia="宋体"/>
          <w:sz w:val="24"/>
          <w:szCs w:val="24"/>
        </w:rPr>
      </w:pPr>
      <w:bookmarkStart w:id="100" w:name="_Toc144974571"/>
      <w:bookmarkStart w:id="101" w:name="_Toc152042381"/>
      <w:bookmarkStart w:id="102" w:name="_Toc353270370"/>
      <w:bookmarkStart w:id="103" w:name="_Toc16490"/>
      <w:bookmarkStart w:id="104" w:name="_Toc152045604"/>
      <w:r>
        <w:rPr>
          <w:rFonts w:hint="eastAsia" w:ascii="宋体" w:hAnsi="宋体" w:eastAsia="宋体"/>
          <w:sz w:val="24"/>
          <w:szCs w:val="24"/>
        </w:rPr>
        <w:t>3.评标程序</w:t>
      </w:r>
      <w:bookmarkEnd w:id="100"/>
      <w:bookmarkEnd w:id="101"/>
      <w:bookmarkEnd w:id="102"/>
      <w:bookmarkEnd w:id="103"/>
      <w:bookmarkEnd w:id="104"/>
    </w:p>
    <w:p>
      <w:pPr>
        <w:pStyle w:val="7"/>
        <w:spacing w:before="0" w:after="0" w:line="400" w:lineRule="exact"/>
        <w:rPr>
          <w:rFonts w:ascii="宋体" w:hAnsi="宋体" w:cs="宋体"/>
          <w:b w:val="0"/>
          <w:sz w:val="24"/>
          <w:szCs w:val="24"/>
        </w:rPr>
      </w:pPr>
      <w:bookmarkStart w:id="105" w:name="_Toc15868"/>
      <w:bookmarkStart w:id="106" w:name="_Toc456354354"/>
      <w:bookmarkStart w:id="107" w:name="_Toc467683052"/>
      <w:bookmarkStart w:id="108" w:name="_Toc144974572"/>
      <w:bookmarkStart w:id="109" w:name="_Toc353270371"/>
      <w:bookmarkStart w:id="110" w:name="_Toc152042382"/>
      <w:bookmarkStart w:id="111" w:name="_Toc384733831"/>
      <w:bookmarkStart w:id="112" w:name="_Toc152045605"/>
      <w:r>
        <w:rPr>
          <w:rFonts w:hint="eastAsia" w:ascii="宋体" w:hAnsi="宋体" w:cs="宋体"/>
          <w:b w:val="0"/>
          <w:sz w:val="24"/>
          <w:szCs w:val="24"/>
        </w:rPr>
        <w:t>3.1 初步评审</w:t>
      </w:r>
      <w:bookmarkEnd w:id="105"/>
      <w:bookmarkEnd w:id="106"/>
      <w:bookmarkEnd w:id="107"/>
      <w:bookmarkEnd w:id="108"/>
      <w:bookmarkEnd w:id="109"/>
      <w:bookmarkEnd w:id="110"/>
      <w:bookmarkEnd w:id="111"/>
      <w:bookmarkEnd w:id="112"/>
    </w:p>
    <w:p>
      <w:pPr>
        <w:spacing w:line="400" w:lineRule="exact"/>
        <w:ind w:firstLine="480" w:firstLineChars="200"/>
        <w:rPr>
          <w:rFonts w:ascii="宋体" w:hAnsi="宋体" w:cs="宋体"/>
          <w:sz w:val="24"/>
          <w:szCs w:val="24"/>
        </w:rPr>
      </w:pPr>
      <w:r>
        <w:rPr>
          <w:rFonts w:hint="eastAsia" w:ascii="宋体" w:hAnsi="宋体" w:cs="宋体"/>
          <w:sz w:val="24"/>
          <w:szCs w:val="24"/>
        </w:rPr>
        <w:t>3.1.1评标委员会依据本章第2.1款规定的标准对投标文件进行初步评审。有一项不符合评审标准的，评标委员会应当否决其投标。</w:t>
      </w:r>
    </w:p>
    <w:p>
      <w:pPr>
        <w:spacing w:line="400" w:lineRule="exact"/>
        <w:ind w:firstLine="820" w:firstLineChars="342"/>
        <w:rPr>
          <w:rFonts w:ascii="宋体" w:hAnsi="宋体" w:cs="宋体"/>
          <w:sz w:val="24"/>
          <w:szCs w:val="24"/>
        </w:rPr>
      </w:pPr>
      <w:r>
        <w:rPr>
          <w:rFonts w:hint="eastAsia" w:ascii="宋体" w:hAnsi="宋体" w:cs="宋体"/>
          <w:sz w:val="24"/>
          <w:szCs w:val="24"/>
        </w:rPr>
        <w:t>3.1.2 投标人有以下情形之一的，其投标作废标处理：</w:t>
      </w:r>
    </w:p>
    <w:p>
      <w:pPr>
        <w:spacing w:line="400" w:lineRule="exact"/>
        <w:ind w:firstLine="720" w:firstLineChars="300"/>
        <w:rPr>
          <w:rFonts w:ascii="宋体" w:hAnsi="宋体" w:cs="宋体"/>
          <w:sz w:val="24"/>
          <w:szCs w:val="24"/>
        </w:rPr>
      </w:pPr>
      <w:r>
        <w:rPr>
          <w:rFonts w:hint="eastAsia" w:ascii="宋体" w:hAnsi="宋体" w:cs="宋体"/>
          <w:sz w:val="24"/>
          <w:szCs w:val="24"/>
        </w:rPr>
        <w:t>(l）第二章“投标人须知总则”第1.4.1 项规定的任何一种情形的；</w:t>
      </w:r>
    </w:p>
    <w:p>
      <w:pPr>
        <w:spacing w:line="400" w:lineRule="exact"/>
        <w:ind w:firstLine="720" w:firstLineChars="300"/>
        <w:rPr>
          <w:rFonts w:ascii="宋体" w:hAnsi="宋体" w:cs="宋体"/>
          <w:sz w:val="24"/>
          <w:szCs w:val="24"/>
        </w:rPr>
      </w:pPr>
      <w:r>
        <w:rPr>
          <w:rFonts w:hint="eastAsia" w:ascii="宋体" w:hAnsi="宋体" w:cs="宋体"/>
          <w:sz w:val="24"/>
          <w:szCs w:val="24"/>
        </w:rPr>
        <w:t>(2）串通投标或弄虚作假或有其他违法行为的；</w:t>
      </w:r>
    </w:p>
    <w:p>
      <w:pPr>
        <w:spacing w:line="400" w:lineRule="exact"/>
        <w:ind w:firstLine="720" w:firstLineChars="300"/>
        <w:rPr>
          <w:rFonts w:ascii="宋体" w:hAnsi="宋体" w:cs="宋体"/>
          <w:sz w:val="24"/>
          <w:szCs w:val="24"/>
        </w:rPr>
      </w:pPr>
      <w:r>
        <w:rPr>
          <w:rFonts w:hint="eastAsia" w:ascii="宋体" w:hAnsi="宋体" w:cs="宋体"/>
          <w:sz w:val="24"/>
          <w:szCs w:val="24"/>
        </w:rPr>
        <w:t>(3）不按评标委员会要求澄清、说明或补正的。</w:t>
      </w:r>
    </w:p>
    <w:p>
      <w:pPr>
        <w:pStyle w:val="2"/>
        <w:ind w:firstLine="720" w:firstLineChars="300"/>
        <w:rPr>
          <w:rFonts w:hAnsi="宋体" w:cs="宋体"/>
          <w:kern w:val="2"/>
          <w:sz w:val="24"/>
          <w:szCs w:val="24"/>
        </w:rPr>
      </w:pPr>
      <w:r>
        <w:rPr>
          <w:rFonts w:hint="eastAsia" w:hAnsi="宋体" w:cs="宋体"/>
          <w:kern w:val="2"/>
          <w:sz w:val="24"/>
          <w:szCs w:val="24"/>
        </w:rPr>
        <w:t>备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00" w:lineRule="exact"/>
        <w:ind w:firstLine="480" w:firstLineChars="200"/>
        <w:rPr>
          <w:rFonts w:ascii="宋体" w:hAnsi="宋体" w:cs="宋体"/>
          <w:sz w:val="24"/>
          <w:szCs w:val="24"/>
        </w:rPr>
      </w:pPr>
      <w:r>
        <w:rPr>
          <w:rFonts w:hint="eastAsia" w:ascii="宋体" w:hAnsi="宋体" w:cs="宋体"/>
          <w:sz w:val="24"/>
          <w:szCs w:val="24"/>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820" w:firstLineChars="342"/>
        <w:rPr>
          <w:rFonts w:ascii="宋体" w:hAnsi="宋体" w:cs="宋体"/>
          <w:sz w:val="24"/>
          <w:szCs w:val="24"/>
        </w:rPr>
      </w:pPr>
      <w:bookmarkStart w:id="113" w:name="_Toc152042383"/>
      <w:r>
        <w:rPr>
          <w:rFonts w:hint="eastAsia" w:ascii="宋体" w:hAnsi="宋体" w:cs="宋体"/>
          <w:sz w:val="24"/>
          <w:szCs w:val="24"/>
        </w:rPr>
        <w:t>（1）投标文件中的大写金额与小写金额不一致的，以大写金额为准；</w:t>
      </w:r>
      <w:bookmarkEnd w:id="113"/>
    </w:p>
    <w:p>
      <w:pPr>
        <w:spacing w:line="400" w:lineRule="exact"/>
        <w:ind w:firstLine="820" w:firstLineChars="342"/>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pPr>
        <w:pStyle w:val="7"/>
        <w:spacing w:before="0" w:after="0" w:line="400" w:lineRule="exact"/>
        <w:rPr>
          <w:rFonts w:ascii="宋体" w:hAnsi="宋体" w:cs="宋体"/>
          <w:b w:val="0"/>
          <w:sz w:val="24"/>
          <w:szCs w:val="24"/>
        </w:rPr>
      </w:pPr>
      <w:bookmarkStart w:id="114" w:name="_Toc467683053"/>
      <w:bookmarkStart w:id="115" w:name="_Toc144974573"/>
      <w:bookmarkStart w:id="116" w:name="_Toc456354355"/>
      <w:bookmarkStart w:id="117" w:name="_Toc28247"/>
      <w:bookmarkStart w:id="118" w:name="_Toc353270372"/>
      <w:bookmarkStart w:id="119" w:name="_Toc384733832"/>
      <w:bookmarkStart w:id="120" w:name="_Toc152042384"/>
      <w:bookmarkStart w:id="121" w:name="_Toc152045606"/>
      <w:r>
        <w:rPr>
          <w:rFonts w:hint="eastAsia" w:ascii="宋体" w:hAnsi="宋体" w:cs="宋体"/>
          <w:b w:val="0"/>
          <w:sz w:val="24"/>
          <w:szCs w:val="24"/>
        </w:rPr>
        <w:t>3.2 详细评审</w:t>
      </w:r>
      <w:bookmarkEnd w:id="114"/>
      <w:bookmarkEnd w:id="115"/>
      <w:bookmarkEnd w:id="116"/>
      <w:bookmarkEnd w:id="117"/>
      <w:bookmarkEnd w:id="118"/>
      <w:bookmarkEnd w:id="119"/>
      <w:bookmarkEnd w:id="120"/>
      <w:bookmarkEnd w:id="121"/>
    </w:p>
    <w:p>
      <w:pPr>
        <w:spacing w:line="400" w:lineRule="exact"/>
        <w:ind w:firstLine="480" w:firstLineChars="200"/>
        <w:rPr>
          <w:rFonts w:ascii="宋体" w:hAnsi="宋体" w:cs="宋体"/>
          <w:sz w:val="24"/>
          <w:szCs w:val="24"/>
        </w:rPr>
      </w:pPr>
      <w:r>
        <w:rPr>
          <w:rFonts w:hint="eastAsia" w:ascii="宋体" w:hAnsi="宋体" w:cs="宋体"/>
          <w:sz w:val="24"/>
          <w:szCs w:val="24"/>
        </w:rPr>
        <w:t>3.2.1 评标委员会按本章第2.2款规定的量化因素和分值进行打分，并计算出综合评估得分。</w:t>
      </w:r>
    </w:p>
    <w:p>
      <w:pPr>
        <w:spacing w:line="400" w:lineRule="exact"/>
        <w:ind w:firstLine="820" w:firstLineChars="342"/>
        <w:rPr>
          <w:rFonts w:ascii="宋体" w:hAnsi="宋体" w:cs="宋体"/>
          <w:sz w:val="24"/>
          <w:szCs w:val="24"/>
        </w:rPr>
      </w:pPr>
      <w:r>
        <w:rPr>
          <w:rFonts w:hint="eastAsia" w:ascii="宋体" w:hAnsi="宋体" w:cs="宋体"/>
          <w:sz w:val="24"/>
          <w:szCs w:val="24"/>
        </w:rPr>
        <w:t>（1）按本章第2.2.4（1）目规定的评审因素和分值对施工组织设计计算出得分A；</w:t>
      </w:r>
    </w:p>
    <w:p>
      <w:pPr>
        <w:spacing w:line="400" w:lineRule="exact"/>
        <w:ind w:firstLine="820" w:firstLineChars="342"/>
        <w:rPr>
          <w:rFonts w:ascii="宋体" w:hAnsi="宋体" w:cs="宋体"/>
          <w:sz w:val="24"/>
          <w:szCs w:val="24"/>
        </w:rPr>
      </w:pPr>
      <w:r>
        <w:rPr>
          <w:rFonts w:hint="eastAsia" w:ascii="宋体" w:hAnsi="宋体" w:cs="宋体"/>
          <w:sz w:val="24"/>
          <w:szCs w:val="24"/>
        </w:rPr>
        <w:t>（2）按本章第2.2.4（2）目规定的评审因素和分值对企业综合实力计算出得分B；</w:t>
      </w:r>
    </w:p>
    <w:p>
      <w:pPr>
        <w:spacing w:line="400" w:lineRule="exact"/>
        <w:ind w:firstLine="820" w:firstLineChars="342"/>
        <w:rPr>
          <w:rFonts w:ascii="宋体" w:hAnsi="宋体" w:cs="宋体"/>
          <w:sz w:val="24"/>
          <w:szCs w:val="24"/>
        </w:rPr>
      </w:pPr>
      <w:r>
        <w:rPr>
          <w:rFonts w:hint="eastAsia" w:ascii="宋体" w:hAnsi="宋体" w:cs="宋体"/>
          <w:sz w:val="24"/>
          <w:szCs w:val="24"/>
        </w:rPr>
        <w:t>（3）按本章第2.2.4（3）目规定的评审因素和分值对投标报价计算出得分C。</w:t>
      </w:r>
    </w:p>
    <w:p>
      <w:pPr>
        <w:spacing w:line="400" w:lineRule="exact"/>
        <w:ind w:firstLine="480" w:firstLineChars="200"/>
        <w:rPr>
          <w:rFonts w:ascii="宋体" w:hAnsi="宋体" w:cs="宋体"/>
          <w:sz w:val="24"/>
          <w:szCs w:val="24"/>
        </w:rPr>
      </w:pPr>
      <w:r>
        <w:rPr>
          <w:rFonts w:hint="eastAsia" w:ascii="宋体" w:hAnsi="宋体" w:cs="宋体"/>
          <w:sz w:val="24"/>
          <w:szCs w:val="24"/>
        </w:rPr>
        <w:t>3.2.2 评分分值计算保留小数点后两位，小数点后第三位“四舍五入”。</w:t>
      </w:r>
    </w:p>
    <w:p>
      <w:pPr>
        <w:spacing w:line="400" w:lineRule="exact"/>
        <w:ind w:firstLine="480" w:firstLineChars="200"/>
        <w:rPr>
          <w:rFonts w:ascii="宋体" w:hAnsi="宋体" w:cs="宋体"/>
          <w:sz w:val="24"/>
          <w:szCs w:val="24"/>
        </w:rPr>
      </w:pPr>
      <w:r>
        <w:rPr>
          <w:rFonts w:hint="eastAsia" w:ascii="宋体" w:hAnsi="宋体" w:cs="宋体"/>
          <w:sz w:val="24"/>
          <w:szCs w:val="24"/>
        </w:rPr>
        <w:t>3.2.3 投标人得分=A+B+C。</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3.2.4分数汇总时，评标委员会人数在5人以上时，去掉一个最高分和一个最低分取平均值。</w:t>
      </w:r>
    </w:p>
    <w:p>
      <w:pPr>
        <w:spacing w:line="380" w:lineRule="exact"/>
        <w:ind w:firstLine="480" w:firstLineChars="200"/>
        <w:rPr>
          <w:rFonts w:ascii="宋体" w:hAnsi="宋体" w:cs="宋体"/>
          <w:sz w:val="24"/>
          <w:szCs w:val="24"/>
        </w:rPr>
      </w:pPr>
      <w:bookmarkStart w:id="218" w:name="_GoBack"/>
      <w:bookmarkEnd w:id="218"/>
      <w:r>
        <w:rPr>
          <w:rFonts w:hint="eastAsia" w:ascii="宋体" w:hAnsi="宋体" w:cs="宋体"/>
          <w:sz w:val="24"/>
          <w:szCs w:val="24"/>
        </w:rPr>
        <w:t>3.2.5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spacing w:line="380" w:lineRule="exact"/>
        <w:ind w:firstLine="480" w:firstLineChars="200"/>
        <w:rPr>
          <w:rFonts w:ascii="宋体" w:hAnsi="宋体" w:cs="宋体"/>
          <w:sz w:val="24"/>
          <w:szCs w:val="24"/>
        </w:rPr>
      </w:pPr>
      <w:r>
        <w:rPr>
          <w:rFonts w:hint="eastAsia" w:ascii="宋体" w:hAnsi="宋体" w:cs="宋体"/>
          <w:sz w:val="24"/>
          <w:szCs w:val="24"/>
        </w:rPr>
        <w:t>3.2.6记名投票</w:t>
      </w:r>
    </w:p>
    <w:p>
      <w:pPr>
        <w:spacing w:line="400" w:lineRule="exact"/>
        <w:ind w:firstLine="480" w:firstLineChars="200"/>
        <w:rPr>
          <w:rFonts w:ascii="宋体" w:hAnsi="宋体" w:cs="宋体"/>
          <w:sz w:val="24"/>
          <w:szCs w:val="24"/>
        </w:rPr>
      </w:pPr>
      <w:r>
        <w:rPr>
          <w:rFonts w:hint="eastAsia" w:ascii="宋体" w:hAnsi="宋体" w:cs="宋体"/>
          <w:sz w:val="24"/>
          <w:szCs w:val="24"/>
        </w:rPr>
        <w:t>在任何评标环节中，需评标委员会就某项定性的评审结论做出表决的，由评标委员会全体成员按照少数服从多数的原则，以记名投票方式表决。</w:t>
      </w:r>
    </w:p>
    <w:p>
      <w:pPr>
        <w:pStyle w:val="7"/>
        <w:spacing w:before="0" w:after="0" w:line="400" w:lineRule="exact"/>
        <w:rPr>
          <w:rFonts w:ascii="宋体" w:hAnsi="宋体" w:cs="宋体"/>
          <w:b w:val="0"/>
          <w:sz w:val="24"/>
          <w:szCs w:val="24"/>
        </w:rPr>
      </w:pPr>
      <w:bookmarkStart w:id="122" w:name="_Toc144974575"/>
      <w:bookmarkStart w:id="123" w:name="_Toc152042385"/>
      <w:bookmarkStart w:id="124" w:name="_Toc456354356"/>
      <w:bookmarkStart w:id="125" w:name="_Toc152045607"/>
      <w:bookmarkStart w:id="126" w:name="_Toc353270373"/>
      <w:bookmarkStart w:id="127" w:name="_Toc384733833"/>
      <w:bookmarkStart w:id="128" w:name="_Toc28803"/>
      <w:bookmarkStart w:id="129" w:name="_Toc467683054"/>
      <w:r>
        <w:rPr>
          <w:rFonts w:hint="eastAsia" w:ascii="宋体" w:hAnsi="宋体" w:cs="宋体"/>
          <w:b w:val="0"/>
          <w:sz w:val="24"/>
          <w:szCs w:val="24"/>
        </w:rPr>
        <w:t>3.3 投标文件的澄清</w:t>
      </w:r>
      <w:bookmarkEnd w:id="122"/>
      <w:r>
        <w:rPr>
          <w:rFonts w:hint="eastAsia" w:ascii="宋体" w:hAnsi="宋体" w:cs="宋体"/>
          <w:b w:val="0"/>
          <w:sz w:val="24"/>
          <w:szCs w:val="24"/>
        </w:rPr>
        <w:t>和补正</w:t>
      </w:r>
      <w:bookmarkEnd w:id="123"/>
      <w:bookmarkEnd w:id="124"/>
      <w:bookmarkEnd w:id="125"/>
      <w:bookmarkEnd w:id="126"/>
      <w:bookmarkEnd w:id="127"/>
      <w:bookmarkEnd w:id="128"/>
      <w:bookmarkEnd w:id="129"/>
    </w:p>
    <w:p>
      <w:pPr>
        <w:spacing w:line="400" w:lineRule="exact"/>
        <w:ind w:firstLine="480" w:firstLineChars="200"/>
        <w:rPr>
          <w:rFonts w:ascii="宋体" w:hAnsi="宋体" w:cs="宋体"/>
          <w:sz w:val="24"/>
          <w:szCs w:val="24"/>
        </w:rPr>
      </w:pPr>
      <w:r>
        <w:rPr>
          <w:rFonts w:hint="eastAsia" w:ascii="宋体" w:hAnsi="宋体" w:cs="宋体"/>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80" w:firstLineChars="200"/>
        <w:rPr>
          <w:rFonts w:ascii="宋体" w:hAnsi="宋体" w:cs="宋体"/>
          <w:sz w:val="24"/>
          <w:szCs w:val="24"/>
        </w:rPr>
      </w:pPr>
      <w:r>
        <w:rPr>
          <w:rFonts w:hint="eastAsia" w:ascii="宋体" w:hAnsi="宋体" w:cs="宋体"/>
          <w:sz w:val="24"/>
          <w:szCs w:val="24"/>
        </w:rPr>
        <w:t>3.3.2 澄清、说明和补正不得改变投标文件的实质性内容（算术性错误修正的除外）。投标人的书面澄清、说明和补正属于投标文件的组成部分。</w:t>
      </w:r>
    </w:p>
    <w:p>
      <w:pPr>
        <w:spacing w:line="400" w:lineRule="exact"/>
        <w:ind w:firstLine="480" w:firstLineChars="200"/>
        <w:rPr>
          <w:rFonts w:ascii="宋体" w:hAnsi="宋体" w:cs="宋体"/>
          <w:sz w:val="24"/>
          <w:szCs w:val="24"/>
        </w:rPr>
      </w:pPr>
      <w:r>
        <w:rPr>
          <w:rFonts w:hint="eastAsia" w:ascii="宋体" w:hAnsi="宋体" w:cs="宋体"/>
          <w:sz w:val="24"/>
          <w:szCs w:val="24"/>
        </w:rPr>
        <w:t>3.3.3 评标委员会对投标人提交的澄清、说明或补正有疑问的，可以要求投标人进一步澄清、说明或补正，直至满足评标委员会的要求。</w:t>
      </w:r>
    </w:p>
    <w:p>
      <w:pPr>
        <w:pStyle w:val="7"/>
        <w:spacing w:before="0" w:after="0" w:line="400" w:lineRule="exact"/>
        <w:rPr>
          <w:rFonts w:ascii="宋体" w:hAnsi="宋体" w:cs="宋体"/>
          <w:b w:val="0"/>
          <w:sz w:val="24"/>
          <w:szCs w:val="24"/>
        </w:rPr>
      </w:pPr>
      <w:bookmarkStart w:id="130" w:name="_Toc152042386"/>
      <w:bookmarkStart w:id="131" w:name="_Toc384733834"/>
      <w:bookmarkStart w:id="132" w:name="_Toc456354357"/>
      <w:bookmarkStart w:id="133" w:name="_Toc17654"/>
      <w:bookmarkStart w:id="134" w:name="_Toc467683055"/>
      <w:bookmarkStart w:id="135" w:name="_Toc144974576"/>
      <w:bookmarkStart w:id="136" w:name="_Toc353270374"/>
      <w:bookmarkStart w:id="137" w:name="_Toc152045608"/>
      <w:r>
        <w:rPr>
          <w:rFonts w:hint="eastAsia" w:ascii="宋体" w:hAnsi="宋体" w:cs="宋体"/>
          <w:b w:val="0"/>
          <w:sz w:val="24"/>
          <w:szCs w:val="24"/>
        </w:rPr>
        <w:t>3.4 评标结果</w:t>
      </w:r>
      <w:bookmarkEnd w:id="130"/>
      <w:bookmarkEnd w:id="131"/>
      <w:bookmarkEnd w:id="132"/>
      <w:bookmarkEnd w:id="133"/>
      <w:bookmarkEnd w:id="134"/>
      <w:bookmarkEnd w:id="135"/>
      <w:bookmarkEnd w:id="136"/>
      <w:bookmarkEnd w:id="137"/>
    </w:p>
    <w:p>
      <w:pPr>
        <w:spacing w:line="400" w:lineRule="exact"/>
        <w:ind w:firstLine="480" w:firstLineChars="200"/>
        <w:rPr>
          <w:rFonts w:ascii="宋体" w:hAnsi="宋体" w:cs="宋体"/>
          <w:sz w:val="24"/>
          <w:szCs w:val="24"/>
        </w:rPr>
      </w:pPr>
      <w:r>
        <w:rPr>
          <w:rFonts w:hint="eastAsia" w:ascii="宋体" w:hAnsi="宋体" w:cs="宋体"/>
          <w:sz w:val="24"/>
          <w:szCs w:val="24"/>
        </w:rPr>
        <w:t>3.4.1除第二章“投标人须知”前附表授权直接确定中标人外，评标委员会按照得分由高到低的顺序推荐1-3名为中标候选人。</w:t>
      </w:r>
    </w:p>
    <w:p>
      <w:pPr>
        <w:spacing w:line="400" w:lineRule="exact"/>
        <w:ind w:firstLine="480" w:firstLineChars="200"/>
        <w:rPr>
          <w:rFonts w:ascii="宋体" w:hAnsi="宋体" w:cs="宋体"/>
          <w:sz w:val="24"/>
          <w:szCs w:val="24"/>
        </w:rPr>
      </w:pPr>
      <w:r>
        <w:rPr>
          <w:rFonts w:hint="eastAsia" w:ascii="宋体" w:hAnsi="宋体" w:cs="宋体"/>
          <w:sz w:val="24"/>
          <w:szCs w:val="24"/>
        </w:rPr>
        <w:t>3.4.2 评标委员会完成评标后，应当向招标人提交书面评标报告。</w:t>
      </w:r>
    </w:p>
    <w:p>
      <w:pPr>
        <w:spacing w:line="480" w:lineRule="exact"/>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bCs/>
          <w:sz w:val="32"/>
          <w:szCs w:val="32"/>
        </w:rPr>
        <w:t>附件四：投标保证金</w:t>
      </w: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投标保证金交纳须知</w:t>
      </w:r>
    </w:p>
    <w:tbl>
      <w:tblPr>
        <w:tblStyle w:val="16"/>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建安建工公字〔2020〕</w:t>
            </w:r>
            <w:r>
              <w:rPr>
                <w:rFonts w:hint="eastAsia" w:asciiTheme="minorEastAsia" w:hAnsiTheme="minorEastAsia" w:eastAsiaTheme="minorEastAsia" w:cstheme="minorEastAsia"/>
                <w:bCs/>
                <w:sz w:val="24"/>
                <w:lang w:val="en-US" w:eastAsia="zh-CN"/>
              </w:rPr>
              <w:t>37</w:t>
            </w:r>
            <w:r>
              <w:rPr>
                <w:rFonts w:hint="eastAsia" w:asciiTheme="minorEastAsia" w:hAnsiTheme="minorEastAsia" w:eastAsiaTheme="minorEastAsia" w:cstheme="minorEastAsia"/>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许昌市建安区环保装备制造产业园项目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金额：</w:t>
            </w:r>
            <w:r>
              <w:rPr>
                <w:rFonts w:hint="eastAsia" w:asciiTheme="minorEastAsia" w:hAnsiTheme="minorEastAsia" w:eastAsiaTheme="minorEastAsia" w:cstheme="minorEastAsia"/>
                <w:b/>
                <w:bCs/>
                <w:sz w:val="24"/>
              </w:rPr>
              <w:t>人民币</w:t>
            </w:r>
            <w:r>
              <w:rPr>
                <w:rFonts w:hint="eastAsia" w:asciiTheme="minorEastAsia" w:hAnsiTheme="minorEastAsia" w:eastAsiaTheme="minorEastAsia" w:cstheme="minorEastAsia"/>
                <w:b/>
                <w:bCs/>
                <w:sz w:val="24"/>
                <w:lang w:val="en-US" w:eastAsia="zh-CN"/>
              </w:rPr>
              <w:t>伍拾万</w:t>
            </w:r>
            <w:r>
              <w:rPr>
                <w:rFonts w:hint="eastAsia" w:asciiTheme="minorEastAsia" w:hAnsiTheme="minorEastAsia" w:eastAsiaTheme="minorEastAsia" w:cstheme="minorEastAsia"/>
                <w:b/>
                <w:bCs/>
                <w:sz w:val="24"/>
              </w:rPr>
              <w:t>元整（¥</w:t>
            </w:r>
            <w:r>
              <w:rPr>
                <w:rFonts w:hint="eastAsia" w:asciiTheme="minorEastAsia" w:hAnsiTheme="minorEastAsia" w:eastAsiaTheme="minorEastAsia" w:cstheme="minorEastAsia"/>
                <w:b/>
                <w:bCs/>
                <w:sz w:val="24"/>
                <w:lang w:val="en-US" w:eastAsia="zh-CN"/>
              </w:rPr>
              <w:t>500000.00</w:t>
            </w:r>
            <w:r>
              <w:rPr>
                <w:rFonts w:hint="eastAsia" w:asciiTheme="minorEastAsia" w:hAnsiTheme="minorEastAsia" w:eastAsiaTheme="minorEastAsia" w:cstheme="minorEastAsia"/>
                <w:b/>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Ansi="宋体" w:cs="宋体"/>
                <w:sz w:val="24"/>
              </w:rPr>
            </w:pPr>
            <w:r>
              <w:rPr>
                <w:rFonts w:hint="eastAsia" w:hAnsi="宋体" w:cs="宋体"/>
                <w:sz w:val="24"/>
              </w:rPr>
              <w:t xml:space="preserve">   (1)因投标人的原因无法及时退还投标（竞买）保证金、滞留三年以上的，投标（竞买）保证金上缴财政。</w:t>
            </w:r>
          </w:p>
          <w:p>
            <w:pPr>
              <w:autoSpaceDE w:val="0"/>
              <w:autoSpaceDN w:val="0"/>
              <w:adjustRightInd w:val="0"/>
              <w:spacing w:line="340" w:lineRule="exact"/>
              <w:rPr>
                <w:rFonts w:hAnsi="宋体" w:cs="宋体"/>
                <w:sz w:val="24"/>
              </w:rPr>
            </w:pPr>
            <w:r>
              <w:rPr>
                <w:rFonts w:hint="eastAsia" w:hAnsi="宋体" w:cs="宋体"/>
                <w:sz w:val="24"/>
              </w:rPr>
              <w:t xml:space="preserve">   (2)自文件发布之日起，投标人需进行基本户备案，已备案的基本户开户银行、账户发生变化的，须重新办理备案手续。备案后方可提交投标（竞买）保证金。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Ansi="宋体" w:cs="宋体"/>
                <w:sz w:val="24"/>
              </w:rPr>
            </w:pPr>
            <w:r>
              <w:rPr>
                <w:rFonts w:hint="eastAsia" w:hAnsi="宋体" w:cs="宋体"/>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 w:val="24"/>
              </w:rPr>
            </w:pPr>
            <w:r>
              <w:rPr>
                <w:rFonts w:hint="eastAsia" w:hAnsi="宋体" w:cs="宋体"/>
                <w:sz w:val="24"/>
              </w:rPr>
              <w:t xml:space="preserve">  (4)特殊情况处理</w:t>
            </w:r>
          </w:p>
          <w:p>
            <w:pPr>
              <w:autoSpaceDE w:val="0"/>
              <w:autoSpaceDN w:val="0"/>
              <w:adjustRightInd w:val="0"/>
              <w:spacing w:line="340" w:lineRule="exact"/>
              <w:rPr>
                <w:rFonts w:hAnsi="宋体" w:cs="宋体"/>
                <w:sz w:val="24"/>
                <w:lang w:val="zh-CN"/>
              </w:rPr>
            </w:pPr>
            <w:r>
              <w:rPr>
                <w:rFonts w:hint="eastAsia" w:hAnsi="宋体" w:cs="宋体"/>
                <w:sz w:val="24"/>
              </w:rPr>
              <w:t xml:space="preserve">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r>
              <w:rPr>
                <w:rFonts w:hint="eastAsia" w:hAnsi="宋体" w:cs="宋体"/>
                <w:sz w:val="24"/>
                <w:lang w:val="zh-CN"/>
              </w:rPr>
              <w:t>登录许昌公共资源交易系统-组件下载-《保证金缴纳绑定操作指南》。</w:t>
            </w:r>
          </w:p>
          <w:p>
            <w:pPr>
              <w:rPr>
                <w:rFonts w:asciiTheme="minorEastAsia" w:hAnsiTheme="minorEastAsia" w:eastAsiaTheme="minorEastAsia" w:cstheme="minorEastAsia"/>
                <w:sz w:val="24"/>
              </w:rPr>
            </w:pPr>
            <w:r>
              <w:rPr>
                <w:rFonts w:hint="eastAsia" w:hAnsi="宋体" w:cs="宋体"/>
                <w:sz w:val="24"/>
              </w:rPr>
              <w:t xml:space="preserve">    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1、因投标人的原因无法及时退还投标（竞买）保证金、滞留三年以上的，投标（竞买）保证金上缴财政。</w:t>
            </w:r>
          </w:p>
          <w:p>
            <w:pPr>
              <w:adjustRightInd w:val="0"/>
              <w:spacing w:line="360" w:lineRule="exact"/>
              <w:ind w:firstLine="470" w:firstLineChars="196"/>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4、特殊情况处理</w:t>
            </w:r>
          </w:p>
          <w:p>
            <w:pPr>
              <w:adjustRightInd w:val="0"/>
              <w:spacing w:line="360" w:lineRule="exact"/>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asciiTheme="minorEastAsia" w:hAnsiTheme="minorEastAsia" w:eastAsiaTheme="minorEastAsia" w:cstheme="minorEastAsia"/>
          <w:sz w:val="36"/>
          <w:szCs w:val="36"/>
        </w:rPr>
      </w:pPr>
    </w:p>
    <w:p>
      <w:pPr>
        <w:ind w:firstLine="2880" w:firstLineChars="800"/>
        <w:rPr>
          <w:rFonts w:asciiTheme="minorEastAsia" w:hAnsiTheme="minorEastAsia" w:eastAsiaTheme="minorEastAsia" w:cstheme="minorEastAsia"/>
          <w:sz w:val="36"/>
          <w:szCs w:val="36"/>
        </w:rPr>
      </w:pPr>
    </w:p>
    <w:p>
      <w:pPr>
        <w:ind w:firstLine="2880" w:firstLineChars="800"/>
        <w:rPr>
          <w:rFonts w:asciiTheme="minorEastAsia" w:hAnsiTheme="minorEastAsia" w:eastAsiaTheme="minorEastAsia" w:cstheme="minorEastAsia"/>
          <w:sz w:val="36"/>
          <w:szCs w:val="36"/>
        </w:rPr>
      </w:pPr>
    </w:p>
    <w:bookmarkEnd w:id="78"/>
    <w:p>
      <w:pPr>
        <w:jc w:val="center"/>
        <w:rPr>
          <w:rFonts w:asciiTheme="minorEastAsia" w:hAnsiTheme="minorEastAsia" w:eastAsiaTheme="minorEastAsia" w:cstheme="minorEastAsia"/>
          <w:sz w:val="36"/>
          <w:szCs w:val="36"/>
        </w:rPr>
      </w:pPr>
      <w:bookmarkStart w:id="138" w:name="_Toc15330"/>
      <w:bookmarkStart w:id="139" w:name="_Toc26082"/>
      <w:bookmarkStart w:id="140" w:name="_Toc401323967"/>
      <w:r>
        <w:rPr>
          <w:rFonts w:hint="eastAsia" w:asciiTheme="minorEastAsia" w:hAnsiTheme="minorEastAsia" w:eastAsiaTheme="minorEastAsia" w:cstheme="minorEastAsia"/>
          <w:sz w:val="36"/>
          <w:szCs w:val="36"/>
        </w:rPr>
        <w:t>投标保证金退还申请表</w:t>
      </w:r>
    </w:p>
    <w:tbl>
      <w:tblPr>
        <w:tblStyle w:val="16"/>
        <w:tblpPr w:leftFromText="180" w:rightFromText="180" w:vertAnchor="text" w:horzAnchor="page" w:tblpXSpec="center" w:tblpY="37"/>
        <w:tblOverlap w:val="never"/>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3516"/>
        <w:gridCol w:w="264"/>
        <w:gridCol w:w="722"/>
        <w:gridCol w:w="10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p>
        </w:tc>
        <w:tc>
          <w:tcPr>
            <w:tcW w:w="2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9889"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9889"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Theme="minorEastAsia" w:hAnsiTheme="minorEastAsia" w:eastAsiaTheme="minorEastAsia" w:cstheme="minorEastAsia"/>
                <w:sz w:val="24"/>
              </w:rPr>
            </w:pPr>
          </w:p>
          <w:p>
            <w:pPr>
              <w:spacing w:line="360" w:lineRule="auto"/>
              <w:ind w:right="480" w:firstLine="5880" w:firstLineChars="2450"/>
              <w:rPr>
                <w:rFonts w:asciiTheme="minorEastAsia" w:hAnsiTheme="minorEastAsia" w:eastAsiaTheme="minorEastAsia" w:cstheme="minorEastAsia"/>
                <w:sz w:val="24"/>
              </w:rPr>
            </w:pPr>
          </w:p>
          <w:p>
            <w:pPr>
              <w:spacing w:line="360" w:lineRule="auto"/>
              <w:ind w:right="480" w:firstLine="5880" w:firstLineChars="2450"/>
              <w:rPr>
                <w:rFonts w:asciiTheme="minorEastAsia" w:hAnsiTheme="minorEastAsia" w:eastAsiaTheme="minorEastAsia" w:cstheme="minorEastAsia"/>
                <w:sz w:val="24"/>
              </w:rPr>
            </w:pPr>
          </w:p>
          <w:p>
            <w:pPr>
              <w:spacing w:line="360" w:lineRule="auto"/>
              <w:ind w:right="480" w:firstLine="5880" w:firstLineChars="2450"/>
              <w:rPr>
                <w:rFonts w:asciiTheme="minorEastAsia" w:hAnsiTheme="minorEastAsia" w:eastAsiaTheme="minorEastAsia" w:cstheme="minorEastAsia"/>
                <w:sz w:val="24"/>
              </w:rPr>
            </w:pPr>
          </w:p>
          <w:p>
            <w:pPr>
              <w:spacing w:line="360" w:lineRule="auto"/>
              <w:ind w:right="480" w:firstLine="5880" w:firstLineChars="2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spacing w:line="360" w:lineRule="auto"/>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spacing w:line="360" w:lineRule="auto"/>
        <w:rPr>
          <w:rFonts w:asciiTheme="minorEastAsia" w:hAnsiTheme="minorEastAsia" w:eastAsiaTheme="minorEastAsia" w:cstheme="minorEastAsia"/>
          <w:sz w:val="24"/>
        </w:rPr>
      </w:pPr>
    </w:p>
    <w:p>
      <w:pPr>
        <w:ind w:firstLine="2880" w:firstLineChars="800"/>
        <w:rPr>
          <w:rFonts w:asciiTheme="minorEastAsia" w:hAnsiTheme="minorEastAsia" w:eastAsiaTheme="minorEastAsia" w:cstheme="minorEastAsia"/>
          <w:kern w:val="2"/>
          <w:sz w:val="36"/>
          <w:szCs w:val="36"/>
        </w:rPr>
      </w:pPr>
      <w:r>
        <w:rPr>
          <w:rFonts w:hint="eastAsia" w:asciiTheme="minorEastAsia" w:hAnsiTheme="minorEastAsia" w:eastAsiaTheme="minorEastAsia" w:cstheme="minorEastAsia"/>
          <w:kern w:val="2"/>
          <w:sz w:val="36"/>
          <w:szCs w:val="36"/>
        </w:rPr>
        <w:t>履约保证金退还通知单</w:t>
      </w:r>
    </w:p>
    <w:tbl>
      <w:tblPr>
        <w:tblStyle w:val="16"/>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项目编号</w:t>
            </w:r>
          </w:p>
        </w:tc>
        <w:tc>
          <w:tcPr>
            <w:tcW w:w="4140" w:type="dxa"/>
            <w:gridSpan w:val="2"/>
            <w:vAlign w:val="center"/>
          </w:tcPr>
          <w:p>
            <w:pPr>
              <w:spacing w:line="360" w:lineRule="exact"/>
              <w:jc w:val="center"/>
              <w:rPr>
                <w:rFonts w:asciiTheme="minorEastAsia" w:hAnsiTheme="minorEastAsia" w:eastAsiaTheme="minorEastAsia" w:cstheme="minorEastAsia"/>
                <w:kern w:val="2"/>
                <w:sz w:val="24"/>
                <w:szCs w:val="24"/>
              </w:rPr>
            </w:pPr>
          </w:p>
        </w:tc>
        <w:tc>
          <w:tcPr>
            <w:tcW w:w="1440" w:type="dxa"/>
            <w:gridSpan w:val="2"/>
            <w:vAlign w:val="center"/>
          </w:tcPr>
          <w:p>
            <w:pPr>
              <w:spacing w:line="360" w:lineRule="exact"/>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是否完工</w:t>
            </w:r>
          </w:p>
        </w:tc>
        <w:tc>
          <w:tcPr>
            <w:tcW w:w="2162" w:type="dxa"/>
            <w:vAlign w:val="center"/>
          </w:tcPr>
          <w:p>
            <w:pPr>
              <w:spacing w:line="360" w:lineRule="exact"/>
              <w:ind w:firstLine="240" w:firstLineChars="1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中标企业名称</w:t>
            </w:r>
          </w:p>
        </w:tc>
        <w:tc>
          <w:tcPr>
            <w:tcW w:w="7742" w:type="dxa"/>
            <w:gridSpan w:val="5"/>
            <w:vAlign w:val="center"/>
          </w:tcPr>
          <w:p>
            <w:pPr>
              <w:spacing w:line="360" w:lineRule="exact"/>
              <w:jc w:val="center"/>
              <w:rPr>
                <w:rFonts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开户银行</w:t>
            </w:r>
          </w:p>
        </w:tc>
        <w:tc>
          <w:tcPr>
            <w:tcW w:w="3780" w:type="dxa"/>
            <w:vAlign w:val="center"/>
          </w:tcPr>
          <w:p>
            <w:pPr>
              <w:rPr>
                <w:rFonts w:asciiTheme="minorEastAsia" w:hAnsiTheme="minorEastAsia" w:eastAsiaTheme="minorEastAsia" w:cstheme="minorEastAsia"/>
                <w:kern w:val="2"/>
                <w:sz w:val="24"/>
                <w:szCs w:val="24"/>
              </w:rPr>
            </w:pPr>
          </w:p>
        </w:tc>
        <w:tc>
          <w:tcPr>
            <w:tcW w:w="722" w:type="dxa"/>
            <w:gridSpan w:val="2"/>
            <w:vAlign w:val="center"/>
          </w:tcPr>
          <w:p>
            <w:pPr>
              <w:spacing w:line="360" w:lineRule="exac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账号</w:t>
            </w:r>
          </w:p>
        </w:tc>
        <w:tc>
          <w:tcPr>
            <w:tcW w:w="3240" w:type="dxa"/>
            <w:gridSpan w:val="2"/>
            <w:vAlign w:val="center"/>
          </w:tcPr>
          <w:p>
            <w:pPr>
              <w:rPr>
                <w:rFonts w:asciiTheme="minorEastAsia" w:hAnsiTheme="minorEastAsia" w:eastAsiaTheme="minorEastAsia" w:cs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金额</w:t>
            </w:r>
          </w:p>
        </w:tc>
        <w:tc>
          <w:tcPr>
            <w:tcW w:w="7742" w:type="dxa"/>
            <w:gridSpan w:val="5"/>
            <w:vAlign w:val="center"/>
          </w:tcPr>
          <w:p>
            <w:pPr>
              <w:spacing w:line="360" w:lineRule="exac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asciiTheme="minorEastAsia" w:hAnsiTheme="minorEastAsia" w:eastAsiaTheme="minorEastAsia" w:cstheme="minorEastAsia"/>
                <w:kern w:val="2"/>
                <w:sz w:val="24"/>
                <w:szCs w:val="24"/>
              </w:rPr>
            </w:pPr>
          </w:p>
          <w:p>
            <w:pPr>
              <w:jc w:val="center"/>
              <w:rPr>
                <w:rFonts w:asciiTheme="minorEastAsia" w:hAnsiTheme="minorEastAsia" w:eastAsiaTheme="minorEastAsia" w:cstheme="minorEastAsia"/>
                <w:kern w:val="2"/>
                <w:sz w:val="24"/>
                <w:szCs w:val="24"/>
              </w:rPr>
            </w:pPr>
          </w:p>
          <w:p>
            <w:pPr>
              <w:ind w:firstLine="840" w:firstLineChars="35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主要负责人签字 ：                           盖  章：</w:t>
            </w:r>
          </w:p>
          <w:p>
            <w:pPr>
              <w:jc w:val="center"/>
              <w:rPr>
                <w:rFonts w:asciiTheme="minorEastAsia" w:hAnsiTheme="minorEastAsia" w:eastAsiaTheme="minorEastAsia" w:cstheme="minorEastAsia"/>
                <w:kern w:val="2"/>
                <w:sz w:val="24"/>
                <w:szCs w:val="24"/>
              </w:rPr>
            </w:pPr>
          </w:p>
          <w:p>
            <w:pPr>
              <w:ind w:right="480" w:firstLine="5880" w:firstLineChars="245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年   月   日</w:t>
            </w:r>
          </w:p>
        </w:tc>
      </w:tr>
    </w:tbl>
    <w:p>
      <w:pPr>
        <w:spacing w:line="360" w:lineRule="auto"/>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jc w:val="center"/>
        <w:outlineLvl w:val="0"/>
        <w:rPr>
          <w:rFonts w:asciiTheme="minorEastAsia" w:hAnsiTheme="minorEastAsia" w:eastAsiaTheme="minorEastAsia" w:cstheme="minorEastAsia"/>
          <w:b/>
          <w:sz w:val="44"/>
          <w:szCs w:val="44"/>
        </w:rPr>
      </w:pPr>
    </w:p>
    <w:p>
      <w:pP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p>
    <w:p>
      <w:pPr>
        <w:jc w:val="center"/>
        <w:outlineLvl w:val="0"/>
        <w:rPr>
          <w:rFonts w:asciiTheme="minorEastAsia" w:hAnsiTheme="minorEastAsia" w:eastAsiaTheme="minorEastAsia" w:cstheme="minorEastAsia"/>
          <w:b/>
          <w:bCs/>
          <w:kern w:val="44"/>
          <w:sz w:val="44"/>
          <w:szCs w:val="44"/>
        </w:rPr>
      </w:pPr>
      <w:r>
        <w:rPr>
          <w:rFonts w:hint="eastAsia" w:asciiTheme="minorEastAsia" w:hAnsiTheme="minorEastAsia" w:eastAsiaTheme="minorEastAsia" w:cstheme="minorEastAsia"/>
          <w:b/>
          <w:sz w:val="44"/>
          <w:szCs w:val="44"/>
        </w:rPr>
        <w:t>第四章  合同条款及格式</w:t>
      </w:r>
      <w:bookmarkEnd w:id="138"/>
      <w:bookmarkEnd w:id="139"/>
      <w:bookmarkEnd w:id="140"/>
    </w:p>
    <w:p>
      <w:pPr>
        <w:spacing w:after="468" w:afterLines="150" w:line="380" w:lineRule="exact"/>
        <w:jc w:val="center"/>
        <w:rPr>
          <w:rFonts w:asciiTheme="minorEastAsia" w:hAnsiTheme="minorEastAsia" w:eastAsiaTheme="minorEastAsia" w:cstheme="minorEastAsia"/>
          <w:b/>
          <w:sz w:val="24"/>
          <w:szCs w:val="36"/>
        </w:rPr>
      </w:pPr>
    </w:p>
    <w:p>
      <w:pPr>
        <w:spacing w:after="468" w:afterLines="150" w:line="380" w:lineRule="exact"/>
        <w:jc w:val="center"/>
        <w:rPr>
          <w:rFonts w:asciiTheme="minorEastAsia" w:hAnsiTheme="minorEastAsia" w:eastAsiaTheme="minorEastAsia" w:cstheme="minorEastAsia"/>
          <w:b/>
          <w:sz w:val="24"/>
          <w:szCs w:val="36"/>
        </w:rPr>
      </w:pPr>
      <w:r>
        <w:rPr>
          <w:rFonts w:hint="eastAsia" w:asciiTheme="minorEastAsia" w:hAnsiTheme="minorEastAsia" w:eastAsiaTheme="minorEastAsia" w:cstheme="minorEastAsia"/>
          <w:b/>
          <w:sz w:val="24"/>
          <w:szCs w:val="36"/>
        </w:rPr>
        <w:t>具体事项中标后由双方根据相关法规、招标文件、项目情况友好平等协商。</w:t>
      </w:r>
    </w:p>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（使用《建设工程施工合同》范本（GF-2017-0201））</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360" w:lineRule="auto"/>
        <w:jc w:val="center"/>
        <w:outlineLvl w:val="1"/>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rPr>
        <w:br w:type="page"/>
      </w:r>
      <w:bookmarkStart w:id="141" w:name="_Toc296890982"/>
      <w:bookmarkEnd w:id="141"/>
      <w:bookmarkStart w:id="142" w:name="_Toc278443522"/>
      <w:r>
        <w:rPr>
          <w:rFonts w:hint="eastAsia" w:asciiTheme="minorEastAsia" w:hAnsiTheme="minorEastAsia" w:eastAsiaTheme="minorEastAsia" w:cstheme="minorEastAsia"/>
          <w:b/>
          <w:bCs/>
        </w:rPr>
        <w:t xml:space="preserve">第五章 </w:t>
      </w:r>
      <w:bookmarkEnd w:id="142"/>
      <w:bookmarkStart w:id="143" w:name="_Toc278443525"/>
      <w:r>
        <w:rPr>
          <w:rFonts w:hint="eastAsia" w:asciiTheme="minorEastAsia" w:hAnsiTheme="minorEastAsia" w:eastAsiaTheme="minorEastAsia" w:cstheme="minorEastAsia"/>
          <w:b/>
          <w:sz w:val="36"/>
          <w:szCs w:val="36"/>
        </w:rPr>
        <w:t>技术标准和要求</w:t>
      </w:r>
    </w:p>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rPr>
        <w:t>1、本工程技术标准和要求以本工程施工图纸和适用的国家、行业以及地方规范、标准和规程为准。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2、施工工地扬尘污染整治标准以《许昌市施工工地扬尘污染综合整治工作方案》许气联办【2016】21号文件为准。</w:t>
      </w:r>
    </w:p>
    <w:p>
      <w:pPr>
        <w:spacing w:line="360" w:lineRule="auto"/>
        <w:ind w:firstLine="420"/>
        <w:rPr>
          <w:rFonts w:asciiTheme="minorEastAsia" w:hAnsiTheme="minorEastAsia" w:eastAsiaTheme="minorEastAsia" w:cstheme="minorEastAsia"/>
          <w:kern w:val="2"/>
          <w:sz w:val="24"/>
          <w:szCs w:val="24"/>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第六章 投标文件格式</w:t>
      </w:r>
      <w:bookmarkEnd w:id="143"/>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w:t>
      </w:r>
      <w:r>
        <w:rPr>
          <w:rFonts w:hint="eastAsia" w:asciiTheme="minorEastAsia" w:hAnsiTheme="minorEastAsia" w:eastAsiaTheme="minorEastAsia" w:cstheme="minorEastAsia"/>
          <w:b/>
          <w:spacing w:val="60"/>
          <w:sz w:val="52"/>
          <w:szCs w:val="52"/>
          <w:u w:val="single"/>
          <w:lang w:val="en-US" w:eastAsia="zh-CN"/>
        </w:rPr>
        <w:t>及标段</w:t>
      </w:r>
      <w:r>
        <w:rPr>
          <w:rFonts w:hint="eastAsia" w:asciiTheme="minorEastAsia" w:hAnsiTheme="minorEastAsia" w:eastAsiaTheme="minorEastAsia" w:cstheme="minorEastAsia"/>
          <w:b/>
          <w:spacing w:val="60"/>
          <w:sz w:val="52"/>
          <w:szCs w:val="52"/>
          <w:u w:val="single"/>
        </w:rPr>
        <w:t>）</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32"/>
          <w:szCs w:val="32"/>
        </w:rPr>
        <w:t>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pStyle w:val="2"/>
        <w:ind w:firstLine="340"/>
        <w:rPr>
          <w:rFonts w:asciiTheme="minorEastAsia" w:hAnsiTheme="minorEastAsia" w:eastAsiaTheme="minorEastAsia" w:cstheme="minorEastAsia"/>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年</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月</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日</w:t>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目    录</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一、投标函及投标函附录</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二、法定代表人身份证明或附有法定代表人身份证明的授权委托书</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三、投标保证金</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四、施工组织设计</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五、项目管理机构配备情况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六、投标单位基本信息表</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七、资格证明文件</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八、近年财务状况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九、近年完成的类似项目情况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十、正在施工的和新承接的项目情况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十一、近年发生的诉讼及仲裁情况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十二、承诺书</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十三、其他材料</w:t>
      </w:r>
    </w:p>
    <w:p>
      <w:pPr>
        <w:pStyle w:val="4"/>
        <w:ind w:left="680" w:firstLine="680"/>
        <w:rPr>
          <w:rFonts w:hint="default" w:asciiTheme="minorEastAsia" w:hAnsiTheme="minorEastAsia" w:eastAsiaTheme="minorEastAsia" w:cstheme="minorEastAsia"/>
          <w:lang w:eastAsia="zh-CN"/>
        </w:rPr>
      </w:pPr>
    </w:p>
    <w:p>
      <w:pPr>
        <w:spacing w:line="360" w:lineRule="auto"/>
        <w:rPr>
          <w:rFonts w:asciiTheme="minorEastAsia" w:hAnsiTheme="minorEastAsia" w:eastAsiaTheme="minorEastAsia" w:cstheme="minorEastAsia"/>
          <w:sz w:val="24"/>
          <w:szCs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autoSpaceDE w:val="0"/>
        <w:autoSpaceDN w:val="0"/>
        <w:adjustRightInd w:val="0"/>
        <w:spacing w:line="312"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       如有本章未提供的格式，投标人可自行编制。</w:t>
      </w:r>
    </w:p>
    <w:p>
      <w:pP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p>
    <w:p>
      <w:pPr>
        <w:tabs>
          <w:tab w:val="center" w:pos="4739"/>
        </w:tabs>
        <w:spacing w:line="360" w:lineRule="auto"/>
        <w:ind w:left="180" w:firstLine="1800" w:firstLineChars="50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6"/>
          <w:szCs w:val="36"/>
        </w:rPr>
        <w:t>一、投标函及投标函附录</w:t>
      </w:r>
    </w:p>
    <w:p>
      <w:pPr>
        <w:spacing w:before="312" w:beforeLines="100" w:after="156" w:afterLines="50" w:line="510" w:lineRule="exact"/>
        <w:jc w:val="center"/>
        <w:rPr>
          <w:rFonts w:asciiTheme="minorEastAsia" w:hAnsiTheme="minorEastAsia" w:eastAsiaTheme="minorEastAsia" w:cstheme="minorEastAsia"/>
          <w:sz w:val="28"/>
          <w:szCs w:val="28"/>
        </w:rPr>
      </w:pPr>
      <w:bookmarkStart w:id="144" w:name="_Toc271787730"/>
      <w:r>
        <w:rPr>
          <w:rFonts w:hint="eastAsia" w:asciiTheme="minorEastAsia" w:hAnsiTheme="minorEastAsia" w:eastAsiaTheme="minorEastAsia" w:cstheme="minorEastAsia"/>
          <w:sz w:val="28"/>
          <w:szCs w:val="28"/>
        </w:rPr>
        <w:t>（一）投标函</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（项目名称）（以下简称“本工程”）施工招标文件的全部内容后，我方兹以：</w:t>
      </w:r>
    </w:p>
    <w:p>
      <w:pPr>
        <w:spacing w:line="480" w:lineRule="exact"/>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2"/>
        </w:rPr>
        <w:t>以后期经政府财政评审部门评审的工程费用为基数，投标报</w:t>
      </w:r>
      <w:r>
        <w:rPr>
          <w:rFonts w:hint="eastAsia" w:asciiTheme="minorEastAsia" w:hAnsiTheme="minorEastAsia" w:eastAsiaTheme="minorEastAsia" w:cstheme="minorEastAsia"/>
          <w:b/>
          <w:bCs/>
          <w:sz w:val="24"/>
        </w:rPr>
        <w:t>价</w:t>
      </w:r>
      <w:r>
        <w:rPr>
          <w:rFonts w:hint="eastAsia" w:asciiTheme="minorEastAsia" w:hAnsiTheme="minorEastAsia" w:eastAsiaTheme="minorEastAsia" w:cstheme="minorEastAsia"/>
          <w:b/>
          <w:bCs/>
          <w:sz w:val="24"/>
          <w:szCs w:val="24"/>
        </w:rPr>
        <w:t>为</w:t>
      </w:r>
      <w:r>
        <w:rPr>
          <w:rFonts w:hint="eastAsia" w:asciiTheme="minorEastAsia" w:hAnsiTheme="minorEastAsia" w:eastAsiaTheme="minorEastAsia" w:cstheme="minorEastAsia"/>
          <w:b/>
          <w:bCs/>
          <w:sz w:val="24"/>
          <w:u w:val="single"/>
        </w:rPr>
        <w:t xml:space="preserve">（大写）：         （小写）：     </w:t>
      </w:r>
      <w:r>
        <w:rPr>
          <w:rFonts w:hint="eastAsia" w:asciiTheme="minorEastAsia" w:hAnsiTheme="minorEastAsia" w:eastAsiaTheme="minorEastAsia" w:cstheme="minorEastAsia"/>
          <w:b/>
          <w:bCs/>
          <w:sz w:val="24"/>
        </w:rPr>
        <w:t>% 。</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日历天内竣工，并确保工程质量达到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autoSpaceDE w:val="0"/>
        <w:autoSpaceDN w:val="0"/>
        <w:adjustRightInd w:val="0"/>
        <w:outlineLvl w:val="0"/>
        <w:rPr>
          <w:rFonts w:asciiTheme="minorEastAsia" w:hAnsiTheme="minorEastAsia" w:eastAsiaTheme="minorEastAsia" w:cstheme="minorEastAsia"/>
          <w:b/>
          <w:sz w:val="24"/>
        </w:rPr>
      </w:pPr>
    </w:p>
    <w:p>
      <w:pPr>
        <w:autoSpaceDE w:val="0"/>
        <w:autoSpaceDN w:val="0"/>
        <w:adjustRightInd w:val="0"/>
        <w:outlineLvl w:val="0"/>
        <w:rPr>
          <w:rFonts w:asciiTheme="minorEastAsia" w:hAnsiTheme="minorEastAsia" w:eastAsiaTheme="minorEastAsia" w:cstheme="minorEastAsia"/>
          <w:b/>
          <w:sz w:val="24"/>
        </w:rPr>
      </w:pPr>
    </w:p>
    <w:p>
      <w:pPr>
        <w:pStyle w:val="2"/>
        <w:ind w:firstLine="241"/>
        <w:rPr>
          <w:rFonts w:asciiTheme="minorEastAsia" w:hAnsiTheme="minorEastAsia" w:eastAsiaTheme="minorEastAsia" w:cstheme="minorEastAsia"/>
          <w:b/>
          <w:sz w:val="24"/>
        </w:rPr>
      </w:pPr>
    </w:p>
    <w:p>
      <w:pPr>
        <w:pStyle w:val="4"/>
        <w:ind w:left="680" w:firstLine="482"/>
        <w:rPr>
          <w:rFonts w:hint="default" w:asciiTheme="minorEastAsia" w:hAnsiTheme="minorEastAsia" w:eastAsiaTheme="minorEastAsia" w:cstheme="minorEastAsia"/>
          <w:b/>
          <w:sz w:val="24"/>
          <w:lang w:eastAsia="zh-CN"/>
        </w:rPr>
      </w:pPr>
    </w:p>
    <w:p>
      <w:pPr>
        <w:pStyle w:val="4"/>
        <w:ind w:left="680" w:firstLine="482"/>
        <w:rPr>
          <w:rFonts w:hint="default" w:asciiTheme="minorEastAsia" w:hAnsiTheme="minorEastAsia" w:eastAsiaTheme="minorEastAsia" w:cstheme="minorEastAsia"/>
          <w:b/>
          <w:sz w:val="24"/>
          <w:lang w:eastAsia="zh-CN"/>
        </w:rPr>
      </w:pPr>
    </w:p>
    <w:p>
      <w:pPr>
        <w:pStyle w:val="4"/>
        <w:ind w:left="680" w:firstLine="482"/>
        <w:rPr>
          <w:rFonts w:hint="default" w:asciiTheme="minorEastAsia" w:hAnsiTheme="minorEastAsia" w:eastAsiaTheme="minorEastAsia" w:cstheme="minorEastAsia"/>
          <w:b/>
          <w:sz w:val="24"/>
          <w:lang w:eastAsia="zh-CN"/>
        </w:rPr>
      </w:pPr>
    </w:p>
    <w:p>
      <w:pPr>
        <w:autoSpaceDE w:val="0"/>
        <w:autoSpaceDN w:val="0"/>
        <w:adjustRightInd w:val="0"/>
        <w:jc w:val="center"/>
        <w:outlineLvl w:val="0"/>
        <w:rPr>
          <w:rFonts w:asciiTheme="minorEastAsia" w:hAnsiTheme="minorEastAsia" w:eastAsiaTheme="minorEastAsia" w:cstheme="minorEastAsia"/>
          <w:sz w:val="28"/>
          <w:szCs w:val="28"/>
        </w:rPr>
      </w:pPr>
      <w:bookmarkStart w:id="145" w:name="_Toc250616672"/>
      <w:r>
        <w:rPr>
          <w:rFonts w:hint="eastAsia" w:asciiTheme="minorEastAsia" w:hAnsiTheme="minorEastAsia" w:eastAsiaTheme="minorEastAsia" w:cstheme="minorEastAsia"/>
          <w:sz w:val="28"/>
          <w:szCs w:val="28"/>
        </w:rPr>
        <w:t>（二）投标函附录</w:t>
      </w:r>
      <w:bookmarkEnd w:id="145"/>
    </w:p>
    <w:p>
      <w:pPr>
        <w:rPr>
          <w:rFonts w:asciiTheme="minorEastAsia" w:hAnsiTheme="minorEastAsia" w:eastAsiaTheme="minorEastAsia" w:cstheme="minorEastAsia"/>
        </w:rPr>
      </w:pPr>
    </w:p>
    <w:tbl>
      <w:tblPr>
        <w:tblStyle w:val="16"/>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1464"/>
        <w:gridCol w:w="548"/>
        <w:gridCol w:w="1209"/>
        <w:gridCol w:w="76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314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工程名称</w:t>
            </w:r>
          </w:p>
        </w:tc>
        <w:tc>
          <w:tcPr>
            <w:tcW w:w="5835"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314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p>
        </w:tc>
        <w:tc>
          <w:tcPr>
            <w:tcW w:w="5835"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314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464" w:type="dxa"/>
            <w:vAlign w:val="center"/>
          </w:tcPr>
          <w:p>
            <w:pPr>
              <w:jc w:val="center"/>
              <w:rPr>
                <w:rFonts w:asciiTheme="minorEastAsia" w:hAnsiTheme="minorEastAsia" w:eastAsiaTheme="minorEastAsia" w:cstheme="minorEastAsia"/>
                <w:sz w:val="24"/>
              </w:rPr>
            </w:pPr>
          </w:p>
        </w:tc>
        <w:tc>
          <w:tcPr>
            <w:tcW w:w="54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09" w:type="dxa"/>
            <w:vAlign w:val="center"/>
          </w:tcPr>
          <w:p>
            <w:pPr>
              <w:jc w:val="center"/>
              <w:rPr>
                <w:rFonts w:asciiTheme="minorEastAsia" w:hAnsiTheme="minorEastAsia" w:eastAsiaTheme="minorEastAsia" w:cstheme="minorEastAsia"/>
                <w:sz w:val="24"/>
              </w:rPr>
            </w:pPr>
          </w:p>
        </w:tc>
        <w:tc>
          <w:tcPr>
            <w:tcW w:w="767"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证书编号</w:t>
            </w:r>
          </w:p>
        </w:tc>
        <w:tc>
          <w:tcPr>
            <w:tcW w:w="1847"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314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464" w:type="dxa"/>
            <w:vAlign w:val="center"/>
          </w:tcPr>
          <w:p>
            <w:pPr>
              <w:jc w:val="center"/>
              <w:rPr>
                <w:rFonts w:asciiTheme="minorEastAsia" w:hAnsiTheme="minorEastAsia" w:eastAsiaTheme="minorEastAsia" w:cstheme="minorEastAsia"/>
                <w:sz w:val="24"/>
              </w:rPr>
            </w:pPr>
          </w:p>
        </w:tc>
        <w:tc>
          <w:tcPr>
            <w:tcW w:w="54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09" w:type="dxa"/>
            <w:vAlign w:val="center"/>
          </w:tcPr>
          <w:p>
            <w:pPr>
              <w:jc w:val="center"/>
              <w:rPr>
                <w:rFonts w:asciiTheme="minorEastAsia" w:hAnsiTheme="minorEastAsia" w:eastAsiaTheme="minorEastAsia" w:cstheme="minorEastAsia"/>
                <w:sz w:val="24"/>
              </w:rPr>
            </w:pPr>
          </w:p>
        </w:tc>
        <w:tc>
          <w:tcPr>
            <w:tcW w:w="767"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证书编号</w:t>
            </w:r>
          </w:p>
        </w:tc>
        <w:tc>
          <w:tcPr>
            <w:tcW w:w="1847"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314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投标报价（费率）</w:t>
            </w:r>
          </w:p>
        </w:tc>
        <w:tc>
          <w:tcPr>
            <w:tcW w:w="5835" w:type="dxa"/>
            <w:gridSpan w:val="5"/>
            <w:vAlign w:val="center"/>
          </w:tcPr>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2"/>
              </w:rPr>
              <w:t>以后期经政府财政评审部门评审的工程费用为基数，投标报</w:t>
            </w:r>
            <w:r>
              <w:rPr>
                <w:rFonts w:hint="eastAsia" w:asciiTheme="minorEastAsia" w:hAnsiTheme="minorEastAsia" w:eastAsiaTheme="minorEastAsia" w:cstheme="minorEastAsia"/>
                <w:b/>
                <w:bCs/>
                <w:sz w:val="24"/>
              </w:rPr>
              <w:t>价</w:t>
            </w:r>
            <w:r>
              <w:rPr>
                <w:rFonts w:hint="eastAsia" w:asciiTheme="minorEastAsia" w:hAnsiTheme="minorEastAsia" w:eastAsiaTheme="minorEastAsia" w:cstheme="minorEastAsia"/>
                <w:b/>
                <w:bCs/>
                <w:sz w:val="24"/>
                <w:szCs w:val="24"/>
              </w:rPr>
              <w:t>为：</w:t>
            </w:r>
          </w:p>
          <w:p>
            <w:pPr>
              <w:spacing w:line="360" w:lineRule="auto"/>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rPr>
              <w:t xml:space="preserve">（大写）: </w:t>
            </w:r>
            <w:r>
              <w:rPr>
                <w:rFonts w:hint="eastAsia" w:asciiTheme="minorEastAsia" w:hAnsiTheme="minorEastAsia" w:eastAsiaTheme="minorEastAsia" w:cstheme="minorEastAsia"/>
                <w:b/>
                <w:bCs/>
                <w:sz w:val="24"/>
                <w:szCs w:val="24"/>
                <w:u w:val="single"/>
              </w:rPr>
              <w:t xml:space="preserve">         </w:t>
            </w:r>
          </w:p>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（小写）: </w:t>
            </w:r>
            <w:r>
              <w:rPr>
                <w:rFonts w:hint="eastAsia" w:asciiTheme="minorEastAsia" w:hAnsiTheme="minorEastAsia" w:eastAsiaTheme="minorEastAsia" w:cstheme="minorEastAsia"/>
                <w:b/>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3145" w:type="dxa"/>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投标质量等级</w:t>
            </w:r>
          </w:p>
        </w:tc>
        <w:tc>
          <w:tcPr>
            <w:tcW w:w="5835" w:type="dxa"/>
            <w:gridSpan w:val="5"/>
            <w:vAlign w:val="center"/>
          </w:tcPr>
          <w:p>
            <w:pPr>
              <w:spacing w:line="360" w:lineRule="auto"/>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314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投标工期</w:t>
            </w:r>
          </w:p>
        </w:tc>
        <w:tc>
          <w:tcPr>
            <w:tcW w:w="5835" w:type="dxa"/>
            <w:gridSpan w:val="5"/>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314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5835" w:type="dxa"/>
            <w:gridSpan w:val="5"/>
            <w:vAlign w:val="center"/>
          </w:tcPr>
          <w:p>
            <w:pPr>
              <w:jc w:val="center"/>
              <w:rPr>
                <w:rFonts w:asciiTheme="minorEastAsia" w:hAnsiTheme="minorEastAsia" w:eastAsiaTheme="minorEastAsia" w:cs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980" w:type="dxa"/>
            <w:gridSpan w:val="6"/>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优惠与服务承诺：</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tc>
      </w:tr>
    </w:tbl>
    <w:p>
      <w:pPr>
        <w:ind w:right="475"/>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312" w:beforeLines="100" w:after="312" w:afterLines="100" w:line="420" w:lineRule="exact"/>
        <w:jc w:val="center"/>
        <w:outlineLvl w:val="0"/>
        <w:rPr>
          <w:rFonts w:asciiTheme="minorEastAsia" w:hAnsiTheme="minorEastAsia" w:eastAsiaTheme="minorEastAsia" w:cstheme="minorEastAsia"/>
          <w:sz w:val="28"/>
          <w:szCs w:val="28"/>
        </w:rPr>
      </w:pPr>
    </w:p>
    <w:p>
      <w:pPr>
        <w:autoSpaceDE w:val="0"/>
        <w:autoSpaceDN w:val="0"/>
        <w:adjustRightInd w:val="0"/>
        <w:spacing w:before="312" w:beforeLines="100" w:after="312" w:afterLines="100" w:line="420" w:lineRule="exact"/>
        <w:jc w:val="center"/>
        <w:outlineLvl w:val="0"/>
        <w:rPr>
          <w:rFonts w:asciiTheme="minorEastAsia" w:hAnsiTheme="minorEastAsia" w:eastAsiaTheme="minorEastAsia" w:cstheme="minorEastAsia"/>
          <w:sz w:val="28"/>
          <w:szCs w:val="28"/>
        </w:rPr>
      </w:pPr>
    </w:p>
    <w:p>
      <w:pPr>
        <w:autoSpaceDE w:val="0"/>
        <w:autoSpaceDN w:val="0"/>
        <w:adjustRightInd w:val="0"/>
        <w:spacing w:before="312" w:beforeLines="100" w:after="312" w:afterLines="100" w:line="420" w:lineRule="exact"/>
        <w:jc w:val="center"/>
        <w:outlineLvl w:val="0"/>
        <w:rPr>
          <w:rFonts w:asciiTheme="minorEastAsia" w:hAnsiTheme="minorEastAsia" w:eastAsiaTheme="minorEastAsia" w:cstheme="minorEastAsia"/>
          <w:sz w:val="28"/>
          <w:szCs w:val="28"/>
        </w:rPr>
      </w:pPr>
    </w:p>
    <w:p>
      <w:pPr>
        <w:autoSpaceDE w:val="0"/>
        <w:autoSpaceDN w:val="0"/>
        <w:adjustRightInd w:val="0"/>
        <w:spacing w:before="312" w:beforeLines="100" w:after="312" w:afterLines="100" w:line="420" w:lineRule="exact"/>
        <w:jc w:val="center"/>
        <w:outlineLvl w:val="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二、</w:t>
      </w:r>
      <w:bookmarkEnd w:id="144"/>
      <w:r>
        <w:rPr>
          <w:rFonts w:hint="eastAsia" w:asciiTheme="minorEastAsia" w:hAnsiTheme="minorEastAsia" w:eastAsiaTheme="minorEastAsia" w:cstheme="minorEastAsia"/>
          <w:b/>
          <w:bCs/>
          <w:sz w:val="36"/>
          <w:szCs w:val="36"/>
        </w:rPr>
        <w:t>法定代表人身份证明或附有法定代表人身份证明的授权委托书</w:t>
      </w:r>
    </w:p>
    <w:p>
      <w:pPr>
        <w:autoSpaceDE w:val="0"/>
        <w:autoSpaceDN w:val="0"/>
        <w:adjustRightInd w:val="0"/>
        <w:spacing w:line="420" w:lineRule="exact"/>
        <w:jc w:val="center"/>
        <w:outlineLvl w:val="0"/>
        <w:rPr>
          <w:rFonts w:asciiTheme="minorEastAsia" w:hAnsiTheme="minorEastAsia" w:eastAsiaTheme="minorEastAsia" w:cstheme="minorEastAsia"/>
          <w:sz w:val="28"/>
          <w:szCs w:val="28"/>
        </w:rPr>
      </w:pPr>
    </w:p>
    <w:p>
      <w:pPr>
        <w:autoSpaceDE w:val="0"/>
        <w:autoSpaceDN w:val="0"/>
        <w:adjustRightInd w:val="0"/>
        <w:spacing w:line="420" w:lineRule="exact"/>
        <w:jc w:val="center"/>
        <w:outlineLvl w:val="0"/>
        <w:rPr>
          <w:rFonts w:asciiTheme="minorEastAsia" w:hAnsiTheme="minorEastAsia" w:eastAsiaTheme="minorEastAsia" w:cstheme="minorEastAsia"/>
          <w:sz w:val="28"/>
          <w:szCs w:val="28"/>
        </w:rPr>
      </w:pPr>
      <w:bookmarkStart w:id="146" w:name="_Toc271787731"/>
      <w:r>
        <w:rPr>
          <w:rFonts w:hint="eastAsia" w:asciiTheme="minorEastAsia" w:hAnsiTheme="minorEastAsia" w:eastAsiaTheme="minorEastAsia" w:cstheme="minorEastAsia"/>
          <w:sz w:val="28"/>
          <w:szCs w:val="28"/>
        </w:rPr>
        <w:t>（一）法定代表人身份证明</w:t>
      </w:r>
      <w:bookmarkEnd w:id="146"/>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autoSpaceDE w:val="0"/>
        <w:autoSpaceDN w:val="0"/>
        <w:adjustRightInd w:val="0"/>
        <w:spacing w:line="420" w:lineRule="exact"/>
        <w:ind w:firstLine="680" w:firstLineChars="200"/>
        <w:jc w:val="right"/>
        <w:rPr>
          <w:rFonts w:asciiTheme="minorEastAsia" w:hAnsiTheme="minorEastAsia" w:eastAsiaTheme="minorEastAsia" w:cstheme="minorEastAsia"/>
          <w:szCs w:val="21"/>
        </w:rPr>
      </w:pPr>
    </w:p>
    <w:p>
      <w:pPr>
        <w:autoSpaceDE w:val="0"/>
        <w:autoSpaceDN w:val="0"/>
        <w:adjustRightInd w:val="0"/>
        <w:spacing w:line="420" w:lineRule="exact"/>
        <w:jc w:val="center"/>
        <w:outlineLvl w:val="0"/>
        <w:rPr>
          <w:rFonts w:asciiTheme="minorEastAsia" w:hAnsiTheme="minorEastAsia" w:eastAsiaTheme="minorEastAsia" w:cstheme="minorEastAsia"/>
          <w:sz w:val="28"/>
          <w:szCs w:val="28"/>
        </w:rPr>
      </w:pPr>
      <w:bookmarkStart w:id="147" w:name="_Toc271787732"/>
      <w:r>
        <w:rPr>
          <w:rFonts w:hint="eastAsia" w:asciiTheme="minorEastAsia" w:hAnsiTheme="minorEastAsia" w:eastAsiaTheme="minorEastAsia" w:cstheme="minorEastAsia"/>
          <w:sz w:val="28"/>
          <w:szCs w:val="28"/>
        </w:rPr>
        <w:t>（二）授权委托书</w:t>
      </w:r>
      <w:bookmarkEnd w:id="147"/>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附：法定代表人身份证明</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pStyle w:val="22"/>
        <w:spacing w:before="0" w:line="360" w:lineRule="auto"/>
        <w:jc w:val="center"/>
        <w:outlineLvl w:val="3"/>
        <w:rPr>
          <w:rFonts w:asciiTheme="minorEastAsia" w:hAnsiTheme="minorEastAsia" w:eastAsiaTheme="minorEastAsia" w:cstheme="minorEastAsia"/>
          <w:b/>
          <w:sz w:val="30"/>
          <w:szCs w:val="30"/>
        </w:rPr>
      </w:pPr>
      <w:bookmarkStart w:id="148" w:name="_Toc426467413"/>
      <w:bookmarkStart w:id="149" w:name="_Toc392081413"/>
      <w:bookmarkStart w:id="150" w:name="_Toc387851729"/>
    </w:p>
    <w:p>
      <w:pPr>
        <w:pStyle w:val="22"/>
        <w:spacing w:before="0" w:line="360" w:lineRule="auto"/>
        <w:jc w:val="center"/>
        <w:outlineLvl w:val="3"/>
        <w:rPr>
          <w:rFonts w:asciiTheme="minorEastAsia" w:hAnsiTheme="minorEastAsia" w:eastAsiaTheme="minorEastAsia" w:cstheme="minorEastAsia"/>
          <w:b/>
          <w:sz w:val="30"/>
          <w:szCs w:val="30"/>
        </w:rPr>
      </w:pPr>
    </w:p>
    <w:p>
      <w:pPr>
        <w:pStyle w:val="22"/>
        <w:spacing w:before="0" w:line="360" w:lineRule="auto"/>
        <w:jc w:val="center"/>
        <w:outlineLvl w:val="3"/>
        <w:rPr>
          <w:rFonts w:asciiTheme="minorEastAsia" w:hAnsiTheme="minorEastAsia" w:eastAsiaTheme="minorEastAsia" w:cstheme="minorEastAsia"/>
          <w:b/>
          <w:sz w:val="30"/>
          <w:szCs w:val="30"/>
        </w:rPr>
      </w:pPr>
    </w:p>
    <w:p>
      <w:pPr>
        <w:pStyle w:val="22"/>
        <w:spacing w:before="0" w:line="360" w:lineRule="auto"/>
        <w:jc w:val="center"/>
        <w:outlineLvl w:val="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30"/>
          <w:szCs w:val="30"/>
        </w:rPr>
        <w:t>三、投标保证金</w:t>
      </w:r>
      <w:bookmarkEnd w:id="148"/>
      <w:bookmarkEnd w:id="149"/>
      <w:bookmarkEnd w:id="150"/>
    </w:p>
    <w:p>
      <w:pPr>
        <w:pStyle w:val="23"/>
        <w:spacing w:line="360" w:lineRule="auto"/>
        <w:ind w:firstLine="0"/>
        <w:jc w:val="center"/>
        <w:rPr>
          <w:rFonts w:asciiTheme="minorEastAsia" w:hAnsiTheme="minorEastAsia" w:eastAsiaTheme="minorEastAsia" w:cstheme="minorEastAsia"/>
          <w:sz w:val="24"/>
          <w:szCs w:val="24"/>
        </w:rPr>
      </w:pPr>
      <w:bookmarkStart w:id="151" w:name="_Toc144974863"/>
      <w:bookmarkStart w:id="152" w:name="_Toc230166249"/>
      <w:bookmarkStart w:id="153" w:name="_Toc152042584"/>
      <w:bookmarkStart w:id="154" w:name="_Toc281577569"/>
      <w:bookmarkStart w:id="155" w:name="_Toc281579384"/>
      <w:bookmarkStart w:id="156" w:name="_Toc281577312"/>
      <w:bookmarkStart w:id="157" w:name="_Toc257985759"/>
      <w:bookmarkStart w:id="158" w:name="_Toc152045795"/>
    </w:p>
    <w:p>
      <w:pPr>
        <w:pStyle w:val="23"/>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（说明：投标人提交的投标保证金应采用招标文件规定的形式，并在此提供投标保证金有效证明</w:t>
      </w:r>
      <w:r>
        <w:rPr>
          <w:rFonts w:hint="eastAsia" w:ascii="宋体" w:hAnsi="宋体" w:eastAsia="宋体" w:cs="宋体"/>
          <w:b/>
          <w:bCs/>
          <w:sz w:val="24"/>
          <w:szCs w:val="24"/>
          <w:lang w:val="en-US" w:eastAsia="zh-CN"/>
        </w:rPr>
        <w:t>或投标保函有效证明</w:t>
      </w:r>
      <w:r>
        <w:rPr>
          <w:rFonts w:hint="eastAsia" w:ascii="宋体" w:hAnsi="宋体" w:eastAsia="宋体" w:cs="宋体"/>
          <w:b/>
          <w:bCs/>
          <w:sz w:val="24"/>
          <w:szCs w:val="24"/>
        </w:rPr>
        <w:t>。）</w:t>
      </w:r>
    </w:p>
    <w:p>
      <w:pPr>
        <w:spacing w:line="312" w:lineRule="auto"/>
        <w:ind w:firstLine="480" w:firstLineChars="200"/>
        <w:rPr>
          <w:rFonts w:asciiTheme="minorEastAsia" w:hAnsiTheme="minorEastAsia" w:eastAsiaTheme="minorEastAsia" w:cstheme="minorEastAsia"/>
          <w:sz w:val="24"/>
        </w:rPr>
      </w:pPr>
    </w:p>
    <w:p>
      <w:pPr>
        <w:spacing w:line="312" w:lineRule="auto"/>
        <w:ind w:firstLine="480" w:firstLineChars="200"/>
        <w:rPr>
          <w:rFonts w:asciiTheme="minorEastAsia" w:hAnsiTheme="minorEastAsia" w:eastAsiaTheme="minorEastAsia" w:cstheme="minorEastAsia"/>
          <w:sz w:val="24"/>
        </w:rPr>
      </w:pPr>
    </w:p>
    <w:p>
      <w:pPr>
        <w:spacing w:line="312" w:lineRule="auto"/>
        <w:ind w:firstLine="480" w:firstLineChars="200"/>
        <w:rPr>
          <w:rFonts w:asciiTheme="minorEastAsia" w:hAnsiTheme="minorEastAsia" w:eastAsiaTheme="minorEastAsia" w:cstheme="minorEastAsia"/>
          <w:sz w:val="24"/>
        </w:rPr>
      </w:pPr>
    </w:p>
    <w:p>
      <w:pPr>
        <w:spacing w:line="312" w:lineRule="auto"/>
        <w:ind w:firstLine="480" w:firstLineChars="200"/>
        <w:rPr>
          <w:rFonts w:asciiTheme="minorEastAsia" w:hAnsiTheme="minorEastAsia" w:eastAsiaTheme="minorEastAsia" w:cstheme="minorEastAsia"/>
          <w:sz w:val="24"/>
        </w:rPr>
      </w:pPr>
    </w:p>
    <w:p>
      <w:pPr>
        <w:spacing w:line="312" w:lineRule="auto"/>
        <w:ind w:firstLine="480" w:firstLineChars="200"/>
        <w:rPr>
          <w:rFonts w:asciiTheme="minorEastAsia" w:hAnsiTheme="minorEastAsia" w:eastAsiaTheme="minorEastAsia" w:cstheme="minorEastAsia"/>
          <w:sz w:val="24"/>
        </w:rPr>
      </w:pPr>
    </w:p>
    <w:p>
      <w:pPr>
        <w:spacing w:line="312" w:lineRule="auto"/>
        <w:ind w:firstLine="480" w:firstLineChars="200"/>
        <w:rPr>
          <w:rFonts w:asciiTheme="minorEastAsia" w:hAnsiTheme="minorEastAsia" w:eastAsiaTheme="minorEastAsia" w:cstheme="minorEastAsia"/>
          <w:sz w:val="24"/>
        </w:rPr>
      </w:pPr>
    </w:p>
    <w:p>
      <w:pPr>
        <w:spacing w:line="312" w:lineRule="auto"/>
        <w:ind w:firstLine="480" w:firstLineChars="200"/>
        <w:rPr>
          <w:rFonts w:asciiTheme="minorEastAsia" w:hAnsiTheme="minorEastAsia" w:eastAsiaTheme="minorEastAsia" w:cstheme="minorEastAsia"/>
          <w:sz w:val="24"/>
        </w:rPr>
      </w:pPr>
    </w:p>
    <w:p>
      <w:pPr>
        <w:spacing w:line="312" w:lineRule="auto"/>
        <w:ind w:firstLine="5520" w:firstLineChars="2300"/>
        <w:rPr>
          <w:rFonts w:asciiTheme="minorEastAsia" w:hAnsiTheme="minorEastAsia" w:eastAsiaTheme="minorEastAsia" w:cstheme="minorEastAsia"/>
          <w:sz w:val="24"/>
        </w:rPr>
      </w:pPr>
    </w:p>
    <w:p>
      <w:pPr>
        <w:spacing w:line="312" w:lineRule="auto"/>
        <w:ind w:firstLine="5520" w:firstLineChars="2300"/>
        <w:rPr>
          <w:rFonts w:asciiTheme="minorEastAsia" w:hAnsiTheme="minorEastAsia" w:eastAsiaTheme="minorEastAsia" w:cstheme="minorEastAsia"/>
          <w:sz w:val="24"/>
        </w:rPr>
      </w:pPr>
    </w:p>
    <w:p>
      <w:pPr>
        <w:spacing w:line="312" w:lineRule="auto"/>
        <w:rPr>
          <w:rFonts w:asciiTheme="minorEastAsia" w:hAnsiTheme="minorEastAsia" w:eastAsiaTheme="minorEastAsia" w:cstheme="minorEastAsia"/>
          <w:sz w:val="24"/>
        </w:rPr>
      </w:pPr>
    </w:p>
    <w:p>
      <w:pPr>
        <w:spacing w:line="312" w:lineRule="auto"/>
        <w:rPr>
          <w:rFonts w:asciiTheme="minorEastAsia" w:hAnsiTheme="minorEastAsia" w:eastAsiaTheme="minorEastAsia" w:cstheme="minorEastAsia"/>
          <w:sz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23"/>
        <w:spacing w:line="360" w:lineRule="auto"/>
        <w:ind w:firstLine="0"/>
        <w:jc w:val="center"/>
        <w:rPr>
          <w:rFonts w:asciiTheme="minorEastAsia" w:hAnsiTheme="minorEastAsia" w:eastAsiaTheme="minorEastAsia" w:cstheme="minorEastAsia"/>
          <w:b/>
          <w:bCs/>
          <w:sz w:val="24"/>
          <w:szCs w:val="24"/>
        </w:rPr>
      </w:pPr>
    </w:p>
    <w:p>
      <w:pPr>
        <w:pStyle w:val="15"/>
        <w:widowControl/>
        <w:numPr>
          <w:ilvl w:val="0"/>
          <w:numId w:val="4"/>
        </w:numPr>
        <w:spacing w:beforeAutospacing="0" w:afterAutospacing="0" w:line="360" w:lineRule="atLeast"/>
        <w:ind w:firstLine="420"/>
        <w:jc w:val="center"/>
        <w:rPr>
          <w:rFonts w:asciiTheme="minorEastAsia" w:hAnsiTheme="minorEastAsia" w:eastAsiaTheme="minorEastAsia" w:cstheme="minorEastAsia"/>
          <w:b/>
          <w:bCs/>
          <w:kern w:val="2"/>
          <w:sz w:val="30"/>
          <w:szCs w:val="30"/>
        </w:rPr>
      </w:pPr>
      <w:r>
        <w:rPr>
          <w:rFonts w:hint="eastAsia" w:asciiTheme="minorEastAsia" w:hAnsiTheme="minorEastAsia" w:eastAsiaTheme="minorEastAsia" w:cstheme="minorEastAsia"/>
          <w:b/>
          <w:bCs/>
          <w:kern w:val="2"/>
          <w:sz w:val="30"/>
          <w:szCs w:val="30"/>
        </w:rPr>
        <w:t>施工组织设计</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1．投标人应根据招标文件和对现场的勘察情况，采用文字并结合图表形式，按照以下要点编制本工程的施工组织设计：</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（1）主要施工方案和技术措施</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（2）工程施工重点、难点分析及对策</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（3）质量管理体系与措施</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（4）确保工期的技术组织措施</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（5）安全、文明、环保管理体系与措施</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（6）组织机构及管理人员、资源配备计划</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（7）冬雨季施工、施工排水措施</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（8）紧急情况的处理措施、应急预案及风险控制</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（9）合理化建议</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（10）创新技术</w:t>
      </w:r>
    </w:p>
    <w:p>
      <w:pPr>
        <w:pStyle w:val="15"/>
        <w:widowControl/>
        <w:spacing w:beforeAutospacing="0" w:afterAutospacing="0"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（11）扬尘治理措施</w:t>
      </w:r>
    </w:p>
    <w:p>
      <w:pPr>
        <w:pStyle w:val="15"/>
        <w:widowControl/>
        <w:spacing w:beforeAutospacing="0" w:afterAutospacing="0"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2．施工组织设计除采用文字表述外可附下列图表，图表及格式要求附后。</w:t>
      </w:r>
    </w:p>
    <w:p>
      <w:pPr>
        <w:pStyle w:val="15"/>
        <w:widowControl/>
        <w:spacing w:beforeAutospacing="0" w:afterAutospacing="0"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附表一  拟投入本标段的主要施工设备表</w:t>
      </w:r>
    </w:p>
    <w:p>
      <w:pPr>
        <w:pStyle w:val="15"/>
        <w:widowControl/>
        <w:spacing w:beforeAutospacing="0" w:afterAutospacing="0"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附表二  拟配备本标段的试验和检测仪器设备表</w:t>
      </w:r>
    </w:p>
    <w:p>
      <w:pPr>
        <w:pStyle w:val="15"/>
        <w:widowControl/>
        <w:spacing w:beforeAutospacing="0" w:afterAutospacing="0"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附表三  劳动力计划表</w:t>
      </w:r>
    </w:p>
    <w:p>
      <w:pPr>
        <w:pStyle w:val="15"/>
        <w:widowControl/>
        <w:spacing w:beforeAutospacing="0" w:afterAutospacing="0"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附表四  计划开、竣工日期和施工进度网络图</w:t>
      </w:r>
    </w:p>
    <w:p>
      <w:pPr>
        <w:pStyle w:val="15"/>
        <w:widowControl/>
        <w:spacing w:beforeAutospacing="0" w:afterAutospacing="0"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附表五  施工总平面图</w:t>
      </w:r>
    </w:p>
    <w:p>
      <w:pPr>
        <w:pStyle w:val="15"/>
        <w:widowControl/>
        <w:spacing w:beforeAutospacing="0" w:afterAutospacing="0"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附表六  临时用地表</w:t>
      </w:r>
    </w:p>
    <w:p>
      <w:pPr>
        <w:widowControl/>
        <w:jc w:val="left"/>
        <w:rPr>
          <w:rFonts w:asciiTheme="minorEastAsia" w:hAnsiTheme="minorEastAsia" w:eastAsiaTheme="minorEastAsia" w:cstheme="minorEastAsia"/>
        </w:rPr>
      </w:pPr>
    </w:p>
    <w:p>
      <w:pPr>
        <w:rPr>
          <w:rFonts w:asciiTheme="minorEastAsia" w:hAnsiTheme="minorEastAsia" w:eastAsiaTheme="minorEastAsia" w:cstheme="minorEastAsia"/>
        </w:rPr>
      </w:pPr>
      <w:r>
        <w:rPr>
          <w:rFonts w:asciiTheme="minorEastAsia" w:hAnsiTheme="minorEastAsia" w:eastAsiaTheme="minorEastAsia" w:cstheme="minorEastAsia"/>
        </w:rPr>
        <w:br w:type="page"/>
      </w:r>
    </w:p>
    <w:p>
      <w:pPr>
        <w:pStyle w:val="8"/>
        <w:widowControl/>
        <w:spacing w:beforeAutospacing="0" w:afterAutospacing="0"/>
        <w:rPr>
          <w:rFonts w:hint="default" w:asciiTheme="minorEastAsia" w:hAnsiTheme="minorEastAsia" w:eastAsiaTheme="minorEastAsia" w:cstheme="minorEastAsia"/>
        </w:rPr>
      </w:pPr>
      <w:r>
        <w:rPr>
          <w:rFonts w:asciiTheme="minorEastAsia" w:hAnsiTheme="minorEastAsia" w:eastAsiaTheme="minorEastAsia" w:cstheme="minorEastAsia"/>
        </w:rPr>
        <w:t>附表一：拟投入本标段的主要施工设备表</w:t>
      </w:r>
    </w:p>
    <w:p>
      <w:pPr>
        <w:pStyle w:val="15"/>
        <w:widowControl/>
        <w:spacing w:beforeAutospacing="0" w:afterAutospacing="0"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bl>
      <w:tblPr>
        <w:tblStyle w:val="16"/>
        <w:tblW w:w="9805" w:type="dxa"/>
        <w:tblInd w:w="10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20"/>
        <w:gridCol w:w="1185"/>
        <w:gridCol w:w="795"/>
        <w:gridCol w:w="816"/>
        <w:gridCol w:w="816"/>
        <w:gridCol w:w="1080"/>
        <w:gridCol w:w="1260"/>
        <w:gridCol w:w="973"/>
        <w:gridCol w:w="1080"/>
        <w:gridCol w:w="10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17" w:hRule="atLeast"/>
        </w:trPr>
        <w:tc>
          <w:tcPr>
            <w:tcW w:w="7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1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设备名称</w:t>
            </w:r>
          </w:p>
        </w:tc>
        <w:tc>
          <w:tcPr>
            <w:tcW w:w="7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型号</w:t>
            </w:r>
          </w:p>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规格</w:t>
            </w:r>
          </w:p>
        </w:tc>
        <w:tc>
          <w:tcPr>
            <w:tcW w:w="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国别</w:t>
            </w:r>
          </w:p>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产地</w:t>
            </w:r>
          </w:p>
        </w:tc>
        <w:tc>
          <w:tcPr>
            <w:tcW w:w="10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制造</w:t>
            </w:r>
          </w:p>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年份</w:t>
            </w:r>
          </w:p>
        </w:tc>
        <w:tc>
          <w:tcPr>
            <w:tcW w:w="12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额定功率</w:t>
            </w:r>
          </w:p>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 KW )</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生产</w:t>
            </w:r>
          </w:p>
          <w:p>
            <w:pPr>
              <w:pStyle w:val="15"/>
              <w:widowControl/>
              <w:spacing w:line="360" w:lineRule="atLeast"/>
              <w:jc w:val="center"/>
              <w:rPr>
                <w:rFonts w:asciiTheme="minorEastAsia" w:hAnsiTheme="minorEastAsia" w:eastAsiaTheme="minorEastAsia" w:cstheme="minorEastAsia"/>
              </w:rPr>
            </w:pPr>
            <w:r>
              <w:rPr>
                <w:rFonts w:hint="eastAsia" w:asciiTheme="minorEastAsia" w:hAnsiTheme="minorEastAsia" w:eastAsiaTheme="minorEastAsia" w:cstheme="minorEastAsia"/>
              </w:rPr>
              <w:t>能力</w:t>
            </w:r>
          </w:p>
        </w:tc>
        <w:tc>
          <w:tcPr>
            <w:tcW w:w="10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用于施</w:t>
            </w:r>
          </w:p>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工部位</w:t>
            </w:r>
          </w:p>
        </w:tc>
        <w:tc>
          <w:tcPr>
            <w:tcW w:w="10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6" w:hRule="atLeast"/>
        </w:trPr>
        <w:tc>
          <w:tcPr>
            <w:tcW w:w="72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8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79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6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6" w:hRule="atLeast"/>
        </w:trPr>
        <w:tc>
          <w:tcPr>
            <w:tcW w:w="72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8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79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6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6" w:hRule="atLeast"/>
        </w:trPr>
        <w:tc>
          <w:tcPr>
            <w:tcW w:w="72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8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79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6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7" w:hRule="atLeast"/>
        </w:trPr>
        <w:tc>
          <w:tcPr>
            <w:tcW w:w="72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8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79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6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6" w:hRule="atLeast"/>
        </w:trPr>
        <w:tc>
          <w:tcPr>
            <w:tcW w:w="72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8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79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6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6" w:hRule="atLeast"/>
        </w:trPr>
        <w:tc>
          <w:tcPr>
            <w:tcW w:w="720"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8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795"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16"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6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080"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bl>
    <w:p>
      <w:pPr>
        <w:pStyle w:val="15"/>
        <w:widowControl/>
        <w:spacing w:beforeAutospacing="0" w:afterAutospacing="0"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w:t>
      </w:r>
    </w:p>
    <w:p>
      <w:pPr>
        <w:widowControl/>
        <w:jc w:val="left"/>
        <w:rPr>
          <w:rFonts w:asciiTheme="minorEastAsia" w:hAnsiTheme="minorEastAsia" w:eastAsiaTheme="minorEastAsia" w:cstheme="minorEastAsia"/>
        </w:rPr>
      </w:pPr>
    </w:p>
    <w:p>
      <w:pPr>
        <w:pStyle w:val="8"/>
        <w:widowControl/>
        <w:spacing w:beforeAutospacing="0" w:afterAutospacing="0"/>
        <w:rPr>
          <w:rFonts w:hint="default" w:asciiTheme="minorEastAsia" w:hAnsiTheme="minorEastAsia" w:eastAsiaTheme="minorEastAsia" w:cstheme="minorEastAsia"/>
        </w:rPr>
      </w:pPr>
      <w:r>
        <w:rPr>
          <w:rFonts w:asciiTheme="minorEastAsia" w:hAnsiTheme="minorEastAsia" w:eastAsiaTheme="minorEastAsia" w:cstheme="minorEastAsia"/>
        </w:rPr>
        <w:t>附表二：拟配备本标段的试验和检测仪器设备表</w:t>
      </w:r>
    </w:p>
    <w:p>
      <w:pPr>
        <w:pStyle w:val="15"/>
        <w:widowControl/>
        <w:spacing w:beforeAutospacing="0" w:afterAutospacing="0"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bl>
      <w:tblPr>
        <w:tblStyle w:val="16"/>
        <w:tblW w:w="9384" w:type="dxa"/>
        <w:tblInd w:w="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76"/>
        <w:gridCol w:w="1155"/>
        <w:gridCol w:w="983"/>
        <w:gridCol w:w="876"/>
        <w:gridCol w:w="983"/>
        <w:gridCol w:w="983"/>
        <w:gridCol w:w="1656"/>
        <w:gridCol w:w="996"/>
        <w:gridCol w:w="8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仪器设备名称</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型号规格</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国别产地</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制造年份</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己使用台时数</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用途</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83"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65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bl>
    <w:p>
      <w:pPr>
        <w:pStyle w:val="15"/>
        <w:widowControl/>
        <w:spacing w:beforeAutospacing="0" w:afterAutospacing="0"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p>
      <w:pPr>
        <w:widowControl/>
        <w:jc w:val="left"/>
        <w:rPr>
          <w:rFonts w:asciiTheme="minorEastAsia" w:hAnsiTheme="minorEastAsia" w:eastAsiaTheme="minorEastAsia" w:cstheme="minorEastAsia"/>
        </w:rPr>
      </w:pPr>
    </w:p>
    <w:p>
      <w:pPr>
        <w:pStyle w:val="8"/>
        <w:widowControl/>
        <w:spacing w:beforeAutospacing="0" w:afterAutospacing="0"/>
        <w:rPr>
          <w:rFonts w:hint="default" w:asciiTheme="minorEastAsia" w:hAnsiTheme="minorEastAsia" w:eastAsiaTheme="minorEastAsia" w:cstheme="minorEastAsia"/>
        </w:rPr>
      </w:pPr>
      <w:r>
        <w:rPr>
          <w:rFonts w:asciiTheme="minorEastAsia" w:hAnsiTheme="minorEastAsia" w:eastAsiaTheme="minorEastAsia" w:cstheme="minorEastAsia"/>
        </w:rPr>
        <w:t>附表三：劳动力计划表</w:t>
      </w:r>
    </w:p>
    <w:p>
      <w:pPr>
        <w:pStyle w:val="15"/>
        <w:widowControl/>
        <w:spacing w:beforeAutospacing="0" w:afterAutospacing="0"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p>
      <w:pPr>
        <w:pStyle w:val="15"/>
        <w:widowControl/>
        <w:spacing w:beforeAutospacing="0" w:afterAutospacing="0" w:line="360" w:lineRule="atLeast"/>
        <w:ind w:firstLine="7560"/>
        <w:rPr>
          <w:rFonts w:asciiTheme="minorEastAsia" w:hAnsiTheme="minorEastAsia" w:eastAsiaTheme="minorEastAsia" w:cstheme="minorEastAsia"/>
        </w:rPr>
      </w:pPr>
      <w:r>
        <w:rPr>
          <w:rFonts w:hint="eastAsia" w:asciiTheme="minorEastAsia" w:hAnsiTheme="minorEastAsia" w:eastAsiaTheme="minorEastAsia" w:cstheme="minorEastAsia"/>
        </w:rPr>
        <w:t>    单位：人</w:t>
      </w:r>
    </w:p>
    <w:tbl>
      <w:tblPr>
        <w:tblStyle w:val="16"/>
        <w:tblW w:w="9678" w:type="dxa"/>
        <w:tblInd w:w="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76"/>
        <w:gridCol w:w="1257"/>
        <w:gridCol w:w="1257"/>
        <w:gridCol w:w="1258"/>
        <w:gridCol w:w="1257"/>
        <w:gridCol w:w="1258"/>
        <w:gridCol w:w="1257"/>
        <w:gridCol w:w="12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工种</w:t>
            </w:r>
          </w:p>
        </w:tc>
        <w:tc>
          <w:tcPr>
            <w:tcW w:w="8802" w:type="dxa"/>
            <w:gridSpan w:val="7"/>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按工程施工阶段投入劳动力情况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1258"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center"/>
          </w:tcPr>
          <w:p>
            <w:pPr>
              <w:pStyle w:val="15"/>
              <w:widowControl/>
              <w:spacing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bl>
    <w:p>
      <w:pPr>
        <w:pStyle w:val="15"/>
        <w:widowControl/>
        <w:spacing w:beforeAutospacing="0" w:afterAutospacing="0"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p>
      <w:pPr>
        <w:widowControl/>
        <w:jc w:val="left"/>
        <w:rPr>
          <w:rFonts w:asciiTheme="minorEastAsia" w:hAnsiTheme="minorEastAsia" w:eastAsiaTheme="minorEastAsia" w:cstheme="minorEastAsia"/>
        </w:rPr>
      </w:pPr>
    </w:p>
    <w:p>
      <w:pPr>
        <w:rPr>
          <w:rFonts w:asciiTheme="minorEastAsia" w:hAnsiTheme="minorEastAsia" w:eastAsiaTheme="minorEastAsia" w:cstheme="minorEastAsia"/>
        </w:rPr>
      </w:pPr>
      <w:r>
        <w:rPr>
          <w:rFonts w:asciiTheme="minorEastAsia" w:hAnsiTheme="minorEastAsia" w:eastAsiaTheme="minorEastAsia" w:cstheme="minorEastAsia"/>
        </w:rPr>
        <w:br w:type="page"/>
      </w:r>
    </w:p>
    <w:p>
      <w:pPr>
        <w:pStyle w:val="8"/>
        <w:widowControl/>
        <w:spacing w:beforeAutospacing="0" w:afterAutospacing="0"/>
        <w:rPr>
          <w:rFonts w:hint="default" w:asciiTheme="minorEastAsia" w:hAnsiTheme="minorEastAsia" w:eastAsiaTheme="minorEastAsia" w:cstheme="minorEastAsia"/>
        </w:rPr>
      </w:pPr>
      <w:r>
        <w:rPr>
          <w:rFonts w:asciiTheme="minorEastAsia" w:hAnsiTheme="minorEastAsia" w:eastAsiaTheme="minorEastAsia" w:cstheme="minorEastAsia"/>
        </w:rPr>
        <w:t>附表四：计划开、竣工日期和施工进度网络图</w:t>
      </w:r>
    </w:p>
    <w:p>
      <w:pPr>
        <w:pStyle w:val="15"/>
        <w:widowControl/>
        <w:spacing w:beforeAutospacing="0" w:afterAutospacing="0"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p>
      <w:pPr>
        <w:pStyle w:val="15"/>
        <w:widowControl/>
        <w:spacing w:beforeAutospacing="0" w:afterAutospacing="0"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1．投标人应递交施工进度网络图或施工进度表，说明按招标文件要求的计划工期进行施工的各个关键日期。</w:t>
      </w:r>
    </w:p>
    <w:p>
      <w:pPr>
        <w:pStyle w:val="15"/>
        <w:widowControl/>
        <w:spacing w:beforeAutospacing="0" w:afterAutospacing="0"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2．施工进度表可采用网络图（或横道图）表示。</w:t>
      </w:r>
    </w:p>
    <w:p>
      <w:pPr>
        <w:pStyle w:val="15"/>
        <w:widowControl/>
        <w:spacing w:beforeAutospacing="0" w:afterAutospacing="0"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p>
      <w:pPr>
        <w:widowControl/>
        <w:jc w:val="left"/>
        <w:rPr>
          <w:rFonts w:asciiTheme="minorEastAsia" w:hAnsiTheme="minorEastAsia" w:eastAsiaTheme="minorEastAsia" w:cstheme="minorEastAsia"/>
        </w:rPr>
      </w:pPr>
    </w:p>
    <w:p>
      <w:pPr>
        <w:pStyle w:val="8"/>
        <w:widowControl/>
        <w:spacing w:beforeAutospacing="0" w:afterAutospacing="0"/>
        <w:rPr>
          <w:rFonts w:hint="default" w:asciiTheme="minorEastAsia" w:hAnsiTheme="minorEastAsia" w:eastAsiaTheme="minorEastAsia" w:cstheme="minorEastAsia"/>
        </w:rPr>
      </w:pPr>
      <w:r>
        <w:rPr>
          <w:rFonts w:asciiTheme="minorEastAsia" w:hAnsiTheme="minorEastAsia" w:eastAsiaTheme="minorEastAsia" w:cstheme="minorEastAsia"/>
        </w:rPr>
        <w:t>附表五：施工总平面图</w:t>
      </w:r>
    </w:p>
    <w:p>
      <w:pPr>
        <w:pStyle w:val="15"/>
        <w:widowControl/>
        <w:spacing w:beforeAutospacing="0" w:afterAutospacing="0"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投标人应递交一份施工总平面图，绘出现场临时设施布置图表并附文字说明，说明临时设施、加工车间、现场办公、设备及仓储、供电、供水、卫生、生活、道路、消防等设施的情况和布置。</w:t>
      </w:r>
    </w:p>
    <w:p>
      <w:pPr>
        <w:pStyle w:val="15"/>
        <w:widowControl/>
        <w:spacing w:beforeAutospacing="0" w:afterAutospacing="0" w:line="36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w:t>
      </w:r>
    </w:p>
    <w:p>
      <w:pPr>
        <w:widowControl/>
        <w:jc w:val="left"/>
        <w:rPr>
          <w:rFonts w:asciiTheme="minorEastAsia" w:hAnsiTheme="minorEastAsia" w:eastAsiaTheme="minorEastAsia" w:cstheme="minorEastAsia"/>
        </w:rPr>
      </w:pPr>
    </w:p>
    <w:p>
      <w:pPr>
        <w:pStyle w:val="8"/>
        <w:widowControl/>
        <w:spacing w:beforeAutospacing="0" w:afterAutospacing="0"/>
        <w:rPr>
          <w:rFonts w:hint="default" w:asciiTheme="minorEastAsia" w:hAnsiTheme="minorEastAsia" w:eastAsiaTheme="minorEastAsia" w:cstheme="minorEastAsia"/>
        </w:rPr>
      </w:pPr>
      <w:r>
        <w:rPr>
          <w:rFonts w:asciiTheme="minorEastAsia" w:hAnsiTheme="minorEastAsia" w:eastAsiaTheme="minorEastAsia" w:cstheme="minorEastAsia"/>
        </w:rPr>
        <w:t>附表六：临时用地表</w:t>
      </w:r>
    </w:p>
    <w:p>
      <w:pPr>
        <w:pStyle w:val="15"/>
        <w:widowControl/>
        <w:spacing w:beforeAutospacing="0" w:afterAutospacing="0"/>
        <w:rPr>
          <w:rFonts w:asciiTheme="minorEastAsia" w:hAnsiTheme="minorEastAsia" w:eastAsiaTheme="minorEastAsia" w:cstheme="minorEastAsia"/>
        </w:rPr>
      </w:pPr>
      <w:r>
        <w:rPr>
          <w:rFonts w:hint="eastAsia" w:asciiTheme="minorEastAsia" w:hAnsiTheme="minorEastAsia" w:eastAsiaTheme="minorEastAsia" w:cstheme="minorEastAsia"/>
        </w:rPr>
        <w:t> </w:t>
      </w:r>
    </w:p>
    <w:tbl>
      <w:tblPr>
        <w:tblStyle w:val="16"/>
        <w:tblW w:w="9529" w:type="dxa"/>
        <w:tblInd w:w="10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154"/>
        <w:gridCol w:w="2341"/>
        <w:gridCol w:w="2517"/>
        <w:gridCol w:w="2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3" w:hRule="atLeast"/>
        </w:trPr>
        <w:tc>
          <w:tcPr>
            <w:tcW w:w="21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用途</w:t>
            </w:r>
          </w:p>
        </w:tc>
        <w:tc>
          <w:tcPr>
            <w:tcW w:w="23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面积（平方米）</w:t>
            </w:r>
          </w:p>
        </w:tc>
        <w:tc>
          <w:tcPr>
            <w:tcW w:w="25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位置</w:t>
            </w:r>
          </w:p>
        </w:tc>
        <w:tc>
          <w:tcPr>
            <w:tcW w:w="25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需用时间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3"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3"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3"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3"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3"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3"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3" w:hRule="atLeast"/>
        </w:trPr>
        <w:tc>
          <w:tcPr>
            <w:tcW w:w="2154"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341"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c>
          <w:tcPr>
            <w:tcW w:w="2517" w:type="dxa"/>
            <w:tcBorders>
              <w:top w:val="nil"/>
              <w:left w:val="nil"/>
              <w:bottom w:val="single" w:color="auto" w:sz="8" w:space="0"/>
              <w:right w:val="single" w:color="auto" w:sz="8" w:space="0"/>
            </w:tcBorders>
            <w:shd w:val="clear" w:color="auto" w:fill="auto"/>
            <w:tcMar>
              <w:left w:w="108" w:type="dxa"/>
              <w:right w:w="108" w:type="dxa"/>
            </w:tcMar>
          </w:tcPr>
          <w:p>
            <w:pPr>
              <w:pStyle w:val="15"/>
              <w:widowControl/>
              <w:rPr>
                <w:rFonts w:asciiTheme="minorEastAsia" w:hAnsiTheme="minorEastAsia" w:eastAsiaTheme="minorEastAsia" w:cstheme="minorEastAsia"/>
              </w:rPr>
            </w:pPr>
            <w:r>
              <w:rPr>
                <w:rFonts w:hint="eastAsia" w:asciiTheme="minorEastAsia" w:hAnsiTheme="minorEastAsia" w:eastAsiaTheme="minorEastAsia" w:cstheme="minorEastAsia"/>
              </w:rPr>
              <w:t> </w:t>
            </w:r>
          </w:p>
        </w:tc>
      </w:tr>
    </w:tbl>
    <w:p>
      <w:pPr>
        <w:rPr>
          <w:rFonts w:hint="eastAsia" w:asciiTheme="minorEastAsia" w:hAnsiTheme="minorEastAsia" w:eastAsiaTheme="minorEastAsia" w:cstheme="minorEastAsia"/>
          <w:b/>
          <w:sz w:val="30"/>
          <w:szCs w:val="30"/>
        </w:rPr>
      </w:pPr>
      <w:bookmarkStart w:id="159" w:name="_Toc426467414"/>
      <w:r>
        <w:rPr>
          <w:rFonts w:hint="eastAsia" w:asciiTheme="minorEastAsia" w:hAnsiTheme="minorEastAsia" w:eastAsiaTheme="minorEastAsia" w:cstheme="minorEastAsia"/>
          <w:b/>
          <w:sz w:val="30"/>
          <w:szCs w:val="30"/>
        </w:rPr>
        <w:br w:type="page"/>
      </w:r>
    </w:p>
    <w:p>
      <w:pPr>
        <w:pStyle w:val="22"/>
        <w:spacing w:before="0" w:line="360" w:lineRule="auto"/>
        <w:jc w:val="center"/>
        <w:outlineLvl w:val="3"/>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五、项目管理机构配备情况</w:t>
      </w:r>
      <w:bookmarkEnd w:id="159"/>
    </w:p>
    <w:p>
      <w:pPr>
        <w:spacing w:line="312" w:lineRule="auto"/>
        <w:outlineLvl w:val="2"/>
        <w:rPr>
          <w:rFonts w:asciiTheme="minorEastAsia" w:hAnsiTheme="minorEastAsia" w:eastAsiaTheme="minorEastAsia" w:cstheme="minorEastAsia"/>
          <w:b/>
          <w:bCs/>
          <w:sz w:val="24"/>
        </w:rPr>
      </w:pPr>
      <w:bookmarkStart w:id="160" w:name="_Toc8921"/>
      <w:bookmarkStart w:id="161" w:name="_Toc27720"/>
      <w:bookmarkStart w:id="162" w:name="_Toc26208"/>
      <w:bookmarkStart w:id="163" w:name="_Toc25342"/>
      <w:bookmarkStart w:id="164" w:name="_Toc21137"/>
      <w:r>
        <w:rPr>
          <w:rFonts w:hint="eastAsia" w:asciiTheme="minorEastAsia" w:hAnsiTheme="minorEastAsia" w:eastAsiaTheme="minorEastAsia" w:cstheme="minorEastAsia"/>
          <w:b/>
          <w:bCs/>
          <w:sz w:val="24"/>
        </w:rPr>
        <w:t>（一）项目管理机构组成表</w:t>
      </w:r>
      <w:bookmarkEnd w:id="160"/>
      <w:bookmarkEnd w:id="161"/>
      <w:bookmarkEnd w:id="162"/>
      <w:bookmarkEnd w:id="163"/>
      <w:bookmarkEnd w:id="164"/>
    </w:p>
    <w:tbl>
      <w:tblPr>
        <w:tblStyle w:val="16"/>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709" w:type="dxa"/>
            <w:vMerge w:val="restart"/>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709" w:type="dxa"/>
            <w:vMerge w:val="restart"/>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5892" w:type="dxa"/>
            <w:gridSpan w:val="5"/>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执业或职业资格证明</w:t>
            </w:r>
          </w:p>
        </w:tc>
        <w:tc>
          <w:tcPr>
            <w:tcW w:w="708" w:type="dxa"/>
            <w:vMerge w:val="restart"/>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Theme="minorEastAsia" w:hAnsiTheme="minorEastAsia" w:eastAsiaTheme="minorEastAsia" w:cstheme="minorEastAsia"/>
                <w:sz w:val="24"/>
              </w:rPr>
            </w:pPr>
          </w:p>
        </w:tc>
        <w:tc>
          <w:tcPr>
            <w:tcW w:w="709" w:type="dxa"/>
            <w:vMerge w:val="continue"/>
            <w:vAlign w:val="center"/>
          </w:tcPr>
          <w:p>
            <w:pPr>
              <w:spacing w:line="312" w:lineRule="auto"/>
              <w:jc w:val="center"/>
              <w:rPr>
                <w:rFonts w:asciiTheme="minorEastAsia" w:hAnsiTheme="minorEastAsia" w:eastAsiaTheme="minorEastAsia" w:cstheme="minorEastAsia"/>
                <w:sz w:val="24"/>
              </w:rPr>
            </w:pPr>
          </w:p>
        </w:tc>
        <w:tc>
          <w:tcPr>
            <w:tcW w:w="709" w:type="dxa"/>
            <w:vMerge w:val="continue"/>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1059"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0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0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67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养老保险</w:t>
            </w:r>
          </w:p>
        </w:tc>
        <w:tc>
          <w:tcPr>
            <w:tcW w:w="708" w:type="dxa"/>
            <w:vMerge w:val="continue"/>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bl>
    <w:p>
      <w:pPr>
        <w:spacing w:line="312" w:lineRule="auto"/>
        <w:rPr>
          <w:rFonts w:asciiTheme="minorEastAsia" w:hAnsiTheme="minorEastAsia" w:eastAsiaTheme="minorEastAsia" w:cstheme="minorEastAsia"/>
          <w:sz w:val="24"/>
        </w:rPr>
      </w:pPr>
    </w:p>
    <w:p>
      <w:pPr>
        <w:spacing w:line="312" w:lineRule="auto"/>
        <w:outlineLvl w:val="2"/>
        <w:rPr>
          <w:rFonts w:asciiTheme="minorEastAsia" w:hAnsiTheme="minorEastAsia" w:eastAsiaTheme="minorEastAsia" w:cstheme="minorEastAsia"/>
          <w:sz w:val="24"/>
        </w:rPr>
      </w:pPr>
      <w:bookmarkStart w:id="165" w:name="_Toc3522"/>
      <w:bookmarkStart w:id="166" w:name="_Toc22776"/>
      <w:bookmarkStart w:id="167" w:name="_Toc27110"/>
      <w:bookmarkStart w:id="168" w:name="_Toc590"/>
      <w:bookmarkStart w:id="169" w:name="_Toc26047"/>
      <w:r>
        <w:rPr>
          <w:rFonts w:hint="eastAsia" w:asciiTheme="minorEastAsia" w:hAnsiTheme="minorEastAsia" w:eastAsiaTheme="minorEastAsia" w:cstheme="minorEastAsia"/>
          <w:b/>
          <w:bCs/>
          <w:sz w:val="24"/>
        </w:rPr>
        <w:t>（二）主要人员简历表</w:t>
      </w:r>
      <w:bookmarkEnd w:id="165"/>
      <w:bookmarkEnd w:id="166"/>
      <w:bookmarkEnd w:id="167"/>
      <w:bookmarkEnd w:id="168"/>
      <w:bookmarkEnd w:id="169"/>
    </w:p>
    <w:p>
      <w:pPr>
        <w:spacing w:line="312" w:lineRule="auto"/>
        <w:rPr>
          <w:rFonts w:asciiTheme="minorEastAsia" w:hAnsiTheme="minorEastAsia" w:eastAsiaTheme="minorEastAsia" w:cstheme="minorEastAsia"/>
          <w:b/>
          <w:sz w:val="24"/>
        </w:rPr>
      </w:pPr>
      <w:bookmarkStart w:id="170" w:name="_Toc9814"/>
      <w:bookmarkStart w:id="171" w:name="_Toc20732"/>
      <w:bookmarkStart w:id="172" w:name="_Toc20036"/>
      <w:bookmarkStart w:id="173" w:name="_Toc23995"/>
      <w:bookmarkStart w:id="174" w:name="_Toc13679"/>
      <w:r>
        <w:rPr>
          <w:rFonts w:hint="eastAsia" w:asciiTheme="minorEastAsia" w:hAnsiTheme="minorEastAsia" w:eastAsiaTheme="minorEastAsia" w:cstheme="minorEastAsia"/>
          <w:b/>
          <w:sz w:val="24"/>
        </w:rPr>
        <w:t>附1：技术负责人简历表</w:t>
      </w:r>
      <w:bookmarkEnd w:id="170"/>
      <w:bookmarkEnd w:id="171"/>
      <w:bookmarkEnd w:id="172"/>
      <w:bookmarkEnd w:id="173"/>
      <w:bookmarkEnd w:id="174"/>
    </w:p>
    <w:p>
      <w:pPr>
        <w:spacing w:line="312" w:lineRule="auto"/>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技术负责人应附技术负责人身份证、职称证、学历证、劳动合同、养老保险复印件。</w:t>
      </w:r>
    </w:p>
    <w:tbl>
      <w:tblPr>
        <w:tblStyle w:val="16"/>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32" w:type="dxa"/>
            <w:vAlign w:val="center"/>
          </w:tcPr>
          <w:p>
            <w:pPr>
              <w:spacing w:line="312" w:lineRule="auto"/>
              <w:jc w:val="center"/>
              <w:rPr>
                <w:rFonts w:asciiTheme="minorEastAsia" w:hAnsiTheme="minorEastAsia" w:eastAsiaTheme="minorEastAsia" w:cstheme="minorEastAsia"/>
                <w:sz w:val="24"/>
              </w:rPr>
            </w:pPr>
          </w:p>
        </w:tc>
        <w:tc>
          <w:tcPr>
            <w:tcW w:w="124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394" w:type="dxa"/>
            <w:vAlign w:val="center"/>
          </w:tcPr>
          <w:p>
            <w:pPr>
              <w:spacing w:line="312" w:lineRule="auto"/>
              <w:jc w:val="center"/>
              <w:rPr>
                <w:rFonts w:asciiTheme="minorEastAsia" w:hAnsiTheme="minorEastAsia" w:eastAsiaTheme="minorEastAsia" w:cstheme="minorEastAsia"/>
                <w:sz w:val="24"/>
              </w:rPr>
            </w:pPr>
          </w:p>
        </w:tc>
        <w:tc>
          <w:tcPr>
            <w:tcW w:w="2015"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325"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32" w:type="dxa"/>
            <w:vAlign w:val="center"/>
          </w:tcPr>
          <w:p>
            <w:pPr>
              <w:spacing w:line="312" w:lineRule="auto"/>
              <w:jc w:val="center"/>
              <w:rPr>
                <w:rFonts w:asciiTheme="minorEastAsia" w:hAnsiTheme="minorEastAsia" w:eastAsiaTheme="minorEastAsia" w:cstheme="minorEastAsia"/>
                <w:sz w:val="24"/>
              </w:rPr>
            </w:pPr>
          </w:p>
        </w:tc>
        <w:tc>
          <w:tcPr>
            <w:tcW w:w="124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394" w:type="dxa"/>
            <w:vAlign w:val="center"/>
          </w:tcPr>
          <w:p>
            <w:pPr>
              <w:spacing w:line="312" w:lineRule="auto"/>
              <w:jc w:val="center"/>
              <w:rPr>
                <w:rFonts w:asciiTheme="minorEastAsia" w:hAnsiTheme="minorEastAsia" w:eastAsiaTheme="minorEastAsia" w:cstheme="minorEastAsia"/>
                <w:sz w:val="24"/>
              </w:rPr>
            </w:pPr>
          </w:p>
        </w:tc>
        <w:tc>
          <w:tcPr>
            <w:tcW w:w="2015"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325"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资格等级</w:t>
            </w:r>
          </w:p>
        </w:tc>
        <w:tc>
          <w:tcPr>
            <w:tcW w:w="1394"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2015"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2325"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8106" w:type="dxa"/>
            <w:gridSpan w:val="5"/>
            <w:vAlign w:val="center"/>
          </w:tcPr>
          <w:p>
            <w:pPr>
              <w:spacing w:line="312"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766" w:type="dxa"/>
            <w:gridSpan w:val="3"/>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2015"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325"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Theme="minorEastAsia" w:hAnsiTheme="minorEastAsia" w:eastAsiaTheme="minorEastAsia" w:cstheme="minorEastAsia"/>
                <w:sz w:val="24"/>
              </w:rPr>
            </w:pPr>
          </w:p>
        </w:tc>
        <w:tc>
          <w:tcPr>
            <w:tcW w:w="1132" w:type="dxa"/>
            <w:vAlign w:val="center"/>
          </w:tcPr>
          <w:p>
            <w:pPr>
              <w:spacing w:line="312" w:lineRule="auto"/>
              <w:jc w:val="center"/>
              <w:rPr>
                <w:rFonts w:asciiTheme="minorEastAsia" w:hAnsiTheme="minorEastAsia" w:eastAsiaTheme="minorEastAsia" w:cstheme="minorEastAsia"/>
                <w:sz w:val="24"/>
              </w:rPr>
            </w:pPr>
          </w:p>
        </w:tc>
        <w:tc>
          <w:tcPr>
            <w:tcW w:w="1240" w:type="dxa"/>
            <w:vAlign w:val="center"/>
          </w:tcPr>
          <w:p>
            <w:pPr>
              <w:spacing w:line="312" w:lineRule="auto"/>
              <w:jc w:val="center"/>
              <w:rPr>
                <w:rFonts w:asciiTheme="minorEastAsia" w:hAnsiTheme="minorEastAsia" w:eastAsiaTheme="minorEastAsia" w:cstheme="minorEastAsia"/>
                <w:sz w:val="24"/>
              </w:rPr>
            </w:pPr>
          </w:p>
        </w:tc>
        <w:tc>
          <w:tcPr>
            <w:tcW w:w="1394" w:type="dxa"/>
            <w:vAlign w:val="center"/>
          </w:tcPr>
          <w:p>
            <w:pPr>
              <w:spacing w:line="312" w:lineRule="auto"/>
              <w:jc w:val="center"/>
              <w:rPr>
                <w:rFonts w:asciiTheme="minorEastAsia" w:hAnsiTheme="minorEastAsia" w:eastAsiaTheme="minorEastAsia" w:cstheme="minorEastAsia"/>
                <w:sz w:val="24"/>
              </w:rPr>
            </w:pPr>
          </w:p>
        </w:tc>
        <w:tc>
          <w:tcPr>
            <w:tcW w:w="2015" w:type="dxa"/>
            <w:vAlign w:val="center"/>
          </w:tcPr>
          <w:p>
            <w:pPr>
              <w:spacing w:line="312" w:lineRule="auto"/>
              <w:jc w:val="center"/>
              <w:rPr>
                <w:rFonts w:asciiTheme="minorEastAsia" w:hAnsiTheme="minorEastAsia" w:eastAsiaTheme="minorEastAsia" w:cstheme="minorEastAsia"/>
                <w:sz w:val="24"/>
              </w:rPr>
            </w:pPr>
          </w:p>
        </w:tc>
        <w:tc>
          <w:tcPr>
            <w:tcW w:w="2325"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Theme="minorEastAsia" w:hAnsiTheme="minorEastAsia" w:eastAsiaTheme="minorEastAsia" w:cstheme="minorEastAsia"/>
                <w:sz w:val="24"/>
              </w:rPr>
            </w:pPr>
          </w:p>
        </w:tc>
        <w:tc>
          <w:tcPr>
            <w:tcW w:w="1132" w:type="dxa"/>
            <w:vAlign w:val="center"/>
          </w:tcPr>
          <w:p>
            <w:pPr>
              <w:spacing w:line="312" w:lineRule="auto"/>
              <w:jc w:val="center"/>
              <w:rPr>
                <w:rFonts w:asciiTheme="minorEastAsia" w:hAnsiTheme="minorEastAsia" w:eastAsiaTheme="minorEastAsia" w:cstheme="minorEastAsia"/>
                <w:sz w:val="24"/>
              </w:rPr>
            </w:pPr>
          </w:p>
        </w:tc>
        <w:tc>
          <w:tcPr>
            <w:tcW w:w="1240" w:type="dxa"/>
            <w:vAlign w:val="center"/>
          </w:tcPr>
          <w:p>
            <w:pPr>
              <w:spacing w:line="312" w:lineRule="auto"/>
              <w:jc w:val="center"/>
              <w:rPr>
                <w:rFonts w:asciiTheme="minorEastAsia" w:hAnsiTheme="minorEastAsia" w:eastAsiaTheme="minorEastAsia" w:cstheme="minorEastAsia"/>
                <w:sz w:val="24"/>
              </w:rPr>
            </w:pPr>
          </w:p>
        </w:tc>
        <w:tc>
          <w:tcPr>
            <w:tcW w:w="1394" w:type="dxa"/>
            <w:vAlign w:val="center"/>
          </w:tcPr>
          <w:p>
            <w:pPr>
              <w:spacing w:line="312" w:lineRule="auto"/>
              <w:jc w:val="center"/>
              <w:rPr>
                <w:rFonts w:asciiTheme="minorEastAsia" w:hAnsiTheme="minorEastAsia" w:eastAsiaTheme="minorEastAsia" w:cstheme="minorEastAsia"/>
                <w:sz w:val="24"/>
              </w:rPr>
            </w:pPr>
          </w:p>
        </w:tc>
        <w:tc>
          <w:tcPr>
            <w:tcW w:w="2015" w:type="dxa"/>
            <w:vAlign w:val="center"/>
          </w:tcPr>
          <w:p>
            <w:pPr>
              <w:spacing w:line="312" w:lineRule="auto"/>
              <w:jc w:val="center"/>
              <w:rPr>
                <w:rFonts w:asciiTheme="minorEastAsia" w:hAnsiTheme="minorEastAsia" w:eastAsiaTheme="minorEastAsia" w:cstheme="minorEastAsia"/>
                <w:sz w:val="24"/>
              </w:rPr>
            </w:pPr>
          </w:p>
        </w:tc>
        <w:tc>
          <w:tcPr>
            <w:tcW w:w="2325"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Theme="minorEastAsia" w:hAnsiTheme="minorEastAsia" w:eastAsiaTheme="minorEastAsia" w:cstheme="minorEastAsia"/>
                <w:sz w:val="24"/>
              </w:rPr>
            </w:pPr>
          </w:p>
        </w:tc>
        <w:tc>
          <w:tcPr>
            <w:tcW w:w="1132" w:type="dxa"/>
            <w:vAlign w:val="center"/>
          </w:tcPr>
          <w:p>
            <w:pPr>
              <w:spacing w:line="312" w:lineRule="auto"/>
              <w:jc w:val="center"/>
              <w:rPr>
                <w:rFonts w:asciiTheme="minorEastAsia" w:hAnsiTheme="minorEastAsia" w:eastAsiaTheme="minorEastAsia" w:cstheme="minorEastAsia"/>
                <w:sz w:val="24"/>
              </w:rPr>
            </w:pPr>
          </w:p>
        </w:tc>
        <w:tc>
          <w:tcPr>
            <w:tcW w:w="1240" w:type="dxa"/>
            <w:vAlign w:val="center"/>
          </w:tcPr>
          <w:p>
            <w:pPr>
              <w:spacing w:line="312" w:lineRule="auto"/>
              <w:jc w:val="center"/>
              <w:rPr>
                <w:rFonts w:asciiTheme="minorEastAsia" w:hAnsiTheme="minorEastAsia" w:eastAsiaTheme="minorEastAsia" w:cstheme="minorEastAsia"/>
                <w:sz w:val="24"/>
              </w:rPr>
            </w:pPr>
          </w:p>
        </w:tc>
        <w:tc>
          <w:tcPr>
            <w:tcW w:w="1394" w:type="dxa"/>
            <w:vAlign w:val="center"/>
          </w:tcPr>
          <w:p>
            <w:pPr>
              <w:spacing w:line="312" w:lineRule="auto"/>
              <w:jc w:val="center"/>
              <w:rPr>
                <w:rFonts w:asciiTheme="minorEastAsia" w:hAnsiTheme="minorEastAsia" w:eastAsiaTheme="minorEastAsia" w:cstheme="minorEastAsia"/>
                <w:sz w:val="24"/>
              </w:rPr>
            </w:pPr>
          </w:p>
        </w:tc>
        <w:tc>
          <w:tcPr>
            <w:tcW w:w="2015" w:type="dxa"/>
            <w:vAlign w:val="center"/>
          </w:tcPr>
          <w:p>
            <w:pPr>
              <w:spacing w:line="312" w:lineRule="auto"/>
              <w:jc w:val="center"/>
              <w:rPr>
                <w:rFonts w:asciiTheme="minorEastAsia" w:hAnsiTheme="minorEastAsia" w:eastAsiaTheme="minorEastAsia" w:cstheme="minorEastAsia"/>
                <w:sz w:val="24"/>
              </w:rPr>
            </w:pPr>
          </w:p>
        </w:tc>
        <w:tc>
          <w:tcPr>
            <w:tcW w:w="2325" w:type="dxa"/>
            <w:vAlign w:val="center"/>
          </w:tcPr>
          <w:p>
            <w:pPr>
              <w:spacing w:line="312" w:lineRule="auto"/>
              <w:jc w:val="center"/>
              <w:rPr>
                <w:rFonts w:asciiTheme="minorEastAsia" w:hAnsiTheme="minorEastAsia" w:eastAsiaTheme="minorEastAsia" w:cstheme="minorEastAsia"/>
                <w:sz w:val="24"/>
              </w:rPr>
            </w:pPr>
          </w:p>
        </w:tc>
      </w:tr>
    </w:tbl>
    <w:p>
      <w:pPr>
        <w:spacing w:line="312" w:lineRule="auto"/>
        <w:rPr>
          <w:rFonts w:asciiTheme="minorEastAsia" w:hAnsiTheme="minorEastAsia" w:eastAsiaTheme="minorEastAsia" w:cstheme="minorEastAsia"/>
          <w:sz w:val="24"/>
        </w:rPr>
      </w:pPr>
    </w:p>
    <w:p>
      <w:pPr>
        <w:spacing w:line="312" w:lineRule="auto"/>
        <w:jc w:val="center"/>
        <w:outlineLvl w:val="1"/>
        <w:rPr>
          <w:rFonts w:asciiTheme="minorEastAsia" w:hAnsiTheme="minorEastAsia" w:eastAsiaTheme="minorEastAsia" w:cstheme="minorEastAsia"/>
          <w:sz w:val="28"/>
          <w:szCs w:val="28"/>
        </w:rPr>
      </w:pPr>
    </w:p>
    <w:p>
      <w:pPr>
        <w:spacing w:line="312" w:lineRule="auto"/>
        <w:rPr>
          <w:rFonts w:asciiTheme="minorEastAsia" w:hAnsiTheme="minorEastAsia" w:eastAsiaTheme="minorEastAsia" w:cstheme="minorEastAsia"/>
          <w:b/>
          <w:sz w:val="24"/>
        </w:rPr>
      </w:pPr>
    </w:p>
    <w:p>
      <w:pPr>
        <w:spacing w:line="312"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附2：项目负责人简历表</w:t>
      </w:r>
    </w:p>
    <w:p>
      <w:pPr>
        <w:spacing w:line="312" w:lineRule="auto"/>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项目负责人应附项目负责人身份证、学历证、劳动合同、养老保险复印件及未担任其他在施建设工程项目负责人的承诺书，管理过的类似项目业绩须附合同协议书复印件。</w:t>
      </w:r>
    </w:p>
    <w:tbl>
      <w:tblPr>
        <w:tblStyle w:val="16"/>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120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44" w:type="dxa"/>
            <w:vAlign w:val="center"/>
          </w:tcPr>
          <w:p>
            <w:pPr>
              <w:spacing w:line="312" w:lineRule="auto"/>
              <w:jc w:val="center"/>
              <w:rPr>
                <w:rFonts w:asciiTheme="minorEastAsia" w:hAnsiTheme="minorEastAsia" w:eastAsiaTheme="minorEastAsia" w:cstheme="minorEastAsia"/>
                <w:sz w:val="24"/>
              </w:rPr>
            </w:pPr>
          </w:p>
        </w:tc>
        <w:tc>
          <w:tcPr>
            <w:tcW w:w="1253"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409" w:type="dxa"/>
            <w:vAlign w:val="center"/>
          </w:tcPr>
          <w:p>
            <w:pPr>
              <w:spacing w:line="312" w:lineRule="auto"/>
              <w:jc w:val="center"/>
              <w:rPr>
                <w:rFonts w:asciiTheme="minorEastAsia" w:hAnsiTheme="minorEastAsia" w:eastAsiaTheme="minorEastAsia" w:cstheme="minorEastAsia"/>
                <w:sz w:val="24"/>
              </w:rPr>
            </w:pPr>
          </w:p>
        </w:tc>
        <w:tc>
          <w:tcPr>
            <w:tcW w:w="203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350"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44" w:type="dxa"/>
            <w:vAlign w:val="center"/>
          </w:tcPr>
          <w:p>
            <w:pPr>
              <w:spacing w:line="312" w:lineRule="auto"/>
              <w:jc w:val="center"/>
              <w:rPr>
                <w:rFonts w:asciiTheme="minorEastAsia" w:hAnsiTheme="minorEastAsia" w:eastAsiaTheme="minorEastAsia" w:cstheme="minorEastAsia"/>
                <w:sz w:val="24"/>
              </w:rPr>
            </w:pPr>
          </w:p>
        </w:tc>
        <w:tc>
          <w:tcPr>
            <w:tcW w:w="1253"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409" w:type="dxa"/>
            <w:vAlign w:val="center"/>
          </w:tcPr>
          <w:p>
            <w:pPr>
              <w:spacing w:line="312" w:lineRule="auto"/>
              <w:jc w:val="center"/>
              <w:rPr>
                <w:rFonts w:asciiTheme="minorEastAsia" w:hAnsiTheme="minorEastAsia" w:eastAsiaTheme="minorEastAsia" w:cstheme="minorEastAsia"/>
                <w:sz w:val="24"/>
              </w:rPr>
            </w:pPr>
          </w:p>
        </w:tc>
        <w:tc>
          <w:tcPr>
            <w:tcW w:w="203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35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资格等级</w:t>
            </w:r>
          </w:p>
        </w:tc>
        <w:tc>
          <w:tcPr>
            <w:tcW w:w="1409"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203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2350"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8193" w:type="dxa"/>
            <w:gridSpan w:val="5"/>
            <w:vAlign w:val="center"/>
          </w:tcPr>
          <w:p>
            <w:pPr>
              <w:spacing w:line="312"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806" w:type="dxa"/>
            <w:gridSpan w:val="3"/>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203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35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Theme="minorEastAsia" w:hAnsiTheme="minorEastAsia" w:eastAsiaTheme="minorEastAsia" w:cstheme="minorEastAsia"/>
                <w:sz w:val="24"/>
              </w:rPr>
            </w:pPr>
          </w:p>
        </w:tc>
        <w:tc>
          <w:tcPr>
            <w:tcW w:w="1144" w:type="dxa"/>
            <w:vAlign w:val="center"/>
          </w:tcPr>
          <w:p>
            <w:pPr>
              <w:spacing w:line="312" w:lineRule="auto"/>
              <w:jc w:val="center"/>
              <w:rPr>
                <w:rFonts w:asciiTheme="minorEastAsia" w:hAnsiTheme="minorEastAsia" w:eastAsiaTheme="minorEastAsia" w:cstheme="minorEastAsia"/>
                <w:sz w:val="24"/>
              </w:rPr>
            </w:pPr>
          </w:p>
        </w:tc>
        <w:tc>
          <w:tcPr>
            <w:tcW w:w="1253" w:type="dxa"/>
            <w:vAlign w:val="center"/>
          </w:tcPr>
          <w:p>
            <w:pPr>
              <w:spacing w:line="312" w:lineRule="auto"/>
              <w:jc w:val="center"/>
              <w:rPr>
                <w:rFonts w:asciiTheme="minorEastAsia" w:hAnsiTheme="minorEastAsia" w:eastAsiaTheme="minorEastAsia" w:cstheme="minorEastAsia"/>
                <w:sz w:val="24"/>
              </w:rPr>
            </w:pPr>
          </w:p>
        </w:tc>
        <w:tc>
          <w:tcPr>
            <w:tcW w:w="1409" w:type="dxa"/>
            <w:vAlign w:val="center"/>
          </w:tcPr>
          <w:p>
            <w:pPr>
              <w:spacing w:line="312" w:lineRule="auto"/>
              <w:jc w:val="center"/>
              <w:rPr>
                <w:rFonts w:asciiTheme="minorEastAsia" w:hAnsiTheme="minorEastAsia" w:eastAsiaTheme="minorEastAsia" w:cstheme="minorEastAsia"/>
                <w:sz w:val="24"/>
              </w:rPr>
            </w:pPr>
          </w:p>
        </w:tc>
        <w:tc>
          <w:tcPr>
            <w:tcW w:w="2037" w:type="dxa"/>
            <w:vAlign w:val="center"/>
          </w:tcPr>
          <w:p>
            <w:pPr>
              <w:spacing w:line="312" w:lineRule="auto"/>
              <w:jc w:val="center"/>
              <w:rPr>
                <w:rFonts w:asciiTheme="minorEastAsia" w:hAnsiTheme="minorEastAsia" w:eastAsiaTheme="minorEastAsia" w:cstheme="minorEastAsia"/>
                <w:sz w:val="24"/>
              </w:rPr>
            </w:pPr>
          </w:p>
        </w:tc>
        <w:tc>
          <w:tcPr>
            <w:tcW w:w="2350"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Theme="minorEastAsia" w:hAnsiTheme="minorEastAsia" w:eastAsiaTheme="minorEastAsia" w:cstheme="minorEastAsia"/>
                <w:sz w:val="24"/>
              </w:rPr>
            </w:pPr>
          </w:p>
        </w:tc>
        <w:tc>
          <w:tcPr>
            <w:tcW w:w="1144" w:type="dxa"/>
            <w:vAlign w:val="center"/>
          </w:tcPr>
          <w:p>
            <w:pPr>
              <w:spacing w:line="312" w:lineRule="auto"/>
              <w:jc w:val="center"/>
              <w:rPr>
                <w:rFonts w:asciiTheme="minorEastAsia" w:hAnsiTheme="minorEastAsia" w:eastAsiaTheme="minorEastAsia" w:cstheme="minorEastAsia"/>
                <w:sz w:val="24"/>
              </w:rPr>
            </w:pPr>
          </w:p>
        </w:tc>
        <w:tc>
          <w:tcPr>
            <w:tcW w:w="1253" w:type="dxa"/>
            <w:vAlign w:val="center"/>
          </w:tcPr>
          <w:p>
            <w:pPr>
              <w:spacing w:line="312" w:lineRule="auto"/>
              <w:jc w:val="center"/>
              <w:rPr>
                <w:rFonts w:asciiTheme="minorEastAsia" w:hAnsiTheme="minorEastAsia" w:eastAsiaTheme="minorEastAsia" w:cstheme="minorEastAsia"/>
                <w:sz w:val="24"/>
              </w:rPr>
            </w:pPr>
          </w:p>
        </w:tc>
        <w:tc>
          <w:tcPr>
            <w:tcW w:w="1409" w:type="dxa"/>
            <w:vAlign w:val="center"/>
          </w:tcPr>
          <w:p>
            <w:pPr>
              <w:spacing w:line="312" w:lineRule="auto"/>
              <w:jc w:val="center"/>
              <w:rPr>
                <w:rFonts w:asciiTheme="minorEastAsia" w:hAnsiTheme="minorEastAsia" w:eastAsiaTheme="minorEastAsia" w:cstheme="minorEastAsia"/>
                <w:sz w:val="24"/>
              </w:rPr>
            </w:pPr>
          </w:p>
        </w:tc>
        <w:tc>
          <w:tcPr>
            <w:tcW w:w="2037" w:type="dxa"/>
            <w:vAlign w:val="center"/>
          </w:tcPr>
          <w:p>
            <w:pPr>
              <w:spacing w:line="312" w:lineRule="auto"/>
              <w:jc w:val="center"/>
              <w:rPr>
                <w:rFonts w:asciiTheme="minorEastAsia" w:hAnsiTheme="minorEastAsia" w:eastAsiaTheme="minorEastAsia" w:cstheme="minorEastAsia"/>
                <w:sz w:val="24"/>
              </w:rPr>
            </w:pPr>
          </w:p>
        </w:tc>
        <w:tc>
          <w:tcPr>
            <w:tcW w:w="2350"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Theme="minorEastAsia" w:hAnsiTheme="minorEastAsia" w:eastAsiaTheme="minorEastAsia" w:cstheme="minorEastAsia"/>
                <w:sz w:val="24"/>
              </w:rPr>
            </w:pPr>
          </w:p>
        </w:tc>
        <w:tc>
          <w:tcPr>
            <w:tcW w:w="1144" w:type="dxa"/>
            <w:vAlign w:val="center"/>
          </w:tcPr>
          <w:p>
            <w:pPr>
              <w:spacing w:line="312" w:lineRule="auto"/>
              <w:jc w:val="center"/>
              <w:rPr>
                <w:rFonts w:asciiTheme="minorEastAsia" w:hAnsiTheme="minorEastAsia" w:eastAsiaTheme="minorEastAsia" w:cstheme="minorEastAsia"/>
                <w:sz w:val="24"/>
              </w:rPr>
            </w:pPr>
          </w:p>
        </w:tc>
        <w:tc>
          <w:tcPr>
            <w:tcW w:w="1253" w:type="dxa"/>
            <w:vAlign w:val="center"/>
          </w:tcPr>
          <w:p>
            <w:pPr>
              <w:spacing w:line="312" w:lineRule="auto"/>
              <w:jc w:val="center"/>
              <w:rPr>
                <w:rFonts w:asciiTheme="minorEastAsia" w:hAnsiTheme="minorEastAsia" w:eastAsiaTheme="minorEastAsia" w:cstheme="minorEastAsia"/>
                <w:sz w:val="24"/>
              </w:rPr>
            </w:pPr>
          </w:p>
        </w:tc>
        <w:tc>
          <w:tcPr>
            <w:tcW w:w="1409" w:type="dxa"/>
            <w:vAlign w:val="center"/>
          </w:tcPr>
          <w:p>
            <w:pPr>
              <w:spacing w:line="312" w:lineRule="auto"/>
              <w:jc w:val="center"/>
              <w:rPr>
                <w:rFonts w:asciiTheme="minorEastAsia" w:hAnsiTheme="minorEastAsia" w:eastAsiaTheme="minorEastAsia" w:cstheme="minorEastAsia"/>
                <w:sz w:val="24"/>
              </w:rPr>
            </w:pPr>
          </w:p>
        </w:tc>
        <w:tc>
          <w:tcPr>
            <w:tcW w:w="2037" w:type="dxa"/>
            <w:vAlign w:val="center"/>
          </w:tcPr>
          <w:p>
            <w:pPr>
              <w:spacing w:line="312" w:lineRule="auto"/>
              <w:jc w:val="center"/>
              <w:rPr>
                <w:rFonts w:asciiTheme="minorEastAsia" w:hAnsiTheme="minorEastAsia" w:eastAsiaTheme="minorEastAsia" w:cstheme="minorEastAsia"/>
                <w:sz w:val="24"/>
              </w:rPr>
            </w:pPr>
          </w:p>
        </w:tc>
        <w:tc>
          <w:tcPr>
            <w:tcW w:w="2350" w:type="dxa"/>
            <w:vAlign w:val="center"/>
          </w:tcPr>
          <w:p>
            <w:pPr>
              <w:spacing w:line="312" w:lineRule="auto"/>
              <w:jc w:val="center"/>
              <w:rPr>
                <w:rFonts w:asciiTheme="minorEastAsia" w:hAnsiTheme="minorEastAsia" w:eastAsiaTheme="minorEastAsia" w:cstheme="minorEastAsia"/>
                <w:sz w:val="24"/>
              </w:rPr>
            </w:pPr>
          </w:p>
        </w:tc>
      </w:tr>
    </w:tbl>
    <w:p>
      <w:pPr>
        <w:pStyle w:val="2"/>
        <w:ind w:firstLine="280"/>
        <w:rPr>
          <w:rFonts w:asciiTheme="minorEastAsia" w:hAnsiTheme="minorEastAsia" w:eastAsiaTheme="minorEastAsia" w:cstheme="minorEastAsia"/>
          <w:sz w:val="28"/>
          <w:szCs w:val="28"/>
        </w:rPr>
      </w:pPr>
    </w:p>
    <w:p>
      <w:pPr>
        <w:rPr>
          <w:rFonts w:asciiTheme="minorEastAsia" w:hAnsiTheme="minorEastAsia" w:eastAsiaTheme="minorEastAsia" w:cstheme="minorEastAsia"/>
          <w:b/>
          <w:sz w:val="24"/>
          <w:szCs w:val="24"/>
        </w:rPr>
      </w:pPr>
      <w:bookmarkStart w:id="175" w:name="_Toc281577316"/>
      <w:bookmarkStart w:id="176" w:name="_Toc152045807"/>
      <w:bookmarkStart w:id="177" w:name="_Toc281577573"/>
      <w:bookmarkStart w:id="178" w:name="_Toc257985763"/>
      <w:bookmarkStart w:id="179" w:name="_Toc144974875"/>
      <w:bookmarkStart w:id="180" w:name="_Toc230166253"/>
      <w:bookmarkStart w:id="181" w:name="_Toc281579388"/>
      <w:bookmarkStart w:id="182" w:name="_Toc152042596"/>
      <w:bookmarkStart w:id="183" w:name="_Toc358274765"/>
      <w:bookmarkStart w:id="184" w:name="_Toc358275293"/>
      <w:bookmarkStart w:id="185" w:name="_Toc358276060"/>
      <w:r>
        <w:rPr>
          <w:rFonts w:hint="eastAsia" w:asciiTheme="minorEastAsia" w:hAnsiTheme="minorEastAsia" w:eastAsiaTheme="minorEastAsia" w:cstheme="minorEastAsia"/>
          <w:b/>
          <w:sz w:val="24"/>
          <w:szCs w:val="24"/>
        </w:rPr>
        <w:br w:type="page"/>
      </w:r>
    </w:p>
    <w:p>
      <w:pPr>
        <w:widowControl/>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sz w:val="24"/>
          <w:szCs w:val="24"/>
        </w:rPr>
        <w:t>附3：项目负责人无在建承诺书</w:t>
      </w:r>
    </w:p>
    <w:p>
      <w:pPr>
        <w:spacing w:line="360" w:lineRule="auto"/>
        <w:jc w:val="center"/>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（招标人名称）：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（项目名称）（以下简称“本工程”）的</w:t>
      </w:r>
      <w:r>
        <w:rPr>
          <w:rFonts w:hint="eastAsia" w:asciiTheme="minorEastAsia" w:hAnsiTheme="minorEastAsia" w:eastAsiaTheme="minorEastAsia" w:cstheme="minorEastAsia"/>
          <w:sz w:val="24"/>
          <w:szCs w:val="22"/>
        </w:rPr>
        <w:t>项目负责人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（项目负责人姓名）现阶段未在其他项目中任职。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若招标人发现上述信息存在虚假内容，招标人有权取消我单位中标资格、拒签或提前中止合同，并向有关建设主管部门上报作进一步处罚，同时我单位自愿接受招标人要求赔偿的相应损失并愿意承担因我方就此弄虚作假所引起的一切法律后果。</w:t>
      </w:r>
    </w:p>
    <w:p>
      <w:pPr>
        <w:spacing w:line="360" w:lineRule="auto"/>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wordWrap w:val="0"/>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wordWrap w:val="0"/>
        <w:spacing w:line="360" w:lineRule="auto"/>
        <w:ind w:right="420" w:firstLine="3988" w:firstLineChars="166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spacing w:line="360" w:lineRule="auto"/>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pStyle w:val="22"/>
        <w:spacing w:before="0" w:line="360" w:lineRule="auto"/>
        <w:jc w:val="center"/>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b/>
          <w:sz w:val="24"/>
          <w:szCs w:val="24"/>
        </w:rPr>
        <w:br w:type="page"/>
      </w:r>
      <w:bookmarkStart w:id="186" w:name="_Toc426467417"/>
      <w:bookmarkStart w:id="187" w:name="_Toc392081417"/>
      <w:bookmarkStart w:id="188" w:name="_Toc387851733"/>
      <w:r>
        <w:rPr>
          <w:rFonts w:hint="eastAsia" w:asciiTheme="minorEastAsia" w:hAnsiTheme="minorEastAsia" w:eastAsiaTheme="minorEastAsia" w:cstheme="minorEastAsia"/>
          <w:b/>
          <w:sz w:val="30"/>
          <w:szCs w:val="30"/>
        </w:rPr>
        <w:t>六、</w:t>
      </w:r>
      <w:bookmarkEnd w:id="175"/>
      <w:bookmarkEnd w:id="176"/>
      <w:bookmarkEnd w:id="177"/>
      <w:bookmarkEnd w:id="178"/>
      <w:bookmarkEnd w:id="179"/>
      <w:bookmarkEnd w:id="180"/>
      <w:bookmarkEnd w:id="181"/>
      <w:bookmarkEnd w:id="182"/>
      <w:r>
        <w:rPr>
          <w:rFonts w:hint="eastAsia" w:asciiTheme="minorEastAsia" w:hAnsiTheme="minorEastAsia" w:eastAsiaTheme="minorEastAsia" w:cstheme="minorEastAsia"/>
          <w:b/>
          <w:sz w:val="30"/>
          <w:szCs w:val="30"/>
        </w:rPr>
        <w:t>投标单位基本信息表</w:t>
      </w:r>
      <w:bookmarkEnd w:id="183"/>
      <w:bookmarkEnd w:id="184"/>
      <w:bookmarkEnd w:id="185"/>
      <w:bookmarkEnd w:id="186"/>
      <w:bookmarkEnd w:id="187"/>
      <w:bookmarkEnd w:id="188"/>
    </w:p>
    <w:tbl>
      <w:tblPr>
        <w:tblStyle w:val="16"/>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155"/>
        <w:gridCol w:w="1323"/>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w:t>
            </w:r>
          </w:p>
        </w:tc>
        <w:tc>
          <w:tcPr>
            <w:tcW w:w="7279" w:type="dxa"/>
            <w:gridSpan w:val="9"/>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注册地址</w:t>
            </w:r>
          </w:p>
        </w:tc>
        <w:tc>
          <w:tcPr>
            <w:tcW w:w="3464" w:type="dxa"/>
            <w:gridSpan w:val="5"/>
            <w:vAlign w:val="center"/>
          </w:tcPr>
          <w:p>
            <w:pPr>
              <w:topLinePunct/>
              <w:spacing w:line="360" w:lineRule="auto"/>
              <w:jc w:val="center"/>
              <w:rPr>
                <w:rFonts w:asciiTheme="minorEastAsia" w:hAnsiTheme="minorEastAsia" w:eastAsiaTheme="minorEastAsia" w:cstheme="minorEastAsia"/>
                <w:sz w:val="24"/>
                <w:szCs w:val="24"/>
              </w:rPr>
            </w:pPr>
          </w:p>
        </w:tc>
        <w:tc>
          <w:tcPr>
            <w:tcW w:w="1323"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2492" w:type="dxa"/>
            <w:gridSpan w:val="3"/>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39" w:type="dxa"/>
            <w:vMerge w:val="restart"/>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956"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2508" w:type="dxa"/>
            <w:gridSpan w:val="4"/>
            <w:vAlign w:val="center"/>
          </w:tcPr>
          <w:p>
            <w:pPr>
              <w:topLinePunct/>
              <w:spacing w:line="360" w:lineRule="auto"/>
              <w:jc w:val="center"/>
              <w:rPr>
                <w:rFonts w:asciiTheme="minorEastAsia" w:hAnsiTheme="minorEastAsia" w:eastAsiaTheme="minorEastAsia" w:cstheme="minorEastAsia"/>
                <w:sz w:val="24"/>
                <w:szCs w:val="24"/>
              </w:rPr>
            </w:pPr>
          </w:p>
        </w:tc>
        <w:tc>
          <w:tcPr>
            <w:tcW w:w="1323"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tc>
        <w:tc>
          <w:tcPr>
            <w:tcW w:w="2492" w:type="dxa"/>
            <w:gridSpan w:val="3"/>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39" w:type="dxa"/>
            <w:vMerge w:val="continue"/>
            <w:vAlign w:val="center"/>
          </w:tcPr>
          <w:p>
            <w:pPr>
              <w:topLinePunct/>
              <w:spacing w:line="360" w:lineRule="auto"/>
              <w:jc w:val="center"/>
              <w:rPr>
                <w:rFonts w:asciiTheme="minorEastAsia" w:hAnsiTheme="minorEastAsia" w:eastAsiaTheme="minorEastAsia" w:cstheme="minorEastAsia"/>
                <w:sz w:val="24"/>
                <w:szCs w:val="24"/>
              </w:rPr>
            </w:pPr>
          </w:p>
        </w:tc>
        <w:tc>
          <w:tcPr>
            <w:tcW w:w="956"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w:t>
            </w:r>
          </w:p>
        </w:tc>
        <w:tc>
          <w:tcPr>
            <w:tcW w:w="2508" w:type="dxa"/>
            <w:gridSpan w:val="4"/>
            <w:vAlign w:val="center"/>
          </w:tcPr>
          <w:p>
            <w:pPr>
              <w:topLinePunct/>
              <w:spacing w:line="360" w:lineRule="auto"/>
              <w:jc w:val="center"/>
              <w:rPr>
                <w:rFonts w:asciiTheme="minorEastAsia" w:hAnsiTheme="minorEastAsia" w:eastAsiaTheme="minorEastAsia" w:cstheme="minorEastAsia"/>
                <w:sz w:val="24"/>
                <w:szCs w:val="24"/>
              </w:rPr>
            </w:pPr>
          </w:p>
        </w:tc>
        <w:tc>
          <w:tcPr>
            <w:tcW w:w="1323"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 址</w:t>
            </w:r>
          </w:p>
        </w:tc>
        <w:tc>
          <w:tcPr>
            <w:tcW w:w="2492" w:type="dxa"/>
            <w:gridSpan w:val="3"/>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组织结构</w:t>
            </w:r>
          </w:p>
        </w:tc>
        <w:tc>
          <w:tcPr>
            <w:tcW w:w="7279" w:type="dxa"/>
            <w:gridSpan w:val="9"/>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956"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012" w:type="dxa"/>
            <w:vAlign w:val="center"/>
          </w:tcPr>
          <w:p>
            <w:pPr>
              <w:topLinePunct/>
              <w:spacing w:line="360" w:lineRule="auto"/>
              <w:jc w:val="center"/>
              <w:rPr>
                <w:rFonts w:asciiTheme="minorEastAsia" w:hAnsiTheme="minorEastAsia" w:eastAsiaTheme="minorEastAsia" w:cstheme="minorEastAsia"/>
                <w:sz w:val="24"/>
                <w:szCs w:val="24"/>
              </w:rPr>
            </w:pPr>
          </w:p>
        </w:tc>
        <w:tc>
          <w:tcPr>
            <w:tcW w:w="1341" w:type="dxa"/>
            <w:gridSpan w:val="2"/>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技术职称</w:t>
            </w:r>
          </w:p>
        </w:tc>
        <w:tc>
          <w:tcPr>
            <w:tcW w:w="1999" w:type="dxa"/>
            <w:gridSpan w:val="3"/>
            <w:vAlign w:val="center"/>
          </w:tcPr>
          <w:p>
            <w:pPr>
              <w:topLinePunct/>
              <w:spacing w:line="360" w:lineRule="auto"/>
              <w:jc w:val="center"/>
              <w:rPr>
                <w:rFonts w:asciiTheme="minorEastAsia" w:hAnsiTheme="minorEastAsia" w:eastAsiaTheme="minorEastAsia" w:cstheme="minorEastAsia"/>
                <w:sz w:val="24"/>
                <w:szCs w:val="24"/>
              </w:rPr>
            </w:pPr>
          </w:p>
        </w:tc>
        <w:tc>
          <w:tcPr>
            <w:tcW w:w="915"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056" w:type="dxa"/>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956"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012" w:type="dxa"/>
            <w:vAlign w:val="center"/>
          </w:tcPr>
          <w:p>
            <w:pPr>
              <w:topLinePunct/>
              <w:spacing w:line="360" w:lineRule="auto"/>
              <w:jc w:val="center"/>
              <w:rPr>
                <w:rFonts w:asciiTheme="minorEastAsia" w:hAnsiTheme="minorEastAsia" w:eastAsiaTheme="minorEastAsia" w:cstheme="minorEastAsia"/>
                <w:sz w:val="24"/>
                <w:szCs w:val="24"/>
              </w:rPr>
            </w:pPr>
          </w:p>
        </w:tc>
        <w:tc>
          <w:tcPr>
            <w:tcW w:w="1341" w:type="dxa"/>
            <w:gridSpan w:val="2"/>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技术职称</w:t>
            </w:r>
          </w:p>
        </w:tc>
        <w:tc>
          <w:tcPr>
            <w:tcW w:w="1999" w:type="dxa"/>
            <w:gridSpan w:val="3"/>
            <w:vAlign w:val="center"/>
          </w:tcPr>
          <w:p>
            <w:pPr>
              <w:topLinePunct/>
              <w:spacing w:line="360" w:lineRule="auto"/>
              <w:jc w:val="center"/>
              <w:rPr>
                <w:rFonts w:asciiTheme="minorEastAsia" w:hAnsiTheme="minorEastAsia" w:eastAsiaTheme="minorEastAsia" w:cstheme="minorEastAsia"/>
                <w:sz w:val="24"/>
                <w:szCs w:val="24"/>
              </w:rPr>
            </w:pPr>
          </w:p>
        </w:tc>
        <w:tc>
          <w:tcPr>
            <w:tcW w:w="915"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056" w:type="dxa"/>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5311" w:type="dxa"/>
            <w:gridSpan w:val="7"/>
            <w:vAlign w:val="center"/>
          </w:tcPr>
          <w:p>
            <w:pPr>
              <w:topLinePunct/>
              <w:spacing w:line="360" w:lineRule="auto"/>
              <w:ind w:firstLine="120" w:firstLine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企业资质等级</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894" w:type="dxa"/>
            <w:vMerge w:val="restart"/>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w:t>
            </w:r>
          </w:p>
        </w:tc>
        <w:tc>
          <w:tcPr>
            <w:tcW w:w="2446" w:type="dxa"/>
            <w:gridSpan w:val="4"/>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1971" w:type="dxa"/>
            <w:gridSpan w:val="2"/>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894" w:type="dxa"/>
            <w:vMerge w:val="continue"/>
            <w:vAlign w:val="center"/>
          </w:tcPr>
          <w:p>
            <w:pPr>
              <w:topLinePunct/>
              <w:spacing w:line="360" w:lineRule="auto"/>
              <w:jc w:val="center"/>
              <w:rPr>
                <w:rFonts w:asciiTheme="minorEastAsia" w:hAnsiTheme="minorEastAsia" w:eastAsiaTheme="minorEastAsia" w:cstheme="minorEastAsia"/>
                <w:sz w:val="24"/>
                <w:szCs w:val="24"/>
              </w:rPr>
            </w:pPr>
          </w:p>
        </w:tc>
        <w:tc>
          <w:tcPr>
            <w:tcW w:w="2446" w:type="dxa"/>
            <w:gridSpan w:val="4"/>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高级职称人员</w:t>
            </w:r>
          </w:p>
        </w:tc>
        <w:tc>
          <w:tcPr>
            <w:tcW w:w="1971" w:type="dxa"/>
            <w:gridSpan w:val="2"/>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894" w:type="dxa"/>
            <w:vMerge w:val="continue"/>
            <w:vAlign w:val="center"/>
          </w:tcPr>
          <w:p>
            <w:pPr>
              <w:topLinePunct/>
              <w:spacing w:line="360" w:lineRule="auto"/>
              <w:jc w:val="center"/>
              <w:rPr>
                <w:rFonts w:asciiTheme="minorEastAsia" w:hAnsiTheme="minorEastAsia" w:eastAsiaTheme="minorEastAsia" w:cstheme="minorEastAsia"/>
                <w:sz w:val="24"/>
                <w:szCs w:val="24"/>
              </w:rPr>
            </w:pPr>
          </w:p>
        </w:tc>
        <w:tc>
          <w:tcPr>
            <w:tcW w:w="2446" w:type="dxa"/>
            <w:gridSpan w:val="4"/>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中级职称人员</w:t>
            </w:r>
          </w:p>
        </w:tc>
        <w:tc>
          <w:tcPr>
            <w:tcW w:w="1971" w:type="dxa"/>
            <w:gridSpan w:val="2"/>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894" w:type="dxa"/>
            <w:vMerge w:val="continue"/>
            <w:vAlign w:val="center"/>
          </w:tcPr>
          <w:p>
            <w:pPr>
              <w:topLinePunct/>
              <w:spacing w:line="360" w:lineRule="auto"/>
              <w:jc w:val="center"/>
              <w:rPr>
                <w:rFonts w:asciiTheme="minorEastAsia" w:hAnsiTheme="minorEastAsia" w:eastAsiaTheme="minorEastAsia" w:cstheme="minorEastAsia"/>
                <w:sz w:val="24"/>
                <w:szCs w:val="24"/>
              </w:rPr>
            </w:pPr>
          </w:p>
        </w:tc>
        <w:tc>
          <w:tcPr>
            <w:tcW w:w="2446" w:type="dxa"/>
            <w:gridSpan w:val="4"/>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初级职称人员</w:t>
            </w:r>
          </w:p>
        </w:tc>
        <w:tc>
          <w:tcPr>
            <w:tcW w:w="1971" w:type="dxa"/>
            <w:gridSpan w:val="2"/>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894" w:type="dxa"/>
            <w:vMerge w:val="continue"/>
            <w:vAlign w:val="center"/>
          </w:tcPr>
          <w:p>
            <w:pPr>
              <w:topLinePunct/>
              <w:spacing w:line="360" w:lineRule="auto"/>
              <w:jc w:val="center"/>
              <w:rPr>
                <w:rFonts w:asciiTheme="minorEastAsia" w:hAnsiTheme="minorEastAsia" w:eastAsiaTheme="minorEastAsia" w:cstheme="minorEastAsia"/>
                <w:sz w:val="24"/>
                <w:szCs w:val="24"/>
              </w:rPr>
            </w:pPr>
          </w:p>
        </w:tc>
        <w:tc>
          <w:tcPr>
            <w:tcW w:w="2446" w:type="dxa"/>
            <w:gridSpan w:val="4"/>
            <w:vAlign w:val="center"/>
          </w:tcPr>
          <w:p>
            <w:pPr>
              <w:pStyle w:val="12"/>
              <w:spacing w:before="0" w:after="0" w:line="360" w:lineRule="auto"/>
              <w:jc w:val="center"/>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技  工</w:t>
            </w:r>
          </w:p>
        </w:tc>
        <w:tc>
          <w:tcPr>
            <w:tcW w:w="1971" w:type="dxa"/>
            <w:gridSpan w:val="2"/>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839" w:type="dxa"/>
            <w:vAlign w:val="center"/>
          </w:tcPr>
          <w:p>
            <w:pPr>
              <w:topLinePunct/>
              <w:spacing w:line="360" w:lineRule="auto"/>
              <w:ind w:firstLine="240" w:firstLineChars="1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p>
        </w:tc>
        <w:tc>
          <w:tcPr>
            <w:tcW w:w="7279" w:type="dxa"/>
            <w:gridSpan w:val="9"/>
            <w:vAlign w:val="center"/>
          </w:tcPr>
          <w:p>
            <w:pPr>
              <w:topLinePunct/>
              <w:spacing w:line="360" w:lineRule="auto"/>
              <w:jc w:val="center"/>
              <w:rPr>
                <w:rFonts w:asciiTheme="minorEastAsia" w:hAnsiTheme="minorEastAsia" w:eastAsiaTheme="minorEastAsia" w:cstheme="minorEastAsia"/>
                <w:sz w:val="24"/>
                <w:szCs w:val="24"/>
              </w:rPr>
            </w:pPr>
          </w:p>
          <w:p>
            <w:pPr>
              <w:topLinePunct/>
              <w:spacing w:line="360" w:lineRule="auto"/>
              <w:jc w:val="center"/>
              <w:rPr>
                <w:rFonts w:asciiTheme="minorEastAsia" w:hAnsiTheme="minorEastAsia" w:eastAsiaTheme="minorEastAsia" w:cstheme="minorEastAsia"/>
                <w:sz w:val="24"/>
                <w:szCs w:val="24"/>
              </w:rPr>
            </w:pPr>
          </w:p>
          <w:p>
            <w:pPr>
              <w:topLinePunct/>
              <w:spacing w:line="360" w:lineRule="auto"/>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7279" w:type="dxa"/>
            <w:gridSpan w:val="9"/>
            <w:vAlign w:val="center"/>
          </w:tcPr>
          <w:p>
            <w:pPr>
              <w:topLinePunct/>
              <w:spacing w:line="360" w:lineRule="auto"/>
              <w:jc w:val="center"/>
              <w:rPr>
                <w:rFonts w:asciiTheme="minorEastAsia" w:hAnsiTheme="minorEastAsia" w:eastAsiaTheme="minorEastAsia" w:cstheme="minorEastAsia"/>
                <w:sz w:val="24"/>
                <w:szCs w:val="24"/>
              </w:rPr>
            </w:pPr>
          </w:p>
        </w:tc>
      </w:tr>
    </w:tbl>
    <w:p>
      <w:pPr>
        <w:pStyle w:val="22"/>
        <w:spacing w:before="0" w:line="360" w:lineRule="auto"/>
        <w:jc w:val="center"/>
        <w:outlineLvl w:val="3"/>
        <w:rPr>
          <w:rFonts w:asciiTheme="minorEastAsia" w:hAnsiTheme="minorEastAsia" w:eastAsiaTheme="minorEastAsia" w:cstheme="minorEastAsia"/>
          <w:b/>
          <w:szCs w:val="24"/>
        </w:rPr>
      </w:pPr>
      <w:bookmarkStart w:id="189" w:name="_Toc358274766"/>
      <w:bookmarkStart w:id="190" w:name="_Toc358275294"/>
      <w:bookmarkStart w:id="191" w:name="_Toc358276061"/>
      <w:r>
        <w:rPr>
          <w:rFonts w:hint="eastAsia" w:asciiTheme="minorEastAsia" w:hAnsiTheme="minorEastAsia" w:eastAsiaTheme="minorEastAsia" w:cstheme="minorEastAsia"/>
          <w:b/>
          <w:szCs w:val="24"/>
        </w:rPr>
        <w:br w:type="page"/>
      </w:r>
      <w:bookmarkStart w:id="192" w:name="_Toc426467418"/>
      <w:bookmarkStart w:id="193" w:name="_Toc392081418"/>
      <w:bookmarkStart w:id="194" w:name="_Toc387851734"/>
    </w:p>
    <w:p>
      <w:pPr>
        <w:pStyle w:val="22"/>
        <w:spacing w:before="0" w:line="360" w:lineRule="auto"/>
        <w:jc w:val="center"/>
        <w:outlineLvl w:val="3"/>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七、资格证明文件</w:t>
      </w:r>
      <w:bookmarkEnd w:id="189"/>
      <w:bookmarkEnd w:id="190"/>
      <w:bookmarkEnd w:id="191"/>
      <w:bookmarkEnd w:id="192"/>
      <w:bookmarkEnd w:id="193"/>
      <w:bookmarkEnd w:id="194"/>
    </w:p>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rPr>
        <w:t xml:space="preserve">    </w:t>
      </w:r>
    </w:p>
    <w:bookmarkEnd w:id="151"/>
    <w:bookmarkEnd w:id="152"/>
    <w:bookmarkEnd w:id="153"/>
    <w:bookmarkEnd w:id="154"/>
    <w:bookmarkEnd w:id="155"/>
    <w:bookmarkEnd w:id="156"/>
    <w:bookmarkEnd w:id="157"/>
    <w:bookmarkEnd w:id="158"/>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pStyle w:val="22"/>
        <w:spacing w:before="0" w:line="360" w:lineRule="auto"/>
        <w:jc w:val="center"/>
        <w:outlineLvl w:val="3"/>
        <w:rPr>
          <w:rFonts w:asciiTheme="minorEastAsia" w:hAnsiTheme="minorEastAsia" w:eastAsiaTheme="minorEastAsia" w:cstheme="minorEastAsia"/>
          <w:b/>
          <w:szCs w:val="24"/>
        </w:rPr>
      </w:pPr>
      <w:bookmarkStart w:id="195" w:name="_Toc426467419"/>
      <w:bookmarkStart w:id="196" w:name="_Toc392081419"/>
      <w:bookmarkStart w:id="197" w:name="_Toc387851735"/>
      <w:r>
        <w:rPr>
          <w:rFonts w:hint="eastAsia" w:asciiTheme="minorEastAsia" w:hAnsiTheme="minorEastAsia" w:eastAsiaTheme="minorEastAsia" w:cstheme="minorEastAsia"/>
          <w:b/>
          <w:sz w:val="30"/>
          <w:szCs w:val="30"/>
        </w:rPr>
        <w:t>八、近年财务状况</w:t>
      </w:r>
      <w:bookmarkEnd w:id="195"/>
      <w:bookmarkEnd w:id="196"/>
      <w:bookmarkEnd w:id="197"/>
    </w:p>
    <w:p>
      <w:pPr>
        <w:topLinePunct/>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在此附会计师事所或审计机构审计的财务会计报表，具体年份要求见第二章“投标人须知”的规定。</w:t>
      </w:r>
    </w:p>
    <w:p>
      <w:pPr>
        <w:pStyle w:val="22"/>
        <w:spacing w:before="0" w:line="360" w:lineRule="auto"/>
        <w:jc w:val="center"/>
        <w:outlineLvl w:val="3"/>
        <w:rPr>
          <w:rFonts w:asciiTheme="minorEastAsia" w:hAnsiTheme="minorEastAsia" w:eastAsiaTheme="minorEastAsia" w:cstheme="minorEastAsia"/>
          <w:b/>
          <w:szCs w:val="24"/>
        </w:rPr>
      </w:pPr>
      <w:r>
        <w:rPr>
          <w:rFonts w:hint="eastAsia" w:asciiTheme="minorEastAsia" w:hAnsiTheme="minorEastAsia" w:eastAsiaTheme="minorEastAsia" w:cstheme="minorEastAsia"/>
          <w:b/>
          <w:sz w:val="24"/>
          <w:szCs w:val="24"/>
        </w:rPr>
        <w:br w:type="page"/>
      </w:r>
      <w:bookmarkStart w:id="198" w:name="_Toc426467420"/>
      <w:bookmarkStart w:id="199" w:name="_Toc392081420"/>
      <w:r>
        <w:rPr>
          <w:rFonts w:hint="eastAsia" w:asciiTheme="minorEastAsia" w:hAnsiTheme="minorEastAsia" w:eastAsiaTheme="minorEastAsia" w:cstheme="minorEastAsia"/>
          <w:b/>
          <w:sz w:val="30"/>
          <w:szCs w:val="30"/>
        </w:rPr>
        <w:t>九、近年完成的类似项目情况</w:t>
      </w:r>
      <w:bookmarkEnd w:id="198"/>
      <w:bookmarkEnd w:id="199"/>
    </w:p>
    <w:tbl>
      <w:tblPr>
        <w:tblStyle w:val="16"/>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项目所在地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发包人地址</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合同价格</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竣工日期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承担的工作</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总监理工程师及电话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项目描述</w:t>
            </w:r>
          </w:p>
        </w:tc>
        <w:tc>
          <w:tcPr>
            <w:tcW w:w="6675" w:type="dxa"/>
            <w:vAlign w:val="center"/>
          </w:tcPr>
          <w:p>
            <w:pPr>
              <w:autoSpaceDE w:val="0"/>
              <w:autoSpaceDN w:val="0"/>
              <w:adjustRightInd w:val="0"/>
              <w:spacing w:line="360" w:lineRule="auto"/>
              <w:ind w:right="215"/>
              <w:rPr>
                <w:rFonts w:asciiTheme="minorEastAsia" w:hAnsiTheme="minorEastAsia" w:eastAsiaTheme="minorEastAsia" w:cstheme="minorEastAsia"/>
                <w:sz w:val="24"/>
                <w:szCs w:val="24"/>
              </w:rPr>
            </w:pPr>
          </w:p>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p>
            <w:pPr>
              <w:autoSpaceDE w:val="0"/>
              <w:autoSpaceDN w:val="0"/>
              <w:adjustRightInd w:val="0"/>
              <w:spacing w:line="360" w:lineRule="auto"/>
              <w:ind w:right="215"/>
              <w:rPr>
                <w:rFonts w:asciiTheme="minorEastAsia" w:hAnsiTheme="minorEastAsia" w:eastAsiaTheme="minorEastAsia" w:cstheme="minorEastAsia"/>
                <w:sz w:val="24"/>
                <w:szCs w:val="24"/>
              </w:rPr>
            </w:pPr>
          </w:p>
        </w:tc>
      </w:tr>
    </w:tbl>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注：本表后须附相应的</w:t>
      </w:r>
      <w:r>
        <w:rPr>
          <w:rFonts w:hint="eastAsia" w:asciiTheme="minorEastAsia" w:hAnsiTheme="minorEastAsia" w:eastAsiaTheme="minorEastAsia" w:cstheme="minorEastAsia"/>
          <w:kern w:val="2"/>
          <w:sz w:val="24"/>
          <w:szCs w:val="24"/>
        </w:rPr>
        <w:t>合同、中标通知书或竣工备案表、合同</w:t>
      </w:r>
      <w:r>
        <w:rPr>
          <w:rFonts w:hint="eastAsia" w:asciiTheme="minorEastAsia" w:hAnsiTheme="minorEastAsia" w:eastAsiaTheme="minorEastAsia" w:cstheme="minorEastAsia"/>
          <w:kern w:val="2"/>
          <w:sz w:val="24"/>
          <w:szCs w:val="24"/>
          <w:lang w:val="en-US" w:eastAsia="zh-CN"/>
        </w:rPr>
        <w:t>扫描件或复印件</w:t>
      </w:r>
      <w:r>
        <w:rPr>
          <w:rFonts w:hint="eastAsia" w:asciiTheme="minorEastAsia" w:hAnsiTheme="minorEastAsia" w:eastAsiaTheme="minorEastAsia" w:cstheme="minorEastAsia"/>
          <w:sz w:val="24"/>
        </w:rPr>
        <w:t>。</w:t>
      </w:r>
    </w:p>
    <w:p>
      <w:pPr>
        <w:spacing w:line="360" w:lineRule="auto"/>
        <w:rPr>
          <w:rFonts w:asciiTheme="minorEastAsia" w:hAnsiTheme="minorEastAsia" w:eastAsiaTheme="minorEastAsia" w:cstheme="minorEastAsia"/>
          <w:sz w:val="24"/>
        </w:rPr>
      </w:pPr>
    </w:p>
    <w:p>
      <w:pPr>
        <w:pStyle w:val="22"/>
        <w:spacing w:before="0" w:line="360" w:lineRule="auto"/>
        <w:jc w:val="center"/>
        <w:outlineLvl w:val="3"/>
        <w:rPr>
          <w:rFonts w:asciiTheme="minorEastAsia" w:hAnsiTheme="minorEastAsia" w:eastAsiaTheme="minorEastAsia" w:cstheme="minorEastAsia"/>
          <w:b/>
          <w:szCs w:val="24"/>
        </w:rPr>
      </w:pPr>
      <w:bookmarkStart w:id="200" w:name="_Toc358276064"/>
      <w:bookmarkStart w:id="201" w:name="_Toc358275297"/>
      <w:bookmarkStart w:id="202" w:name="_Toc358274769"/>
      <w:r>
        <w:rPr>
          <w:rFonts w:hint="eastAsia" w:asciiTheme="minorEastAsia" w:hAnsiTheme="minorEastAsia" w:eastAsiaTheme="minorEastAsia" w:cstheme="minorEastAsia"/>
          <w:kern w:val="0"/>
          <w:sz w:val="24"/>
        </w:rPr>
        <w:br w:type="page"/>
      </w:r>
      <w:bookmarkStart w:id="203" w:name="_Toc392081421"/>
      <w:bookmarkStart w:id="204" w:name="_Toc426467421"/>
      <w:bookmarkStart w:id="205" w:name="_Toc387851737"/>
      <w:r>
        <w:rPr>
          <w:rFonts w:hint="eastAsia" w:asciiTheme="minorEastAsia" w:hAnsiTheme="minorEastAsia" w:eastAsiaTheme="minorEastAsia" w:cstheme="minorEastAsia"/>
          <w:b/>
          <w:sz w:val="30"/>
          <w:szCs w:val="30"/>
        </w:rPr>
        <w:t>十、正在施工的和新承接的项目情况</w:t>
      </w:r>
      <w:bookmarkEnd w:id="200"/>
      <w:bookmarkEnd w:id="201"/>
      <w:bookmarkEnd w:id="202"/>
      <w:bookmarkEnd w:id="203"/>
      <w:bookmarkEnd w:id="204"/>
      <w:bookmarkEnd w:id="205"/>
    </w:p>
    <w:tbl>
      <w:tblPr>
        <w:tblStyle w:val="16"/>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项目所在地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发包人地址</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签约合同价</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计划竣工日期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承担的工作</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总监理工程师及电话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项目描述</w:t>
            </w:r>
          </w:p>
        </w:tc>
        <w:tc>
          <w:tcPr>
            <w:tcW w:w="6675" w:type="dxa"/>
            <w:vAlign w:val="center"/>
          </w:tcPr>
          <w:p>
            <w:pPr>
              <w:autoSpaceDE w:val="0"/>
              <w:autoSpaceDN w:val="0"/>
              <w:adjustRightInd w:val="0"/>
              <w:spacing w:line="360" w:lineRule="auto"/>
              <w:ind w:right="215"/>
              <w:rPr>
                <w:rFonts w:asciiTheme="minorEastAsia" w:hAnsiTheme="minorEastAsia" w:eastAsiaTheme="minorEastAsia" w:cstheme="minorEastAsia"/>
                <w:sz w:val="24"/>
                <w:szCs w:val="24"/>
              </w:rPr>
            </w:pPr>
          </w:p>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p>
            <w:pPr>
              <w:autoSpaceDE w:val="0"/>
              <w:autoSpaceDN w:val="0"/>
              <w:adjustRightInd w:val="0"/>
              <w:spacing w:line="360" w:lineRule="auto"/>
              <w:ind w:right="215"/>
              <w:rPr>
                <w:rFonts w:asciiTheme="minorEastAsia" w:hAnsiTheme="minorEastAsia" w:eastAsiaTheme="minorEastAsia" w:cstheme="minorEastAsia"/>
                <w:sz w:val="24"/>
                <w:szCs w:val="24"/>
              </w:rPr>
            </w:pPr>
          </w:p>
        </w:tc>
      </w:tr>
    </w:tbl>
    <w:p>
      <w:pPr>
        <w:topLinePunct/>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注：本表后须附相应的合同协议书</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中标合同</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val="en-US" w:eastAsia="zh-CN"/>
        </w:rPr>
        <w:t>扫描件或</w:t>
      </w:r>
      <w:r>
        <w:rPr>
          <w:rFonts w:hint="eastAsia" w:asciiTheme="minorEastAsia" w:hAnsiTheme="minorEastAsia" w:eastAsiaTheme="minorEastAsia" w:cstheme="minorEastAsia"/>
          <w:sz w:val="24"/>
        </w:rPr>
        <w:t>复印件。</w:t>
      </w:r>
    </w:p>
    <w:p>
      <w:pPr>
        <w:topLinePunct/>
        <w:spacing w:line="360" w:lineRule="auto"/>
        <w:jc w:val="center"/>
        <w:rPr>
          <w:rFonts w:asciiTheme="minorEastAsia" w:hAnsiTheme="minorEastAsia" w:eastAsiaTheme="minorEastAsia" w:cstheme="minorEastAsia"/>
          <w:sz w:val="24"/>
          <w:szCs w:val="24"/>
        </w:rPr>
      </w:pPr>
    </w:p>
    <w:p>
      <w:pPr>
        <w:pStyle w:val="22"/>
        <w:spacing w:before="0" w:line="360" w:lineRule="auto"/>
        <w:jc w:val="center"/>
        <w:outlineLvl w:val="3"/>
        <w:rPr>
          <w:rFonts w:asciiTheme="minorEastAsia" w:hAnsiTheme="minorEastAsia" w:eastAsiaTheme="minorEastAsia" w:cstheme="minorEastAsia"/>
          <w:b/>
          <w:sz w:val="30"/>
          <w:szCs w:val="30"/>
        </w:rPr>
      </w:pPr>
      <w:bookmarkStart w:id="206" w:name="_Toc358276065"/>
      <w:bookmarkStart w:id="207" w:name="_Toc358274770"/>
      <w:bookmarkStart w:id="208" w:name="_Toc358275298"/>
      <w:r>
        <w:rPr>
          <w:rFonts w:hint="eastAsia" w:asciiTheme="minorEastAsia" w:hAnsiTheme="minorEastAsia" w:eastAsiaTheme="minorEastAsia" w:cstheme="minorEastAsia"/>
          <w:b/>
          <w:sz w:val="30"/>
          <w:szCs w:val="30"/>
        </w:rPr>
        <w:br w:type="page"/>
      </w:r>
      <w:bookmarkStart w:id="209" w:name="_Toc426467422"/>
      <w:bookmarkStart w:id="210" w:name="_Toc387851738"/>
      <w:bookmarkStart w:id="211" w:name="_Toc392081422"/>
      <w:r>
        <w:rPr>
          <w:rFonts w:hint="eastAsia" w:asciiTheme="minorEastAsia" w:hAnsiTheme="minorEastAsia" w:eastAsiaTheme="minorEastAsia" w:cstheme="minorEastAsia"/>
          <w:b/>
          <w:sz w:val="30"/>
          <w:szCs w:val="30"/>
        </w:rPr>
        <w:t>十一、近年发生的诉讼及仲裁情况</w:t>
      </w:r>
      <w:bookmarkEnd w:id="206"/>
      <w:bookmarkEnd w:id="207"/>
      <w:bookmarkEnd w:id="208"/>
      <w:bookmarkEnd w:id="209"/>
      <w:bookmarkEnd w:id="210"/>
      <w:bookmarkEnd w:id="211"/>
    </w:p>
    <w:p>
      <w:pPr>
        <w:topLinePunct/>
        <w:spacing w:line="360" w:lineRule="auto"/>
        <w:ind w:left="991" w:hanging="991" w:hangingChars="413"/>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说明：1.具体年份要求见投标人须知前附表。</w:t>
      </w:r>
    </w:p>
    <w:p>
      <w:pPr>
        <w:numPr>
          <w:ilvl w:val="0"/>
          <w:numId w:val="5"/>
        </w:numPr>
        <w:topLinePunct/>
        <w:spacing w:line="360" w:lineRule="auto"/>
        <w:ind w:firstLine="720" w:firstLineChars="3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若投标人近年无诉讼及仲裁情况，此部分内容写“无”即可。</w:t>
      </w: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pStyle w:val="22"/>
        <w:spacing w:before="0" w:line="360" w:lineRule="auto"/>
        <w:jc w:val="center"/>
        <w:outlineLvl w:val="3"/>
        <w:rPr>
          <w:rFonts w:asciiTheme="minorEastAsia" w:hAnsiTheme="minorEastAsia" w:eastAsiaTheme="minorEastAsia" w:cstheme="minorEastAsia"/>
          <w:b/>
          <w:sz w:val="30"/>
          <w:szCs w:val="30"/>
        </w:rPr>
      </w:pPr>
      <w:bookmarkStart w:id="212" w:name="_Toc392081423"/>
      <w:bookmarkStart w:id="213" w:name="_Toc426467423"/>
      <w:bookmarkStart w:id="214" w:name="_Toc387851739"/>
      <w:r>
        <w:rPr>
          <w:rFonts w:hint="eastAsia" w:asciiTheme="minorEastAsia" w:hAnsiTheme="minorEastAsia" w:eastAsiaTheme="minorEastAsia" w:cstheme="minorEastAsia"/>
          <w:b/>
          <w:sz w:val="30"/>
          <w:szCs w:val="30"/>
        </w:rPr>
        <w:t>十二、承诺书</w:t>
      </w:r>
      <w:bookmarkEnd w:id="212"/>
      <w:bookmarkEnd w:id="213"/>
      <w:bookmarkEnd w:id="214"/>
    </w:p>
    <w:p>
      <w:pPr>
        <w:rPr>
          <w:rFonts w:hAnsi="宋体" w:cs="宋体"/>
          <w:sz w:val="24"/>
          <w:szCs w:val="15"/>
        </w:rPr>
      </w:pPr>
      <w:r>
        <w:rPr>
          <w:rFonts w:hint="eastAsia" w:hAnsi="宋体" w:cs="宋体"/>
          <w:sz w:val="24"/>
          <w:szCs w:val="15"/>
        </w:rPr>
        <w:t>附件：</w:t>
      </w:r>
    </w:p>
    <w:p>
      <w:pPr>
        <w:jc w:val="center"/>
        <w:rPr>
          <w:rFonts w:hAnsi="宋体" w:cs="宋体"/>
          <w:b/>
          <w:sz w:val="21"/>
          <w:szCs w:val="21"/>
        </w:rPr>
      </w:pPr>
      <w:r>
        <w:rPr>
          <w:rFonts w:hint="eastAsia" w:hAnsi="宋体" w:cs="宋体"/>
          <w:b/>
          <w:sz w:val="21"/>
          <w:szCs w:val="21"/>
        </w:rPr>
        <w:t>承诺书</w:t>
      </w:r>
    </w:p>
    <w:p>
      <w:pPr>
        <w:spacing w:line="440" w:lineRule="exact"/>
        <w:rPr>
          <w:rFonts w:hAnsi="宋体" w:cs="宋体"/>
          <w:b/>
          <w:sz w:val="24"/>
          <w:szCs w:val="16"/>
        </w:rPr>
      </w:pPr>
    </w:p>
    <w:p>
      <w:pPr>
        <w:spacing w:line="440" w:lineRule="exact"/>
        <w:jc w:val="left"/>
        <w:rPr>
          <w:rFonts w:hAnsi="宋体" w:cs="宋体"/>
          <w:sz w:val="24"/>
          <w:szCs w:val="16"/>
        </w:rPr>
      </w:pPr>
      <w:r>
        <w:rPr>
          <w:rFonts w:hint="eastAsia" w:hAnsi="宋体" w:cs="宋体"/>
          <w:sz w:val="24"/>
          <w:szCs w:val="16"/>
        </w:rPr>
        <w:t>（招标人名称）：</w:t>
      </w:r>
    </w:p>
    <w:p>
      <w:pPr>
        <w:spacing w:line="440" w:lineRule="exact"/>
        <w:ind w:firstLine="480" w:firstLineChars="200"/>
        <w:rPr>
          <w:rFonts w:hAnsi="宋体" w:cs="宋体"/>
          <w:sz w:val="24"/>
          <w:szCs w:val="16"/>
        </w:rPr>
      </w:pPr>
      <w:r>
        <w:rPr>
          <w:rFonts w:hint="eastAsia" w:hAnsi="宋体" w:cs="宋体"/>
          <w:sz w:val="24"/>
          <w:szCs w:val="16"/>
        </w:rPr>
        <w:t>（1）鉴于我方参与（项目名称）施工的投标，特承诺：如果我单位中标，保证交纳农民工工资保障金，同时在工程实施中不拖欠农民工工资，保证按时发放。</w:t>
      </w:r>
    </w:p>
    <w:p>
      <w:pPr>
        <w:spacing w:line="440" w:lineRule="exact"/>
        <w:ind w:firstLine="480" w:firstLineChars="200"/>
        <w:rPr>
          <w:rFonts w:hAnsi="宋体" w:cs="宋体"/>
          <w:sz w:val="24"/>
          <w:szCs w:val="16"/>
        </w:rPr>
      </w:pPr>
      <w:r>
        <w:rPr>
          <w:rFonts w:hint="eastAsia" w:hAnsi="宋体" w:cs="宋体"/>
          <w:sz w:val="24"/>
          <w:szCs w:val="16"/>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sz w:val="24"/>
          <w:szCs w:val="16"/>
        </w:rPr>
        <w:t>标人安排，并配合履行相关手续、承担相应的法律责任</w:t>
      </w:r>
      <w:r>
        <w:rPr>
          <w:rFonts w:hint="eastAsia" w:hAnsi="宋体" w:cs="宋体"/>
          <w:sz w:val="24"/>
          <w:szCs w:val="16"/>
        </w:rPr>
        <w:t>和损失。</w:t>
      </w:r>
    </w:p>
    <w:p>
      <w:pPr>
        <w:spacing w:line="440" w:lineRule="exact"/>
        <w:ind w:firstLine="480" w:firstLineChars="200"/>
        <w:rPr>
          <w:rFonts w:hAnsi="宋体" w:cs="宋体"/>
          <w:sz w:val="24"/>
          <w:szCs w:val="16"/>
          <w:lang w:val="zh-TW"/>
        </w:rPr>
      </w:pPr>
      <w:r>
        <w:rPr>
          <w:rFonts w:hint="eastAsia" w:hAnsi="宋体" w:cs="宋体"/>
          <w:sz w:val="24"/>
          <w:szCs w:val="16"/>
        </w:rPr>
        <w:t>（3）我方承诺：</w:t>
      </w:r>
      <w:r>
        <w:rPr>
          <w:rFonts w:hint="eastAsia" w:hAnsi="宋体" w:cs="宋体"/>
          <w:sz w:val="24"/>
          <w:szCs w:val="16"/>
          <w:lang w:val="zh-TW"/>
        </w:rPr>
        <w:t>没有处于被责令停业，投标资格被取消，财产被接管、冻结、破产状态；在最近三年内没有骗取中标和严重违约及重大工程质量问题。</w:t>
      </w:r>
    </w:p>
    <w:p>
      <w:pPr>
        <w:spacing w:line="440" w:lineRule="exact"/>
        <w:ind w:firstLine="480" w:firstLineChars="200"/>
        <w:rPr>
          <w:rFonts w:hAnsi="宋体" w:cs="宋体"/>
          <w:sz w:val="24"/>
          <w:szCs w:val="16"/>
          <w:lang w:val="zh-TW"/>
        </w:rPr>
      </w:pPr>
      <w:r>
        <w:rPr>
          <w:rFonts w:hint="eastAsia" w:hAnsi="宋体" w:cs="宋体"/>
          <w:sz w:val="24"/>
          <w:szCs w:val="16"/>
          <w:lang w:val="zh-TW"/>
        </w:rPr>
        <w:t>（</w:t>
      </w:r>
      <w:r>
        <w:rPr>
          <w:rFonts w:hint="eastAsia" w:hAnsi="宋体" w:cs="宋体"/>
          <w:sz w:val="24"/>
          <w:szCs w:val="16"/>
        </w:rPr>
        <w:t>4）我方承诺：</w:t>
      </w:r>
      <w:r>
        <w:rPr>
          <w:rFonts w:hint="eastAsia" w:hAnsi="宋体" w:cs="宋体"/>
          <w:sz w:val="24"/>
          <w:szCs w:val="16"/>
          <w:lang w:val="zh-TW"/>
        </w:rPr>
        <w:t>我方与本项目的其他投标人无控股或管理关系，我方单位负责人与其他投标人的单位负责人不为同一人。</w:t>
      </w:r>
    </w:p>
    <w:p>
      <w:pPr>
        <w:spacing w:line="440" w:lineRule="exact"/>
        <w:ind w:firstLine="480" w:firstLineChars="200"/>
        <w:rPr>
          <w:rFonts w:hAnsi="宋体" w:cs="宋体"/>
          <w:sz w:val="24"/>
          <w:szCs w:val="16"/>
          <w:highlight w:val="yellow"/>
          <w:lang w:val="zh-TW"/>
        </w:rPr>
      </w:pPr>
      <w:r>
        <w:rPr>
          <w:rFonts w:hint="eastAsia" w:hAnsi="宋体" w:cs="宋体"/>
          <w:sz w:val="24"/>
          <w:szCs w:val="16"/>
          <w:lang w:val="zh-TW"/>
        </w:rPr>
        <w:t>（</w:t>
      </w:r>
      <w:r>
        <w:rPr>
          <w:rFonts w:hint="eastAsia" w:hAnsi="宋体" w:cs="宋体"/>
          <w:sz w:val="24"/>
          <w:szCs w:val="16"/>
        </w:rPr>
        <w:t>5）我方承诺：我方在经营活动中无工程建设生产安全事故、质量事故、合同争议纠纷引起的诉讼、仲裁（或虽有但无败诉的相关证明材料）违法行为记录及有关行政处罚，且未发生拖欠农民工工资的情形等。</w:t>
      </w:r>
    </w:p>
    <w:p>
      <w:pPr>
        <w:spacing w:line="440" w:lineRule="exact"/>
        <w:rPr>
          <w:sz w:val="24"/>
          <w:szCs w:val="16"/>
        </w:rPr>
      </w:pPr>
    </w:p>
    <w:p>
      <w:pPr>
        <w:pStyle w:val="3"/>
        <w:spacing w:after="0" w:line="440" w:lineRule="exact"/>
        <w:ind w:left="63" w:right="63"/>
        <w:rPr>
          <w:sz w:val="24"/>
          <w:szCs w:val="16"/>
        </w:rPr>
      </w:pPr>
    </w:p>
    <w:p>
      <w:pPr>
        <w:spacing w:line="440" w:lineRule="exact"/>
        <w:ind w:firstLine="480" w:firstLineChars="200"/>
        <w:rPr>
          <w:rFonts w:hAnsi="宋体" w:cs="宋体"/>
          <w:sz w:val="24"/>
          <w:szCs w:val="16"/>
        </w:rPr>
      </w:pPr>
      <w:r>
        <w:rPr>
          <w:rFonts w:hint="eastAsia" w:hAnsi="宋体" w:cs="宋体"/>
          <w:sz w:val="24"/>
          <w:szCs w:val="16"/>
        </w:rPr>
        <w:t>特此承诺</w:t>
      </w:r>
    </w:p>
    <w:p>
      <w:pPr>
        <w:spacing w:line="440" w:lineRule="exact"/>
        <w:rPr>
          <w:rFonts w:hAnsi="宋体" w:cs="宋体"/>
          <w:sz w:val="24"/>
          <w:szCs w:val="16"/>
        </w:rPr>
      </w:pPr>
    </w:p>
    <w:p>
      <w:pPr>
        <w:spacing w:line="440" w:lineRule="exact"/>
        <w:rPr>
          <w:rFonts w:hAnsi="宋体" w:cs="宋体"/>
          <w:sz w:val="24"/>
          <w:szCs w:val="16"/>
        </w:rPr>
      </w:pPr>
    </w:p>
    <w:p>
      <w:pPr>
        <w:spacing w:line="440" w:lineRule="exact"/>
        <w:rPr>
          <w:rFonts w:hAnsi="宋体" w:cs="宋体"/>
          <w:sz w:val="24"/>
          <w:szCs w:val="16"/>
        </w:rPr>
      </w:pPr>
    </w:p>
    <w:p>
      <w:pPr>
        <w:spacing w:line="440" w:lineRule="exact"/>
        <w:rPr>
          <w:rFonts w:hAnsi="宋体" w:cs="宋体"/>
          <w:sz w:val="24"/>
          <w:szCs w:val="16"/>
        </w:rPr>
      </w:pPr>
    </w:p>
    <w:p>
      <w:pPr>
        <w:spacing w:line="440" w:lineRule="exact"/>
        <w:rPr>
          <w:rFonts w:hAnsi="宋体" w:cs="宋体"/>
          <w:sz w:val="24"/>
          <w:szCs w:val="16"/>
        </w:rPr>
      </w:pPr>
    </w:p>
    <w:p>
      <w:pPr>
        <w:autoSpaceDE w:val="0"/>
        <w:autoSpaceDN w:val="0"/>
        <w:adjustRightInd w:val="0"/>
        <w:spacing w:line="440" w:lineRule="exact"/>
        <w:ind w:firstLine="2400" w:firstLineChars="1000"/>
        <w:jc w:val="right"/>
        <w:rPr>
          <w:rFonts w:hAnsi="宋体" w:cs="宋体"/>
          <w:sz w:val="24"/>
          <w:szCs w:val="16"/>
        </w:rPr>
      </w:pPr>
      <w:r>
        <w:rPr>
          <w:rFonts w:hint="eastAsia" w:hAnsi="宋体" w:cs="宋体"/>
          <w:sz w:val="24"/>
          <w:szCs w:val="16"/>
        </w:rPr>
        <w:t>投 标 人：（盖单位公章）</w:t>
      </w:r>
    </w:p>
    <w:p>
      <w:pPr>
        <w:autoSpaceDE w:val="0"/>
        <w:autoSpaceDN w:val="0"/>
        <w:adjustRightInd w:val="0"/>
        <w:spacing w:line="440" w:lineRule="exact"/>
        <w:ind w:firstLine="2400" w:firstLineChars="1000"/>
        <w:jc w:val="right"/>
        <w:rPr>
          <w:rFonts w:hAnsi="宋体" w:cs="宋体"/>
          <w:sz w:val="24"/>
          <w:szCs w:val="16"/>
        </w:rPr>
      </w:pPr>
      <w:r>
        <w:rPr>
          <w:rFonts w:hint="eastAsia" w:hAnsi="宋体" w:cs="宋体"/>
          <w:sz w:val="24"/>
          <w:szCs w:val="16"/>
        </w:rPr>
        <w:t>法定代表人或其委托代理人：（签字）</w:t>
      </w:r>
    </w:p>
    <w:p>
      <w:pPr>
        <w:autoSpaceDE w:val="0"/>
        <w:autoSpaceDN w:val="0"/>
        <w:adjustRightInd w:val="0"/>
        <w:spacing w:line="440" w:lineRule="exact"/>
        <w:ind w:firstLine="4320" w:firstLineChars="1800"/>
        <w:jc w:val="right"/>
        <w:rPr>
          <w:rFonts w:hAnsi="宋体" w:cs="宋体"/>
          <w:sz w:val="24"/>
          <w:szCs w:val="16"/>
        </w:rPr>
      </w:pPr>
    </w:p>
    <w:p>
      <w:pPr>
        <w:autoSpaceDE w:val="0"/>
        <w:autoSpaceDN w:val="0"/>
        <w:adjustRightInd w:val="0"/>
        <w:spacing w:line="440" w:lineRule="exact"/>
        <w:ind w:firstLine="4680" w:firstLineChars="1950"/>
        <w:jc w:val="right"/>
        <w:rPr>
          <w:rFonts w:hAnsi="宋体" w:cs="宋体"/>
          <w:sz w:val="24"/>
          <w:szCs w:val="16"/>
        </w:rPr>
      </w:pPr>
      <w:r>
        <w:rPr>
          <w:rFonts w:hint="eastAsia" w:hAnsi="宋体" w:cs="宋体"/>
          <w:sz w:val="24"/>
          <w:szCs w:val="16"/>
        </w:rPr>
        <w:t>年    月    日</w:t>
      </w:r>
    </w:p>
    <w:p>
      <w:pPr>
        <w:spacing w:line="360" w:lineRule="auto"/>
        <w:rPr>
          <w:rFonts w:asciiTheme="minorEastAsia" w:hAnsiTheme="minorEastAsia" w:eastAsiaTheme="minorEastAsia" w:cstheme="minorEastAsia"/>
          <w:sz w:val="20"/>
        </w:rPr>
      </w:pPr>
    </w:p>
    <w:p>
      <w:pPr>
        <w:spacing w:line="360" w:lineRule="auto"/>
        <w:rPr>
          <w:rFonts w:asciiTheme="minorEastAsia" w:hAnsiTheme="minorEastAsia" w:eastAsiaTheme="minorEastAsia" w:cstheme="minorEastAsia"/>
          <w:sz w:val="20"/>
        </w:rPr>
      </w:pPr>
    </w:p>
    <w:p>
      <w:pPr>
        <w:widowControl/>
        <w:jc w:val="center"/>
        <w:rPr>
          <w:rFonts w:asciiTheme="minorEastAsia" w:hAnsiTheme="minorEastAsia" w:eastAsiaTheme="minorEastAsia" w:cstheme="minorEastAsia"/>
          <w:b/>
          <w:sz w:val="30"/>
          <w:szCs w:val="30"/>
        </w:rPr>
      </w:pPr>
      <w:bookmarkStart w:id="215" w:name="_Toc426467424"/>
      <w:bookmarkStart w:id="216" w:name="_Toc392081424"/>
      <w:bookmarkStart w:id="217" w:name="_Toc387851740"/>
      <w:r>
        <w:rPr>
          <w:rFonts w:hint="eastAsia" w:asciiTheme="minorEastAsia" w:hAnsiTheme="minorEastAsia" w:eastAsiaTheme="minorEastAsia" w:cstheme="minorEastAsia"/>
          <w:b/>
          <w:sz w:val="30"/>
          <w:szCs w:val="30"/>
        </w:rPr>
        <w:t>十三、其他材料</w:t>
      </w:r>
      <w:bookmarkEnd w:id="215"/>
      <w:bookmarkEnd w:id="216"/>
      <w:bookmarkEnd w:id="217"/>
    </w:p>
    <w:p>
      <w:pPr>
        <w:topLinePunct/>
        <w:spacing w:line="360" w:lineRule="auto"/>
        <w:jc w:val="left"/>
        <w:rPr>
          <w:rFonts w:asciiTheme="minorEastAsia" w:hAnsiTheme="minorEastAsia" w:eastAsiaTheme="minorEastAsia" w:cstheme="minorEastAsia"/>
          <w:b/>
          <w:sz w:val="24"/>
          <w:szCs w:val="24"/>
        </w:rPr>
      </w:pPr>
    </w:p>
    <w:p>
      <w:pPr>
        <w:topLinePunct/>
        <w:spacing w:line="360" w:lineRule="auto"/>
        <w:jc w:val="left"/>
        <w:rPr>
          <w:rFonts w:asciiTheme="minorEastAsia" w:hAnsiTheme="minorEastAsia" w:eastAsiaTheme="minorEastAsia" w:cstheme="minorEastAsia"/>
          <w:b/>
          <w:sz w:val="24"/>
          <w:szCs w:val="24"/>
        </w:rPr>
      </w:pPr>
    </w:p>
    <w:p>
      <w:pPr>
        <w:topLinePunct/>
        <w:spacing w:line="360" w:lineRule="auto"/>
        <w:jc w:val="left"/>
        <w:rPr>
          <w:rFonts w:asciiTheme="minorEastAsia" w:hAnsiTheme="minorEastAsia" w:eastAsiaTheme="minorEastAsia" w:cstheme="minorEastAsia"/>
          <w:b/>
          <w:sz w:val="24"/>
          <w:szCs w:val="24"/>
        </w:rPr>
      </w:pPr>
    </w:p>
    <w:p>
      <w:pPr>
        <w:topLinePunct/>
        <w:spacing w:line="360" w:lineRule="auto"/>
        <w:jc w:val="left"/>
        <w:rPr>
          <w:rFonts w:asciiTheme="minorEastAsia" w:hAnsiTheme="minorEastAsia" w:eastAsiaTheme="minorEastAsia" w:cstheme="minorEastAsia"/>
          <w:b/>
          <w:sz w:val="24"/>
          <w:szCs w:val="24"/>
        </w:rPr>
      </w:pPr>
    </w:p>
    <w:p>
      <w:pPr>
        <w:topLinePunct/>
        <w:spacing w:line="360" w:lineRule="auto"/>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sz w:val="28"/>
          <w:szCs w:val="16"/>
        </w:rPr>
      </w:pPr>
    </w:p>
    <w:sectPr>
      <w:footerReference r:id="rId9" w:type="first"/>
      <w:footerReference r:id="rId8" w:type="default"/>
      <w:pgSz w:w="11906" w:h="16838"/>
      <w:pgMar w:top="1440" w:right="1083" w:bottom="1440" w:left="1083"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eastAsia="仿宋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rPr>
        <w:rFonts w:asciiTheme="minorEastAsia" w:hAnsiTheme="minorEastAsia" w:eastAsiaTheme="minorEastAsia" w:cstheme="minorEastAsia"/>
        <w:b/>
        <w:bCs/>
        <w:i/>
        <w:iCs/>
      </w:rPr>
    </w:pPr>
    <w:r>
      <w:rPr>
        <w:rFonts w:hint="eastAsia" w:ascii="仿宋" w:hAnsi="仿宋" w:eastAsia="仿宋" w:cs="仿宋"/>
        <w:b/>
        <w:bCs/>
        <w:i/>
        <w:iCs/>
      </w:rPr>
      <w:t xml:space="preserve">                                                                                              </w:t>
    </w:r>
    <w:r>
      <w:rPr>
        <w:rFonts w:hint="eastAsia" w:asciiTheme="minorEastAsia" w:hAnsiTheme="minorEastAsia" w:eastAsiaTheme="minorEastAsia" w:cstheme="minorEastAsia"/>
        <w:b/>
        <w:bCs/>
        <w:i/>
        <w:iCs/>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r>
      <w:rPr>
        <w:rFonts w:hint="eastAsia" w:ascii="仿宋" w:hAnsi="仿宋" w:eastAsia="仿宋" w:cs="仿宋"/>
        <w:b/>
        <w:bCs/>
        <w:i/>
        <w:iCs/>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6B191"/>
    <w:multiLevelType w:val="singleLevel"/>
    <w:tmpl w:val="8966B191"/>
    <w:lvl w:ilvl="0" w:tentative="0">
      <w:start w:val="4"/>
      <w:numFmt w:val="chineseCounting"/>
      <w:suff w:val="nothing"/>
      <w:lvlText w:val="%1、"/>
      <w:lvlJc w:val="left"/>
      <w:rPr>
        <w:rFonts w:hint="eastAsia"/>
      </w:rPr>
    </w:lvl>
  </w:abstractNum>
  <w:abstractNum w:abstractNumId="1">
    <w:nsid w:val="4A7B4250"/>
    <w:multiLevelType w:val="singleLevel"/>
    <w:tmpl w:val="4A7B4250"/>
    <w:lvl w:ilvl="0" w:tentative="0">
      <w:start w:val="1"/>
      <w:numFmt w:val="decimal"/>
      <w:suff w:val="nothing"/>
      <w:lvlText w:val="%1、"/>
      <w:lvlJc w:val="left"/>
    </w:lvl>
  </w:abstractNum>
  <w:abstractNum w:abstractNumId="2">
    <w:nsid w:val="560933F4"/>
    <w:multiLevelType w:val="singleLevel"/>
    <w:tmpl w:val="560933F4"/>
    <w:lvl w:ilvl="0" w:tentative="0">
      <w:start w:val="2"/>
      <w:numFmt w:val="decimal"/>
      <w:suff w:val="nothing"/>
      <w:lvlText w:val="%1."/>
      <w:lvlJc w:val="left"/>
    </w:lvl>
  </w:abstractNum>
  <w:abstractNum w:abstractNumId="3">
    <w:nsid w:val="59FE9A29"/>
    <w:multiLevelType w:val="singleLevel"/>
    <w:tmpl w:val="59FE9A29"/>
    <w:lvl w:ilvl="0" w:tentative="0">
      <w:start w:val="1"/>
      <w:numFmt w:val="decimal"/>
      <w:suff w:val="nothing"/>
      <w:lvlText w:val="%1、"/>
      <w:lvlJc w:val="left"/>
    </w:lvl>
  </w:abstractNum>
  <w:abstractNum w:abstractNumId="4">
    <w:nsid w:val="606B3A40"/>
    <w:multiLevelType w:val="multilevel"/>
    <w:tmpl w:val="606B3A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F0469"/>
    <w:rsid w:val="001B2EC6"/>
    <w:rsid w:val="00200849"/>
    <w:rsid w:val="00282FC6"/>
    <w:rsid w:val="00496712"/>
    <w:rsid w:val="006833D7"/>
    <w:rsid w:val="006C40C7"/>
    <w:rsid w:val="0094650C"/>
    <w:rsid w:val="00F41342"/>
    <w:rsid w:val="0385019E"/>
    <w:rsid w:val="044E4428"/>
    <w:rsid w:val="05642834"/>
    <w:rsid w:val="06E00FC4"/>
    <w:rsid w:val="06FE630C"/>
    <w:rsid w:val="071E6B6C"/>
    <w:rsid w:val="0A006FCA"/>
    <w:rsid w:val="0BAB2D12"/>
    <w:rsid w:val="0D676DCF"/>
    <w:rsid w:val="0D6E5BAA"/>
    <w:rsid w:val="0D797201"/>
    <w:rsid w:val="0E0853FD"/>
    <w:rsid w:val="0E87243E"/>
    <w:rsid w:val="10B31F0D"/>
    <w:rsid w:val="10E35DAF"/>
    <w:rsid w:val="11FB1188"/>
    <w:rsid w:val="124A109A"/>
    <w:rsid w:val="137E5D82"/>
    <w:rsid w:val="13C930E2"/>
    <w:rsid w:val="14CB3004"/>
    <w:rsid w:val="14F96E70"/>
    <w:rsid w:val="17A82B5D"/>
    <w:rsid w:val="189026E3"/>
    <w:rsid w:val="1A047C3C"/>
    <w:rsid w:val="1AC73196"/>
    <w:rsid w:val="1B016245"/>
    <w:rsid w:val="1B3D2C25"/>
    <w:rsid w:val="1CF63EEE"/>
    <w:rsid w:val="1DE44519"/>
    <w:rsid w:val="1F374B6A"/>
    <w:rsid w:val="20371E92"/>
    <w:rsid w:val="21A826C7"/>
    <w:rsid w:val="21A87352"/>
    <w:rsid w:val="233950C0"/>
    <w:rsid w:val="237E0335"/>
    <w:rsid w:val="24372F0C"/>
    <w:rsid w:val="24E34032"/>
    <w:rsid w:val="25206063"/>
    <w:rsid w:val="25AE2DAF"/>
    <w:rsid w:val="266A4C3E"/>
    <w:rsid w:val="26EE181B"/>
    <w:rsid w:val="27205C5F"/>
    <w:rsid w:val="2839111A"/>
    <w:rsid w:val="28414645"/>
    <w:rsid w:val="2A4D7A40"/>
    <w:rsid w:val="2B14737A"/>
    <w:rsid w:val="2BE058FB"/>
    <w:rsid w:val="2C3C194E"/>
    <w:rsid w:val="2F8F0469"/>
    <w:rsid w:val="30950051"/>
    <w:rsid w:val="30B429DB"/>
    <w:rsid w:val="312915BD"/>
    <w:rsid w:val="3162737C"/>
    <w:rsid w:val="31FE19D0"/>
    <w:rsid w:val="32291439"/>
    <w:rsid w:val="327B3FE6"/>
    <w:rsid w:val="327E7491"/>
    <w:rsid w:val="32B67A9F"/>
    <w:rsid w:val="331C25E2"/>
    <w:rsid w:val="33E53A58"/>
    <w:rsid w:val="34735C15"/>
    <w:rsid w:val="34912CF5"/>
    <w:rsid w:val="3572112F"/>
    <w:rsid w:val="36003795"/>
    <w:rsid w:val="364545AE"/>
    <w:rsid w:val="38FD64BB"/>
    <w:rsid w:val="3A016128"/>
    <w:rsid w:val="3A4A5D65"/>
    <w:rsid w:val="3A536B2B"/>
    <w:rsid w:val="3A94662B"/>
    <w:rsid w:val="3ACA12A1"/>
    <w:rsid w:val="3B58332C"/>
    <w:rsid w:val="3D9F50A4"/>
    <w:rsid w:val="3DE13BBE"/>
    <w:rsid w:val="3E9C4868"/>
    <w:rsid w:val="3F1C1E61"/>
    <w:rsid w:val="3F947F1C"/>
    <w:rsid w:val="3FFA6DE0"/>
    <w:rsid w:val="40936485"/>
    <w:rsid w:val="40AF1832"/>
    <w:rsid w:val="42825515"/>
    <w:rsid w:val="43E62AAA"/>
    <w:rsid w:val="44134851"/>
    <w:rsid w:val="453C2F97"/>
    <w:rsid w:val="461B32DB"/>
    <w:rsid w:val="47D75370"/>
    <w:rsid w:val="48324EA8"/>
    <w:rsid w:val="496A01C8"/>
    <w:rsid w:val="49BA7EBC"/>
    <w:rsid w:val="4A0D1747"/>
    <w:rsid w:val="4ADF4024"/>
    <w:rsid w:val="4BEE1C0F"/>
    <w:rsid w:val="4C6E47E0"/>
    <w:rsid w:val="4D24210B"/>
    <w:rsid w:val="4D7B5D11"/>
    <w:rsid w:val="4E406F38"/>
    <w:rsid w:val="4E5079CD"/>
    <w:rsid w:val="4E827D64"/>
    <w:rsid w:val="4EE03262"/>
    <w:rsid w:val="4F0B50D8"/>
    <w:rsid w:val="4FBD6772"/>
    <w:rsid w:val="514752C5"/>
    <w:rsid w:val="516E0EA1"/>
    <w:rsid w:val="51740445"/>
    <w:rsid w:val="51B252E3"/>
    <w:rsid w:val="5265320B"/>
    <w:rsid w:val="53091B4D"/>
    <w:rsid w:val="54763EC3"/>
    <w:rsid w:val="561B3152"/>
    <w:rsid w:val="56431769"/>
    <w:rsid w:val="56F7389B"/>
    <w:rsid w:val="586179E9"/>
    <w:rsid w:val="58C811AB"/>
    <w:rsid w:val="5A2606D1"/>
    <w:rsid w:val="5A501726"/>
    <w:rsid w:val="5B9C5D7D"/>
    <w:rsid w:val="5E9D0C89"/>
    <w:rsid w:val="5EFD4FAE"/>
    <w:rsid w:val="5F415841"/>
    <w:rsid w:val="5F93184A"/>
    <w:rsid w:val="60D57C96"/>
    <w:rsid w:val="61AA1FE4"/>
    <w:rsid w:val="624556FD"/>
    <w:rsid w:val="6347357A"/>
    <w:rsid w:val="650B2F8A"/>
    <w:rsid w:val="656B4567"/>
    <w:rsid w:val="65CC2219"/>
    <w:rsid w:val="662710F1"/>
    <w:rsid w:val="66353D05"/>
    <w:rsid w:val="67180189"/>
    <w:rsid w:val="67A320A4"/>
    <w:rsid w:val="687067D7"/>
    <w:rsid w:val="68AD38D9"/>
    <w:rsid w:val="6AC0702A"/>
    <w:rsid w:val="6B2633FE"/>
    <w:rsid w:val="6EF462AF"/>
    <w:rsid w:val="701F484D"/>
    <w:rsid w:val="70766595"/>
    <w:rsid w:val="707716E4"/>
    <w:rsid w:val="70B2295B"/>
    <w:rsid w:val="713F7D80"/>
    <w:rsid w:val="719D5422"/>
    <w:rsid w:val="71B04245"/>
    <w:rsid w:val="72644C45"/>
    <w:rsid w:val="74584D13"/>
    <w:rsid w:val="78561A58"/>
    <w:rsid w:val="798D2938"/>
    <w:rsid w:val="799E4683"/>
    <w:rsid w:val="7ED05A9D"/>
    <w:rsid w:val="7EF9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2"/>
      <w:sz w:val="32"/>
      <w:szCs w:val="32"/>
    </w:rPr>
  </w:style>
  <w:style w:type="paragraph" w:styleId="7">
    <w:name w:val="heading 3"/>
    <w:basedOn w:val="1"/>
    <w:next w:val="1"/>
    <w:qFormat/>
    <w:uiPriority w:val="0"/>
    <w:pPr>
      <w:keepNext/>
      <w:keepLines/>
      <w:spacing w:before="260" w:after="260" w:line="412" w:lineRule="auto"/>
      <w:outlineLvl w:val="2"/>
    </w:pPr>
    <w:rPr>
      <w:b/>
      <w:bCs/>
      <w:sz w:val="32"/>
      <w:szCs w:val="32"/>
    </w:rPr>
  </w:style>
  <w:style w:type="paragraph" w:styleId="8">
    <w:name w:val="heading 4"/>
    <w:basedOn w:val="1"/>
    <w:next w:val="1"/>
    <w:semiHidden/>
    <w:unhideWhenUsed/>
    <w:qFormat/>
    <w:uiPriority w:val="0"/>
    <w:pPr>
      <w:spacing w:beforeAutospacing="1" w:afterAutospacing="1"/>
      <w:jc w:val="left"/>
      <w:outlineLvl w:val="3"/>
    </w:pPr>
    <w:rPr>
      <w:rFonts w:hint="eastAsia" w:hAnsi="宋体"/>
      <w:b/>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style>
  <w:style w:type="paragraph" w:styleId="3">
    <w:name w:val="Body Text"/>
    <w:basedOn w:val="1"/>
    <w:unhideWhenUsed/>
    <w:qFormat/>
    <w:uiPriority w:val="0"/>
    <w:pPr>
      <w:spacing w:after="120"/>
    </w:pPr>
  </w:style>
  <w:style w:type="paragraph" w:styleId="4">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9">
    <w:name w:val="Plain Text"/>
    <w:basedOn w:val="1"/>
    <w:qFormat/>
    <w:uiPriority w:val="0"/>
    <w:rPr>
      <w:rFonts w:hAnsi="Courier New"/>
      <w:sz w:val="20"/>
      <w:szCs w:val="21"/>
    </w:rPr>
  </w:style>
  <w:style w:type="paragraph" w:styleId="10">
    <w:name w:val="footer"/>
    <w:basedOn w:val="1"/>
    <w:qFormat/>
    <w:uiPriority w:val="99"/>
    <w:pPr>
      <w:tabs>
        <w:tab w:val="center" w:pos="4153"/>
        <w:tab w:val="right" w:pos="8306"/>
      </w:tabs>
      <w:snapToGrid w:val="0"/>
      <w:jc w:val="left"/>
    </w:pPr>
    <w:rPr>
      <w:rFonts w:ascii="Calibri"/>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jc w:val="left"/>
    </w:pPr>
    <w:rPr>
      <w:b/>
      <w:bCs/>
      <w:caps/>
      <w:sz w:val="20"/>
    </w:rPr>
  </w:style>
  <w:style w:type="paragraph" w:styleId="13">
    <w:name w:val="Body Text Indent 3"/>
    <w:basedOn w:val="1"/>
    <w:qFormat/>
    <w:uiPriority w:val="0"/>
    <w:pPr>
      <w:ind w:firstLine="420" w:firstLineChars="200"/>
    </w:pPr>
    <w:rPr>
      <w:rFonts w:hAnsi="宋体"/>
    </w:rPr>
  </w:style>
  <w:style w:type="paragraph" w:styleId="1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15">
    <w:name w:val="Normal (Web)"/>
    <w:basedOn w:val="1"/>
    <w:qFormat/>
    <w:uiPriority w:val="0"/>
    <w:pPr>
      <w:spacing w:beforeAutospacing="1" w:afterAutospacing="1"/>
      <w:jc w:val="left"/>
    </w:pPr>
    <w:rPr>
      <w:sz w:val="24"/>
    </w:rPr>
  </w:style>
  <w:style w:type="character" w:styleId="18">
    <w:name w:val="page number"/>
    <w:qFormat/>
    <w:uiPriority w:val="0"/>
  </w:style>
  <w:style w:type="character" w:styleId="19">
    <w:name w:val="Hyperlink"/>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NormalCharacter"/>
    <w:qFormat/>
    <w:uiPriority w:val="0"/>
    <w:rPr>
      <w:rFonts w:ascii="Times New Roman" w:hAnsi="Times New Roman" w:eastAsia="宋体" w:cs="Times New Roman"/>
      <w:kern w:val="2"/>
      <w:sz w:val="21"/>
      <w:szCs w:val="24"/>
      <w:lang w:val="en-US" w:eastAsia="zh-CN" w:bidi="ar-SA"/>
    </w:rPr>
  </w:style>
  <w:style w:type="paragraph" w:customStyle="1" w:styleId="22">
    <w:name w:val="样式 标题 2 + Times New Roman 四号 非加粗 段前: 5 磅 段后: 0 磅 行距: 固定值 20..."/>
    <w:basedOn w:val="6"/>
    <w:qFormat/>
    <w:uiPriority w:val="0"/>
    <w:pPr>
      <w:spacing w:before="100" w:after="0" w:line="400" w:lineRule="exact"/>
    </w:pPr>
    <w:rPr>
      <w:rFonts w:ascii="Times New Roman" w:hAnsi="Times New Roman"/>
      <w:b w:val="0"/>
      <w:sz w:val="28"/>
    </w:rPr>
  </w:style>
  <w:style w:type="paragraph" w:customStyle="1" w:styleId="23">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24">
    <w:name w:val="zhang"/>
    <w:basedOn w:val="1"/>
    <w:qFormat/>
    <w:uiPriority w:val="0"/>
    <w:pPr>
      <w:widowControl/>
      <w:spacing w:before="100" w:beforeAutospacing="1" w:after="100" w:afterAutospacing="1"/>
      <w:jc w:val="left"/>
    </w:pPr>
    <w:rPr>
      <w:rFonts w:ascii="̥_GB2312" w:hAnsi="̥_GB2312" w:cs="宋体"/>
      <w:b/>
      <w:bCs/>
      <w:smallCaps/>
      <w:color w:val="00000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23370</Words>
  <Characters>6900</Characters>
  <Lines>57</Lines>
  <Paragraphs>60</Paragraphs>
  <TotalTime>0</TotalTime>
  <ScaleCrop>false</ScaleCrop>
  <LinksUpToDate>false</LinksUpToDate>
  <CharactersWithSpaces>30210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2020-03-26T09:00:00Z</dcterms:created>
  <dc:creator>莫。。</dc:creator>
  <cp:lastModifiedBy>中建山河建设管理集团有限公司:王启超</cp:lastModifiedBy>
  <cp:lastPrinted>2020-04-10T07:32:16Z</cp:lastPrinted>
  <dcterms:modified xsi:type="dcterms:W3CDTF">2020-04-10T08:28:52Z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