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许昌市魏都区文峰街道办事处</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rPr>
        <w:t>“文峰办事处</w:t>
      </w:r>
      <w:r>
        <w:rPr>
          <w:rFonts w:hint="eastAsia" w:hAnsi="宋体" w:cs="宋体"/>
          <w:b/>
          <w:sz w:val="48"/>
          <w:szCs w:val="48"/>
          <w:lang w:eastAsia="zh-CN"/>
        </w:rPr>
        <w:t>新办公楼装修改造工程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w:t>
      </w:r>
      <w:r>
        <w:rPr>
          <w:rFonts w:hint="eastAsia" w:hAnsi="宋体" w:cs="宋体"/>
          <w:b/>
          <w:sz w:val="32"/>
          <w:szCs w:val="32"/>
          <w:lang w:eastAsia="zh-CN"/>
        </w:rPr>
        <w:t>XCGC-F2020</w:t>
      </w:r>
      <w:r>
        <w:rPr>
          <w:rFonts w:hint="eastAsia" w:hAnsi="宋体" w:cs="宋体"/>
          <w:b/>
          <w:sz w:val="32"/>
          <w:szCs w:val="32"/>
          <w:lang w:val="en-US" w:eastAsia="zh-CN"/>
        </w:rPr>
        <w:t>072</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许昌市魏都区文峰街道办事处</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val="en-US" w:eastAsia="zh-CN"/>
        </w:rPr>
        <w:t>XCGC-F2020072许昌市魏都区文峰街道办事处“文峰办事处新办公楼装修改造工程”（不见面开标）招标公告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rPr>
        <w:t>许昌市魏都区文峰街道办事处“</w:t>
      </w:r>
      <w:r>
        <w:rPr>
          <w:rFonts w:hint="eastAsia" w:hAnsi="宋体"/>
          <w:sz w:val="24"/>
          <w:lang w:eastAsia="zh-CN"/>
        </w:rPr>
        <w:t>文峰办事处新办公楼装修改造工程”，</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6</w:t>
      </w:r>
      <w:r>
        <w:rPr>
          <w:rFonts w:hint="eastAsia" w:hAnsi="宋体"/>
          <w:sz w:val="24"/>
        </w:rPr>
        <w:t>号文批准建设，建设资金已落实。招标人为</w:t>
      </w:r>
      <w:r>
        <w:rPr>
          <w:rFonts w:hint="eastAsia" w:hAnsi="宋体"/>
          <w:sz w:val="24"/>
          <w:lang w:eastAsia="zh-CN"/>
        </w:rPr>
        <w:t>许昌市魏都区文峰街道办事处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XCGC-F2020072</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eastAsia="zh-CN"/>
        </w:rPr>
        <w:t>本项目位于许昌市魏都区文峰办事处，本项目主要包括做</w:t>
      </w:r>
      <w:r>
        <w:rPr>
          <w:rFonts w:hint="eastAsia" w:hAnsi="宋体"/>
          <w:sz w:val="24"/>
          <w:szCs w:val="22"/>
          <w:lang w:val="en-US" w:eastAsia="zh-CN"/>
        </w:rPr>
        <w:t>800*800mm地砖、15mm厚复合木地板、面砖踢脚线、12mm厚石膏板吊顶、天棚888仿瓷涂料、内墙面888仿瓷涂料、真石漆外墙面、卫生间200*300mm墙砖、围墙贴芝麻灰岗岩石、给排水及电气等内容。</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1612636.86</w:t>
      </w:r>
      <w:r>
        <w:rPr>
          <w:rFonts w:hint="eastAsia" w:hAnsi="宋体"/>
          <w:sz w:val="24"/>
          <w:szCs w:val="22"/>
        </w:rPr>
        <w:t>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color w:val="auto"/>
          <w:sz w:val="24"/>
          <w:szCs w:val="24"/>
          <w:lang w:val="en-US" w:eastAsia="zh-CN" w:bidi="ar-SA"/>
        </w:rPr>
        <w:t>3</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3.1要求投标人须具有独立法人资格，须具</w:t>
      </w:r>
      <w:r>
        <w:rPr>
          <w:rFonts w:hint="eastAsia" w:cs="Times New Roman"/>
          <w:szCs w:val="24"/>
          <w:highlight w:val="none"/>
          <w:lang w:eastAsia="zh-CN"/>
        </w:rPr>
        <w:t>装饰装修工程专业承包贰级（及以上）资质</w:t>
      </w:r>
      <w:r>
        <w:rPr>
          <w:rFonts w:hint="eastAsia" w:cs="Times New Roman"/>
          <w:szCs w:val="24"/>
          <w:highlight w:val="none"/>
        </w:rPr>
        <w:t>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3.3本次招标不接受联合体投标。</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3.4本次招标实行资格后审。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 xml:space="preserve"> 5 </w:t>
      </w:r>
      <w:r>
        <w:rPr>
          <w:rFonts w:hint="eastAsia" w:hAnsi="宋体"/>
          <w:bCs/>
          <w:color w:val="auto"/>
          <w:sz w:val="24"/>
          <w:szCs w:val="22"/>
        </w:rPr>
        <w:t>月</w:t>
      </w:r>
      <w:r>
        <w:rPr>
          <w:rFonts w:hint="eastAsia" w:hAnsi="宋体"/>
          <w:bCs/>
          <w:color w:val="auto"/>
          <w:sz w:val="24"/>
          <w:szCs w:val="22"/>
          <w:lang w:val="en-US" w:eastAsia="zh-CN"/>
        </w:rPr>
        <w:t xml:space="preserve"> 14 </w:t>
      </w:r>
      <w:r>
        <w:rPr>
          <w:rFonts w:hint="eastAsia" w:hAnsi="宋体"/>
          <w:bCs/>
          <w:color w:val="auto"/>
          <w:sz w:val="24"/>
          <w:szCs w:val="22"/>
        </w:rPr>
        <w:t>日</w:t>
      </w:r>
      <w:r>
        <w:rPr>
          <w:rFonts w:hint="eastAsia" w:hAnsi="宋体"/>
          <w:bCs/>
          <w:color w:val="auto"/>
          <w:sz w:val="24"/>
          <w:szCs w:val="22"/>
          <w:lang w:val="en-US" w:eastAsia="zh-CN"/>
        </w:rPr>
        <w:t xml:space="preserve"> 08 </w:t>
      </w:r>
      <w:r>
        <w:rPr>
          <w:rFonts w:hint="eastAsia" w:hAnsi="宋体"/>
          <w:bCs/>
          <w:color w:val="auto"/>
          <w:sz w:val="24"/>
          <w:szCs w:val="22"/>
        </w:rPr>
        <w:t>时</w:t>
      </w:r>
      <w:r>
        <w:rPr>
          <w:rFonts w:hint="eastAsia" w:hAnsi="宋体"/>
          <w:bCs/>
          <w:color w:val="auto"/>
          <w:sz w:val="24"/>
          <w:szCs w:val="22"/>
          <w:lang w:val="en-US" w:eastAsia="zh-CN"/>
        </w:rPr>
        <w:t xml:space="preserve">30 </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二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许昌市魏都区文峰街道办事处</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前进路中段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张先生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联系电话：15565295566</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cs="宋体" w:eastAsiaTheme="minorEastAsia"/>
          <w:color w:val="000000" w:themeColor="text1"/>
          <w:sz w:val="24"/>
          <w:szCs w:val="24"/>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许昌市魏都区文峰街道办事处</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9</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招 标 人：许昌市魏都区文峰街道办事处　</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地    址：许昌市前进路中段</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 xml:space="preserve">联 系 人：张先生 </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联系电话：15565295566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招标代理机构名称：河南永明工程管理有限公司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址：许昌市众信国际</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default" w:hAnsi="宋体" w:eastAsia="宋体" w:cs="宋体"/>
                <w:color w:val="000000" w:themeColor="text1"/>
                <w:sz w:val="24"/>
                <w:lang w:val="en-US"/>
              </w:rPr>
              <w:t>文峰办事处新办公楼装修改造工程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cs="黑体"/>
                <w:color w:val="auto"/>
                <w:sz w:val="24"/>
                <w:szCs w:val="22"/>
                <w:lang w:val="en-US" w:eastAsia="zh-CN"/>
              </w:rPr>
              <w:t>30</w:t>
            </w:r>
            <w:r>
              <w:rPr>
                <w:rFonts w:hint="eastAsia" w:hAnsi="宋体" w:cs="黑体"/>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14</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_Hlk424659721"/>
            <w:bookmarkStart w:id="3" w:name="OLE_LINK3" w:colFirst="0" w:colLast="2"/>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叁万元整</w:t>
            </w:r>
            <w:r>
              <w:rPr>
                <w:rFonts w:hint="eastAsia" w:hAnsi="宋体" w:cs="仿宋_GB2312"/>
                <w:b/>
                <w:bCs/>
                <w:sz w:val="24"/>
              </w:rPr>
              <w:t>（￥</w:t>
            </w:r>
            <w:r>
              <w:rPr>
                <w:rFonts w:hint="eastAsia" w:hAnsi="宋体" w:cs="仿宋_GB2312"/>
                <w:b/>
                <w:bCs/>
                <w:sz w:val="24"/>
                <w:lang w:val="en-US" w:eastAsia="zh-CN"/>
              </w:rPr>
              <w:t>30000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autoSpaceDE w:val="0"/>
              <w:autoSpaceDN w:val="0"/>
              <w:adjustRightInd w:val="0"/>
              <w:spacing w:line="276" w:lineRule="auto"/>
              <w:jc w:val="left"/>
              <w:rPr>
                <w:rFonts w:hint="eastAsia" w:hAnsi="宋体" w:cs="宋体"/>
                <w:color w:val="000000" w:themeColor="text1"/>
                <w:sz w:val="24"/>
                <w:lang w:val="zh-CN"/>
              </w:rPr>
            </w:pPr>
            <w:r>
              <w:rPr>
                <w:rFonts w:hint="eastAsia" w:hAnsi="宋体" w:cs="宋体"/>
                <w:color w:val="000000" w:themeColor="text1"/>
                <w:sz w:val="24"/>
                <w:lang w:val="zh-CN"/>
              </w:rPr>
              <w:t>近年财务状况要求</w:t>
            </w:r>
          </w:p>
        </w:tc>
        <w:tc>
          <w:tcPr>
            <w:tcW w:w="6274" w:type="dxa"/>
            <w:gridSpan w:val="2"/>
            <w:vAlign w:val="center"/>
          </w:tcPr>
          <w:p>
            <w:pPr>
              <w:autoSpaceDE w:val="0"/>
              <w:autoSpaceDN w:val="0"/>
              <w:adjustRightInd w:val="0"/>
              <w:spacing w:line="276" w:lineRule="auto"/>
              <w:jc w:val="left"/>
              <w:rPr>
                <w:rFonts w:hint="eastAsia" w:hAnsi="宋体" w:cs="宋体"/>
                <w:color w:val="000000" w:themeColor="text1"/>
                <w:sz w:val="24"/>
                <w:lang w:val="zh-CN"/>
              </w:rPr>
            </w:pPr>
            <w:r>
              <w:rPr>
                <w:rFonts w:hint="eastAsia" w:hAnsi="宋体" w:cs="宋体"/>
                <w:color w:val="000000" w:themeColor="text1"/>
                <w:sz w:val="24"/>
                <w:lang w:val="zh-CN"/>
              </w:rPr>
              <w:t>近年，指201</w:t>
            </w:r>
            <w:r>
              <w:rPr>
                <w:rFonts w:hint="eastAsia" w:hAnsi="宋体" w:cs="宋体"/>
                <w:color w:val="000000" w:themeColor="text1"/>
                <w:sz w:val="24"/>
                <w:lang w:val="en-US" w:eastAsia="zh-CN"/>
              </w:rPr>
              <w:t>6</w:t>
            </w:r>
            <w:r>
              <w:rPr>
                <w:rFonts w:hint="eastAsia" w:hAnsi="宋体" w:cs="宋体"/>
                <w:color w:val="000000" w:themeColor="text1"/>
                <w:sz w:val="24"/>
                <w:lang w:val="zh-CN"/>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spacing w:line="276" w:lineRule="auto"/>
              <w:jc w:val="left"/>
              <w:rPr>
                <w:rFonts w:hint="eastAsia" w:hAnsi="宋体" w:cs="宋体"/>
                <w:color w:val="000000" w:themeColor="text1"/>
                <w:sz w:val="24"/>
                <w:lang w:val="zh-CN"/>
              </w:rPr>
            </w:pPr>
            <w:r>
              <w:rPr>
                <w:rFonts w:hint="eastAsia" w:hAnsi="宋体" w:cs="宋体"/>
                <w:color w:val="000000" w:themeColor="text1"/>
                <w:sz w:val="24"/>
                <w:lang w:val="zh-CN"/>
              </w:rPr>
              <w:t>近年完成的类似项目</w:t>
            </w:r>
          </w:p>
        </w:tc>
        <w:tc>
          <w:tcPr>
            <w:tcW w:w="6274" w:type="dxa"/>
            <w:gridSpan w:val="2"/>
            <w:vAlign w:val="center"/>
          </w:tcPr>
          <w:p>
            <w:pPr>
              <w:autoSpaceDE w:val="0"/>
              <w:autoSpaceDN w:val="0"/>
              <w:adjustRightInd w:val="0"/>
              <w:spacing w:line="276" w:lineRule="auto"/>
              <w:jc w:val="left"/>
              <w:rPr>
                <w:rFonts w:hint="eastAsia" w:hAnsi="宋体" w:cs="宋体"/>
                <w:color w:val="000000" w:themeColor="text1"/>
                <w:sz w:val="24"/>
                <w:lang w:val="zh-CN"/>
              </w:rPr>
            </w:pPr>
            <w:r>
              <w:rPr>
                <w:rFonts w:hint="eastAsia" w:hAnsi="宋体" w:cs="宋体"/>
                <w:color w:val="000000" w:themeColor="text1"/>
                <w:sz w:val="24"/>
                <w:lang w:val="zh-CN"/>
              </w:rPr>
              <w:t>近年，指201</w:t>
            </w:r>
            <w:r>
              <w:rPr>
                <w:rFonts w:hint="eastAsia" w:hAnsi="宋体" w:cs="宋体"/>
                <w:color w:val="000000" w:themeColor="text1"/>
                <w:sz w:val="24"/>
                <w:lang w:val="en-US" w:eastAsia="zh-CN"/>
              </w:rPr>
              <w:t>7</w:t>
            </w:r>
            <w:r>
              <w:rPr>
                <w:rFonts w:hint="eastAsia" w:hAnsi="宋体" w:cs="宋体"/>
                <w:color w:val="000000" w:themeColor="text1"/>
                <w:sz w:val="24"/>
                <w:lang w:val="zh-CN"/>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w:t>
            </w:r>
            <w:r>
              <w:rPr>
                <w:rFonts w:hint="eastAsia" w:ascii="宋体" w:hAnsi="宋体"/>
                <w:color w:val="auto"/>
                <w:sz w:val="24"/>
                <w:szCs w:val="22"/>
              </w:rPr>
              <w:t>三楼开标</w:t>
            </w:r>
            <w:r>
              <w:rPr>
                <w:rFonts w:hint="eastAsia" w:ascii="宋体" w:hAnsi="宋体"/>
                <w:color w:val="auto"/>
                <w:sz w:val="24"/>
                <w:szCs w:val="22"/>
                <w:lang w:val="en-US" w:eastAsia="zh-CN"/>
              </w:rPr>
              <w:t xml:space="preserve"> 二 </w:t>
            </w:r>
            <w:r>
              <w:rPr>
                <w:rFonts w:hint="eastAsia" w:ascii="宋体" w:hAnsi="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int="eastAsia" w:hAnsi="宋体" w:eastAsia="宋体" w:cs="宋体"/>
                <w:color w:val="000000" w:themeColor="text1"/>
                <w:sz w:val="24"/>
              </w:rPr>
            </w:pPr>
            <w:r>
              <w:rPr>
                <w:rFonts w:hint="eastAsia" w:hAnsi="宋体" w:eastAsia="宋体" w:cs="宋体"/>
                <w:color w:val="000000" w:themeColor="text1"/>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both"/>
              <w:rPr>
                <w:rFonts w:hint="eastAsia" w:hAnsi="宋体" w:eastAsia="宋体" w:cs="宋体"/>
                <w:color w:val="000000" w:themeColor="text1"/>
                <w:sz w:val="24"/>
              </w:rPr>
            </w:pPr>
            <w:r>
              <w:rPr>
                <w:rFonts w:hint="eastAsia" w:hAnsi="宋体" w:eastAsia="宋体" w:cs="宋体"/>
                <w:color w:val="000000" w:themeColor="text1"/>
                <w:sz w:val="24"/>
              </w:rPr>
              <w:t>指201</w:t>
            </w:r>
            <w:r>
              <w:rPr>
                <w:rFonts w:hint="eastAsia" w:hAnsi="宋体" w:eastAsia="宋体" w:cs="宋体"/>
                <w:color w:val="000000" w:themeColor="text1"/>
                <w:sz w:val="24"/>
                <w:lang w:val="en-US" w:eastAsia="zh-CN"/>
              </w:rPr>
              <w:t>7</w:t>
            </w:r>
            <w:r>
              <w:rPr>
                <w:rFonts w:hint="eastAsia" w:hAnsi="宋体" w:eastAsia="宋体" w:cs="宋体"/>
                <w:color w:val="000000" w:themeColor="text1"/>
                <w:sz w:val="24"/>
              </w:rPr>
              <w:t>年1月1日以来承接过的装饰装修工程项目。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壹佰陆拾壹万贰仟陆佰叁拾陆元捌角陆分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1612636.86</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5535"/>
      <w:bookmarkStart w:id="7" w:name="_Toc152042311"/>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52042312"/>
      <w:bookmarkStart w:id="12" w:name="_Toc144974504"/>
      <w:bookmarkStart w:id="13" w:name="_Toc152045536"/>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79632555"/>
      <w:bookmarkStart w:id="19" w:name="_Toc152045538"/>
      <w:bookmarkStart w:id="20" w:name="_Toc144974506"/>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2322"/>
      <w:bookmarkStart w:id="30" w:name="_Toc152045546"/>
      <w:bookmarkStart w:id="31" w:name="_Toc144974514"/>
      <w:bookmarkStart w:id="32" w:name="_Toc17963256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auto"/>
          <w:sz w:val="24"/>
        </w:rPr>
        <w:t xml:space="preserve">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44974521"/>
      <w:bookmarkStart w:id="39" w:name="_Toc179632571"/>
      <w:bookmarkStart w:id="40" w:name="_Toc152042329"/>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44974537"/>
      <w:bookmarkStart w:id="54" w:name="_Toc152045569"/>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int="eastAsia"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95572535"/>
            <w:bookmarkStart w:id="70" w:name="_Toc270931534"/>
            <w:bookmarkStart w:id="71"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序号</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项目</w:t>
            </w:r>
          </w:p>
        </w:tc>
        <w:tc>
          <w:tcPr>
            <w:tcW w:w="4992"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评审标准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企业业绩</w:t>
            </w:r>
          </w:p>
        </w:tc>
        <w:tc>
          <w:tcPr>
            <w:tcW w:w="4992" w:type="dxa"/>
            <w:vAlign w:val="center"/>
          </w:tcPr>
          <w:p>
            <w:pPr>
              <w:jc w:val="left"/>
              <w:rPr>
                <w:rFonts w:hint="default"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2</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项目负责人业绩</w:t>
            </w:r>
          </w:p>
        </w:tc>
        <w:tc>
          <w:tcPr>
            <w:tcW w:w="4992" w:type="dxa"/>
            <w:vAlign w:val="center"/>
          </w:tcPr>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3</w:t>
            </w:r>
          </w:p>
        </w:tc>
        <w:tc>
          <w:tcPr>
            <w:tcW w:w="2096" w:type="dxa"/>
            <w:vMerge w:val="restart"/>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3</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auto"/>
                <w:kern w:val="2"/>
                <w:sz w:val="24"/>
                <w:szCs w:val="24"/>
              </w:rPr>
            </w:pPr>
          </w:p>
        </w:tc>
        <w:tc>
          <w:tcPr>
            <w:tcW w:w="2096" w:type="dxa"/>
            <w:vMerge w:val="continue"/>
            <w:vAlign w:val="center"/>
          </w:tcPr>
          <w:p>
            <w:pPr>
              <w:jc w:val="left"/>
              <w:rPr>
                <w:rFonts w:asciiTheme="minorEastAsia" w:hAnsiTheme="minorEastAsia" w:eastAsiaTheme="minorEastAsia"/>
                <w:color w:val="auto"/>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1≤</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4</w:t>
            </w:r>
          </w:p>
        </w:tc>
        <w:tc>
          <w:tcPr>
            <w:tcW w:w="2096" w:type="dxa"/>
            <w:vMerge w:val="restart"/>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履职尽责承诺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auto"/>
                <w:kern w:val="2"/>
                <w:sz w:val="24"/>
                <w:szCs w:val="24"/>
              </w:rPr>
            </w:pPr>
          </w:p>
        </w:tc>
        <w:tc>
          <w:tcPr>
            <w:tcW w:w="2096" w:type="dxa"/>
            <w:vMerge w:val="continue"/>
            <w:vAlign w:val="center"/>
          </w:tcPr>
          <w:p>
            <w:pPr>
              <w:jc w:val="left"/>
              <w:rPr>
                <w:rFonts w:asciiTheme="minorEastAsia" w:hAnsiTheme="minorEastAsia" w:eastAsiaTheme="minorEastAsia"/>
                <w:color w:val="auto"/>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5</w:t>
            </w:r>
          </w:p>
        </w:tc>
        <w:tc>
          <w:tcPr>
            <w:tcW w:w="2096" w:type="dxa"/>
            <w:vAlign w:val="center"/>
          </w:tcPr>
          <w:p>
            <w:pPr>
              <w:ind w:firstLine="480" w:firstLineChars="200"/>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企业信用</w:t>
            </w:r>
            <w:r>
              <w:rPr>
                <w:rFonts w:hint="eastAsia" w:asciiTheme="minorEastAsia" w:hAnsiTheme="minorEastAsia" w:cstheme="minorBidi"/>
                <w:color w:val="auto"/>
                <w:kern w:val="2"/>
                <w:sz w:val="24"/>
                <w:szCs w:val="24"/>
                <w:lang w:val="en-US" w:eastAsia="zh-CN" w:bidi="ar-SA"/>
              </w:rPr>
              <w:t xml:space="preserve">     </w:t>
            </w:r>
            <w:r>
              <w:rPr>
                <w:rFonts w:hint="eastAsia" w:asciiTheme="minorEastAsia" w:hAnsiTheme="minorEastAsia" w:eastAsiaTheme="minorEastAsia" w:cstheme="minorBidi"/>
                <w:color w:val="auto"/>
                <w:kern w:val="2"/>
                <w:sz w:val="24"/>
                <w:szCs w:val="24"/>
                <w:lang w:val="en-US" w:eastAsia="zh-CN" w:bidi="ar-SA"/>
              </w:rPr>
              <w:t>（含纳税诚信）</w:t>
            </w:r>
          </w:p>
        </w:tc>
        <w:tc>
          <w:tcPr>
            <w:tcW w:w="4992" w:type="dxa"/>
            <w:vAlign w:val="center"/>
          </w:tcPr>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1、提供企业所在地税务主管部门出具的纳税情况证明，纳税情况良好得2分。</w:t>
            </w:r>
          </w:p>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2、投标人提供2017年1月以来信用评级机构出具的有效的企业信用等级证书和信用等级报告的原件扫描件，等级为AAA级的得2分。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w:t>
            </w:r>
            <w:r>
              <w:rPr>
                <w:rFonts w:asciiTheme="minorEastAsia" w:hAnsiTheme="minorEastAsia" w:eastAsiaTheme="minorEastAsia"/>
                <w:color w:val="auto"/>
                <w:kern w:val="2"/>
                <w:sz w:val="24"/>
                <w:szCs w:val="24"/>
              </w:rPr>
              <w:t>≤</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6</w:t>
            </w:r>
          </w:p>
        </w:tc>
        <w:tc>
          <w:tcPr>
            <w:tcW w:w="2096" w:type="dxa"/>
            <w:vAlign w:val="center"/>
          </w:tcPr>
          <w:p>
            <w:pPr>
              <w:jc w:val="left"/>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项目负责人信用</w:t>
            </w:r>
          </w:p>
        </w:tc>
        <w:tc>
          <w:tcPr>
            <w:tcW w:w="4992" w:type="dxa"/>
            <w:vAlign w:val="center"/>
          </w:tcPr>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7</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招标人意见</w:t>
            </w:r>
          </w:p>
        </w:tc>
        <w:tc>
          <w:tcPr>
            <w:tcW w:w="4992" w:type="dxa"/>
            <w:vAlign w:val="center"/>
          </w:tcPr>
          <w:p>
            <w:pPr>
              <w:spacing w:line="300" w:lineRule="exact"/>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各投标人得分均按2分计算</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以上各项评审内容缺项不得分</w:t>
            </w:r>
          </w:p>
        </w:tc>
      </w:tr>
    </w:tbl>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w:t>
      </w:r>
      <w:r>
        <w:rPr>
          <w:rFonts w:hint="eastAsia" w:hAnsi="宋体" w:cs="宋体"/>
          <w:b/>
          <w:bCs/>
          <w:color w:val="auto"/>
          <w:sz w:val="24"/>
          <w:szCs w:val="22"/>
          <w:highlight w:val="none"/>
        </w:rPr>
        <w:t>指201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年1月1日以来承接过的装饰装修工程项目</w:t>
      </w:r>
      <w:r>
        <w:rPr>
          <w:rFonts w:hint="eastAsia" w:hAnsi="宋体" w:cs="宋体"/>
          <w:b/>
          <w:bCs/>
          <w:color w:val="auto"/>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(1) 本招标文件</w:t>
      </w:r>
      <w:r>
        <w:rPr>
          <w:rFonts w:hint="eastAsia" w:ascii="新宋体" w:hAnsi="新宋体" w:eastAsia="新宋体"/>
          <w:sz w:val="24"/>
          <w:lang w:eastAsia="zh-CN"/>
        </w:rPr>
        <w:t>和施工图图纸</w:t>
      </w:r>
      <w:r>
        <w:rPr>
          <w:rFonts w:hint="eastAsia" w:ascii="新宋体" w:hAnsi="新宋体" w:eastAsia="新宋体"/>
          <w:sz w:val="24"/>
        </w:rPr>
        <w:t>。</w:t>
      </w:r>
    </w:p>
    <w:p>
      <w:pPr>
        <w:spacing w:line="440" w:lineRule="exact"/>
        <w:ind w:left="1" w:firstLine="480" w:firstLineChars="200"/>
        <w:rPr>
          <w:rFonts w:hint="eastAsia" w:ascii="新宋体" w:hAnsi="新宋体" w:eastAsia="新宋体"/>
          <w:sz w:val="24"/>
        </w:rPr>
      </w:pPr>
      <w:r>
        <w:rPr>
          <w:rFonts w:hint="eastAsia" w:ascii="新宋体" w:hAnsi="新宋体" w:eastAsia="新宋体"/>
          <w:sz w:val="24"/>
        </w:rPr>
        <w:t>(2)《建设工程工程量清单计价规范</w:t>
      </w:r>
      <w:r>
        <w:rPr>
          <w:rFonts w:hint="eastAsia" w:ascii="新宋体" w:hAnsi="新宋体" w:eastAsia="新宋体"/>
          <w:sz w:val="24"/>
          <w:lang w:eastAsia="zh-CN"/>
        </w:rPr>
        <w:t>》</w:t>
      </w:r>
      <w:r>
        <w:rPr>
          <w:rFonts w:hint="eastAsia" w:ascii="新宋体" w:hAnsi="新宋体" w:eastAsia="新宋体"/>
          <w:sz w:val="24"/>
          <w:lang w:val="en-US" w:eastAsia="zh-CN"/>
        </w:rPr>
        <w:t>GB50500-2013、</w:t>
      </w:r>
      <w:r>
        <w:rPr>
          <w:rFonts w:hint="eastAsia" w:ascii="新宋体" w:hAnsi="新宋体" w:eastAsia="新宋体"/>
          <w:sz w:val="24"/>
        </w:rPr>
        <w:t>《河南省房屋建筑与装饰工程预算定额》（2016）</w:t>
      </w:r>
      <w:r>
        <w:rPr>
          <w:rFonts w:hint="eastAsia" w:ascii="新宋体" w:hAnsi="新宋体" w:eastAsia="新宋体"/>
          <w:sz w:val="24"/>
          <w:lang w:eastAsia="zh-CN"/>
        </w:rPr>
        <w:t>、</w:t>
      </w:r>
      <w:r>
        <w:rPr>
          <w:rFonts w:hint="eastAsia" w:ascii="新宋体" w:hAnsi="新宋体" w:eastAsia="新宋体"/>
          <w:sz w:val="24"/>
        </w:rPr>
        <w:t>《河南省通用安装工程预算定额》（2016）及相</w:t>
      </w:r>
      <w:r>
        <w:rPr>
          <w:rFonts w:hint="eastAsia" w:ascii="新宋体" w:hAnsi="新宋体" w:eastAsia="新宋体"/>
          <w:sz w:val="24"/>
          <w:lang w:eastAsia="zh-CN"/>
        </w:rPr>
        <w:t>关配套文件的规定</w:t>
      </w:r>
      <w:r>
        <w:rPr>
          <w:rFonts w:hint="eastAsia" w:ascii="新宋体" w:hAnsi="新宋体" w:eastAsia="新宋体"/>
          <w:sz w:val="24"/>
        </w:rPr>
        <w:t>。</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（3）本工程税金依据建办标函【2019】193号文，按9%计入。</w:t>
      </w:r>
    </w:p>
    <w:p>
      <w:pPr>
        <w:spacing w:line="440" w:lineRule="exact"/>
        <w:ind w:left="1" w:firstLine="480" w:firstLineChars="200"/>
        <w:rPr>
          <w:rFonts w:hint="eastAsia" w:ascii="新宋体" w:hAnsi="新宋体" w:eastAsia="新宋体"/>
          <w:sz w:val="24"/>
          <w:lang w:val="en-US" w:eastAsia="zh-CN"/>
        </w:rPr>
      </w:pPr>
      <w:r>
        <w:rPr>
          <w:rFonts w:hint="eastAsia" w:ascii="新宋体" w:hAnsi="新宋体" w:eastAsia="新宋体"/>
          <w:sz w:val="24"/>
          <w:lang w:val="en-US" w:eastAsia="zh-CN"/>
        </w:rPr>
        <w:t>（4）人工费调整按豫建标定【2019】50号文计取。</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（5）材料价格依据2019年《许昌市工程造价信息》第五期及2019年10月份主材价格，部分价格依据市场价询价计取。</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（6）措施费中夜间施工增加费、二次搬运费、冬雨季施工增加费足额计取。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int="eastAsia" w:hAnsi="宋体" w:cs="黑体"/>
          <w:b/>
          <w:sz w:val="44"/>
          <w:szCs w:val="44"/>
          <w:highlight w:val="none"/>
        </w:rPr>
      </w:pPr>
      <w:bookmarkStart w:id="78" w:name="_Toc250616672"/>
      <w:bookmarkStart w:id="79" w:name="_Toc271787730"/>
      <w:r>
        <w:rPr>
          <w:rFonts w:hint="eastAsia" w:hAnsi="宋体" w:cs="黑体"/>
          <w:b/>
          <w:sz w:val="44"/>
          <w:szCs w:val="44"/>
          <w:highlight w:val="none"/>
        </w:rPr>
        <w:br w:type="page"/>
      </w: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ascii="黑体" w:eastAsia="黑体"/>
          <w:b/>
          <w:sz w:val="32"/>
          <w:highlight w:val="none"/>
        </w:rPr>
      </w:pP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right"/>
        <w:rPr>
          <w:sz w:val="24"/>
          <w:highlight w:val="none"/>
        </w:rPr>
      </w:pP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u w:val="single"/>
        </w:rPr>
      </w:pP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rPr>
          <w:rFonts w:hAnsi="宋体"/>
          <w:b/>
          <w:sz w:val="32"/>
        </w:rPr>
      </w:pPr>
      <w:r>
        <w:rPr>
          <w:rFonts w:hAnsi="宋体"/>
          <w:b/>
          <w:sz w:val="32"/>
        </w:rPr>
        <w:br w:type="page"/>
      </w: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rFonts w:hint="default"/>
          <w:sz w:val="24"/>
          <w:highlight w:val="none"/>
          <w:lang w:val="en-US" w:eastAsia="zh-CN"/>
        </w:rPr>
      </w:pPr>
      <w:r>
        <w:rPr>
          <w:rFonts w:hint="eastAsia"/>
          <w:sz w:val="24"/>
          <w:highlight w:val="none"/>
          <w:lang w:val="en-US" w:eastAsia="zh-CN"/>
        </w:rPr>
        <w:t>附提交凭证：</w:t>
      </w:r>
    </w:p>
    <w:p>
      <w:pPr>
        <w:spacing w:line="360" w:lineRule="auto"/>
        <w:ind w:left="237" w:leftChars="70" w:firstLine="98" w:firstLineChars="41"/>
        <w:rPr>
          <w:rFonts w:hint="eastAsia"/>
          <w:sz w:val="24"/>
          <w:highlight w:val="none"/>
          <w:lang w:val="zh-CN"/>
        </w:rPr>
      </w:pPr>
      <w:r>
        <w:rPr>
          <w:rFonts w:hint="eastAsia"/>
          <w:sz w:val="24"/>
          <w:highlight w:val="none"/>
          <w:lang w:val="zh-CN"/>
        </w:rPr>
        <w:t>银行转帐、银行电汇方式的，于截止时间前通过投标人基本账户将款项一次足额递交、成功绑定，以收款人到账时间为准，在途资金无效。</w:t>
      </w:r>
      <w:r>
        <w:rPr>
          <w:rFonts w:hint="eastAsia"/>
          <w:sz w:val="24"/>
          <w:highlight w:val="none"/>
          <w:lang w:val="en-US" w:eastAsia="zh-CN"/>
        </w:rPr>
        <w:t>附本项目本标段</w:t>
      </w:r>
      <w:r>
        <w:rPr>
          <w:rFonts w:hint="eastAsia"/>
          <w:sz w:val="24"/>
          <w:highlight w:val="none"/>
          <w:lang w:val="zh-CN" w:eastAsia="zh-CN"/>
        </w:rPr>
        <w:t>“许昌公共资源交易中心保证金缴纳回执”。</w:t>
      </w:r>
    </w:p>
    <w:p>
      <w:pPr>
        <w:spacing w:line="360" w:lineRule="auto"/>
        <w:ind w:left="237" w:leftChars="70" w:firstLine="98" w:firstLineChars="41"/>
        <w:rPr>
          <w:rFonts w:hint="eastAsia"/>
          <w:sz w:val="24"/>
          <w:highlight w:val="none"/>
        </w:rPr>
      </w:pPr>
      <w:r>
        <w:rPr>
          <w:rFonts w:hint="eastAsia"/>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highlight w:val="none"/>
          <w:lang w:val="en-US" w:eastAsia="zh-CN"/>
        </w:rPr>
        <w:t>真实</w:t>
      </w:r>
      <w:r>
        <w:rPr>
          <w:rFonts w:hint="eastAsia"/>
          <w:sz w:val="24"/>
          <w:highlight w:val="none"/>
          <w:lang w:val="zh-CN"/>
        </w:rPr>
        <w:t>合法的银行保函原件扫描件，否则视为未按</w:t>
      </w:r>
      <w:r>
        <w:rPr>
          <w:rFonts w:hint="eastAsia"/>
          <w:sz w:val="24"/>
          <w:highlight w:val="none"/>
          <w:lang w:val="en-US" w:eastAsia="zh-CN"/>
        </w:rPr>
        <w:t>规定提交</w:t>
      </w:r>
      <w:r>
        <w:rPr>
          <w:rFonts w:hint="eastAsia"/>
          <w:sz w:val="24"/>
          <w:highlight w:val="none"/>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int="eastAsia" w:hAnsi="宋体" w:cs="仿宋_GB2312"/>
          <w:b/>
          <w:sz w:val="32"/>
          <w:szCs w:val="32"/>
          <w:highlight w:val="none"/>
        </w:rPr>
      </w:pPr>
    </w:p>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right"/>
        <w:rPr>
          <w:sz w:val="32"/>
          <w:szCs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w:t>
      </w: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p>
      <w:pPr>
        <w:autoSpaceDE w:val="0"/>
        <w:autoSpaceDN w:val="0"/>
        <w:spacing w:line="540" w:lineRule="exact"/>
        <w:ind w:firstLine="520" w:firstLineChars="200"/>
        <w:jc w:val="left"/>
        <w:rPr>
          <w:rFonts w:hAnsi="宋体" w:cs="宋体"/>
          <w:b/>
          <w:color w:val="000000" w:themeColor="text1"/>
          <w:sz w:val="26"/>
          <w:szCs w:val="26"/>
        </w:rPr>
      </w:pPr>
      <w:bookmarkStart w:id="82" w:name="_GoBack"/>
      <w:bookmarkEnd w:id="82"/>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047EDF"/>
    <w:rsid w:val="01A32921"/>
    <w:rsid w:val="01DB434E"/>
    <w:rsid w:val="025A1A0E"/>
    <w:rsid w:val="03B64D1B"/>
    <w:rsid w:val="04657E28"/>
    <w:rsid w:val="0493134B"/>
    <w:rsid w:val="05463438"/>
    <w:rsid w:val="05875DF2"/>
    <w:rsid w:val="05B347DC"/>
    <w:rsid w:val="06596E97"/>
    <w:rsid w:val="06E835F7"/>
    <w:rsid w:val="07E778CA"/>
    <w:rsid w:val="08CA67DF"/>
    <w:rsid w:val="08F576CB"/>
    <w:rsid w:val="09EE737C"/>
    <w:rsid w:val="09FB6392"/>
    <w:rsid w:val="0A4866D0"/>
    <w:rsid w:val="0A8E6F0E"/>
    <w:rsid w:val="0A9A38CE"/>
    <w:rsid w:val="0B0010DA"/>
    <w:rsid w:val="0B4C6956"/>
    <w:rsid w:val="0B5341BC"/>
    <w:rsid w:val="0BAC12EB"/>
    <w:rsid w:val="0BC15512"/>
    <w:rsid w:val="0C5E4FFE"/>
    <w:rsid w:val="0CCE2B00"/>
    <w:rsid w:val="0CF42ED6"/>
    <w:rsid w:val="0D156DC8"/>
    <w:rsid w:val="0D6762CF"/>
    <w:rsid w:val="0D684BD9"/>
    <w:rsid w:val="0D8116DE"/>
    <w:rsid w:val="0DAB5AD3"/>
    <w:rsid w:val="0E274A96"/>
    <w:rsid w:val="0E4C067E"/>
    <w:rsid w:val="0E4D3374"/>
    <w:rsid w:val="0EB217EF"/>
    <w:rsid w:val="0EF539FC"/>
    <w:rsid w:val="0F3930AA"/>
    <w:rsid w:val="0F482E52"/>
    <w:rsid w:val="0FDD387F"/>
    <w:rsid w:val="0FE557E4"/>
    <w:rsid w:val="10085E52"/>
    <w:rsid w:val="104E765E"/>
    <w:rsid w:val="11C03509"/>
    <w:rsid w:val="13A50594"/>
    <w:rsid w:val="13CC49C6"/>
    <w:rsid w:val="140903BF"/>
    <w:rsid w:val="14D972B5"/>
    <w:rsid w:val="14EC08FF"/>
    <w:rsid w:val="151C1210"/>
    <w:rsid w:val="151E2293"/>
    <w:rsid w:val="15AB0B5D"/>
    <w:rsid w:val="15AC6033"/>
    <w:rsid w:val="15E81551"/>
    <w:rsid w:val="1687121A"/>
    <w:rsid w:val="1769612C"/>
    <w:rsid w:val="176C0E13"/>
    <w:rsid w:val="180D643B"/>
    <w:rsid w:val="193E24C2"/>
    <w:rsid w:val="196F5642"/>
    <w:rsid w:val="197573ED"/>
    <w:rsid w:val="19CB5023"/>
    <w:rsid w:val="1A6627AB"/>
    <w:rsid w:val="1A673497"/>
    <w:rsid w:val="1A8C3E4C"/>
    <w:rsid w:val="1AC14286"/>
    <w:rsid w:val="1ADA0CB9"/>
    <w:rsid w:val="1B914F86"/>
    <w:rsid w:val="1BB93B7F"/>
    <w:rsid w:val="1C063260"/>
    <w:rsid w:val="1CE276BD"/>
    <w:rsid w:val="1D004958"/>
    <w:rsid w:val="1D482B70"/>
    <w:rsid w:val="1D726CFF"/>
    <w:rsid w:val="1D741526"/>
    <w:rsid w:val="1D980588"/>
    <w:rsid w:val="1E0D618C"/>
    <w:rsid w:val="1F36461B"/>
    <w:rsid w:val="1FC12791"/>
    <w:rsid w:val="203866A1"/>
    <w:rsid w:val="20D222E9"/>
    <w:rsid w:val="20DE5948"/>
    <w:rsid w:val="2119095A"/>
    <w:rsid w:val="21421D01"/>
    <w:rsid w:val="21650C03"/>
    <w:rsid w:val="21AC26A7"/>
    <w:rsid w:val="21BD439D"/>
    <w:rsid w:val="220075A0"/>
    <w:rsid w:val="2216665C"/>
    <w:rsid w:val="22F50FD7"/>
    <w:rsid w:val="234E6A48"/>
    <w:rsid w:val="238F41BA"/>
    <w:rsid w:val="24077B40"/>
    <w:rsid w:val="248B595E"/>
    <w:rsid w:val="24CB7F92"/>
    <w:rsid w:val="251A7EDE"/>
    <w:rsid w:val="26166079"/>
    <w:rsid w:val="269D2D47"/>
    <w:rsid w:val="26AC047F"/>
    <w:rsid w:val="27A47DEF"/>
    <w:rsid w:val="27FD27F9"/>
    <w:rsid w:val="280D5608"/>
    <w:rsid w:val="282C6749"/>
    <w:rsid w:val="28636C8D"/>
    <w:rsid w:val="28A16DC3"/>
    <w:rsid w:val="28C01D96"/>
    <w:rsid w:val="290830FE"/>
    <w:rsid w:val="2AB95941"/>
    <w:rsid w:val="2ABC6414"/>
    <w:rsid w:val="2C5D3403"/>
    <w:rsid w:val="2CA5075A"/>
    <w:rsid w:val="2D0D19FB"/>
    <w:rsid w:val="2D1C76DE"/>
    <w:rsid w:val="2D2C6D7A"/>
    <w:rsid w:val="2DEF4A1F"/>
    <w:rsid w:val="2E507645"/>
    <w:rsid w:val="2E5A7D24"/>
    <w:rsid w:val="2EAA05B9"/>
    <w:rsid w:val="2EF97306"/>
    <w:rsid w:val="2F3A012D"/>
    <w:rsid w:val="2F6F0A6B"/>
    <w:rsid w:val="2FA66ED4"/>
    <w:rsid w:val="2FFD3C00"/>
    <w:rsid w:val="304F2CFD"/>
    <w:rsid w:val="30D23E37"/>
    <w:rsid w:val="30E64908"/>
    <w:rsid w:val="30F03510"/>
    <w:rsid w:val="310C6E47"/>
    <w:rsid w:val="31107A12"/>
    <w:rsid w:val="328B1C8A"/>
    <w:rsid w:val="329B38E7"/>
    <w:rsid w:val="32D53070"/>
    <w:rsid w:val="335D57B1"/>
    <w:rsid w:val="3427237C"/>
    <w:rsid w:val="343C7DB6"/>
    <w:rsid w:val="346F7164"/>
    <w:rsid w:val="35022AA8"/>
    <w:rsid w:val="35254EA4"/>
    <w:rsid w:val="354A0EC6"/>
    <w:rsid w:val="358E19EB"/>
    <w:rsid w:val="35DC23A2"/>
    <w:rsid w:val="36C15100"/>
    <w:rsid w:val="3745068C"/>
    <w:rsid w:val="374F10C7"/>
    <w:rsid w:val="375271E8"/>
    <w:rsid w:val="37946F21"/>
    <w:rsid w:val="37B71904"/>
    <w:rsid w:val="3945175B"/>
    <w:rsid w:val="397A6C37"/>
    <w:rsid w:val="39D40903"/>
    <w:rsid w:val="3A4820C8"/>
    <w:rsid w:val="3A4C2479"/>
    <w:rsid w:val="3B6B1549"/>
    <w:rsid w:val="3C526FDA"/>
    <w:rsid w:val="3C92411A"/>
    <w:rsid w:val="3C9E070F"/>
    <w:rsid w:val="3DAA32F4"/>
    <w:rsid w:val="3E052E0D"/>
    <w:rsid w:val="3E0C767D"/>
    <w:rsid w:val="3ED53834"/>
    <w:rsid w:val="3EDE5F9D"/>
    <w:rsid w:val="3F557D77"/>
    <w:rsid w:val="3F653ECD"/>
    <w:rsid w:val="3F6D7007"/>
    <w:rsid w:val="3F741714"/>
    <w:rsid w:val="3F8C2381"/>
    <w:rsid w:val="40B1193E"/>
    <w:rsid w:val="40EF27CC"/>
    <w:rsid w:val="41A24648"/>
    <w:rsid w:val="41C9713B"/>
    <w:rsid w:val="42B750E0"/>
    <w:rsid w:val="42E171A3"/>
    <w:rsid w:val="430B3E6A"/>
    <w:rsid w:val="43C46536"/>
    <w:rsid w:val="44DA3BD7"/>
    <w:rsid w:val="45C149C9"/>
    <w:rsid w:val="46066264"/>
    <w:rsid w:val="4608522B"/>
    <w:rsid w:val="46170712"/>
    <w:rsid w:val="46C97F82"/>
    <w:rsid w:val="47052226"/>
    <w:rsid w:val="476A20C4"/>
    <w:rsid w:val="476D78BA"/>
    <w:rsid w:val="477255F8"/>
    <w:rsid w:val="47EA2557"/>
    <w:rsid w:val="48CC452F"/>
    <w:rsid w:val="49CF4F78"/>
    <w:rsid w:val="49DF1B54"/>
    <w:rsid w:val="4ABC5B1A"/>
    <w:rsid w:val="4AFD1922"/>
    <w:rsid w:val="4C536B94"/>
    <w:rsid w:val="4CBD1010"/>
    <w:rsid w:val="4CEF3CF8"/>
    <w:rsid w:val="4D855B94"/>
    <w:rsid w:val="4DF956E2"/>
    <w:rsid w:val="4E1B15A0"/>
    <w:rsid w:val="4E841886"/>
    <w:rsid w:val="4E8D1DE2"/>
    <w:rsid w:val="4EAB2FE4"/>
    <w:rsid w:val="4F3C2EC0"/>
    <w:rsid w:val="4F434038"/>
    <w:rsid w:val="4F9417D0"/>
    <w:rsid w:val="4FA202B8"/>
    <w:rsid w:val="4FE3080F"/>
    <w:rsid w:val="50B5618D"/>
    <w:rsid w:val="51025EEC"/>
    <w:rsid w:val="516C77AE"/>
    <w:rsid w:val="51773CFC"/>
    <w:rsid w:val="519934C7"/>
    <w:rsid w:val="525C2B2E"/>
    <w:rsid w:val="52CB4273"/>
    <w:rsid w:val="53A57B3A"/>
    <w:rsid w:val="551652AB"/>
    <w:rsid w:val="554B55F7"/>
    <w:rsid w:val="559558C2"/>
    <w:rsid w:val="566A5FED"/>
    <w:rsid w:val="56BD391A"/>
    <w:rsid w:val="56E35A9C"/>
    <w:rsid w:val="57BB6BEB"/>
    <w:rsid w:val="59120F59"/>
    <w:rsid w:val="591D3BA7"/>
    <w:rsid w:val="594304CC"/>
    <w:rsid w:val="596E7B6E"/>
    <w:rsid w:val="5AA9798C"/>
    <w:rsid w:val="5ACB4F32"/>
    <w:rsid w:val="5B244A5A"/>
    <w:rsid w:val="5B621989"/>
    <w:rsid w:val="5B682F4B"/>
    <w:rsid w:val="5B74382F"/>
    <w:rsid w:val="5C691376"/>
    <w:rsid w:val="5C7134DE"/>
    <w:rsid w:val="5CAF735A"/>
    <w:rsid w:val="5D120080"/>
    <w:rsid w:val="5E352002"/>
    <w:rsid w:val="5E920C28"/>
    <w:rsid w:val="5F1C7AED"/>
    <w:rsid w:val="5F536C26"/>
    <w:rsid w:val="5F5473EC"/>
    <w:rsid w:val="5F90413A"/>
    <w:rsid w:val="5FC83335"/>
    <w:rsid w:val="60221384"/>
    <w:rsid w:val="60565855"/>
    <w:rsid w:val="60F56473"/>
    <w:rsid w:val="60F86FD4"/>
    <w:rsid w:val="610A4B5F"/>
    <w:rsid w:val="616E4CF3"/>
    <w:rsid w:val="617D0F75"/>
    <w:rsid w:val="61CE2308"/>
    <w:rsid w:val="61E706FD"/>
    <w:rsid w:val="61ED3E3C"/>
    <w:rsid w:val="62B14B3A"/>
    <w:rsid w:val="633109A6"/>
    <w:rsid w:val="633B3EAB"/>
    <w:rsid w:val="63612613"/>
    <w:rsid w:val="63B4108B"/>
    <w:rsid w:val="63EB2E1A"/>
    <w:rsid w:val="641F498E"/>
    <w:rsid w:val="6424370A"/>
    <w:rsid w:val="647916AF"/>
    <w:rsid w:val="64B31810"/>
    <w:rsid w:val="64EF2879"/>
    <w:rsid w:val="650D1C96"/>
    <w:rsid w:val="6518479E"/>
    <w:rsid w:val="65532EC2"/>
    <w:rsid w:val="65853E6F"/>
    <w:rsid w:val="65C72285"/>
    <w:rsid w:val="6642520A"/>
    <w:rsid w:val="66882038"/>
    <w:rsid w:val="668B4563"/>
    <w:rsid w:val="66CC144B"/>
    <w:rsid w:val="67236075"/>
    <w:rsid w:val="673E471E"/>
    <w:rsid w:val="67457E5B"/>
    <w:rsid w:val="67EF68DF"/>
    <w:rsid w:val="68100710"/>
    <w:rsid w:val="68760F6C"/>
    <w:rsid w:val="688641BC"/>
    <w:rsid w:val="691D0A8B"/>
    <w:rsid w:val="69FA48EF"/>
    <w:rsid w:val="6AB32E4C"/>
    <w:rsid w:val="6B19435D"/>
    <w:rsid w:val="6B5108C1"/>
    <w:rsid w:val="6C965D84"/>
    <w:rsid w:val="6D866737"/>
    <w:rsid w:val="6F0B65A9"/>
    <w:rsid w:val="6FA96611"/>
    <w:rsid w:val="704C7FA2"/>
    <w:rsid w:val="709344DD"/>
    <w:rsid w:val="71A6399A"/>
    <w:rsid w:val="71EB3F0D"/>
    <w:rsid w:val="72A1592D"/>
    <w:rsid w:val="72F15351"/>
    <w:rsid w:val="73AC73AC"/>
    <w:rsid w:val="742A7635"/>
    <w:rsid w:val="74513ADE"/>
    <w:rsid w:val="749123F0"/>
    <w:rsid w:val="74FF5FC2"/>
    <w:rsid w:val="750E0AA3"/>
    <w:rsid w:val="75790F79"/>
    <w:rsid w:val="76173E55"/>
    <w:rsid w:val="76731A9E"/>
    <w:rsid w:val="773B0D0D"/>
    <w:rsid w:val="77AE0281"/>
    <w:rsid w:val="77CA4249"/>
    <w:rsid w:val="78412583"/>
    <w:rsid w:val="7855496E"/>
    <w:rsid w:val="78A173C6"/>
    <w:rsid w:val="78AC6688"/>
    <w:rsid w:val="79A1156A"/>
    <w:rsid w:val="79A5544F"/>
    <w:rsid w:val="79AA053B"/>
    <w:rsid w:val="79C6269C"/>
    <w:rsid w:val="7AA8546C"/>
    <w:rsid w:val="7ABD0011"/>
    <w:rsid w:val="7B521D5B"/>
    <w:rsid w:val="7B5A74E2"/>
    <w:rsid w:val="7B626F8B"/>
    <w:rsid w:val="7B693905"/>
    <w:rsid w:val="7B6D1EB3"/>
    <w:rsid w:val="7B853AC8"/>
    <w:rsid w:val="7BF001C7"/>
    <w:rsid w:val="7C5E37E6"/>
    <w:rsid w:val="7CCD384E"/>
    <w:rsid w:val="7CE6293F"/>
    <w:rsid w:val="7D553A9C"/>
    <w:rsid w:val="7D754DD8"/>
    <w:rsid w:val="7DD81E64"/>
    <w:rsid w:val="7E1171B1"/>
    <w:rsid w:val="7E8A57A0"/>
    <w:rsid w:val="7EBE4303"/>
    <w:rsid w:val="7EFF32F9"/>
    <w:rsid w:val="7F0707C4"/>
    <w:rsid w:val="7F436895"/>
    <w:rsid w:val="7F590637"/>
    <w:rsid w:val="7F78421F"/>
    <w:rsid w:val="7FE72BD9"/>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7</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2020-02-28T01:11:00Z</cp:lastPrinted>
  <dcterms:modified xsi:type="dcterms:W3CDTF">2020-04-09T02:33:09Z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