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10"/>
          <w:szCs w:val="10"/>
        </w:rPr>
      </w:pPr>
    </w:p>
    <w:p>
      <w:pPr>
        <w:autoSpaceDE w:val="0"/>
        <w:autoSpaceDN w:val="0"/>
        <w:adjustRightInd w:val="0"/>
        <w:jc w:val="center"/>
        <w:rPr>
          <w:b/>
          <w:bCs/>
          <w:sz w:val="52"/>
          <w:szCs w:val="52"/>
        </w:rPr>
      </w:pPr>
      <w:r>
        <w:rPr>
          <w:rFonts w:hint="eastAsia"/>
          <w:b/>
          <w:bCs/>
          <w:sz w:val="52"/>
          <w:szCs w:val="52"/>
        </w:rPr>
        <w:t>许昌经济技术开发投资有限公司“屯北安置房35#地20#楼室外工程”</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pStyle w:val="2"/>
        <w:ind w:firstLine="340"/>
      </w:pPr>
    </w:p>
    <w:p>
      <w:pPr>
        <w:pStyle w:val="4"/>
        <w:ind w:left="680" w:firstLine="680"/>
        <w:rPr>
          <w:rFonts w:hint="default"/>
          <w:lang w:eastAsia="zh-CN"/>
        </w:rPr>
      </w:pPr>
    </w:p>
    <w:p>
      <w:pPr>
        <w:autoSpaceDE w:val="0"/>
        <w:autoSpaceDN w:val="0"/>
        <w:adjustRightInd w:val="0"/>
        <w:jc w:val="center"/>
        <w:rPr>
          <w:rFonts w:hAnsi="宋体" w:cs="宋体"/>
          <w:b/>
          <w:sz w:val="52"/>
          <w:szCs w:val="52"/>
        </w:rPr>
      </w:pPr>
      <w:r>
        <w:rPr>
          <w:rFonts w:hint="eastAsia" w:hAnsi="宋体" w:cs="宋体"/>
          <w:b/>
          <w:sz w:val="52"/>
          <w:szCs w:val="52"/>
        </w:rPr>
        <w:t>施工招标文件</w:t>
      </w:r>
    </w:p>
    <w:p>
      <w:pPr>
        <w:autoSpaceDE w:val="0"/>
        <w:autoSpaceDN w:val="0"/>
        <w:adjustRightInd w:val="0"/>
        <w:jc w:val="center"/>
        <w:rPr>
          <w:rFonts w:hint="default" w:hAnsi="宋体" w:cs="宋体" w:eastAsiaTheme="minorEastAsia"/>
          <w:b/>
          <w:sz w:val="36"/>
          <w:szCs w:val="36"/>
          <w:lang w:val="en-US" w:eastAsia="zh-CN"/>
        </w:rPr>
      </w:pPr>
      <w:r>
        <w:rPr>
          <w:rFonts w:hint="eastAsia" w:hAnsi="宋体" w:cs="宋体"/>
          <w:b/>
          <w:sz w:val="36"/>
          <w:szCs w:val="36"/>
        </w:rPr>
        <w:t>项目编号：XCGC-F2020</w:t>
      </w:r>
      <w:r>
        <w:rPr>
          <w:rFonts w:hint="eastAsia" w:hAnsi="宋体" w:cs="宋体"/>
          <w:b/>
          <w:sz w:val="36"/>
          <w:szCs w:val="36"/>
          <w:lang w:val="en-US" w:eastAsia="zh-CN"/>
        </w:rPr>
        <w:t>065</w:t>
      </w:r>
    </w:p>
    <w:p>
      <w:pPr>
        <w:autoSpaceDE w:val="0"/>
        <w:autoSpaceDN w:val="0"/>
        <w:adjustRightInd w:val="0"/>
        <w:jc w:val="center"/>
        <w:rPr>
          <w:rFonts w:hAnsi="宋体" w:cs="宋体"/>
          <w:b/>
          <w:sz w:val="32"/>
          <w:szCs w:val="32"/>
        </w:rPr>
      </w:pPr>
      <w:r>
        <w:rPr>
          <w:rFonts w:hint="eastAsia" w:hAnsi="宋体" w:cs="宋体"/>
          <w:b/>
          <w:sz w:val="32"/>
          <w:szCs w:val="32"/>
        </w:rPr>
        <w:t>不见面开标</w:t>
      </w:r>
    </w:p>
    <w:p>
      <w:pPr>
        <w:autoSpaceDE w:val="0"/>
        <w:autoSpaceDN w:val="0"/>
        <w:adjustRightInd w:val="0"/>
        <w:jc w:val="center"/>
        <w:rPr>
          <w:rFonts w:hAnsi="宋体" w:cs="宋体"/>
          <w:b/>
          <w:sz w:val="52"/>
          <w:szCs w:val="52"/>
        </w:rPr>
      </w:pPr>
      <w:r>
        <w:rPr>
          <w:rFonts w:hint="eastAsia" w:hAnsi="宋体" w:cs="宋体"/>
          <w:b/>
          <w:sz w:val="36"/>
          <w:szCs w:val="36"/>
        </w:rPr>
        <w:t xml:space="preserve">   </w:t>
      </w:r>
    </w:p>
    <w:p>
      <w:pPr>
        <w:autoSpaceDE w:val="0"/>
        <w:autoSpaceDN w:val="0"/>
        <w:adjustRightInd w:val="0"/>
        <w:rPr>
          <w:rFonts w:hAnsi="宋体" w:cs="宋体"/>
          <w:b/>
          <w:sz w:val="32"/>
          <w:szCs w:val="32"/>
        </w:rPr>
      </w:pPr>
    </w:p>
    <w:p>
      <w:pPr>
        <w:pStyle w:val="19"/>
        <w:tabs>
          <w:tab w:val="left" w:pos="1980"/>
        </w:tabs>
        <w:spacing w:line="1000" w:lineRule="exact"/>
        <w:rPr>
          <w:rFonts w:hAnsi="宋体"/>
          <w:b/>
          <w:color w:val="auto"/>
          <w:sz w:val="32"/>
          <w:szCs w:val="32"/>
        </w:rPr>
      </w:pPr>
    </w:p>
    <w:p>
      <w:pPr>
        <w:pStyle w:val="19"/>
        <w:tabs>
          <w:tab w:val="left" w:pos="1980"/>
        </w:tabs>
        <w:spacing w:line="1000" w:lineRule="exact"/>
        <w:rPr>
          <w:rFonts w:hAnsi="宋体"/>
          <w:b/>
          <w:color w:val="auto"/>
          <w:sz w:val="32"/>
          <w:szCs w:val="32"/>
        </w:rPr>
      </w:pPr>
    </w:p>
    <w:p>
      <w:pPr>
        <w:pStyle w:val="19"/>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   标   人：许昌经济技术开发投资有限公司</w:t>
      </w:r>
    </w:p>
    <w:p>
      <w:pPr>
        <w:pStyle w:val="19"/>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招标代理机构：中大国信工程管理有限公司</w:t>
      </w:r>
    </w:p>
    <w:p>
      <w:pPr>
        <w:pStyle w:val="19"/>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日        期：二〇二〇年四月</w:t>
      </w:r>
    </w:p>
    <w:p>
      <w:pPr>
        <w:ind w:firstLine="3465" w:firstLineChars="1083"/>
        <w:rPr>
          <w:rFonts w:hAnsi="宋体" w:cs="宋体"/>
          <w:b/>
          <w:sz w:val="32"/>
          <w:szCs w:val="32"/>
        </w:rPr>
      </w:pPr>
    </w:p>
    <w:p>
      <w:pPr>
        <w:ind w:firstLine="3465" w:firstLineChars="1083"/>
        <w:rPr>
          <w:rFonts w:hAnsi="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ind w:firstLine="4765" w:firstLineChars="1083"/>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Lines="50"/>
        <w:jc w:val="center"/>
        <w:rPr>
          <w:rFonts w:hAnsi="宋体" w:cs="宋体"/>
          <w:b/>
          <w:sz w:val="32"/>
          <w:szCs w:val="32"/>
        </w:rPr>
      </w:pPr>
      <w:r>
        <w:rPr>
          <w:rFonts w:hint="eastAsia" w:hAnsi="宋体" w:cs="宋体"/>
          <w:b/>
          <w:sz w:val="36"/>
          <w:szCs w:val="36"/>
        </w:rPr>
        <w:t>第一章  招标公告</w:t>
      </w:r>
    </w:p>
    <w:p>
      <w:pPr>
        <w:spacing w:line="440" w:lineRule="exact"/>
        <w:outlineLvl w:val="0"/>
        <w:rPr>
          <w:rFonts w:hAnsi="宋体" w:cs="宋体"/>
          <w:b/>
          <w:sz w:val="24"/>
          <w:szCs w:val="24"/>
        </w:rPr>
      </w:pPr>
      <w:r>
        <w:rPr>
          <w:rFonts w:hint="eastAsia" w:hAnsi="宋体" w:cs="宋体"/>
          <w:b/>
          <w:sz w:val="24"/>
          <w:szCs w:val="24"/>
        </w:rPr>
        <w:t>1.招标条件</w:t>
      </w:r>
    </w:p>
    <w:p>
      <w:pPr>
        <w:tabs>
          <w:tab w:val="left" w:pos="982"/>
        </w:tabs>
        <w:spacing w:line="440" w:lineRule="exact"/>
        <w:ind w:firstLine="360" w:firstLineChars="150"/>
        <w:jc w:val="left"/>
        <w:rPr>
          <w:rFonts w:hAnsi="宋体" w:cs="宋体"/>
          <w:b/>
          <w:sz w:val="24"/>
          <w:szCs w:val="24"/>
          <w:u w:val="single"/>
        </w:rPr>
      </w:pPr>
      <w:r>
        <w:rPr>
          <w:rFonts w:hint="eastAsia" w:hAnsi="宋体" w:eastAsia="宋体" w:cs="宋体"/>
          <w:bCs/>
          <w:sz w:val="24"/>
          <w:szCs w:val="24"/>
        </w:rPr>
        <w:t>许昌经济技术开发投资有限公司“屯北安置房35#地20#楼室外工程”已由许昌经济技术开发投资有限公司以许开投</w:t>
      </w:r>
      <w:r>
        <w:rPr>
          <w:rFonts w:hint="eastAsia" w:asciiTheme="minorEastAsia" w:hAnsiTheme="minorEastAsia" w:cstheme="minorEastAsia"/>
          <w:sz w:val="24"/>
        </w:rPr>
        <w:t>【2017】72号文批准建设</w:t>
      </w:r>
      <w:r>
        <w:rPr>
          <w:rFonts w:hint="eastAsia" w:hAnsi="宋体" w:eastAsia="宋体" w:cs="宋体"/>
          <w:bCs/>
          <w:sz w:val="24"/>
          <w:szCs w:val="24"/>
        </w:rPr>
        <w:t>，招标人为许昌经济技术开发投资有限公司，建设资金为财政资金，项目出资比例为100%。项目已具备招标条件，现对该项目的施工进行公开招标。</w:t>
      </w:r>
    </w:p>
    <w:p>
      <w:pPr>
        <w:tabs>
          <w:tab w:val="left" w:pos="4420"/>
        </w:tabs>
        <w:spacing w:line="44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2.1项目编号：XCGC-F2020</w:t>
      </w:r>
      <w:r>
        <w:rPr>
          <w:rFonts w:hint="eastAsia" w:hAnsi="宋体" w:eastAsia="宋体" w:cs="宋体"/>
          <w:bCs/>
          <w:sz w:val="24"/>
          <w:szCs w:val="24"/>
          <w:lang w:val="en-US" w:eastAsia="zh-CN"/>
        </w:rPr>
        <w:t>065</w:t>
      </w:r>
      <w:r>
        <w:rPr>
          <w:rFonts w:hint="eastAsia" w:hAnsi="宋体" w:eastAsia="宋体" w:cs="宋体"/>
          <w:bCs/>
          <w:sz w:val="24"/>
          <w:szCs w:val="24"/>
        </w:rPr>
        <w:t xml:space="preserve">    </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2.2项目概况：本项目屯北社区35号地块20#室外工程，包含设备间，非机动车棚、混凝土道路、透水砖地面、门卫室、围墙等施工内容。</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2.3招标控制价：1728909.33元</w:t>
      </w:r>
      <w:r>
        <w:rPr>
          <w:rFonts w:hAnsi="宋体" w:eastAsia="宋体" w:cs="宋体"/>
          <w:bCs/>
          <w:sz w:val="24"/>
          <w:szCs w:val="24"/>
        </w:rPr>
        <w:t xml:space="preserve"> </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2.4招标范围：招标文件、施工图纸、工程量清单、答疑纪要和补充文件（如有）范围内的所有建设内容。</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2.5标段划分：</w:t>
      </w:r>
      <w:r>
        <w:rPr>
          <w:rFonts w:hint="eastAsia" w:hAnsi="宋体" w:cs="宋体"/>
          <w:sz w:val="24"/>
          <w:szCs w:val="24"/>
        </w:rPr>
        <w:t>本次招标一个标段</w:t>
      </w:r>
      <w:r>
        <w:rPr>
          <w:rFonts w:hint="eastAsia" w:hAnsi="宋体" w:eastAsia="宋体" w:cs="宋体"/>
          <w:bCs/>
          <w:sz w:val="24"/>
          <w:szCs w:val="24"/>
        </w:rPr>
        <w:t>。</w:t>
      </w:r>
    </w:p>
    <w:p>
      <w:pPr>
        <w:tabs>
          <w:tab w:val="left" w:pos="982"/>
        </w:tabs>
        <w:spacing w:line="440" w:lineRule="exact"/>
        <w:ind w:firstLine="480" w:firstLineChars="200"/>
        <w:jc w:val="left"/>
        <w:rPr>
          <w:rFonts w:hAnsi="宋体" w:cs="宋体"/>
          <w:sz w:val="24"/>
          <w:szCs w:val="24"/>
        </w:rPr>
      </w:pPr>
      <w:r>
        <w:rPr>
          <w:rFonts w:hint="eastAsia" w:hAnsi="宋体" w:eastAsia="宋体" w:cs="宋体"/>
          <w:bCs/>
          <w:sz w:val="24"/>
          <w:szCs w:val="24"/>
        </w:rPr>
        <w:t>2.6计划工期:</w:t>
      </w:r>
      <w:r>
        <w:rPr>
          <w:rFonts w:hint="eastAsia" w:hAnsi="宋体" w:cs="宋体"/>
          <w:sz w:val="24"/>
          <w:szCs w:val="24"/>
        </w:rPr>
        <w:t xml:space="preserve"> 30日历天</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2.7质量要求：合格（符合国家现行的验收规范和标准）。</w:t>
      </w:r>
    </w:p>
    <w:p>
      <w:pPr>
        <w:spacing w:line="440" w:lineRule="exact"/>
        <w:outlineLvl w:val="0"/>
        <w:rPr>
          <w:rFonts w:hAnsi="宋体" w:cs="宋体"/>
          <w:b/>
          <w:sz w:val="24"/>
          <w:szCs w:val="24"/>
        </w:rPr>
      </w:pPr>
      <w:r>
        <w:rPr>
          <w:rFonts w:hint="eastAsia" w:hAnsi="宋体" w:cs="宋体"/>
          <w:b/>
          <w:sz w:val="24"/>
          <w:szCs w:val="24"/>
        </w:rPr>
        <w:t>3.投标人资格要求</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3.1</w:t>
      </w:r>
      <w:r>
        <w:rPr>
          <w:rFonts w:hAnsi="宋体" w:eastAsia="宋体" w:cs="宋体"/>
          <w:bCs/>
          <w:sz w:val="24"/>
          <w:szCs w:val="24"/>
        </w:rPr>
        <w:t xml:space="preserve"> </w:t>
      </w:r>
      <w:r>
        <w:rPr>
          <w:rFonts w:hint="eastAsia" w:hAnsi="宋体" w:eastAsia="宋体" w:cs="宋体"/>
          <w:bCs/>
          <w:sz w:val="24"/>
          <w:szCs w:val="24"/>
        </w:rPr>
        <w:t>投标人须具有建筑工程施工总承包三级以上（含三级）企业资质，具有有效的安全生产许可证的独立法人企业，并在人员、设备、资金等方面具有相应的施工能力。拟派项目负责人具有二级以上（含二级）建筑工程专业注册建造师执业资格和有效的安全生产考核合格证，且未担任其它在施建设工程的项目负责人。</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 xml:space="preserve"> 3.3本次招标不接受联合体投标。</w:t>
      </w:r>
    </w:p>
    <w:p>
      <w:pPr>
        <w:tabs>
          <w:tab w:val="left" w:pos="982"/>
        </w:tabs>
        <w:spacing w:line="440" w:lineRule="exact"/>
        <w:ind w:firstLine="480" w:firstLineChars="200"/>
        <w:jc w:val="left"/>
        <w:rPr>
          <w:rFonts w:hAnsi="宋体" w:cs="宋体"/>
          <w:sz w:val="24"/>
          <w:szCs w:val="24"/>
        </w:rPr>
      </w:pPr>
      <w:r>
        <w:rPr>
          <w:rFonts w:hint="eastAsia" w:hAnsi="宋体" w:eastAsia="宋体" w:cs="宋体"/>
          <w:bCs/>
          <w:sz w:val="24"/>
          <w:szCs w:val="24"/>
        </w:rPr>
        <w:t xml:space="preserve"> 3.4本次招标实行资格后审。</w:t>
      </w:r>
    </w:p>
    <w:p>
      <w:pPr>
        <w:spacing w:line="440" w:lineRule="exact"/>
        <w:outlineLvl w:val="0"/>
        <w:rPr>
          <w:rFonts w:hAnsi="宋体"/>
          <w:b/>
          <w:sz w:val="24"/>
          <w:szCs w:val="24"/>
        </w:rPr>
      </w:pPr>
      <w:r>
        <w:rPr>
          <w:rFonts w:hint="eastAsia" w:hAnsi="宋体"/>
          <w:b/>
          <w:sz w:val="24"/>
          <w:szCs w:val="24"/>
        </w:rPr>
        <w:t>4.网上下载招标文件</w:t>
      </w:r>
    </w:p>
    <w:p>
      <w:pPr>
        <w:pStyle w:val="10"/>
        <w:wordWrap w:val="0"/>
        <w:spacing w:beforeAutospacing="0" w:afterAutospacing="0" w:line="44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0"/>
        <w:spacing w:beforeAutospacing="0" w:afterAutospacing="0" w:line="44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440" w:lineRule="exact"/>
        <w:outlineLvl w:val="0"/>
        <w:rPr>
          <w:rFonts w:hAnsi="宋体"/>
          <w:b/>
          <w:sz w:val="24"/>
          <w:szCs w:val="24"/>
        </w:rPr>
      </w:pPr>
      <w:r>
        <w:rPr>
          <w:rFonts w:hint="eastAsia" w:hAnsi="宋体"/>
          <w:b/>
          <w:sz w:val="24"/>
          <w:szCs w:val="24"/>
        </w:rPr>
        <w:t>5.招标文件和施工图纸的获取</w:t>
      </w:r>
    </w:p>
    <w:p>
      <w:pPr>
        <w:widowControl/>
        <w:spacing w:before="226" w:line="460" w:lineRule="atLeast"/>
        <w:ind w:firstLine="480"/>
        <w:jc w:val="left"/>
        <w:rPr>
          <w:rFonts w:hAnsi="宋体"/>
          <w:sz w:val="24"/>
          <w:szCs w:val="24"/>
        </w:rPr>
      </w:pPr>
      <w:r>
        <w:rPr>
          <w:rFonts w:hAnsi="宋体"/>
          <w:sz w:val="24"/>
          <w:szCs w:val="24"/>
        </w:rPr>
        <w:t>5.1</w:t>
      </w:r>
      <w:r>
        <w:rPr>
          <w:rFonts w:hint="eastAsia" w:hAnsi="宋体"/>
          <w:sz w:val="24"/>
          <w:szCs w:val="24"/>
        </w:rPr>
        <w:t>招标文件和工程量清单的获取：投标人于投标文件递交截止时间前均可登录《全国公共资源交易平台</w:t>
      </w:r>
      <w:r>
        <w:rPr>
          <w:rFonts w:hAnsi="宋体"/>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hAnsi="宋体"/>
          <w:sz w:val="24"/>
          <w:szCs w:val="24"/>
        </w:rPr>
        <w:t>许昌市</w:t>
      </w:r>
      <w:r>
        <w:rPr>
          <w:rFonts w:hAnsi="宋体"/>
          <w:sz w:val="24"/>
          <w:szCs w:val="24"/>
        </w:rPr>
        <w:t>)</w:t>
      </w:r>
      <w:r>
        <w:rPr>
          <w:rFonts w:hint="eastAsia" w:hAnsi="宋体"/>
          <w:sz w:val="24"/>
          <w:szCs w:val="24"/>
        </w:rPr>
        <w:t>》（</w:t>
      </w:r>
      <w:r>
        <w:rPr>
          <w:rFonts w:hAnsi="宋体"/>
          <w:sz w:val="24"/>
          <w:szCs w:val="24"/>
        </w:rPr>
        <w:t>http://ggzy.xuchang.gov.cn/</w:t>
      </w:r>
      <w:r>
        <w:rPr>
          <w:rFonts w:hint="eastAsia" w:hAnsi="宋体"/>
          <w:sz w:val="24"/>
          <w:szCs w:val="24"/>
        </w:rPr>
        <w:t>），通过“投标人</w:t>
      </w:r>
      <w:r>
        <w:rPr>
          <w:rFonts w:hAnsi="宋体"/>
          <w:sz w:val="24"/>
          <w:szCs w:val="24"/>
        </w:rPr>
        <w:t>/</w:t>
      </w:r>
      <w:r>
        <w:rPr>
          <w:rFonts w:hint="eastAsia" w:hAnsi="宋体"/>
          <w:sz w:val="24"/>
          <w:szCs w:val="24"/>
        </w:rPr>
        <w:t>供应商登录”</w:t>
      </w:r>
      <w:r>
        <w:rPr>
          <w:rFonts w:hAnsi="宋体"/>
          <w:sz w:val="24"/>
          <w:szCs w:val="24"/>
        </w:rPr>
        <w:t xml:space="preserve"> </w:t>
      </w:r>
      <w:r>
        <w:rPr>
          <w:rFonts w:hint="eastAsia" w:hAnsi="宋体"/>
          <w:sz w:val="24"/>
          <w:szCs w:val="24"/>
        </w:rPr>
        <w:t>入口自行下载。</w:t>
      </w:r>
    </w:p>
    <w:p>
      <w:pPr>
        <w:tabs>
          <w:tab w:val="left" w:pos="7095"/>
        </w:tabs>
        <w:spacing w:line="440" w:lineRule="exact"/>
        <w:ind w:firstLine="360" w:firstLineChars="150"/>
        <w:rPr>
          <w:rFonts w:hAnsi="宋体"/>
          <w:sz w:val="24"/>
          <w:szCs w:val="24"/>
        </w:rPr>
      </w:pPr>
      <w:r>
        <w:rPr>
          <w:rFonts w:hint="eastAsia" w:hAnsi="宋体"/>
          <w:sz w:val="24"/>
          <w:szCs w:val="24"/>
        </w:rPr>
        <w:t xml:space="preserve"> 5.2施工图纸下载：按照施工招标文件中第二章投标人须知前附表第2.1项自行下载。</w:t>
      </w:r>
    </w:p>
    <w:p>
      <w:pPr>
        <w:autoSpaceDE w:val="0"/>
        <w:autoSpaceDN w:val="0"/>
        <w:adjustRightInd w:val="0"/>
        <w:spacing w:line="440" w:lineRule="exact"/>
        <w:ind w:firstLine="480"/>
        <w:jc w:val="left"/>
        <w:rPr>
          <w:rFonts w:hAnsi="宋体" w:cs="宋体"/>
          <w:b/>
          <w:bCs/>
          <w:sz w:val="24"/>
        </w:rPr>
      </w:pPr>
      <w:r>
        <w:rPr>
          <w:rFonts w:hint="eastAsia" w:hAnsi="宋体"/>
          <w:sz w:val="24"/>
          <w:szCs w:val="24"/>
        </w:rPr>
        <w:t>5.3招标文件每套售价300元/标段，投标人于开标结束后转账至支付宝账号55895441@qq.com（转账时请注明项目编号、所属标段及公司名称）</w:t>
      </w:r>
    </w:p>
    <w:p>
      <w:pPr>
        <w:autoSpaceDE w:val="0"/>
        <w:autoSpaceDN w:val="0"/>
        <w:adjustRightInd w:val="0"/>
        <w:spacing w:line="440" w:lineRule="exact"/>
        <w:jc w:val="left"/>
        <w:rPr>
          <w:rFonts w:hAnsi="宋体" w:cs="宋体"/>
          <w:b/>
          <w:bCs/>
          <w:sz w:val="24"/>
        </w:rPr>
      </w:pPr>
      <w:r>
        <w:rPr>
          <w:rFonts w:hint="eastAsia" w:hAnsi="宋体" w:cs="宋体"/>
          <w:b/>
          <w:bCs/>
          <w:sz w:val="24"/>
        </w:rPr>
        <w:t>6.投标文件的提交</w:t>
      </w:r>
    </w:p>
    <w:p>
      <w:pPr>
        <w:spacing w:line="530" w:lineRule="exact"/>
        <w:ind w:firstLine="465"/>
        <w:rPr>
          <w:rFonts w:hAnsi="宋体" w:cs="宋体"/>
          <w:sz w:val="24"/>
          <w:szCs w:val="24"/>
        </w:rPr>
      </w:pPr>
      <w:r>
        <w:rPr>
          <w:rFonts w:hAnsi="宋体" w:cs="宋体"/>
          <w:sz w:val="24"/>
          <w:szCs w:val="24"/>
        </w:rPr>
        <w:t xml:space="preserve">6.1 </w:t>
      </w:r>
      <w:r>
        <w:rPr>
          <w:rFonts w:hint="eastAsia" w:hAnsi="宋体" w:cs="宋体"/>
          <w:sz w:val="24"/>
          <w:szCs w:val="24"/>
        </w:rPr>
        <w:t>本项目为全流程电子化交易项目，投标人应按规定在投标截止时间（同开标时间）前通过《全国公共资源交易平台</w:t>
      </w:r>
      <w:r>
        <w:rPr>
          <w:rFonts w:hAnsi="宋体" w:cs="宋体"/>
          <w:sz w:val="24"/>
          <w:szCs w:val="24"/>
        </w:rPr>
        <w:t>(</w:t>
      </w:r>
      <w:r>
        <w:rPr>
          <w:rFonts w:hint="eastAsia" w:hAnsi="宋体" w:cs="宋体"/>
          <w:sz w:val="24"/>
          <w:szCs w:val="24"/>
        </w:rPr>
        <w:t>河南省</w:t>
      </w:r>
      <w:r>
        <w:rPr>
          <w:rFonts w:hint="eastAsia" w:ascii="MS Mincho" w:hAnsi="MS Mincho" w:eastAsia="MS Mincho" w:cs="MS Mincho"/>
          <w:sz w:val="24"/>
          <w:szCs w:val="24"/>
        </w:rPr>
        <w:t>▪</w:t>
      </w:r>
      <w:r>
        <w:rPr>
          <w:rFonts w:hint="eastAsia" w:hAnsi="宋体" w:cs="宋体"/>
          <w:sz w:val="24"/>
          <w:szCs w:val="24"/>
        </w:rPr>
        <w:t>许昌市</w:t>
      </w:r>
      <w:r>
        <w:rPr>
          <w:rFonts w:hAnsi="宋体" w:cs="宋体"/>
          <w:sz w:val="24"/>
          <w:szCs w:val="24"/>
        </w:rPr>
        <w:t>)</w:t>
      </w:r>
      <w:r>
        <w:rPr>
          <w:rFonts w:hint="eastAsia" w:hAnsi="宋体" w:cs="宋体"/>
          <w:sz w:val="24"/>
          <w:szCs w:val="24"/>
        </w:rPr>
        <w:t>》公共资源交易系统成功上传本项目加密电子投标文件。</w:t>
      </w:r>
    </w:p>
    <w:p>
      <w:pPr>
        <w:spacing w:line="530" w:lineRule="exact"/>
        <w:ind w:firstLine="465"/>
        <w:rPr>
          <w:rFonts w:hAnsi="宋体" w:cs="宋体"/>
          <w:sz w:val="24"/>
          <w:szCs w:val="24"/>
        </w:rPr>
      </w:pPr>
      <w:r>
        <w:rPr>
          <w:rFonts w:hint="eastAsia" w:hAnsi="宋体" w:cs="宋体"/>
          <w:sz w:val="24"/>
          <w:szCs w:val="24"/>
        </w:rPr>
        <w:t>6.2 投标文件提交的截止时间及开标时间：2020年4月30日8时30分。</w:t>
      </w:r>
    </w:p>
    <w:p>
      <w:pPr>
        <w:spacing w:line="530" w:lineRule="exact"/>
        <w:ind w:firstLine="465"/>
        <w:rPr>
          <w:rFonts w:hAnsi="宋体" w:cs="宋体"/>
          <w:sz w:val="24"/>
          <w:szCs w:val="24"/>
        </w:rPr>
      </w:pPr>
      <w:r>
        <w:rPr>
          <w:rFonts w:hint="eastAsia" w:hAnsi="宋体" w:cs="宋体"/>
          <w:sz w:val="24"/>
          <w:szCs w:val="24"/>
        </w:rPr>
        <w:t>6.3招标人（代理机构）线上开标地点：许昌市公共资源交易中心（龙兴路与竹林路交汇处创业服务中心C 座）三楼开标一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spacing w:line="530" w:lineRule="exact"/>
        <w:ind w:firstLine="465"/>
        <w:rPr>
          <w:rFonts w:hAnsi="宋体" w:cs="宋体"/>
          <w:sz w:val="24"/>
        </w:rPr>
      </w:pPr>
      <w:r>
        <w:rPr>
          <w:rFonts w:hint="eastAsia" w:hAnsi="宋体" w:cs="宋体"/>
          <w:sz w:val="24"/>
          <w:szCs w:val="24"/>
        </w:rPr>
        <w:t>6.4逾期送达（未成功上传）的或者未按规定解密的电子投标文件，招标人不予受理。</w:t>
      </w:r>
    </w:p>
    <w:p>
      <w:pPr>
        <w:spacing w:line="440" w:lineRule="exact"/>
        <w:outlineLvl w:val="0"/>
        <w:rPr>
          <w:rFonts w:hAnsi="宋体" w:cs="宋体"/>
          <w:b/>
          <w:sz w:val="24"/>
          <w:szCs w:val="24"/>
        </w:rPr>
      </w:pPr>
      <w:r>
        <w:rPr>
          <w:rFonts w:hint="eastAsia" w:hAnsi="宋体" w:cs="宋体"/>
          <w:b/>
          <w:sz w:val="24"/>
          <w:szCs w:val="24"/>
        </w:rPr>
        <w:t>7.发布公告的媒介</w:t>
      </w:r>
    </w:p>
    <w:p>
      <w:pPr>
        <w:spacing w:line="440" w:lineRule="exact"/>
        <w:rPr>
          <w:rFonts w:hAnsi="宋体" w:cs="宋体"/>
          <w:b/>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440" w:lineRule="exact"/>
        <w:outlineLvl w:val="0"/>
        <w:rPr>
          <w:rFonts w:hAnsi="宋体" w:cs="宋体"/>
          <w:b/>
          <w:sz w:val="24"/>
          <w:szCs w:val="24"/>
        </w:rPr>
      </w:pPr>
      <w:r>
        <w:rPr>
          <w:rFonts w:hint="eastAsia" w:hAnsi="宋体" w:cs="宋体"/>
          <w:b/>
          <w:sz w:val="24"/>
          <w:szCs w:val="24"/>
        </w:rPr>
        <w:t>8.联系方式</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招 标 人：许昌经济技术开发投资有限公司</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 系 人: 马先生</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地    址：许昌经济开发区管委会</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联系电话：13938911738</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代理机构：中大国信工程管理有限公司</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地  址：许昌市万象春天2号楼</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 系 人：刘女士</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联系电话：15617285069</w:t>
      </w:r>
    </w:p>
    <w:p>
      <w:pPr>
        <w:spacing w:line="440" w:lineRule="exact"/>
        <w:rPr>
          <w:rFonts w:hAnsi="宋体"/>
          <w:b/>
          <w:sz w:val="28"/>
          <w:szCs w:val="28"/>
        </w:rPr>
      </w:pPr>
    </w:p>
    <w:p>
      <w:pPr>
        <w:pStyle w:val="2"/>
        <w:ind w:firstLine="240"/>
        <w:jc w:val="right"/>
        <w:rPr>
          <w:rFonts w:hAnsi="宋体" w:eastAsia="宋体" w:cs="宋体"/>
          <w:bCs/>
          <w:sz w:val="24"/>
          <w:szCs w:val="24"/>
        </w:rPr>
      </w:pPr>
      <w:r>
        <w:rPr>
          <w:rFonts w:hint="eastAsia" w:hAnsi="宋体" w:eastAsia="宋体" w:cs="宋体"/>
          <w:bCs/>
          <w:sz w:val="24"/>
          <w:szCs w:val="24"/>
        </w:rPr>
        <w:t>许昌经济技术开发投资有限公司</w:t>
      </w:r>
    </w:p>
    <w:p>
      <w:pPr>
        <w:pStyle w:val="2"/>
        <w:wordWrap w:val="0"/>
        <w:ind w:firstLine="240"/>
        <w:jc w:val="right"/>
      </w:pPr>
      <w:r>
        <w:rPr>
          <w:rFonts w:hint="eastAsia" w:hAnsi="宋体" w:eastAsia="宋体" w:cs="宋体"/>
          <w:bCs/>
          <w:sz w:val="24"/>
          <w:szCs w:val="24"/>
        </w:rPr>
        <w:t>2020年4月</w:t>
      </w:r>
      <w:r>
        <w:rPr>
          <w:rFonts w:hint="eastAsia" w:hAnsi="宋体" w:eastAsia="宋体" w:cs="宋体"/>
          <w:bCs/>
          <w:sz w:val="24"/>
          <w:szCs w:val="24"/>
          <w:lang w:val="en-US" w:eastAsia="zh-CN"/>
        </w:rPr>
        <w:t>7</w:t>
      </w:r>
      <w:bookmarkStart w:id="82" w:name="_GoBack"/>
      <w:bookmarkEnd w:id="82"/>
      <w:r>
        <w:rPr>
          <w:rFonts w:hint="eastAsia" w:hAnsi="宋体" w:eastAsia="宋体" w:cs="宋体"/>
          <w:bCs/>
          <w:sz w:val="24"/>
          <w:szCs w:val="24"/>
        </w:rPr>
        <w:t>日</w:t>
      </w:r>
    </w:p>
    <w:p>
      <w:pPr>
        <w:spacing w:line="440" w:lineRule="exact"/>
        <w:rPr>
          <w:rFonts w:hAnsi="宋体"/>
          <w:b/>
          <w:sz w:val="28"/>
          <w:szCs w:val="28"/>
        </w:rPr>
      </w:pPr>
    </w:p>
    <w:p>
      <w:pPr>
        <w:spacing w:line="440" w:lineRule="exact"/>
        <w:rPr>
          <w:rFonts w:hAnsi="宋体"/>
          <w:b/>
          <w:sz w:val="28"/>
          <w:szCs w:val="28"/>
        </w:rPr>
      </w:pPr>
    </w:p>
    <w:p>
      <w:pPr>
        <w:spacing w:line="440" w:lineRule="exact"/>
        <w:rPr>
          <w:rFonts w:hAnsi="宋体"/>
          <w:b/>
          <w:sz w:val="28"/>
          <w:szCs w:val="28"/>
        </w:rPr>
      </w:pPr>
      <w:r>
        <w:rPr>
          <w:rFonts w:hint="eastAsia" w:hAnsi="宋体"/>
          <w:b/>
          <w:sz w:val="28"/>
          <w:szCs w:val="28"/>
        </w:rPr>
        <w:t>温馨提示：</w:t>
      </w:r>
    </w:p>
    <w:p>
      <w:pPr>
        <w:spacing w:line="360" w:lineRule="auto"/>
        <w:ind w:firstLine="560" w:firstLineChars="200"/>
        <w:rPr>
          <w:rFonts w:ascii="仿宋_GB2312" w:eastAsia="仿宋_GB2312"/>
          <w:b/>
          <w:color w:val="000000"/>
          <w:sz w:val="32"/>
          <w:szCs w:val="32"/>
        </w:rPr>
      </w:pPr>
      <w:r>
        <w:rPr>
          <w:rFonts w:hint="eastAsia" w:hAnsi="宋体"/>
          <w:b/>
          <w:color w:val="000000"/>
          <w:sz w:val="28"/>
          <w:szCs w:val="28"/>
        </w:rPr>
        <w:t>本项目为全流程电子化交易项目，请认真阅读招标文件，并注意以下事项。</w:t>
      </w:r>
    </w:p>
    <w:p>
      <w:pPr>
        <w:spacing w:line="360" w:lineRule="auto"/>
        <w:ind w:firstLine="480" w:firstLineChars="200"/>
        <w:rPr>
          <w:rFonts w:hAnsi="宋体"/>
          <w:color w:val="000000"/>
          <w:sz w:val="24"/>
        </w:rPr>
      </w:pPr>
      <w:r>
        <w:rPr>
          <w:rFonts w:hint="eastAsia" w:hAnsi="宋体"/>
          <w:color w:val="000000"/>
          <w:sz w:val="24"/>
        </w:rPr>
        <w:t>1.投标人应按招标文件规定编制、提交、解密电子投标文件。</w:t>
      </w:r>
    </w:p>
    <w:p>
      <w:pPr>
        <w:spacing w:line="360" w:lineRule="auto"/>
        <w:ind w:firstLine="480" w:firstLineChars="200"/>
        <w:rPr>
          <w:rFonts w:hAnsi="宋体"/>
          <w:color w:val="000000"/>
          <w:sz w:val="24"/>
        </w:rPr>
      </w:pPr>
      <w:r>
        <w:rPr>
          <w:rFonts w:hint="eastAsia" w:hAnsi="宋体"/>
          <w:color w:val="000000"/>
          <w:sz w:val="24"/>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Ansi="宋体"/>
          <w:b/>
          <w:bCs/>
          <w:color w:val="000000"/>
          <w:sz w:val="24"/>
        </w:rPr>
      </w:pPr>
      <w:r>
        <w:rPr>
          <w:rFonts w:hint="eastAsia" w:hAnsi="宋体"/>
          <w:b/>
          <w:bCs/>
          <w:color w:val="000000"/>
          <w:sz w:val="24"/>
        </w:rPr>
        <w:t>3.电子投标文件的制作</w:t>
      </w:r>
    </w:p>
    <w:p>
      <w:pPr>
        <w:spacing w:line="360" w:lineRule="auto"/>
        <w:ind w:firstLine="480" w:firstLineChars="200"/>
        <w:rPr>
          <w:rFonts w:hAnsi="宋体"/>
          <w:color w:val="000000"/>
          <w:sz w:val="24"/>
        </w:rPr>
      </w:pPr>
      <w:r>
        <w:rPr>
          <w:rFonts w:hint="eastAsia" w:hAnsi="宋体"/>
          <w:color w:val="000000"/>
          <w:sz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sz w:val="24"/>
        </w:rPr>
        <w:t>http://221.14.6.70:8088/ggzy/</w:t>
      </w:r>
      <w:r>
        <w:rPr>
          <w:rFonts w:hint="eastAsia" w:hAnsi="宋体"/>
          <w:color w:val="000000"/>
          <w:sz w:val="24"/>
        </w:rPr>
        <w:fldChar w:fldCharType="end"/>
      </w:r>
      <w:r>
        <w:rPr>
          <w:rFonts w:hint="eastAsia" w:hAnsi="宋体"/>
          <w:color w:val="000000"/>
          <w:sz w:val="24"/>
        </w:rPr>
        <w:t>）下载“许昌投标文件制作系统SEARUN 最新版本”，按招标文件要求制作电子投标文件。</w:t>
      </w:r>
    </w:p>
    <w:p>
      <w:pPr>
        <w:spacing w:line="360" w:lineRule="auto"/>
        <w:ind w:firstLine="480" w:firstLineChars="200"/>
        <w:rPr>
          <w:rFonts w:hAnsi="宋体"/>
          <w:color w:val="000000"/>
          <w:sz w:val="24"/>
        </w:rPr>
      </w:pPr>
      <w:r>
        <w:rPr>
          <w:rFonts w:hint="eastAsia" w:hAnsi="宋体"/>
          <w:color w:val="000000"/>
          <w:sz w:val="24"/>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color w:val="000000"/>
          <w:sz w:val="24"/>
        </w:rPr>
      </w:pPr>
      <w:r>
        <w:rPr>
          <w:rFonts w:hint="eastAsia" w:hAnsi="宋体"/>
          <w:color w:val="000000"/>
          <w:sz w:val="24"/>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color w:val="000000"/>
          <w:sz w:val="24"/>
        </w:rPr>
      </w:pPr>
      <w:r>
        <w:rPr>
          <w:rFonts w:hint="eastAsia" w:hAnsi="宋体"/>
          <w:color w:val="000000"/>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color w:val="000000"/>
          <w:sz w:val="24"/>
        </w:rPr>
      </w:pPr>
      <w:r>
        <w:rPr>
          <w:rFonts w:hint="eastAsia" w:hAnsi="宋体"/>
          <w:color w:val="000000"/>
          <w:sz w:val="24"/>
        </w:rPr>
        <w:t>一个标段对应生成一个文件夹（xxxx项目xx标段）,其中后缀名为“.file”的文件用于电子投标使用。</w:t>
      </w:r>
    </w:p>
    <w:p>
      <w:pPr>
        <w:spacing w:line="360" w:lineRule="auto"/>
        <w:ind w:firstLine="480" w:firstLineChars="200"/>
        <w:rPr>
          <w:rFonts w:hAnsi="宋体"/>
          <w:color w:val="000000"/>
          <w:sz w:val="24"/>
        </w:rPr>
      </w:pPr>
      <w:r>
        <w:rPr>
          <w:rFonts w:hint="eastAsia" w:hAnsi="宋体"/>
          <w:color w:val="000000"/>
          <w:sz w:val="24"/>
        </w:rPr>
        <w:t>4.</w:t>
      </w:r>
      <w:r>
        <w:rPr>
          <w:rFonts w:hint="eastAsia" w:hAnsi="宋体"/>
          <w:b/>
          <w:color w:val="000000"/>
          <w:sz w:val="24"/>
        </w:rPr>
        <w:t>投标保证金的提交</w:t>
      </w:r>
    </w:p>
    <w:p>
      <w:pPr>
        <w:spacing w:line="360" w:lineRule="auto"/>
        <w:ind w:firstLine="480" w:firstLineChars="200"/>
        <w:rPr>
          <w:rFonts w:hAnsi="宋体"/>
          <w:color w:val="000000"/>
          <w:sz w:val="24"/>
          <w:lang w:val="zh-CN"/>
        </w:rPr>
      </w:pPr>
      <w:r>
        <w:rPr>
          <w:rFonts w:hint="eastAsia" w:hAnsi="宋体"/>
          <w:color w:val="000000"/>
          <w:sz w:val="24"/>
        </w:rPr>
        <w:t>4.1</w:t>
      </w:r>
      <w:r>
        <w:rPr>
          <w:rFonts w:hint="eastAsia" w:hAnsi="宋体"/>
          <w:color w:val="000000"/>
          <w:sz w:val="24"/>
          <w:lang w:val="zh-CN"/>
        </w:rPr>
        <w:t>使用银行转帐方式</w:t>
      </w:r>
      <w:r>
        <w:rPr>
          <w:rFonts w:hint="eastAsia" w:hAnsi="宋体"/>
          <w:color w:val="000000"/>
          <w:sz w:val="24"/>
        </w:rPr>
        <w:t>提交</w:t>
      </w:r>
      <w:r>
        <w:rPr>
          <w:rFonts w:hint="eastAsia" w:hAnsi="宋体"/>
          <w:color w:val="000000"/>
          <w:sz w:val="24"/>
          <w:lang w:val="zh-CN"/>
        </w:rPr>
        <w:t>的，投标人通过基本账户将款项一次足额递交、成功绑定，以收款人到账时间为准。</w:t>
      </w:r>
    </w:p>
    <w:p>
      <w:pPr>
        <w:spacing w:line="360" w:lineRule="auto"/>
        <w:ind w:firstLine="480" w:firstLineChars="200"/>
        <w:rPr>
          <w:rFonts w:hAnsi="宋体"/>
          <w:color w:val="000000"/>
          <w:sz w:val="24"/>
        </w:rPr>
      </w:pPr>
      <w:r>
        <w:rPr>
          <w:rFonts w:hint="eastAsia" w:hAnsi="宋体"/>
          <w:color w:val="000000"/>
          <w:sz w:val="24"/>
        </w:rPr>
        <w:t>4.1.1</w:t>
      </w:r>
      <w:r>
        <w:rPr>
          <w:rFonts w:hint="eastAsia" w:hAnsi="宋体"/>
          <w:color w:val="000000"/>
          <w:sz w:val="24"/>
          <w:lang w:val="zh-CN"/>
        </w:rPr>
        <w:t>投标人网上</w:t>
      </w:r>
      <w:r>
        <w:rPr>
          <w:rFonts w:hint="eastAsia" w:hAnsi="宋体"/>
          <w:color w:val="000000"/>
          <w:sz w:val="24"/>
        </w:rPr>
        <w:t>下载招标文件并</w:t>
      </w:r>
      <w:r>
        <w:rPr>
          <w:rFonts w:hint="eastAsia" w:hAnsi="宋体"/>
          <w:color w:val="000000"/>
          <w:sz w:val="24"/>
          <w:lang w:val="zh-CN"/>
        </w:rPr>
        <w:t>根据每个标段的缴纳说明单在</w:t>
      </w:r>
      <w:r>
        <w:rPr>
          <w:rFonts w:hint="eastAsia" w:hAnsi="宋体"/>
          <w:color w:val="000000"/>
          <w:sz w:val="24"/>
        </w:rPr>
        <w:t>开标</w:t>
      </w:r>
      <w:r>
        <w:rPr>
          <w:rFonts w:hint="eastAsia" w:hAnsi="宋体"/>
          <w:color w:val="000000"/>
          <w:sz w:val="24"/>
          <w:lang w:val="zh-CN"/>
        </w:rPr>
        <w:t>截止时间前</w:t>
      </w:r>
      <w:r>
        <w:rPr>
          <w:rFonts w:hint="eastAsia" w:hAnsi="宋体"/>
          <w:color w:val="000000"/>
          <w:sz w:val="24"/>
        </w:rPr>
        <w:t>提交。</w:t>
      </w:r>
      <w:r>
        <w:rPr>
          <w:rFonts w:hint="eastAsia" w:hAnsi="宋体"/>
          <w:color w:val="000000"/>
          <w:sz w:val="24"/>
          <w:lang w:val="zh-CN"/>
        </w:rPr>
        <w:t>每个投标人每个项目每个标段只有唯一缴纳账号，</w:t>
      </w:r>
      <w:r>
        <w:rPr>
          <w:rFonts w:hint="eastAsia" w:hAnsi="宋体"/>
          <w:color w:val="000000"/>
          <w:sz w:val="24"/>
        </w:rPr>
        <w:t>切勿重复缴纳或错误缴纳。</w:t>
      </w:r>
    </w:p>
    <w:p>
      <w:pPr>
        <w:spacing w:line="360" w:lineRule="auto"/>
        <w:ind w:firstLine="480" w:firstLineChars="200"/>
        <w:rPr>
          <w:rFonts w:hAnsi="宋体"/>
          <w:color w:val="000000"/>
          <w:sz w:val="24"/>
        </w:rPr>
      </w:pPr>
      <w:r>
        <w:rPr>
          <w:rFonts w:hint="eastAsia" w:hAnsi="宋体"/>
          <w:color w:val="000000"/>
          <w:sz w:val="24"/>
        </w:rPr>
        <w:t>4.1.2提交</w:t>
      </w:r>
      <w:r>
        <w:rPr>
          <w:rFonts w:hint="eastAsia" w:hAnsi="宋体"/>
          <w:color w:val="000000"/>
          <w:sz w:val="24"/>
          <w:lang w:val="zh-CN"/>
        </w:rPr>
        <w:t>后</w:t>
      </w:r>
      <w:r>
        <w:rPr>
          <w:rFonts w:hint="eastAsia" w:hAnsi="宋体"/>
          <w:color w:val="000000"/>
          <w:sz w:val="24"/>
        </w:rPr>
        <w:t>再次</w:t>
      </w:r>
      <w:r>
        <w:rPr>
          <w:rFonts w:hint="eastAsia" w:hAnsi="宋体"/>
          <w:color w:val="000000"/>
          <w:sz w:val="24"/>
          <w:lang w:val="zh-CN"/>
        </w:rPr>
        <w:t>登录</w:t>
      </w:r>
      <w:r>
        <w:fldChar w:fldCharType="begin"/>
      </w:r>
      <w:r>
        <w:instrText xml:space="preserve"> HYPERLINK "http://221.14.6.70:8088/ggzy" </w:instrText>
      </w:r>
      <w:r>
        <w:fldChar w:fldCharType="separate"/>
      </w:r>
      <w:r>
        <w:rPr>
          <w:rFonts w:hint="eastAsia" w:hAnsi="宋体"/>
          <w:color w:val="000000"/>
          <w:sz w:val="24"/>
        </w:rPr>
        <w:t>http://221.14.6.70:8088/ggzy</w:t>
      </w:r>
      <w:r>
        <w:rPr>
          <w:rFonts w:hint="eastAsia" w:hAnsi="宋体"/>
          <w:color w:val="000000"/>
          <w:sz w:val="24"/>
        </w:rPr>
        <w:fldChar w:fldCharType="end"/>
      </w:r>
      <w:r>
        <w:rPr>
          <w:rFonts w:hint="eastAsia" w:hAnsi="宋体"/>
          <w:color w:val="000000"/>
          <w:sz w:val="24"/>
          <w:lang w:val="zh-CN"/>
        </w:rPr>
        <w:t>系统</w:t>
      </w:r>
      <w:r>
        <w:rPr>
          <w:rFonts w:hint="eastAsia" w:hAnsi="宋体"/>
          <w:color w:val="000000"/>
          <w:sz w:val="24"/>
        </w:rPr>
        <w:t>，</w:t>
      </w:r>
      <w:r>
        <w:rPr>
          <w:rFonts w:hint="eastAsia" w:hAnsi="宋体"/>
          <w:color w:val="000000"/>
          <w:sz w:val="24"/>
          <w:lang w:val="zh-CN"/>
        </w:rPr>
        <w:t>依次点击</w:t>
      </w:r>
      <w:r>
        <w:rPr>
          <w:rFonts w:hint="eastAsia" w:hAnsi="宋体"/>
          <w:color w:val="000000"/>
          <w:sz w:val="24"/>
        </w:rPr>
        <w:t>“</w:t>
      </w:r>
      <w:r>
        <w:rPr>
          <w:rFonts w:hint="eastAsia" w:hAnsi="宋体"/>
          <w:color w:val="000000"/>
          <w:sz w:val="24"/>
          <w:lang w:val="zh-CN"/>
        </w:rPr>
        <w:t>会员向导</w:t>
      </w:r>
      <w:r>
        <w:rPr>
          <w:rFonts w:hint="eastAsia" w:hAnsi="宋体"/>
          <w:color w:val="000000"/>
          <w:sz w:val="24"/>
        </w:rPr>
        <w:t>”→“</w:t>
      </w:r>
      <w:r>
        <w:rPr>
          <w:rFonts w:hint="eastAsia" w:hAnsi="宋体"/>
          <w:color w:val="000000"/>
          <w:sz w:val="24"/>
          <w:lang w:val="zh-CN"/>
        </w:rPr>
        <w:t>参与投标</w:t>
      </w:r>
      <w:r>
        <w:rPr>
          <w:rFonts w:hint="eastAsia" w:hAnsi="宋体"/>
          <w:color w:val="000000"/>
          <w:sz w:val="24"/>
        </w:rPr>
        <w:t>”→“</w:t>
      </w:r>
      <w:r>
        <w:rPr>
          <w:rFonts w:hint="eastAsia" w:hAnsi="宋体"/>
          <w:color w:val="000000"/>
          <w:sz w:val="24"/>
          <w:lang w:val="zh-CN"/>
        </w:rPr>
        <w:t>保证金绑定</w:t>
      </w:r>
      <w:r>
        <w:rPr>
          <w:rFonts w:hint="eastAsia" w:hAnsi="宋体"/>
          <w:color w:val="000000"/>
          <w:sz w:val="24"/>
        </w:rPr>
        <w:t>”→“</w:t>
      </w:r>
      <w:r>
        <w:rPr>
          <w:rFonts w:hint="eastAsia" w:hAnsi="宋体"/>
          <w:color w:val="000000"/>
          <w:sz w:val="24"/>
          <w:lang w:val="zh-CN"/>
        </w:rPr>
        <w:t>绑定</w:t>
      </w:r>
      <w:r>
        <w:rPr>
          <w:rFonts w:hint="eastAsia" w:hAnsi="宋体"/>
          <w:color w:val="000000"/>
          <w:sz w:val="24"/>
        </w:rPr>
        <w:t>”</w:t>
      </w:r>
      <w:r>
        <w:rPr>
          <w:rFonts w:hint="eastAsia" w:hAnsi="宋体"/>
          <w:color w:val="000000"/>
          <w:sz w:val="24"/>
          <w:lang w:val="zh-CN"/>
        </w:rPr>
        <w:t>进行投标保证金绑定</w:t>
      </w:r>
      <w:r>
        <w:rPr>
          <w:rFonts w:hint="eastAsia" w:hAnsi="宋体"/>
          <w:color w:val="000000"/>
          <w:sz w:val="24"/>
        </w:rPr>
        <w:t>，前述系统显示“</w:t>
      </w:r>
      <w:r>
        <w:rPr>
          <w:rFonts w:hint="eastAsia" w:hAnsi="宋体"/>
          <w:color w:val="000000"/>
          <w:sz w:val="24"/>
          <w:lang w:val="zh-CN"/>
        </w:rPr>
        <w:t>许昌公共资源交易中心保证金缴纳回执</w:t>
      </w:r>
      <w:r>
        <w:rPr>
          <w:rFonts w:hint="eastAsia" w:hAnsi="宋体"/>
          <w:color w:val="000000"/>
          <w:sz w:val="24"/>
        </w:rPr>
        <w:t>”表示投标保证金提交完成。</w:t>
      </w:r>
      <w:r>
        <w:rPr>
          <w:rFonts w:hint="eastAsia" w:hAnsi="宋体"/>
          <w:color w:val="000000"/>
          <w:sz w:val="24"/>
          <w:lang w:val="zh-CN"/>
        </w:rPr>
        <w:t>未绑定标段的投标保证金，视为未按</w:t>
      </w:r>
      <w:r>
        <w:rPr>
          <w:rFonts w:hint="eastAsia" w:hAnsi="宋体"/>
          <w:color w:val="000000"/>
          <w:sz w:val="24"/>
        </w:rPr>
        <w:t>规定提交。</w:t>
      </w:r>
    </w:p>
    <w:p>
      <w:pPr>
        <w:spacing w:line="360" w:lineRule="auto"/>
        <w:ind w:firstLine="480" w:firstLineChars="200"/>
        <w:rPr>
          <w:rFonts w:hAnsi="宋体"/>
          <w:color w:val="000000"/>
          <w:sz w:val="24"/>
          <w:lang w:val="zh-CN"/>
        </w:rPr>
      </w:pPr>
      <w:r>
        <w:rPr>
          <w:rFonts w:hint="eastAsia" w:hAnsi="宋体"/>
          <w:color w:val="000000"/>
          <w:sz w:val="24"/>
        </w:rPr>
        <w:t>4.1.3投标人按照所投项目及标段</w:t>
      </w:r>
      <w:r>
        <w:rPr>
          <w:rFonts w:hint="eastAsia" w:hAnsi="宋体"/>
          <w:color w:val="000000"/>
          <w:sz w:val="24"/>
          <w:lang w:val="zh-CN"/>
        </w:rPr>
        <w:t>将缴纳凭证“许昌公共资源交易中心保证金缴纳回执”附于投标文件中。</w:t>
      </w:r>
    </w:p>
    <w:p>
      <w:pPr>
        <w:spacing w:line="360" w:lineRule="auto"/>
        <w:ind w:firstLine="480" w:firstLineChars="200"/>
        <w:rPr>
          <w:rFonts w:hAnsi="宋体"/>
          <w:color w:val="000000"/>
          <w:sz w:val="24"/>
        </w:rPr>
      </w:pPr>
      <w:r>
        <w:rPr>
          <w:rFonts w:hint="eastAsia" w:hAnsi="宋体"/>
          <w:color w:val="000000"/>
          <w:sz w:val="24"/>
        </w:rPr>
        <w:t>4.2</w:t>
      </w:r>
      <w:r>
        <w:rPr>
          <w:rFonts w:hint="eastAsia" w:hAnsi="宋体"/>
          <w:color w:val="000000"/>
          <w:sz w:val="24"/>
          <w:lang w:val="zh-CN"/>
        </w:rPr>
        <w:t>使用银行</w:t>
      </w:r>
      <w:r>
        <w:rPr>
          <w:rFonts w:hint="eastAsia" w:hAnsi="宋体"/>
          <w:color w:val="000000"/>
          <w:sz w:val="24"/>
        </w:rPr>
        <w:t>保函</w:t>
      </w:r>
      <w:r>
        <w:rPr>
          <w:rFonts w:hint="eastAsia" w:hAnsi="宋体"/>
          <w:color w:val="000000"/>
          <w:sz w:val="24"/>
          <w:lang w:val="zh-CN"/>
        </w:rPr>
        <w:t>方式</w:t>
      </w:r>
      <w:r>
        <w:rPr>
          <w:rFonts w:hint="eastAsia" w:hAnsi="宋体"/>
          <w:color w:val="000000"/>
          <w:sz w:val="24"/>
        </w:rPr>
        <w:t>提交</w:t>
      </w:r>
      <w:r>
        <w:rPr>
          <w:rFonts w:hint="eastAsia" w:hAnsi="宋体"/>
          <w:color w:val="000000"/>
          <w:sz w:val="24"/>
          <w:lang w:val="zh-CN"/>
        </w:rPr>
        <w:t>的，投标人</w:t>
      </w:r>
      <w:r>
        <w:rPr>
          <w:rFonts w:hint="eastAsia" w:hAnsi="宋体"/>
          <w:color w:val="000000"/>
          <w:sz w:val="24"/>
        </w:rPr>
        <w:t>办理投标</w:t>
      </w:r>
      <w:r>
        <w:rPr>
          <w:rFonts w:hint="eastAsia" w:hAnsi="宋体"/>
          <w:color w:val="000000"/>
          <w:sz w:val="24"/>
          <w:lang w:val="zh-CN"/>
        </w:rPr>
        <w:t>银行保函，银行保函</w:t>
      </w:r>
      <w:r>
        <w:rPr>
          <w:rFonts w:hint="eastAsia" w:hAnsi="宋体"/>
          <w:color w:val="000000"/>
          <w:sz w:val="24"/>
        </w:rPr>
        <w:t>应</w:t>
      </w:r>
      <w:r>
        <w:rPr>
          <w:rFonts w:hint="eastAsia" w:hAnsi="宋体"/>
          <w:color w:val="000000"/>
          <w:sz w:val="24"/>
          <w:lang w:val="zh-CN"/>
        </w:rPr>
        <w:t>明确</w:t>
      </w:r>
      <w:r>
        <w:rPr>
          <w:rFonts w:hint="eastAsia" w:hAnsi="宋体"/>
          <w:color w:val="000000"/>
          <w:sz w:val="24"/>
        </w:rPr>
        <w:t>所投</w:t>
      </w:r>
      <w:r>
        <w:rPr>
          <w:rFonts w:hint="eastAsia" w:hAnsi="宋体"/>
          <w:color w:val="000000"/>
          <w:sz w:val="24"/>
          <w:lang w:val="zh-CN"/>
        </w:rPr>
        <w:t>项目名称、项目编号及标段、受益人（招标人）、有效期（不低于本项目投标有效期）、担保金额（不低于本项目本标段投标保证金数额）。投标人应将</w:t>
      </w:r>
      <w:r>
        <w:rPr>
          <w:rFonts w:hint="eastAsia" w:hAnsi="宋体"/>
          <w:color w:val="000000"/>
          <w:sz w:val="24"/>
        </w:rPr>
        <w:t>投标</w:t>
      </w:r>
      <w:r>
        <w:rPr>
          <w:rFonts w:hint="eastAsia" w:hAnsi="宋体"/>
          <w:color w:val="000000"/>
          <w:sz w:val="24"/>
          <w:lang w:val="zh-CN"/>
        </w:rPr>
        <w:t>银行保函原件扫描件附于投标文件中，否则视为未按</w:t>
      </w:r>
      <w:r>
        <w:rPr>
          <w:rFonts w:hint="eastAsia" w:hAnsi="宋体"/>
          <w:color w:val="000000"/>
          <w:sz w:val="24"/>
        </w:rPr>
        <w:t>规定提交投标保证金</w:t>
      </w:r>
      <w:r>
        <w:rPr>
          <w:rFonts w:hint="eastAsia" w:hAnsi="宋体"/>
          <w:color w:val="000000"/>
          <w:sz w:val="24"/>
          <w:lang w:val="zh-CN"/>
        </w:rPr>
        <w:t>。</w:t>
      </w:r>
    </w:p>
    <w:p>
      <w:pPr>
        <w:spacing w:line="360" w:lineRule="auto"/>
        <w:ind w:firstLine="480" w:firstLineChars="200"/>
        <w:rPr>
          <w:rFonts w:hAnsi="宋体"/>
          <w:b/>
          <w:bCs/>
          <w:color w:val="000000"/>
          <w:sz w:val="24"/>
        </w:rPr>
      </w:pPr>
      <w:r>
        <w:rPr>
          <w:rFonts w:hint="eastAsia" w:hAnsi="宋体"/>
          <w:b/>
          <w:bCs/>
          <w:color w:val="000000"/>
          <w:sz w:val="24"/>
        </w:rPr>
        <w:t>5.加密电子投标文件的提交</w:t>
      </w:r>
    </w:p>
    <w:p>
      <w:pPr>
        <w:spacing w:line="360" w:lineRule="auto"/>
        <w:ind w:firstLine="480" w:firstLineChars="200"/>
        <w:rPr>
          <w:rFonts w:hAnsi="宋体"/>
          <w:color w:val="000000"/>
          <w:sz w:val="24"/>
        </w:rPr>
      </w:pPr>
      <w:r>
        <w:rPr>
          <w:rFonts w:hint="eastAsia" w:hAnsi="宋体"/>
          <w:color w:val="000000"/>
          <w:sz w:val="24"/>
        </w:rPr>
        <w:t>5.1加密电子投标文件应按规定在投标截止时间（开标时间）之前成功提交至《全国公共资源交易平台(河南省▪许昌市)》公共资源交易系统（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sz w:val="24"/>
        </w:rPr>
        <w:t>http://221.14.6.70:8088/ggzy/</w:t>
      </w:r>
      <w:r>
        <w:rPr>
          <w:rFonts w:hint="eastAsia" w:hAnsi="宋体"/>
          <w:color w:val="000000"/>
          <w:sz w:val="24"/>
        </w:rPr>
        <w:fldChar w:fldCharType="end"/>
      </w:r>
      <w:r>
        <w:rPr>
          <w:rFonts w:hint="eastAsia" w:hAnsi="宋体"/>
          <w:color w:val="000000"/>
          <w:sz w:val="24"/>
        </w:rPr>
        <w:t>）。</w:t>
      </w:r>
    </w:p>
    <w:p>
      <w:pPr>
        <w:spacing w:line="360" w:lineRule="auto"/>
        <w:ind w:firstLine="480" w:firstLineChars="200"/>
        <w:rPr>
          <w:rFonts w:hAnsi="宋体"/>
          <w:color w:val="000000"/>
          <w:sz w:val="24"/>
        </w:rPr>
      </w:pPr>
      <w:r>
        <w:rPr>
          <w:rFonts w:hint="eastAsia" w:hAnsi="宋体"/>
          <w:color w:val="000000"/>
          <w:sz w:val="24"/>
        </w:rPr>
        <w:t>投标人应充分考虑并预留技术处理和上传数据所需时间。</w:t>
      </w:r>
    </w:p>
    <w:p>
      <w:pPr>
        <w:spacing w:line="360" w:lineRule="auto"/>
        <w:ind w:firstLine="480" w:firstLineChars="200"/>
        <w:rPr>
          <w:rFonts w:hAnsi="宋体"/>
          <w:color w:val="000000"/>
          <w:sz w:val="24"/>
        </w:rPr>
      </w:pPr>
      <w:r>
        <w:rPr>
          <w:rFonts w:hint="eastAsia" w:hAnsi="宋体"/>
          <w:color w:val="000000"/>
          <w:sz w:val="24"/>
        </w:rPr>
        <w:t>5.2 投标人对同一项目多个标段进行投标的，加密电子投标文件应按标段分别提交。</w:t>
      </w:r>
    </w:p>
    <w:p>
      <w:pPr>
        <w:spacing w:line="360" w:lineRule="auto"/>
        <w:ind w:firstLine="480" w:firstLineChars="200"/>
        <w:rPr>
          <w:rFonts w:hAnsi="宋体"/>
          <w:color w:val="000000"/>
          <w:sz w:val="24"/>
        </w:rPr>
      </w:pPr>
      <w:r>
        <w:rPr>
          <w:rFonts w:hint="eastAsia" w:hAnsi="宋体"/>
          <w:color w:val="000000"/>
          <w:sz w:val="24"/>
        </w:rPr>
        <w:t>5.3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sz w:val="24"/>
        </w:rPr>
        <w:t>http://221.14.6.70:8088/ggzy/</w:t>
      </w:r>
      <w:r>
        <w:rPr>
          <w:rFonts w:hint="eastAsia" w:hAnsi="宋体"/>
          <w:color w:val="000000"/>
          <w:sz w:val="24"/>
        </w:rPr>
        <w:fldChar w:fldCharType="end"/>
      </w:r>
      <w:r>
        <w:rPr>
          <w:rFonts w:hint="eastAsia" w:hAnsi="宋体"/>
          <w:color w:val="000000"/>
          <w:sz w:val="24"/>
        </w:rPr>
        <w:t>）生成“投标文件提交回执单”。</w:t>
      </w:r>
    </w:p>
    <w:p>
      <w:pPr>
        <w:spacing w:line="360" w:lineRule="auto"/>
        <w:ind w:firstLine="480" w:firstLineChars="200"/>
        <w:rPr>
          <w:rFonts w:hAnsi="宋体"/>
          <w:b/>
          <w:bCs/>
          <w:color w:val="000000"/>
          <w:sz w:val="24"/>
        </w:rPr>
      </w:pPr>
      <w:r>
        <w:rPr>
          <w:rFonts w:hint="eastAsia" w:hAnsi="宋体"/>
          <w:b/>
          <w:bCs/>
          <w:color w:val="000000"/>
          <w:sz w:val="24"/>
        </w:rPr>
        <w:t>6.远程不见面开标（电子投标文件的解密）</w:t>
      </w:r>
    </w:p>
    <w:p>
      <w:pPr>
        <w:spacing w:line="360" w:lineRule="auto"/>
        <w:ind w:firstLine="480" w:firstLineChars="200"/>
        <w:rPr>
          <w:rFonts w:hAnsi="宋体"/>
          <w:color w:val="000000"/>
          <w:sz w:val="24"/>
        </w:rPr>
      </w:pPr>
      <w:r>
        <w:rPr>
          <w:rFonts w:hint="eastAsia" w:hAnsi="宋体"/>
          <w:color w:val="000000"/>
          <w:sz w:val="24"/>
        </w:rPr>
        <w:t>6.1 投标人应熟悉《许昌市不见面开标操作手册》，并提前设置不见面开标浏览器（设置流程详见《许昌市不见面开标操作手册》）。</w:t>
      </w:r>
    </w:p>
    <w:p>
      <w:pPr>
        <w:spacing w:line="360" w:lineRule="auto"/>
        <w:ind w:firstLine="480" w:firstLineChars="200"/>
        <w:rPr>
          <w:rFonts w:hAnsi="宋体"/>
          <w:color w:val="000000"/>
          <w:sz w:val="24"/>
        </w:rPr>
      </w:pPr>
      <w:r>
        <w:rPr>
          <w:rFonts w:hint="eastAsia" w:hAnsi="宋体"/>
          <w:color w:val="000000"/>
          <w:sz w:val="24"/>
        </w:rPr>
        <w:t>6.2 《许昌市不见面开标操作手册》下载路径：全国公共资源交易平台（河南省·许昌市）—“资料下载”栏目。</w:t>
      </w:r>
    </w:p>
    <w:p>
      <w:pPr>
        <w:spacing w:line="360" w:lineRule="auto"/>
        <w:ind w:firstLine="480" w:firstLineChars="200"/>
        <w:rPr>
          <w:rFonts w:hAnsi="宋体"/>
          <w:color w:val="000000"/>
          <w:sz w:val="24"/>
        </w:rPr>
      </w:pPr>
      <w:r>
        <w:rPr>
          <w:rFonts w:hint="eastAsia" w:hAnsi="宋体"/>
          <w:color w:val="000000"/>
          <w:sz w:val="24"/>
        </w:rPr>
        <w:t>6.3开标时间前投标人应登录本项目不见面开标大厅，按照招标文件确定的开标时间准时参加网上开标。</w:t>
      </w:r>
    </w:p>
    <w:p>
      <w:pPr>
        <w:spacing w:line="360" w:lineRule="auto"/>
        <w:ind w:firstLine="480" w:firstLineChars="200"/>
        <w:rPr>
          <w:rFonts w:hAnsi="宋体"/>
          <w:color w:val="000000"/>
          <w:sz w:val="24"/>
        </w:rPr>
      </w:pPr>
      <w:r>
        <w:rPr>
          <w:rFonts w:hint="eastAsia" w:hAnsi="宋体"/>
          <w:color w:val="000000"/>
          <w:sz w:val="24"/>
        </w:rPr>
        <w:t>6.4投标人对开标过程和开标记录如有疑义，可在本项目不见面开标大厅“文字互动”对话框或“新增质疑”处在线提出询问。</w:t>
      </w:r>
    </w:p>
    <w:p>
      <w:pPr>
        <w:spacing w:line="360" w:lineRule="auto"/>
        <w:ind w:firstLine="480" w:firstLineChars="200"/>
        <w:rPr>
          <w:rFonts w:hAnsi="宋体"/>
          <w:sz w:val="24"/>
        </w:rPr>
      </w:pPr>
      <w:r>
        <w:rPr>
          <w:rFonts w:hint="eastAsia" w:hAnsi="宋体"/>
          <w:color w:val="000000"/>
          <w:sz w:val="24"/>
        </w:rPr>
        <w:t>6.5根据采购代理机</w:t>
      </w:r>
      <w:r>
        <w:rPr>
          <w:rFonts w:hint="eastAsia" w:hAnsi="宋体"/>
          <w:sz w:val="24"/>
        </w:rPr>
        <w:t>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pacing w:line="360" w:lineRule="auto"/>
        <w:ind w:firstLine="480" w:firstLineChars="200"/>
        <w:rPr>
          <w:rFonts w:hAnsi="宋体"/>
          <w:sz w:val="24"/>
        </w:rPr>
      </w:pPr>
      <w:r>
        <w:rPr>
          <w:rFonts w:hint="eastAsia" w:hAnsi="宋体"/>
          <w:sz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spacing w:line="360" w:lineRule="auto"/>
        <w:ind w:firstLine="480" w:firstLineChars="200"/>
        <w:rPr>
          <w:rFonts w:hAnsi="宋体"/>
          <w:sz w:val="24"/>
        </w:rPr>
      </w:pPr>
      <w:r>
        <w:rPr>
          <w:rFonts w:hint="eastAsia" w:hAnsi="宋体"/>
          <w:sz w:val="24"/>
        </w:rPr>
        <w:t>7.1全流程电子化交易（远程不见面开标）项目，评标委员会以成功上传、解密的电子投标文件为评标依据。</w:t>
      </w:r>
    </w:p>
    <w:p>
      <w:pPr>
        <w:autoSpaceDE w:val="0"/>
        <w:autoSpaceDN w:val="0"/>
        <w:spacing w:line="360" w:lineRule="auto"/>
        <w:ind w:firstLine="480" w:firstLineChars="200"/>
        <w:jc w:val="left"/>
        <w:outlineLvl w:val="0"/>
        <w:rPr>
          <w:rFonts w:hAnsi="宋体" w:cs="宋体"/>
          <w:sz w:val="24"/>
        </w:rPr>
      </w:pPr>
      <w:r>
        <w:rPr>
          <w:rFonts w:hint="eastAsia" w:hAnsi="宋体"/>
          <w:sz w:val="24"/>
        </w:rPr>
        <w:t xml:space="preserve">7.2 </w:t>
      </w:r>
      <w:r>
        <w:rPr>
          <w:rFonts w:hint="eastAsia" w:hAnsi="宋体" w:cs="宋体"/>
          <w:sz w:val="24"/>
        </w:rPr>
        <w:t>评审期间，保持投标文件提供的联系方式畅通，评标委员会随时可能对投标文件内容质询，投标人应及时进行答复（包括但不限于电子文档、电子邮件等）。</w:t>
      </w:r>
    </w:p>
    <w:p>
      <w:pPr>
        <w:pStyle w:val="2"/>
        <w:ind w:firstLine="540" w:firstLineChars="225"/>
        <w:rPr>
          <w:rFonts w:hAnsi="宋体" w:cs="宋体"/>
          <w:sz w:val="24"/>
        </w:rPr>
      </w:pPr>
      <w:r>
        <w:rPr>
          <w:rFonts w:hint="eastAsia" w:hAnsi="宋体"/>
          <w:sz w:val="24"/>
        </w:rPr>
        <w:t>7.3</w:t>
      </w:r>
      <w:r>
        <w:rPr>
          <w:rFonts w:hint="eastAsia" w:hAnsi="宋体" w:cs="宋体"/>
          <w:sz w:val="24"/>
        </w:rPr>
        <w:t xml:space="preserve"> 有多轮报价的，各投标人应提前准备好分项报价，为多轮报价做好准备，在</w:t>
      </w:r>
      <w:r>
        <w:rPr>
          <w:rFonts w:hAnsi="宋体" w:cs="宋体"/>
          <w:sz w:val="24"/>
        </w:rPr>
        <w:t>谈判小组</w:t>
      </w:r>
      <w:r>
        <w:rPr>
          <w:rFonts w:hint="eastAsia" w:hAnsi="宋体" w:cs="宋体"/>
          <w:sz w:val="24"/>
        </w:rPr>
        <w:t>发起报价通知后，</w:t>
      </w:r>
      <w:r>
        <w:rPr>
          <w:rFonts w:hAnsi="宋体" w:cs="宋体"/>
          <w:sz w:val="24"/>
        </w:rPr>
        <w:t>在规定时间内提交</w:t>
      </w:r>
      <w:r>
        <w:rPr>
          <w:rFonts w:hint="eastAsia" w:hAnsi="宋体" w:cs="宋体"/>
          <w:sz w:val="24"/>
        </w:rPr>
        <w:t>有效</w:t>
      </w:r>
      <w:r>
        <w:rPr>
          <w:rFonts w:hAnsi="宋体" w:cs="宋体"/>
          <w:sz w:val="24"/>
        </w:rPr>
        <w:t>报价</w:t>
      </w:r>
      <w:r>
        <w:rPr>
          <w:rFonts w:hint="eastAsia" w:hAnsi="宋体" w:cs="宋体"/>
          <w:sz w:val="24"/>
        </w:rPr>
        <w:t>。</w:t>
      </w: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1"/>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rPr>
                <w:rFonts w:hAnsi="宋体" w:eastAsia="宋体" w:cs="宋体"/>
                <w:sz w:val="24"/>
              </w:rPr>
            </w:pPr>
            <w:r>
              <w:rPr>
                <w:rFonts w:hint="eastAsia" w:hAnsi="宋体" w:eastAsia="宋体" w:cs="宋体"/>
                <w:sz w:val="24"/>
              </w:rPr>
              <w:t>招 标 人：许昌经济技术开发投资有限公司</w:t>
            </w:r>
          </w:p>
          <w:p>
            <w:pPr>
              <w:rPr>
                <w:rFonts w:hAnsi="宋体" w:eastAsia="宋体" w:cs="宋体"/>
                <w:sz w:val="24"/>
              </w:rPr>
            </w:pPr>
            <w:r>
              <w:rPr>
                <w:rFonts w:hint="eastAsia" w:hAnsi="宋体" w:eastAsia="宋体" w:cs="宋体"/>
                <w:sz w:val="24"/>
              </w:rPr>
              <w:t>地    址：许昌经济开发区管委会</w:t>
            </w:r>
          </w:p>
          <w:p>
            <w:pPr>
              <w:rPr>
                <w:rFonts w:hAnsi="宋体" w:eastAsia="宋体" w:cs="宋体"/>
                <w:sz w:val="24"/>
              </w:rPr>
            </w:pPr>
            <w:r>
              <w:rPr>
                <w:rFonts w:hint="eastAsia" w:hAnsi="宋体" w:eastAsia="宋体" w:cs="宋体"/>
                <w:sz w:val="24"/>
              </w:rPr>
              <w:t>联 系 人: 马先生</w:t>
            </w:r>
          </w:p>
          <w:p>
            <w:pPr>
              <w:rPr>
                <w:rFonts w:hAnsi="宋体" w:eastAsia="宋体" w:cs="宋体"/>
                <w:bCs/>
                <w:sz w:val="24"/>
                <w:szCs w:val="24"/>
              </w:rPr>
            </w:pPr>
            <w:r>
              <w:rPr>
                <w:rFonts w:hint="eastAsia" w:hAnsi="宋体" w:eastAsia="宋体" w:cs="宋体"/>
                <w:sz w:val="24"/>
              </w:rPr>
              <w:t>联系电话：</w:t>
            </w:r>
            <w:r>
              <w:rPr>
                <w:rFonts w:hint="eastAsia" w:hAnsi="宋体" w:eastAsia="宋体" w:cs="宋体"/>
                <w:bCs/>
                <w:sz w:val="24"/>
                <w:szCs w:val="24"/>
              </w:rPr>
              <w:t>13938911738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rPr>
                <w:rFonts w:hAnsi="宋体" w:eastAsia="宋体" w:cs="宋体"/>
                <w:sz w:val="24"/>
              </w:rPr>
            </w:pPr>
            <w:r>
              <w:rPr>
                <w:rFonts w:hint="eastAsia" w:hAnsi="宋体" w:eastAsia="宋体" w:cs="宋体"/>
                <w:sz w:val="24"/>
              </w:rPr>
              <w:t>代理机构：中大国信工程管理有限公司</w:t>
            </w:r>
          </w:p>
          <w:p>
            <w:pPr>
              <w:rPr>
                <w:rFonts w:hAnsi="宋体" w:eastAsia="宋体" w:cs="宋体"/>
                <w:sz w:val="24"/>
              </w:rPr>
            </w:pPr>
            <w:r>
              <w:rPr>
                <w:rFonts w:hint="eastAsia" w:hAnsi="宋体" w:eastAsia="宋体" w:cs="宋体"/>
                <w:sz w:val="24"/>
              </w:rPr>
              <w:t>地    址：许昌市万象春天2号楼</w:t>
            </w:r>
          </w:p>
          <w:p>
            <w:pPr>
              <w:rPr>
                <w:rFonts w:hAnsi="宋体" w:eastAsia="宋体" w:cs="宋体"/>
                <w:sz w:val="24"/>
              </w:rPr>
            </w:pPr>
            <w:r>
              <w:rPr>
                <w:rFonts w:hint="eastAsia" w:hAnsi="宋体" w:eastAsia="宋体" w:cs="宋体"/>
                <w:sz w:val="24"/>
              </w:rPr>
              <w:t xml:space="preserve">联 系 人：刘女士 </w:t>
            </w:r>
          </w:p>
          <w:p>
            <w:pPr>
              <w:rPr>
                <w:rFonts w:hAnsi="宋体" w:eastAsia="宋体" w:cs="宋体"/>
                <w:sz w:val="24"/>
              </w:rPr>
            </w:pPr>
            <w:r>
              <w:rPr>
                <w:rFonts w:hint="eastAsia" w:hAnsi="宋体" w:eastAsia="宋体" w:cs="宋体"/>
                <w:sz w:val="24"/>
              </w:rPr>
              <w:t xml:space="preserve">联系电话：15617285069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rPr>
                <w:rFonts w:hAnsi="宋体" w:eastAsia="宋体" w:cs="宋体"/>
                <w:sz w:val="24"/>
              </w:rPr>
            </w:pPr>
            <w:r>
              <w:rPr>
                <w:rFonts w:hint="eastAsia" w:hAnsi="宋体" w:eastAsia="宋体" w:cs="宋体"/>
                <w:bCs/>
                <w:sz w:val="24"/>
                <w:szCs w:val="24"/>
              </w:rPr>
              <w:t>许昌经济技术开发投资有限公司“屯北安置房35#地20#楼室外工程”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rPr>
                <w:rFonts w:hAnsi="宋体" w:eastAsia="宋体" w:cs="宋体"/>
                <w:sz w:val="24"/>
              </w:rPr>
            </w:pPr>
            <w:r>
              <w:rPr>
                <w:rFonts w:hint="eastAsia" w:hAnsi="宋体" w:eastAsia="宋体" w:cs="宋体"/>
                <w:bCs/>
                <w:sz w:val="24"/>
                <w:szCs w:val="24"/>
              </w:rPr>
              <w:t>东临许繁路，南临屯田路，西临解放路，北依屯里路。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rPr>
            </w:pPr>
            <w:r>
              <w:rPr>
                <w:rFonts w:hint="eastAsia" w:hAnsi="宋体" w:cs="宋体"/>
                <w:sz w:val="24"/>
                <w:szCs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rPr>
                <w:rFonts w:hAnsi="宋体" w:eastAsia="宋体" w:cs="宋体"/>
                <w:sz w:val="24"/>
              </w:rPr>
            </w:pPr>
            <w:r>
              <w:rPr>
                <w:rFonts w:hint="eastAsia" w:hAnsi="宋体" w:eastAsia="宋体" w:cs="宋体"/>
                <w:sz w:val="24"/>
              </w:rPr>
              <w:t>招标文件和工程量清单及图纸的获取：投标人于投标文件递交截止时间前均可登录【全国公共资源交易平台(河南省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szCs w:val="24"/>
              </w:rPr>
              <w:t>2020年4月30日8时30分</w:t>
            </w:r>
            <w:r>
              <w:rPr>
                <w:rFonts w:hint="eastAsia" w:hAnsi="宋体" w:eastAsia="宋体" w:cs="宋体"/>
                <w:sz w:val="24"/>
              </w:rPr>
              <w:t>（</w:t>
            </w:r>
            <w:r>
              <w:rPr>
                <w:rFonts w:hint="eastAsia" w:hAnsi="宋体" w:cs="宋体"/>
                <w:sz w:val="24"/>
                <w:szCs w:val="24"/>
              </w:rPr>
              <w:t>月</w:t>
            </w:r>
            <w:r>
              <w:rPr>
                <w:rFonts w:hint="eastAsia" w:hAnsi="宋体" w:eastAsia="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sz w:val="24"/>
              </w:rPr>
            </w:pPr>
            <w:r>
              <w:rPr>
                <w:rFonts w:hint="eastAsia" w:hAnsi="宋体" w:eastAsia="宋体" w:cs="宋体"/>
                <w:sz w:val="24"/>
              </w:rPr>
              <w:t xml:space="preserve">2、基本户备案流程： </w:t>
            </w:r>
          </w:p>
          <w:p>
            <w:pPr>
              <w:autoSpaceDE w:val="0"/>
              <w:autoSpaceDN w:val="0"/>
              <w:adjustRightInd w:val="0"/>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sz w:val="24"/>
              </w:rPr>
            </w:pPr>
            <w:r>
              <w:rPr>
                <w:rFonts w:hint="eastAsia" w:hAnsi="宋体" w:eastAsia="宋体" w:cs="宋体"/>
                <w:sz w:val="24"/>
              </w:rPr>
              <w:t>3、特殊情况处理：</w:t>
            </w:r>
          </w:p>
          <w:p>
            <w:pPr>
              <w:autoSpaceDE w:val="0"/>
              <w:autoSpaceDN w:val="0"/>
              <w:adjustRightInd w:val="0"/>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w:t>
            </w:r>
            <w:r>
              <w:rPr>
                <w:rFonts w:hint="eastAsia" w:hAnsi="宋体" w:eastAsia="宋体" w:cs="宋体"/>
                <w:color w:val="FF0000"/>
                <w:sz w:val="24"/>
              </w:rPr>
              <w:t>五楼保证金管理科办理退款手续（0374-2968027）</w:t>
            </w:r>
            <w:r>
              <w:rPr>
                <w:rFonts w:hint="eastAsia" w:hAnsi="宋体" w:eastAsia="宋体" w:cs="宋体"/>
                <w:sz w:val="24"/>
              </w:rPr>
              <w:t>。</w:t>
            </w:r>
          </w:p>
          <w:p>
            <w:pPr>
              <w:autoSpaceDE w:val="0"/>
              <w:autoSpaceDN w:val="0"/>
              <w:adjustRightInd w:val="0"/>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3" w:colFirst="0" w:colLast="2"/>
            <w:bookmarkStart w:id="3" w:name="OLE_LINK4"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同投标截止时间</w:t>
            </w:r>
            <w:r>
              <w:rPr>
                <w:rFonts w:hint="eastAsia" w:hAnsi="宋体" w:eastAsia="宋体" w:cs="宋体"/>
                <w:sz w:val="24"/>
              </w:rPr>
              <w:t>。</w:t>
            </w:r>
          </w:p>
          <w:p>
            <w:pPr>
              <w:autoSpaceDE w:val="0"/>
              <w:autoSpaceDN w:val="0"/>
              <w:adjustRightInd w:val="0"/>
              <w:spacing w:line="276" w:lineRule="auto"/>
              <w:ind w:firstLine="480" w:firstLineChars="200"/>
              <w:jc w:val="left"/>
              <w:rPr>
                <w:rFonts w:hAnsi="宋体" w:eastAsia="宋体" w:cs="宋体"/>
                <w:b/>
                <w:bCs/>
                <w:sz w:val="24"/>
                <w:lang w:val="zh-CN"/>
              </w:rPr>
            </w:pPr>
            <w:r>
              <w:rPr>
                <w:rFonts w:hint="eastAsia" w:hAnsi="宋体" w:eastAsia="宋体" w:cs="宋体"/>
                <w:b/>
                <w:bCs/>
                <w:sz w:val="24"/>
              </w:rPr>
              <w:t>金额：叁万肆仟伍佰元圆整</w:t>
            </w:r>
            <w:r>
              <w:rPr>
                <w:rFonts w:hint="eastAsia" w:hAnsi="宋体" w:eastAsia="宋体" w:cs="宋体"/>
                <w:b/>
                <w:bCs/>
                <w:sz w:val="24"/>
                <w:lang w:val="zh-CN"/>
              </w:rPr>
              <w:t>（¥</w:t>
            </w:r>
            <w:r>
              <w:rPr>
                <w:rFonts w:hint="eastAsia" w:hAnsi="宋体" w:eastAsia="宋体" w:cs="宋体"/>
                <w:b/>
                <w:bCs/>
                <w:sz w:val="24"/>
              </w:rPr>
              <w:t>34500</w:t>
            </w:r>
            <w:r>
              <w:rPr>
                <w:rFonts w:hint="eastAsia" w:hAnsi="宋体" w:eastAsia="宋体" w:cs="宋体"/>
                <w:b/>
                <w:bCs/>
                <w:sz w:val="24"/>
                <w:lang w:val="zh-CN"/>
              </w:rPr>
              <w:t>.00元）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保函方式的，投标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lang w:val="zh-CN"/>
              </w:rPr>
            </w:pPr>
            <w:r>
              <w:rPr>
                <w:rFonts w:hint="eastAsia" w:hAnsi="宋体" w:cs="宋体"/>
                <w:sz w:val="24"/>
                <w:lang w:val="zh-CN"/>
              </w:rPr>
              <w:t>2.1投标人网上下载招标文件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40" w:lineRule="exact"/>
              <w:rPr>
                <w:rFonts w:hAnsi="宋体" w:cs="宋体"/>
                <w:sz w:val="24"/>
                <w:lang w:val="zh-CN"/>
              </w:rPr>
            </w:pPr>
            <w:r>
              <w:rPr>
                <w:rFonts w:hint="eastAsia" w:hAnsi="宋体" w:cs="宋体"/>
                <w:sz w:val="24"/>
                <w:lang w:val="zh-CN"/>
              </w:rPr>
              <w:t>2.2成功缴纳后再次登录前述系统，依次点击“会员向导”→“参与投标”→“保证金绑定”→“绑定”进行投标保证金绑定。未绑定标段的投标保证金，视为未按规定提交。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2.3投标人成功绑定投标保证金，将缴纳凭证即本项目投保保证金“许昌公共资源交易中心保证金缴纳回执”附于投标文件中，否则视为未按规定提交。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spacing w:line="340" w:lineRule="exac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40" w:lineRule="exac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276" w:lineRule="auto"/>
              <w:jc w:val="left"/>
              <w:rPr>
                <w:rFonts w:hAnsi="宋体" w:eastAsia="宋体" w:cs="宋体"/>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sz w:val="24"/>
              </w:rPr>
            </w:pPr>
            <w:r>
              <w:rPr>
                <w:rFonts w:hint="eastAsia" w:hAnsi="宋体" w:eastAsia="宋体" w:cs="宋体"/>
                <w:sz w:val="24"/>
              </w:rPr>
              <w:t>近年，指</w:t>
            </w:r>
            <w:r>
              <w:rPr>
                <w:rFonts w:hint="eastAsia" w:hAnsi="宋体" w:eastAsia="宋体" w:cs="宋体"/>
                <w:sz w:val="24"/>
                <w:szCs w:val="24"/>
              </w:rPr>
              <w:t>2016、2017、2018</w:t>
            </w:r>
            <w:r>
              <w:rPr>
                <w:rFonts w:hint="eastAsia" w:hAnsi="宋体" w:eastAsia="宋体" w:cs="宋体"/>
                <w:sz w:val="24"/>
              </w:rPr>
              <w:t>年。</w:t>
            </w:r>
          </w:p>
          <w:p>
            <w:pPr>
              <w:autoSpaceDE w:val="0"/>
              <w:autoSpaceDN w:val="0"/>
              <w:adjustRightInd w:val="0"/>
              <w:spacing w:line="276" w:lineRule="auto"/>
              <w:jc w:val="left"/>
              <w:rPr>
                <w:rFonts w:hAnsi="宋体" w:eastAsia="宋体" w:cs="宋体"/>
                <w:b/>
                <w:szCs w:val="21"/>
              </w:rPr>
            </w:pPr>
            <w:r>
              <w:rPr>
                <w:rFonts w:hint="eastAsia" w:hAnsi="宋体" w:cs="宋体"/>
                <w:sz w:val="24"/>
              </w:rPr>
              <w:t>（若公司成立未满三年，需提供自成立起至2018年度财务状况）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ind w:firstLine="360" w:firstLineChars="150"/>
              <w:jc w:val="left"/>
              <w:rPr>
                <w:rFonts w:hAnsi="宋体" w:eastAsia="宋体" w:cs="宋体"/>
                <w:sz w:val="24"/>
              </w:rPr>
            </w:pPr>
            <w:r>
              <w:rPr>
                <w:rFonts w:hint="eastAsia" w:ascii="Calibri" w:hAnsi="宋体" w:eastAsia="宋体" w:cs="宋体"/>
                <w:sz w:val="24"/>
              </w:rPr>
              <w:t>成功上传至《全国公共资源交易平台（河南省·许昌市）》公共资</w:t>
            </w:r>
            <w:r>
              <w:rPr>
                <w:rFonts w:hint="eastAsia" w:hAnsi="宋体" w:eastAsia="宋体" w:cs="宋体"/>
                <w:sz w:val="24"/>
              </w:rPr>
              <w:t>源交易系统电子投标文件1份（文件格式为：XX公司XXX项目编号.file）。</w:t>
            </w:r>
          </w:p>
          <w:p>
            <w:pPr>
              <w:spacing w:line="360" w:lineRule="auto"/>
              <w:rPr>
                <w:rFonts w:hAnsi="宋体" w:eastAsia="宋体" w:cs="宋体"/>
                <w:sz w:val="24"/>
              </w:rPr>
            </w:pPr>
            <w:r>
              <w:rPr>
                <w:rFonts w:hint="eastAsia" w:hAnsi="宋体" w:eastAsia="宋体" w:cs="宋体"/>
                <w:b/>
                <w:bCs/>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rPr>
              <w:t>电子投标文件递交地点：电子投标文件应按规定在投标截止时间（开标时间）之前成功提交至【全国公共资源交易平台</w:t>
            </w:r>
            <w:r>
              <w:rPr>
                <w:rFonts w:hAnsi="宋体" w:eastAsia="宋体" w:cs="宋体"/>
                <w:sz w:val="24"/>
              </w:rPr>
              <w:t>(</w:t>
            </w:r>
            <w:r>
              <w:rPr>
                <w:rFonts w:hint="eastAsia" w:hAnsi="宋体" w:eastAsia="宋体" w:cs="宋体"/>
                <w:sz w:val="24"/>
              </w:rPr>
              <w:t>河南省</w:t>
            </w:r>
            <w:r>
              <w:rPr>
                <w:rFonts w:hint="eastAsia" w:ascii="MS Mincho" w:hAnsi="MS Mincho" w:eastAsia="MS Mincho" w:cs="MS Mincho"/>
                <w:sz w:val="24"/>
              </w:rPr>
              <w:t>▪</w:t>
            </w:r>
            <w:r>
              <w:rPr>
                <w:rFonts w:hint="eastAsia" w:hAnsi="宋体" w:eastAsia="宋体" w:cs="宋体"/>
                <w:sz w:val="24"/>
              </w:rPr>
              <w:t>许昌市</w:t>
            </w:r>
            <w:r>
              <w:rPr>
                <w:rFonts w:hAnsi="宋体" w:eastAsia="宋体" w:cs="宋体"/>
                <w:sz w:val="24"/>
              </w:rPr>
              <w:t>)</w:t>
            </w:r>
            <w:r>
              <w:rPr>
                <w:rFonts w:hint="eastAsia" w:hAnsi="宋体" w:eastAsia="宋体" w:cs="宋体"/>
                <w:sz w:val="24"/>
              </w:rPr>
              <w:t>】公共资源交易系统（</w:t>
            </w:r>
            <w:r>
              <w:rPr>
                <w:rFonts w:hAnsi="宋体" w:eastAsia="宋体" w:cs="宋体"/>
                <w:sz w:val="24"/>
              </w:rPr>
              <w:t>http://221.14.6.70:8088/ggzy/</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开标地点：许昌市公共资源交易中心开标一室(许昌市龙兴路竹林路交汇处公共资源大厦三楼）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spacing w:line="520" w:lineRule="exact"/>
              <w:rPr>
                <w:rFonts w:hAnsi="宋体" w:eastAsia="宋体" w:cs="宋体"/>
                <w:color w:val="FF0000"/>
                <w:sz w:val="24"/>
              </w:rPr>
            </w:pPr>
            <w:r>
              <w:rPr>
                <w:rFonts w:hint="eastAsia" w:hAnsi="宋体" w:eastAsia="宋体" w:cs="宋体"/>
                <w:color w:val="FF0000"/>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eastAsia="宋体" w:cs="宋体"/>
                <w:color w:val="FF0000"/>
                <w:sz w:val="24"/>
              </w:rPr>
            </w:pPr>
            <w:r>
              <w:rPr>
                <w:rFonts w:hint="eastAsia" w:hAnsi="宋体" w:eastAsia="宋体" w:cs="宋体"/>
                <w:color w:val="FF0000"/>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eastAsia="宋体" w:cs="宋体"/>
                <w:color w:val="FF0000"/>
                <w:sz w:val="24"/>
              </w:rPr>
            </w:pPr>
            <w:r>
              <w:rPr>
                <w:rFonts w:hint="eastAsia" w:hAnsi="宋体" w:eastAsia="宋体" w:cs="宋体"/>
                <w:color w:val="FF0000"/>
                <w:sz w:val="24"/>
              </w:rPr>
              <w:t>(3)解密完成后，招标人（代理机构）点击“系数抽取”按钮进行系数抽取，系数抽取情况在“公告通知”处显示。</w:t>
            </w:r>
            <w:r>
              <w:rPr>
                <w:rFonts w:hAnsi="宋体" w:eastAsia="宋体" w:cs="宋体"/>
                <w:color w:val="FF0000"/>
                <w:sz w:val="24"/>
              </w:rPr>
              <w:t xml:space="preserve"> </w:t>
            </w:r>
          </w:p>
          <w:p>
            <w:pPr>
              <w:spacing w:line="520" w:lineRule="exact"/>
              <w:rPr>
                <w:rFonts w:hAnsi="宋体" w:eastAsia="宋体" w:cs="宋体"/>
                <w:color w:val="FF0000"/>
                <w:sz w:val="24"/>
              </w:rPr>
            </w:pPr>
            <w:r>
              <w:rPr>
                <w:rFonts w:hint="eastAsia" w:hAnsi="宋体" w:eastAsia="宋体" w:cs="宋体"/>
                <w:color w:val="FF0000"/>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ind w:firstLine="120" w:firstLineChars="50"/>
              <w:rPr>
                <w:rFonts w:hAnsi="宋体" w:eastAsia="宋体" w:cs="宋体"/>
                <w:color w:val="FF0000"/>
                <w:sz w:val="24"/>
              </w:rPr>
            </w:pPr>
            <w:r>
              <w:rPr>
                <w:rFonts w:hint="eastAsia" w:hAnsi="宋体" w:eastAsia="宋体" w:cs="宋体"/>
                <w:color w:val="FF0000"/>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hAnsi="宋体" w:eastAsia="宋体" w:cs="宋体"/>
                <w:sz w:val="24"/>
              </w:rPr>
            </w:pPr>
            <w:r>
              <w:rPr>
                <w:rFonts w:hint="eastAsia" w:hAnsi="宋体" w:eastAsia="宋体" w:cs="宋体"/>
                <w:color w:val="FF0000"/>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评标委员会构成：5人，从河南省综合评标专家库中随机抽取4人和招标人代表1人（其中工程造价专家不应少于五分之二）。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sz w:val="24"/>
              </w:rPr>
            </w:pPr>
            <w:r>
              <w:rPr>
                <w:rFonts w:hint="eastAsia" w:hAnsi="宋体" w:eastAsia="宋体" w:cs="宋体"/>
                <w:sz w:val="24"/>
              </w:rPr>
              <w:t>类似项目指建筑工程项目。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本工程设招标控制价：</w:t>
            </w:r>
          </w:p>
          <w:p>
            <w:pPr>
              <w:autoSpaceDE w:val="0"/>
              <w:autoSpaceDN w:val="0"/>
              <w:adjustRightInd w:val="0"/>
              <w:spacing w:line="420" w:lineRule="exact"/>
              <w:rPr>
                <w:rFonts w:hAnsi="宋体" w:eastAsia="宋体" w:cs="宋体"/>
                <w:b/>
                <w:sz w:val="24"/>
              </w:rPr>
            </w:pPr>
            <w:r>
              <w:rPr>
                <w:rFonts w:hint="eastAsia" w:hAnsi="宋体" w:eastAsia="宋体" w:cs="宋体"/>
                <w:b/>
                <w:sz w:val="24"/>
              </w:rPr>
              <w:t>大写：壹佰柒拾贰万捌仟玖佰零玖元叁角叁分</w:t>
            </w:r>
          </w:p>
          <w:p>
            <w:pPr>
              <w:autoSpaceDE w:val="0"/>
              <w:autoSpaceDN w:val="0"/>
              <w:adjustRightInd w:val="0"/>
              <w:spacing w:line="420" w:lineRule="exact"/>
              <w:rPr>
                <w:rFonts w:hAnsi="宋体" w:eastAsia="宋体" w:cs="宋体"/>
                <w:b/>
                <w:sz w:val="24"/>
              </w:rPr>
            </w:pPr>
            <w:r>
              <w:rPr>
                <w:rFonts w:hint="eastAsia" w:hAnsi="宋体" w:eastAsia="宋体" w:cs="宋体"/>
                <w:b/>
                <w:sz w:val="24"/>
              </w:rPr>
              <w:t>小写：1728909.33元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1、未成功上传的投标文件；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5、招标人及其代理机构需留存项目电子档案时，可在质疑期满后使用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6、商务标投标文件制作注意事项：</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7、投标人需提前熟悉招标文件相关事项及《</w:t>
            </w:r>
            <w:r>
              <w:rPr>
                <w:rFonts w:hint="eastAsia" w:hAnsi="宋体"/>
                <w:sz w:val="24"/>
              </w:rPr>
              <w:t>许昌市不见面开标操作手册</w:t>
            </w:r>
            <w:r>
              <w:rPr>
                <w:rFonts w:hint="eastAsia" w:hAnsi="宋体" w:eastAsia="宋体" w:cs="宋体"/>
                <w:sz w:val="24"/>
              </w:rPr>
              <w:t>》，并设置不见面开标浏览器（设置流程详见《</w:t>
            </w:r>
            <w:r>
              <w:rPr>
                <w:rFonts w:hint="eastAsia" w:hAnsi="宋体"/>
                <w:sz w:val="24"/>
              </w:rPr>
              <w:t>许昌市不见面开标操作手册</w:t>
            </w:r>
            <w:r>
              <w:rPr>
                <w:rFonts w:hint="eastAsia" w:hAnsi="宋体" w:eastAsia="宋体" w:cs="宋体"/>
                <w:sz w:val="24"/>
              </w:rPr>
              <w:t>》）。</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360" w:lineRule="auto"/>
              <w:jc w:val="left"/>
              <w:outlineLvl w:val="0"/>
              <w:rPr>
                <w:rFonts w:hAnsi="宋体" w:eastAsia="宋体" w:cs="宋体"/>
                <w:b/>
                <w:sz w:val="24"/>
              </w:rPr>
            </w:pPr>
            <w:r>
              <w:rPr>
                <w:rFonts w:hint="eastAsia" w:hAnsi="宋体" w:eastAsia="宋体" w:cs="宋体"/>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p>
    <w:p>
      <w:pPr>
        <w:autoSpaceDE w:val="0"/>
        <w:autoSpaceDN w:val="0"/>
        <w:adjustRightInd w:val="0"/>
        <w:snapToGri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1.1.1根据《中华人民共和国招标投标法》等有关法律、法规和规章的规定，本招标项目已具备招标条件，现对本工程施工进行招标。</w:t>
      </w:r>
    </w:p>
    <w:p>
      <w:pPr>
        <w:autoSpaceDE w:val="0"/>
        <w:autoSpaceDN w:val="0"/>
        <w:adjustRightInd w:val="0"/>
        <w:snapToGri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napToGri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napToGri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napToGri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adjustRightInd w:val="0"/>
        <w:snapToGrid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napToGri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napToGri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spacing w:line="360" w:lineRule="auto"/>
        <w:ind w:firstLine="540" w:firstLineChars="225"/>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spacing w:line="360" w:lineRule="auto"/>
        <w:ind w:firstLine="480"/>
        <w:outlineLvl w:val="0"/>
        <w:rPr>
          <w:rFonts w:hAnsi="宋体"/>
          <w:sz w:val="24"/>
          <w:szCs w:val="24"/>
        </w:rPr>
      </w:pPr>
      <w:r>
        <w:rPr>
          <w:rFonts w:hint="eastAsia" w:hAnsi="宋体" w:cs="宋体"/>
          <w:sz w:val="24"/>
        </w:rPr>
        <w:t>（1）联合体各方应招标文件提供的格式签订联合体协议书，明确联合体牵头人和各方的权利义务。</w:t>
      </w:r>
    </w:p>
    <w:p>
      <w:pPr>
        <w:autoSpaceDE w:val="0"/>
        <w:autoSpaceDN w:val="0"/>
        <w:spacing w:line="336"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spacing w:line="336"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spacing w:line="360" w:lineRule="auto"/>
        <w:ind w:firstLine="480" w:firstLineChars="200"/>
        <w:jc w:val="left"/>
        <w:rPr>
          <w:rFonts w:hAnsi="宋体" w:cs="宋体"/>
          <w:sz w:val="24"/>
        </w:rPr>
      </w:pPr>
      <w:r>
        <w:rPr>
          <w:rFonts w:hint="eastAsia" w:hAnsi="宋体" w:cs="宋体"/>
          <w:sz w:val="24"/>
        </w:rPr>
        <w:t>1.4.3投标人不得存在下列情形之一：</w:t>
      </w:r>
    </w:p>
    <w:p>
      <w:pPr>
        <w:autoSpaceDE w:val="0"/>
        <w:autoSpaceDN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sz w:val="24"/>
        </w:rPr>
      </w:pPr>
      <w:bookmarkStart w:id="8" w:name="_Toc144974503"/>
      <w:bookmarkStart w:id="9" w:name="_Toc179632552"/>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5536"/>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5538"/>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9"/>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所有澄清、答疑全部以公共资源交易系统电子平台发出的为准，不再接受书面形式的递交。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在投标截止时间15天前，招标人可以通过公共资源交易系统电子平台修改招标文件，如果修改招标文件的时间距投标截止时间不足15天，相应延长投标截止时间。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5546"/>
      <w:bookmarkStart w:id="33" w:name="_Toc152042322"/>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（2）法定代表人身份证明、授权委托书及项目负责人承诺书（一标段）；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（1）内容完整性；</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（2）主要施工方案与技术措施；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（5）文明施工、环境保护管理体系及施工现场扬尘治理措施；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（6）工期保证措施；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（8）施工进度表与网络计划图；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（9）施工总平面图布置；</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（10）技术创新的应用实施措施；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（11）采用新工艺、新技术、新设备、新材料、BIM等的程度；</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（12）施工现场实施信息化监控和数据处理；</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 按照住建部《建设工程量清单计价规范》（GB50500-2013）及省住建厅有关规定，税费、税金和安全文明施工费属不可竞争费。规费、增值税、安全文明施工措施费、暂列金额与专业暂估价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6"/>
    <w:p>
      <w:pPr>
        <w:tabs>
          <w:tab w:val="left" w:pos="3060"/>
        </w:tabs>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3.4 投标保证金</w:t>
      </w:r>
      <w:bookmarkEnd w:id="37"/>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投标保证金提交：按《投标人须知前附表》3.4.2条规定。</w:t>
      </w:r>
    </w:p>
    <w:p>
      <w:pPr>
        <w:autoSpaceDE w:val="0"/>
        <w:autoSpaceDN w:val="0"/>
        <w:adjustRightInd w:val="0"/>
        <w:spacing w:line="276" w:lineRule="auto"/>
        <w:ind w:firstLine="480" w:firstLineChars="200"/>
        <w:jc w:val="left"/>
        <w:rPr>
          <w:rFonts w:hAnsi="宋体" w:cs="宋体"/>
          <w:b/>
          <w:bCs/>
          <w:sz w:val="24"/>
        </w:rPr>
      </w:pPr>
      <w:r>
        <w:rPr>
          <w:rFonts w:hint="eastAsia" w:ascii="新宋体" w:hAnsi="新宋体" w:eastAsia="新宋体" w:cs="仿宋_GB2312"/>
          <w:sz w:val="24"/>
          <w:lang w:val="zh-CN"/>
        </w:rPr>
        <w:t>3.4.2.1 投标保证金的</w:t>
      </w:r>
      <w:r>
        <w:rPr>
          <w:rFonts w:hint="eastAsia" w:ascii="新宋体" w:hAnsi="新宋体" w:eastAsia="新宋体" w:cs="仿宋_GB2312"/>
          <w:sz w:val="24"/>
        </w:rPr>
        <w:t>提交</w:t>
      </w:r>
      <w:r>
        <w:rPr>
          <w:rFonts w:hint="eastAsia" w:ascii="新宋体" w:hAnsi="新宋体" w:eastAsia="新宋体" w:cs="仿宋_GB2312"/>
          <w:sz w:val="24"/>
          <w:lang w:val="zh-CN"/>
        </w:rPr>
        <w:t>方式：</w:t>
      </w:r>
      <w:r>
        <w:rPr>
          <w:rFonts w:hAnsi="宋体" w:cs="宋体"/>
          <w:b/>
          <w:bCs/>
          <w:sz w:val="24"/>
        </w:rPr>
        <w:t xml:space="preserve"> </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投标保证金的</w:t>
      </w:r>
      <w:r>
        <w:rPr>
          <w:rFonts w:hint="eastAsia" w:hAnsi="宋体" w:cs="宋体"/>
          <w:sz w:val="24"/>
        </w:rPr>
        <w:t>提交</w:t>
      </w:r>
      <w:r>
        <w:rPr>
          <w:rFonts w:hint="eastAsia" w:hAnsi="宋体" w:cs="宋体"/>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sz w:val="24"/>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w:t>
      </w:r>
      <w:r>
        <w:rPr>
          <w:rFonts w:hint="eastAsia" w:hAnsi="宋体" w:cs="宋体"/>
          <w:sz w:val="24"/>
        </w:rPr>
        <w:t>投标</w:t>
      </w:r>
      <w:r>
        <w:rPr>
          <w:rFonts w:hint="eastAsia" w:hAnsi="宋体" w:cs="宋体"/>
          <w:sz w:val="24"/>
          <w:lang w:val="zh-CN"/>
        </w:rPr>
        <w:t>银行保函原件扫描件附于投标文件中，否则视为未按</w:t>
      </w:r>
      <w:r>
        <w:rPr>
          <w:rFonts w:hint="eastAsia" w:hAnsi="宋体" w:cs="宋体"/>
          <w:sz w:val="24"/>
        </w:rPr>
        <w:t>规定提交</w:t>
      </w:r>
      <w:r>
        <w:rPr>
          <w:rFonts w:hint="eastAsia" w:hAnsi="宋体" w:cs="宋体"/>
          <w:sz w:val="24"/>
          <w:lang w:val="zh-CN"/>
        </w:rPr>
        <w:t>。</w:t>
      </w:r>
      <w:r>
        <w:rPr>
          <w:rFonts w:hint="eastAsia" w:hAnsi="宋体" w:cs="宋体"/>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3.4.2.2 </w:t>
      </w:r>
      <w:r>
        <w:rPr>
          <w:rFonts w:hint="eastAsia" w:ascii="新宋体" w:hAnsi="新宋体" w:eastAsia="新宋体" w:cs="仿宋_GB2312"/>
          <w:sz w:val="24"/>
          <w:lang w:val="zh-CN"/>
        </w:rPr>
        <w:t>投标保证金</w:t>
      </w:r>
      <w:r>
        <w:rPr>
          <w:rFonts w:hint="eastAsia" w:ascii="新宋体" w:hAnsi="新宋体" w:eastAsia="新宋体" w:cs="仿宋_GB2312"/>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w:t>
      </w:r>
      <w:r>
        <w:rPr>
          <w:rFonts w:hint="eastAsia" w:ascii="新宋体" w:hAnsi="新宋体" w:eastAsia="新宋体" w:cs="仿宋_GB2312"/>
          <w:sz w:val="24"/>
        </w:rPr>
        <w:t>再次</w:t>
      </w:r>
      <w:r>
        <w:rPr>
          <w:rFonts w:hint="eastAsia" w:ascii="新宋体" w:hAnsi="新宋体" w:eastAsia="新宋体" w:cs="仿宋_GB2312"/>
          <w:sz w:val="24"/>
          <w:lang w:val="zh-CN"/>
        </w:rPr>
        <w:t>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投标人成功绑定投标保证金，将缴纳凭证“许昌公共资源交易中心保证金缴纳回执”附于投标文件中；未绑定标段的投标保证金，视为未按</w:t>
      </w:r>
      <w:r>
        <w:rPr>
          <w:rFonts w:hint="eastAsia" w:hAnsi="宋体" w:cs="宋体"/>
          <w:sz w:val="24"/>
        </w:rPr>
        <w:t>规定</w:t>
      </w:r>
      <w:r>
        <w:rPr>
          <w:rFonts w:hint="eastAsia" w:hAnsi="宋体" w:cs="宋体"/>
          <w:sz w:val="24"/>
          <w:lang w:val="zh-CN"/>
        </w:rPr>
        <w:t>交纳。</w:t>
      </w:r>
      <w:r>
        <w:rPr>
          <w:rFonts w:hint="eastAsia" w:hAnsi="宋体" w:cs="宋体"/>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（3）将中标项目转让给他人，或者 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（7）相关法律、法规规定不予退还的其它情形</w:t>
      </w:r>
      <w:r>
        <w:rPr>
          <w:rFonts w:hint="eastAsia" w:hAnsi="宋体" w:cs="宋体"/>
          <w:sz w:val="24"/>
          <w:lang w:val="zh-CN"/>
        </w:rPr>
        <w:t>。</w:t>
      </w:r>
    </w:p>
    <w:p>
      <w:pPr>
        <w:autoSpaceDE w:val="0"/>
        <w:autoSpaceDN w:val="0"/>
        <w:spacing w:line="420" w:lineRule="exact"/>
        <w:jc w:val="left"/>
        <w:outlineLvl w:val="0"/>
        <w:rPr>
          <w:rFonts w:hAnsi="宋体" w:cs="宋体"/>
          <w:sz w:val="24"/>
        </w:rPr>
      </w:pPr>
      <w:r>
        <w:rPr>
          <w:rFonts w:hint="eastAsia" w:hAnsi="宋体" w:cs="宋体"/>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“投标人基本情况表”应附投标人营业执照副本、资质证书副本和安全生产许可证等材料的原件扫描件或图片。</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“近年财务状况表”应附经会计师事务所或审计机构审计的财务会计报表，包括资产负债表、现金流量表、利润表的原件扫描件或图片，具体年份要求见投标人须知前附表。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“近年完成的类似项目情况表”应附合同和中标通知书或中标通知书和竣工验收备案表的原件扫描件或图片，具体年份要求见投标人须知前附表。每张表格只填写一个项目，并标明序号。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3.5.4 “正在施工和新承接的项目情况表”应附合同和中标通知书或中标通知书和竣工验收备案表的原件扫描件或图片。每张表格只填写一个项目，并标明序号。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ascii="新宋体" w:hAnsi="新宋体" w:eastAsia="新宋体" w:cs="仿宋_GB2312"/>
          <w:sz w:val="24"/>
        </w:rPr>
      </w:pPr>
      <w:r>
        <w:rPr>
          <w:rFonts w:hint="eastAsia" w:hAnsi="宋体" w:cs="宋体"/>
          <w:sz w:val="24"/>
        </w:rPr>
        <w:t xml:space="preserve">3.5.6  </w:t>
      </w:r>
      <w:r>
        <w:rPr>
          <w:rFonts w:hint="eastAsia" w:ascii="新宋体" w:hAnsi="新宋体" w:eastAsia="新宋体" w:cs="仿宋_GB2312"/>
          <w:sz w:val="24"/>
        </w:rPr>
        <w:t>未按规定提交投标保证金的，由评标委员会否决其投标。</w:t>
      </w:r>
    </w:p>
    <w:p>
      <w:pPr>
        <w:pStyle w:val="2"/>
        <w:ind w:firstLine="241"/>
        <w:rPr>
          <w:rFonts w:eastAsia="新宋体"/>
          <w:b/>
          <w:bCs/>
        </w:rPr>
      </w:pPr>
      <w:r>
        <w:rPr>
          <w:rFonts w:hint="eastAsia" w:ascii="新宋体" w:hAnsi="新宋体" w:eastAsia="新宋体" w:cs="仿宋_GB2312"/>
          <w:b/>
          <w:bCs/>
          <w:sz w:val="24"/>
        </w:rPr>
        <w:t>注：具体评审内容依据第三章评标办法。</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5553"/>
      <w:bookmarkStart w:id="40" w:name="_Toc152042329"/>
      <w:bookmarkStart w:id="41" w:name="_Toc144974521"/>
      <w:bookmarkStart w:id="42" w:name="_Toc17963257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autoSpaceDE w:val="0"/>
        <w:autoSpaceDN w:val="0"/>
        <w:adjustRightInd w:val="0"/>
        <w:spacing w:line="460" w:lineRule="exact"/>
        <w:ind w:firstLine="480" w:firstLineChars="200"/>
        <w:jc w:val="left"/>
        <w:rPr>
          <w:rFonts w:hAnsi="宋体" w:cs="宋体"/>
          <w:sz w:val="24"/>
        </w:rPr>
      </w:pPr>
      <w:bookmarkStart w:id="43" w:name="_Toc283559961"/>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3.7.3 投标人编制的投标文件应分为商务标、综合标和技术标。</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V1.1”，按招标文件要求制作电子投标文件（包括含工程量清单的商务标投标文件）。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3.7.5 使用电子介质存储的备份文件1份。</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3.7.6 同时生成与电子投标文件内容、水印码、电子签章一致的PDF文件。</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3.7.7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360" w:lineRule="auto"/>
        <w:ind w:firstLine="480" w:firstLineChars="200"/>
        <w:jc w:val="left"/>
        <w:rPr>
          <w:rFonts w:hAnsi="宋体" w:cs="宋体"/>
          <w:b/>
          <w:bCs/>
          <w:sz w:val="24"/>
        </w:rPr>
      </w:pPr>
      <w:r>
        <w:rPr>
          <w:rFonts w:hint="eastAsia" w:hAnsi="宋体" w:cs="宋体"/>
          <w:b/>
          <w:bCs/>
          <w:sz w:val="24"/>
        </w:rPr>
        <w:t>3.7.7.2 商务标投标文件制作技术咨询：0374-2961598。</w:t>
      </w:r>
    </w:p>
    <w:p>
      <w:pPr>
        <w:pStyle w:val="2"/>
        <w:spacing w:line="360" w:lineRule="auto"/>
        <w:ind w:firstLine="480" w:firstLineChars="200"/>
      </w:pPr>
      <w:r>
        <w:rPr>
          <w:rFonts w:hint="eastAsia" w:hAnsi="宋体" w:cs="宋体"/>
          <w:b/>
          <w:bCs/>
          <w:sz w:val="24"/>
        </w:rPr>
        <w:t>3.7.8 当生成的电子投标文件投标报价大小写不一致时，以大写为准。</w:t>
      </w:r>
    </w:p>
    <w:p>
      <w:pPr>
        <w:pStyle w:val="19"/>
        <w:spacing w:line="480" w:lineRule="exact"/>
        <w:jc w:val="both"/>
        <w:outlineLvl w:val="0"/>
        <w:rPr>
          <w:rFonts w:hAnsi="宋体"/>
          <w:b/>
          <w:color w:val="auto"/>
        </w:rPr>
      </w:pPr>
      <w:r>
        <w:rPr>
          <w:rFonts w:hint="eastAsia" w:hAnsi="宋体"/>
          <w:b/>
          <w:color w:val="auto"/>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440" w:lineRule="exact"/>
        <w:ind w:firstLine="480" w:firstLineChars="200"/>
        <w:jc w:val="left"/>
        <w:outlineLvl w:val="0"/>
        <w:rPr>
          <w:rFonts w:hAnsi="宋体" w:cs="宋体"/>
          <w:sz w:val="24"/>
        </w:rPr>
      </w:pPr>
      <w:bookmarkStart w:id="45" w:name="_Toc283559963"/>
      <w:r>
        <w:rPr>
          <w:rFonts w:hint="eastAsia" w:hAnsi="宋体" w:cs="宋体"/>
          <w:sz w:val="24"/>
        </w:rPr>
        <w:t>4.1.1 使用电子介质存储的投标文件应单独密封，并加盖单位公章，法定代表人或委托代理人签名，在投标截止时间前递交，密封不符合要求的不予受理。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bookmarkStart w:id="46" w:name="_Toc283559964"/>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4.3 投标文件的修改与撤回</w:t>
      </w:r>
      <w:bookmarkEnd w:id="4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在投标人须知前附表中规定的投标截止时间前，投标人可以修改或撤回已递交的投标文件，但应以书面形式通知招标人。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投标人修改或撤回已递交投标文件的书面通知应按照本章第4.1项的要求签字或盖章。招标人收到书面通知后，向投标人出具签收凭证。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9"/>
        <w:spacing w:line="440" w:lineRule="exact"/>
        <w:jc w:val="both"/>
        <w:outlineLvl w:val="0"/>
        <w:rPr>
          <w:rFonts w:hAnsi="宋体"/>
          <w:b/>
          <w:color w:val="auto"/>
        </w:rPr>
      </w:pPr>
      <w:bookmarkStart w:id="47" w:name="_Toc283559967"/>
      <w:r>
        <w:rPr>
          <w:rFonts w:hint="eastAsia" w:hAnsi="宋体"/>
          <w:b/>
          <w:color w:val="auto"/>
        </w:rPr>
        <w:t>5. 开标</w:t>
      </w:r>
      <w:bookmarkEnd w:id="47"/>
    </w:p>
    <w:p>
      <w:pPr>
        <w:autoSpaceDE w:val="0"/>
        <w:autoSpaceDN w:val="0"/>
        <w:adjustRightInd w:val="0"/>
        <w:spacing w:line="440" w:lineRule="exact"/>
        <w:jc w:val="left"/>
        <w:outlineLvl w:val="0"/>
        <w:rPr>
          <w:rFonts w:hAnsi="宋体" w:cs="宋体"/>
          <w:b/>
          <w:sz w:val="24"/>
        </w:rPr>
      </w:pPr>
      <w:bookmarkStart w:id="48" w:name="_Toc283559968"/>
      <w:r>
        <w:rPr>
          <w:rFonts w:hint="eastAsia" w:hAnsi="宋体" w:cs="宋体"/>
          <w:b/>
          <w:sz w:val="24"/>
        </w:rPr>
        <w:t>5.1 开标时间和地点</w:t>
      </w:r>
      <w:bookmarkEnd w:id="4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360" w:lineRule="auto"/>
        <w:jc w:val="left"/>
        <w:rPr>
          <w:rFonts w:hAnsi="宋体" w:cs="宋体"/>
          <w:b/>
          <w:sz w:val="24"/>
        </w:rPr>
      </w:pPr>
      <w:r>
        <w:rPr>
          <w:rFonts w:hint="eastAsia" w:hAnsi="宋体" w:cs="宋体"/>
          <w:b/>
          <w:sz w:val="24"/>
        </w:rPr>
        <w:t>5.2 开标程序</w:t>
      </w:r>
    </w:p>
    <w:p>
      <w:pPr>
        <w:autoSpaceDE w:val="0"/>
        <w:autoSpaceDN w:val="0"/>
        <w:spacing w:line="440" w:lineRule="exact"/>
        <w:ind w:firstLine="480" w:firstLineChars="200"/>
        <w:jc w:val="left"/>
        <w:outlineLvl w:val="0"/>
        <w:rPr>
          <w:rFonts w:hAnsi="宋体" w:cs="宋体"/>
          <w:color w:val="FF0000"/>
          <w:sz w:val="24"/>
        </w:rPr>
      </w:pPr>
      <w:bookmarkStart w:id="49" w:name="_Toc283559970"/>
      <w:r>
        <w:rPr>
          <w:rFonts w:hint="eastAsia" w:hAnsi="宋体" w:cs="宋体"/>
          <w:color w:val="FF0000"/>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outlineLvl w:val="0"/>
        <w:rPr>
          <w:rFonts w:hAnsi="宋体" w:cs="宋体"/>
          <w:color w:val="FF0000"/>
          <w:sz w:val="24"/>
        </w:rPr>
      </w:pPr>
      <w:r>
        <w:rPr>
          <w:rFonts w:hint="eastAsia" w:hAnsi="宋体" w:cs="宋体"/>
          <w:color w:val="FF0000"/>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outlineLvl w:val="0"/>
        <w:rPr>
          <w:rFonts w:hAnsi="宋体" w:cs="宋体"/>
          <w:color w:val="FF0000"/>
          <w:sz w:val="24"/>
        </w:rPr>
      </w:pPr>
      <w:r>
        <w:rPr>
          <w:rFonts w:hint="eastAsia" w:hAnsi="宋体" w:cs="宋体"/>
          <w:color w:val="FF0000"/>
          <w:sz w:val="24"/>
        </w:rPr>
        <w:t>(3)解密完成后，招标人（代理机构）点击“系数抽取”按钮进行系数抽取，系数抽取情况在“公告通知”处显示。</w:t>
      </w:r>
      <w:r>
        <w:rPr>
          <w:rFonts w:hAnsi="宋体" w:cs="宋体"/>
          <w:color w:val="FF0000"/>
          <w:sz w:val="24"/>
        </w:rPr>
        <w:t xml:space="preserve"> </w:t>
      </w:r>
    </w:p>
    <w:p>
      <w:pPr>
        <w:autoSpaceDE w:val="0"/>
        <w:autoSpaceDN w:val="0"/>
        <w:spacing w:line="440" w:lineRule="exact"/>
        <w:ind w:firstLine="480" w:firstLineChars="200"/>
        <w:jc w:val="left"/>
        <w:outlineLvl w:val="0"/>
        <w:rPr>
          <w:rFonts w:hAnsi="宋体" w:cs="宋体"/>
          <w:color w:val="FF0000"/>
          <w:sz w:val="24"/>
        </w:rPr>
      </w:pPr>
      <w:r>
        <w:rPr>
          <w:rFonts w:hint="eastAsia" w:hAnsi="宋体" w:cs="宋体"/>
          <w:color w:val="FF0000"/>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outlineLvl w:val="0"/>
        <w:rPr>
          <w:rFonts w:hAnsi="宋体" w:cs="宋体"/>
          <w:color w:val="FF0000"/>
          <w:sz w:val="24"/>
        </w:rPr>
      </w:pPr>
      <w:r>
        <w:rPr>
          <w:rFonts w:hint="eastAsia" w:hAnsi="宋体" w:cs="宋体"/>
          <w:color w:val="FF0000"/>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40" w:lineRule="exact"/>
        <w:ind w:firstLine="480" w:firstLineChars="200"/>
        <w:jc w:val="left"/>
        <w:outlineLvl w:val="0"/>
        <w:rPr>
          <w:rFonts w:hAnsi="宋体" w:cs="宋体"/>
          <w:color w:val="FF0000"/>
          <w:sz w:val="24"/>
        </w:rPr>
      </w:pPr>
      <w:r>
        <w:rPr>
          <w:rFonts w:hint="eastAsia" w:hAnsi="宋体" w:cs="宋体"/>
          <w:color w:val="FF0000"/>
          <w:sz w:val="24"/>
        </w:rPr>
        <w:t>（6）招标人（代理机构）签章并上传《开标记录表》，不见面开标活动结束。</w:t>
      </w:r>
    </w:p>
    <w:p>
      <w:pPr>
        <w:pStyle w:val="19"/>
        <w:spacing w:line="440" w:lineRule="exact"/>
        <w:jc w:val="both"/>
        <w:outlineLvl w:val="0"/>
        <w:rPr>
          <w:rFonts w:hAnsi="宋体"/>
          <w:b/>
          <w:color w:val="auto"/>
        </w:rPr>
      </w:pPr>
      <w:r>
        <w:rPr>
          <w:rFonts w:hint="eastAsia" w:hAnsi="宋体"/>
          <w:b/>
          <w:color w:val="auto"/>
        </w:rPr>
        <w:t>6. 评标</w:t>
      </w:r>
      <w:bookmarkEnd w:id="49"/>
    </w:p>
    <w:p>
      <w:pPr>
        <w:autoSpaceDE w:val="0"/>
        <w:autoSpaceDN w:val="0"/>
        <w:adjustRightInd w:val="0"/>
        <w:spacing w:line="440" w:lineRule="exact"/>
        <w:jc w:val="left"/>
        <w:outlineLvl w:val="0"/>
        <w:rPr>
          <w:rFonts w:hAnsi="宋体" w:cs="宋体"/>
          <w:b/>
          <w:sz w:val="24"/>
        </w:rPr>
      </w:pPr>
      <w:bookmarkStart w:id="50" w:name="_Toc283559971"/>
      <w:r>
        <w:rPr>
          <w:rFonts w:hint="eastAsia" w:hAnsi="宋体" w:cs="宋体"/>
          <w:b/>
          <w:sz w:val="24"/>
        </w:rPr>
        <w:t>6.1 评标委员会</w:t>
      </w:r>
      <w:bookmarkEnd w:id="50"/>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机构熟悉相关业务的代表，以及有关技术、经济等方面的专家组成，成员人数为五人以上单数，其中技术、经济等方面的专家不得少于成员总数的三分之二，评标委员会的组成人员中工程造价专家不应少于五分之二，组成人数见投标人须知前附表。</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adjustRightInd w:val="0"/>
        <w:snapToGrid w:val="0"/>
        <w:spacing w:line="336" w:lineRule="auto"/>
        <w:jc w:val="left"/>
        <w:outlineLvl w:val="0"/>
        <w:rPr>
          <w:rFonts w:hAnsi="宋体" w:cs="宋体"/>
          <w:b/>
          <w:sz w:val="24"/>
        </w:rPr>
      </w:pPr>
      <w:bookmarkStart w:id="51" w:name="_Toc283559972"/>
      <w:r>
        <w:rPr>
          <w:rFonts w:hint="eastAsia" w:hAnsi="宋体" w:cs="宋体"/>
          <w:b/>
          <w:sz w:val="24"/>
        </w:rPr>
        <w:t>6.2 评标原则</w:t>
      </w:r>
      <w:bookmarkEnd w:id="51"/>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adjustRightInd w:val="0"/>
        <w:snapToGrid w:val="0"/>
        <w:spacing w:line="336" w:lineRule="auto"/>
        <w:jc w:val="left"/>
        <w:outlineLvl w:val="0"/>
        <w:rPr>
          <w:rFonts w:hAnsi="宋体" w:cs="宋体"/>
          <w:b/>
          <w:sz w:val="24"/>
        </w:rPr>
      </w:pPr>
      <w:bookmarkStart w:id="52" w:name="_Toc283559973"/>
      <w:r>
        <w:rPr>
          <w:rFonts w:hint="eastAsia" w:hAnsi="宋体" w:cs="宋体"/>
          <w:b/>
          <w:sz w:val="24"/>
        </w:rPr>
        <w:t>6.3 评标</w:t>
      </w:r>
      <w:bookmarkEnd w:id="52"/>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9"/>
        <w:snapToGrid w:val="0"/>
        <w:spacing w:line="336" w:lineRule="auto"/>
        <w:jc w:val="both"/>
        <w:outlineLvl w:val="0"/>
        <w:rPr>
          <w:rFonts w:hAnsi="宋体"/>
          <w:b/>
          <w:color w:val="auto"/>
        </w:rPr>
      </w:pPr>
      <w:bookmarkStart w:id="53" w:name="_Toc283559974"/>
      <w:r>
        <w:rPr>
          <w:rFonts w:hint="eastAsia" w:hAnsi="宋体"/>
          <w:b/>
          <w:color w:val="auto"/>
        </w:rPr>
        <w:t>7. 合同授予</w:t>
      </w:r>
      <w:bookmarkEnd w:id="53"/>
    </w:p>
    <w:p>
      <w:pPr>
        <w:autoSpaceDE w:val="0"/>
        <w:autoSpaceDN w:val="0"/>
        <w:adjustRightInd w:val="0"/>
        <w:snapToGrid w:val="0"/>
        <w:spacing w:line="336" w:lineRule="auto"/>
        <w:jc w:val="left"/>
        <w:outlineLvl w:val="0"/>
        <w:rPr>
          <w:rFonts w:hAnsi="宋体" w:cs="宋体"/>
          <w:b/>
          <w:sz w:val="24"/>
        </w:rPr>
      </w:pPr>
      <w:bookmarkStart w:id="54" w:name="_Toc283559975"/>
      <w:r>
        <w:rPr>
          <w:rFonts w:hint="eastAsia" w:hAnsi="宋体" w:cs="宋体"/>
          <w:b/>
          <w:sz w:val="24"/>
        </w:rPr>
        <w:t>7.1 定标方式</w:t>
      </w:r>
      <w:bookmarkEnd w:id="54"/>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int="eastAsia" w:hAnsi="宋体" w:cs="宋体"/>
          <w:b/>
          <w:sz w:val="24"/>
        </w:rPr>
        <w:t>7.2 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6" w:name="_Toc179632587"/>
      <w:bookmarkStart w:id="57" w:name="_Toc152045569"/>
      <w:bookmarkStart w:id="58" w:name="_Toc152042345"/>
      <w:bookmarkStart w:id="59" w:name="_Toc144974537"/>
    </w:p>
    <w:p>
      <w:pPr>
        <w:autoSpaceDE w:val="0"/>
        <w:autoSpaceDN w:val="0"/>
        <w:spacing w:line="440" w:lineRule="exact"/>
        <w:jc w:val="left"/>
        <w:outlineLvl w:val="0"/>
        <w:rPr>
          <w:rFonts w:hAnsi="宋体" w:cs="宋体"/>
          <w:b/>
          <w:sz w:val="24"/>
        </w:rPr>
      </w:pPr>
      <w:r>
        <w:rPr>
          <w:rFonts w:hint="eastAsia" w:hAnsi="宋体" w:cs="宋体"/>
          <w:b/>
          <w:sz w:val="24"/>
        </w:rPr>
        <w:t>7.</w:t>
      </w:r>
      <w:bookmarkEnd w:id="56"/>
      <w:bookmarkEnd w:id="57"/>
      <w:bookmarkEnd w:id="58"/>
      <w:bookmarkEnd w:id="59"/>
      <w:bookmarkStart w:id="60" w:name="_Toc283559977"/>
      <w:r>
        <w:rPr>
          <w:rFonts w:hint="eastAsia" w:hAnsi="宋体" w:cs="宋体"/>
          <w:b/>
          <w:sz w:val="24"/>
        </w:rPr>
        <w:t>3签订合同</w:t>
      </w:r>
      <w:bookmarkEnd w:id="6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1" w:name="_Toc283559978"/>
      <w:r>
        <w:rPr>
          <w:rFonts w:hint="eastAsia" w:hAnsi="宋体" w:cs="宋体"/>
          <w:b/>
          <w:sz w:val="24"/>
        </w:rPr>
        <w:t>8. 重新招标和不再招标</w:t>
      </w:r>
      <w:bookmarkEnd w:id="61"/>
    </w:p>
    <w:p>
      <w:pPr>
        <w:autoSpaceDE w:val="0"/>
        <w:autoSpaceDN w:val="0"/>
        <w:adjustRightInd w:val="0"/>
        <w:spacing w:line="440" w:lineRule="exact"/>
        <w:jc w:val="left"/>
        <w:outlineLvl w:val="0"/>
        <w:rPr>
          <w:rFonts w:hAnsi="宋体" w:cs="宋体"/>
          <w:b/>
          <w:sz w:val="24"/>
        </w:rPr>
      </w:pPr>
      <w:bookmarkStart w:id="62" w:name="_Toc283559979"/>
      <w:r>
        <w:rPr>
          <w:rFonts w:hint="eastAsia" w:hAnsi="宋体" w:cs="宋体"/>
          <w:b/>
          <w:sz w:val="24"/>
        </w:rPr>
        <w:t>8.1 重新招标</w:t>
      </w:r>
      <w:bookmarkEnd w:id="62"/>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3" w:name="_Toc283559980"/>
      <w:r>
        <w:rPr>
          <w:rFonts w:hint="eastAsia" w:hAnsi="宋体" w:cs="宋体"/>
          <w:b/>
          <w:sz w:val="24"/>
        </w:rPr>
        <w:t>8.2 不再招标</w:t>
      </w:r>
      <w:bookmarkEnd w:id="63"/>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9"/>
        <w:spacing w:line="440" w:lineRule="exact"/>
        <w:jc w:val="both"/>
        <w:outlineLvl w:val="0"/>
        <w:rPr>
          <w:rFonts w:hAnsi="宋体"/>
          <w:b/>
          <w:color w:val="auto"/>
        </w:rPr>
      </w:pPr>
      <w:bookmarkStart w:id="64" w:name="_Toc283559981"/>
      <w:r>
        <w:rPr>
          <w:rFonts w:hint="eastAsia" w:hAnsi="宋体"/>
          <w:b/>
          <w:color w:val="auto"/>
        </w:rPr>
        <w:t>9. 纪律和监督</w:t>
      </w:r>
      <w:bookmarkEnd w:id="64"/>
    </w:p>
    <w:p>
      <w:pPr>
        <w:autoSpaceDE w:val="0"/>
        <w:autoSpaceDN w:val="0"/>
        <w:adjustRightInd w:val="0"/>
        <w:spacing w:line="440" w:lineRule="exact"/>
        <w:jc w:val="left"/>
        <w:outlineLvl w:val="0"/>
        <w:rPr>
          <w:rFonts w:hAnsi="宋体" w:cs="宋体"/>
          <w:b/>
          <w:sz w:val="24"/>
        </w:rPr>
      </w:pPr>
      <w:bookmarkStart w:id="65" w:name="_Toc283559982"/>
      <w:r>
        <w:rPr>
          <w:rFonts w:hint="eastAsia" w:hAnsi="宋体" w:cs="宋体"/>
          <w:b/>
          <w:sz w:val="24"/>
        </w:rPr>
        <w:t>9.1 对招标人的纪律要求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6" w:name="_Toc283559983"/>
      <w:r>
        <w:rPr>
          <w:rFonts w:hint="eastAsia" w:hAnsi="宋体" w:cs="宋体"/>
          <w:b/>
          <w:sz w:val="24"/>
        </w:rPr>
        <w:t>9.2 对投标人的纪律要求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7" w:name="_Toc283559984"/>
      <w:r>
        <w:rPr>
          <w:rFonts w:hint="eastAsia" w:hAnsi="宋体" w:cs="宋体"/>
          <w:b/>
          <w:sz w:val="24"/>
        </w:rPr>
        <w:t>9.3 对评标委员会成员的纪律要求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8" w:name="_Toc283559985"/>
      <w:r>
        <w:rPr>
          <w:rFonts w:hint="eastAsia" w:hAnsi="宋体" w:cs="宋体"/>
          <w:b/>
          <w:sz w:val="24"/>
        </w:rPr>
        <w:t>9.4 对与评标活动有关的工作人员的纪律要求</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9" w:name="_Toc283559986"/>
      <w:r>
        <w:rPr>
          <w:rFonts w:hint="eastAsia" w:hAnsi="宋体" w:cs="宋体"/>
          <w:b/>
          <w:sz w:val="24"/>
        </w:rPr>
        <w:t>9.5 投诉</w:t>
      </w:r>
      <w:bookmarkEnd w:id="69"/>
    </w:p>
    <w:p>
      <w:pPr>
        <w:autoSpaceDE w:val="0"/>
        <w:autoSpaceDN w:val="0"/>
        <w:adjustRightInd w:val="0"/>
        <w:spacing w:line="440" w:lineRule="exact"/>
        <w:ind w:firstLine="240" w:firstLineChars="1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9"/>
        <w:spacing w:line="440" w:lineRule="exact"/>
        <w:jc w:val="both"/>
        <w:outlineLvl w:val="0"/>
        <w:rPr>
          <w:rFonts w:hAnsi="宋体"/>
          <w:b/>
          <w:color w:val="auto"/>
        </w:rPr>
      </w:pPr>
      <w:bookmarkStart w:id="70" w:name="_Toc283559987"/>
      <w:r>
        <w:rPr>
          <w:rFonts w:hAnsi="宋体"/>
          <w:b/>
          <w:color w:val="auto"/>
        </w:rPr>
        <w:t xml:space="preserve">10. </w:t>
      </w:r>
      <w:r>
        <w:rPr>
          <w:rFonts w:hint="eastAsia" w:hAnsi="宋体"/>
          <w:b/>
          <w:color w:val="auto"/>
        </w:rPr>
        <w:t>需要补充的其他内容</w:t>
      </w:r>
      <w:bookmarkEnd w:id="70"/>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评标办法（综合评标法）</w:t>
      </w:r>
    </w:p>
    <w:p>
      <w:pPr>
        <w:snapToGrid w:val="0"/>
        <w:spacing w:line="360" w:lineRule="auto"/>
        <w:rPr>
          <w:rFonts w:hAnsi="宋体" w:cs="宋体"/>
          <w:sz w:val="24"/>
        </w:rPr>
      </w:pPr>
      <w:bookmarkStart w:id="71" w:name="_Toc283559990"/>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二、从河南省综合评标专家库中随机抽取4人和招标人代表1人（其中注册造价工程师不少于2人）。评标委员会主任从4名随机抽取的评标专家中产生，与投标人有利害关系的专家不得进入评标委员会。</w:t>
      </w:r>
    </w:p>
    <w:p>
      <w:pPr>
        <w:snapToGrid w:val="0"/>
        <w:spacing w:line="360" w:lineRule="auto"/>
        <w:rPr>
          <w:rFonts w:ascii="新宋体" w:hAnsi="新宋体" w:eastAsia="新宋体"/>
          <w:sz w:val="24"/>
        </w:rPr>
      </w:pPr>
      <w:r>
        <w:rPr>
          <w:rFonts w:hint="eastAsia" w:ascii="新宋体" w:hAnsi="新宋体" w:eastAsia="新宋体"/>
          <w:sz w:val="24"/>
        </w:rPr>
        <w:t>三、评标采用综合评标法，是指评标委员会根据招标文件要求，应从技术标、商务标、综合标三部分进行综合评审。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eastAsia="新宋体"/>
          <w:b/>
          <w:sz w:val="24"/>
        </w:rPr>
      </w:pPr>
      <w:r>
        <w:rPr>
          <w:rFonts w:hint="eastAsia" w:hAnsi="宋体" w:cs="宋体"/>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315"/>
        <w:gridCol w:w="3915"/>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3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3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9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安全文明施工费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其他措施费（费率类）项目</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39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专业工程暂估价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增值税</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（6）投标文件是否对招标文件的实质性要求和条件作出响应（包括是否按规定缴纳投标保证金）；</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b/>
          <w:sz w:val="24"/>
        </w:rPr>
        <w:t>七、</w:t>
      </w:r>
      <w:r>
        <w:rPr>
          <w:rFonts w:hint="eastAsia" w:ascii="新宋体" w:hAnsi="新宋体" w:eastAsia="新宋体" w:cs="宋体"/>
          <w:b/>
          <w:sz w:val="24"/>
        </w:rPr>
        <w:t>详细评审</w:t>
      </w:r>
    </w:p>
    <w:p>
      <w:pPr>
        <w:snapToGrid w:val="0"/>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p>
      <w:pPr>
        <w:snapToGrid w:val="0"/>
        <w:spacing w:line="360" w:lineRule="auto"/>
        <w:rPr>
          <w:rFonts w:ascii="新宋体" w:hAnsi="新宋体" w:eastAsia="新宋体"/>
          <w:sz w:val="24"/>
        </w:rPr>
      </w:pPr>
      <w:r>
        <w:rPr>
          <w:rFonts w:ascii="新宋体" w:hAnsi="新宋体" w:eastAsia="新宋体"/>
          <w:sz w:val="24"/>
        </w:rPr>
        <w:t>评审内容</w:t>
      </w:r>
      <w:r>
        <w:rPr>
          <w:rFonts w:hint="eastAsia" w:ascii="新宋体" w:hAnsi="新宋体" w:eastAsia="新宋体"/>
          <w:sz w:val="24"/>
        </w:rPr>
        <w:t>：</w:t>
      </w:r>
    </w:p>
    <w:tbl>
      <w:tblPr>
        <w:tblStyle w:val="1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sz w:val="21"/>
                <w:szCs w:val="21"/>
              </w:rPr>
            </w:pPr>
            <w:bookmarkStart w:id="72" w:name="_Toc272833453"/>
            <w:bookmarkStart w:id="73" w:name="_Toc295572535"/>
            <w:bookmarkStart w:id="74" w:name="_Toc270931534"/>
            <w:bookmarkStart w:id="75" w:name="_Toc273546398"/>
            <w:r>
              <w:rPr>
                <w:rFonts w:hint="eastAsia" w:hAnsi="宋体" w:eastAsia="宋体" w:cs="宋体"/>
                <w:b/>
                <w:bCs/>
                <w:sz w:val="21"/>
                <w:szCs w:val="21"/>
              </w:rPr>
              <w:t>序号</w:t>
            </w:r>
          </w:p>
        </w:tc>
        <w:tc>
          <w:tcPr>
            <w:tcW w:w="1123"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内容</w:t>
            </w:r>
          </w:p>
        </w:tc>
        <w:tc>
          <w:tcPr>
            <w:tcW w:w="980"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分值</w:t>
            </w:r>
          </w:p>
        </w:tc>
        <w:tc>
          <w:tcPr>
            <w:tcW w:w="5344"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评审标准</w:t>
            </w:r>
          </w:p>
        </w:tc>
        <w:tc>
          <w:tcPr>
            <w:tcW w:w="1241"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sz w:val="21"/>
                <w:szCs w:val="21"/>
              </w:rPr>
            </w:pPr>
            <w:r>
              <w:rPr>
                <w:sz w:val="21"/>
                <w:szCs w:val="21"/>
              </w:rPr>
              <w:t>1</w:t>
            </w:r>
          </w:p>
        </w:tc>
        <w:tc>
          <w:tcPr>
            <w:tcW w:w="1123" w:type="dxa"/>
            <w:vMerge w:val="restart"/>
            <w:tcBorders>
              <w:tl2br w:val="nil"/>
              <w:tr2bl w:val="nil"/>
            </w:tcBorders>
            <w:vAlign w:val="center"/>
          </w:tcPr>
          <w:p>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pPr>
              <w:jc w:val="cente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sz w:val="21"/>
                <w:szCs w:val="21"/>
              </w:rPr>
            </w:pPr>
            <w:r>
              <w:rPr>
                <w:sz w:val="21"/>
                <w:szCs w:val="21"/>
              </w:rPr>
              <w:t>2</w:t>
            </w:r>
          </w:p>
        </w:tc>
        <w:tc>
          <w:tcPr>
            <w:tcW w:w="1123" w:type="dxa"/>
            <w:vMerge w:val="restart"/>
            <w:tcBorders>
              <w:tl2br w:val="nil"/>
              <w:tr2bl w:val="nil"/>
            </w:tcBorders>
            <w:vAlign w:val="center"/>
          </w:tcPr>
          <w:p>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sz w:val="21"/>
                <w:szCs w:val="21"/>
              </w:rPr>
            </w:pPr>
            <w:r>
              <w:rPr>
                <w:sz w:val="21"/>
                <w:szCs w:val="21"/>
              </w:rPr>
              <w:t xml:space="preserve"> 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sz w:val="21"/>
                <w:szCs w:val="21"/>
              </w:rPr>
            </w:pPr>
            <w:r>
              <w:rPr>
                <w:sz w:val="21"/>
                <w:szCs w:val="21"/>
              </w:rPr>
              <w:t>3</w:t>
            </w:r>
          </w:p>
        </w:tc>
        <w:tc>
          <w:tcPr>
            <w:tcW w:w="1123" w:type="dxa"/>
            <w:vMerge w:val="restart"/>
            <w:tcBorders>
              <w:tl2br w:val="nil"/>
              <w:tr2bl w:val="nil"/>
            </w:tcBorders>
            <w:vAlign w:val="center"/>
          </w:tcPr>
          <w:p>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sz w:val="21"/>
                <w:szCs w:val="21"/>
              </w:rPr>
            </w:pPr>
            <w:r>
              <w:rPr>
                <w:sz w:val="21"/>
                <w:szCs w:val="21"/>
              </w:rPr>
              <w:t>4</w:t>
            </w:r>
          </w:p>
        </w:tc>
        <w:tc>
          <w:tcPr>
            <w:tcW w:w="1123" w:type="dxa"/>
            <w:vMerge w:val="restart"/>
            <w:tcBorders>
              <w:tl2br w:val="nil"/>
              <w:tr2bl w:val="nil"/>
            </w:tcBorders>
            <w:vAlign w:val="center"/>
          </w:tcPr>
          <w:p>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sz w:val="21"/>
                <w:szCs w:val="21"/>
              </w:rPr>
            </w:pPr>
            <w:r>
              <w:rPr>
                <w:sz w:val="21"/>
                <w:szCs w:val="21"/>
              </w:rPr>
              <w:t>5</w:t>
            </w:r>
          </w:p>
        </w:tc>
        <w:tc>
          <w:tcPr>
            <w:tcW w:w="1123" w:type="dxa"/>
            <w:vMerge w:val="restart"/>
            <w:tcBorders>
              <w:tl2br w:val="nil"/>
              <w:tr2bl w:val="nil"/>
            </w:tcBorders>
            <w:vAlign w:val="center"/>
          </w:tcPr>
          <w:p>
            <w:pPr>
              <w:jc w:val="left"/>
              <w:rPr>
                <w:sz w:val="21"/>
                <w:szCs w:val="21"/>
              </w:rPr>
            </w:pPr>
            <w:r>
              <w:rPr>
                <w:rFonts w:hint="eastAsia"/>
                <w:sz w:val="21"/>
                <w:szCs w:val="21"/>
              </w:rPr>
              <w:t>文明施工、环境保护管理体系及施工现场扬尘治理措施</w:t>
            </w:r>
          </w:p>
        </w:tc>
        <w:tc>
          <w:tcPr>
            <w:tcW w:w="980" w:type="dxa"/>
            <w:vMerge w:val="restart"/>
            <w:tcBorders>
              <w:tl2br w:val="nil"/>
              <w:tr2bl w:val="nil"/>
            </w:tcBorders>
            <w:vAlign w:val="center"/>
          </w:tcPr>
          <w:p>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pPr>
              <w:jc w:val="center"/>
              <w:rPr>
                <w:rFonts w:eastAsia="宋体"/>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6</w:t>
            </w:r>
          </w:p>
        </w:tc>
        <w:tc>
          <w:tcPr>
            <w:tcW w:w="1123" w:type="dxa"/>
            <w:vMerge w:val="restart"/>
            <w:tcBorders>
              <w:tl2br w:val="nil"/>
              <w:tr2bl w:val="nil"/>
            </w:tcBorders>
            <w:vAlign w:val="center"/>
          </w:tcPr>
          <w:p>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sz w:val="21"/>
                <w:szCs w:val="21"/>
              </w:rPr>
            </w:pPr>
            <w:r>
              <w:rPr>
                <w:sz w:val="21"/>
                <w:szCs w:val="21"/>
              </w:rPr>
              <w:t>7</w:t>
            </w:r>
          </w:p>
        </w:tc>
        <w:tc>
          <w:tcPr>
            <w:tcW w:w="1123" w:type="dxa"/>
            <w:vMerge w:val="restart"/>
            <w:tcBorders>
              <w:tl2br w:val="nil"/>
              <w:tr2bl w:val="nil"/>
            </w:tcBorders>
            <w:vAlign w:val="center"/>
          </w:tcPr>
          <w:p>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8</w:t>
            </w:r>
          </w:p>
        </w:tc>
        <w:tc>
          <w:tcPr>
            <w:tcW w:w="1123" w:type="dxa"/>
            <w:vMerge w:val="restart"/>
            <w:tcBorders>
              <w:tl2br w:val="nil"/>
              <w:tr2bl w:val="nil"/>
            </w:tcBorders>
            <w:vAlign w:val="center"/>
          </w:tcPr>
          <w:p>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9</w:t>
            </w:r>
          </w:p>
        </w:tc>
        <w:tc>
          <w:tcPr>
            <w:tcW w:w="1123" w:type="dxa"/>
            <w:vMerge w:val="restart"/>
            <w:tcBorders>
              <w:tl2br w:val="nil"/>
              <w:tr2bl w:val="nil"/>
            </w:tcBorders>
            <w:vAlign w:val="center"/>
          </w:tcPr>
          <w:p>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sz w:val="21"/>
                <w:szCs w:val="21"/>
              </w:rPr>
            </w:pPr>
            <w:r>
              <w:rPr>
                <w:sz w:val="21"/>
                <w:szCs w:val="21"/>
              </w:rPr>
              <w:t>10</w:t>
            </w:r>
          </w:p>
        </w:tc>
        <w:tc>
          <w:tcPr>
            <w:tcW w:w="1123" w:type="dxa"/>
            <w:vMerge w:val="restart"/>
            <w:tcBorders>
              <w:tl2br w:val="nil"/>
              <w:tr2bl w:val="nil"/>
            </w:tcBorders>
            <w:vAlign w:val="center"/>
          </w:tcPr>
          <w:p>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sz w:val="21"/>
                <w:szCs w:val="21"/>
              </w:rPr>
            </w:pPr>
            <w:r>
              <w:rPr>
                <w:sz w:val="21"/>
                <w:szCs w:val="21"/>
              </w:rPr>
              <w:t>11</w:t>
            </w:r>
          </w:p>
        </w:tc>
        <w:tc>
          <w:tcPr>
            <w:tcW w:w="1123" w:type="dxa"/>
            <w:vMerge w:val="restart"/>
            <w:tcBorders>
              <w:tl2br w:val="nil"/>
              <w:tr2bl w:val="nil"/>
            </w:tcBorders>
            <w:vAlign w:val="center"/>
          </w:tcPr>
          <w:p>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等的程度满足设计要求，基本符合施工要求和相应技术标准等规定。</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12</w:t>
            </w:r>
          </w:p>
        </w:tc>
        <w:tc>
          <w:tcPr>
            <w:tcW w:w="1123" w:type="dxa"/>
            <w:vMerge w:val="restart"/>
            <w:tcBorders>
              <w:tl2br w:val="nil"/>
              <w:tr2bl w:val="nil"/>
            </w:tcBorders>
            <w:vAlign w:val="center"/>
          </w:tcPr>
          <w:p>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13</w:t>
            </w:r>
          </w:p>
        </w:tc>
        <w:tc>
          <w:tcPr>
            <w:tcW w:w="1123" w:type="dxa"/>
            <w:vMerge w:val="restart"/>
            <w:tcBorders>
              <w:tl2br w:val="nil"/>
              <w:tr2bl w:val="nil"/>
            </w:tcBorders>
            <w:vAlign w:val="center"/>
          </w:tcPr>
          <w:p>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sz w:val="21"/>
                <w:szCs w:val="21"/>
              </w:rPr>
            </w:pPr>
            <w:r>
              <w:rPr>
                <w:rFonts w:hint="eastAsia"/>
                <w:sz w:val="21"/>
                <w:szCs w:val="21"/>
              </w:rPr>
              <w:t>合计</w:t>
            </w:r>
          </w:p>
        </w:tc>
        <w:tc>
          <w:tcPr>
            <w:tcW w:w="980" w:type="dxa"/>
            <w:tcBorders>
              <w:tl2br w:val="nil"/>
              <w:tr2bl w:val="nil"/>
            </w:tcBorders>
            <w:vAlign w:val="center"/>
          </w:tcPr>
          <w:p>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pPr>
              <w:rPr>
                <w:sz w:val="21"/>
                <w:szCs w:val="21"/>
              </w:rPr>
            </w:pPr>
          </w:p>
        </w:tc>
        <w:tc>
          <w:tcPr>
            <w:tcW w:w="1241" w:type="dxa"/>
            <w:tcBorders>
              <w:tl2br w:val="nil"/>
              <w:tr2bl w:val="nil"/>
            </w:tcBorders>
            <w:vAlign w:val="center"/>
          </w:tcPr>
          <w:p>
            <w:pPr>
              <w:jc w:val="center"/>
              <w:rPr>
                <w:sz w:val="21"/>
                <w:szCs w:val="21"/>
              </w:rPr>
            </w:pPr>
            <w:r>
              <w:rPr>
                <w:sz w:val="21"/>
                <w:szCs w:val="21"/>
              </w:rPr>
              <w:t>10≤</w:t>
            </w:r>
            <w:r>
              <w:rPr>
                <w:rFonts w:hint="eastAsia"/>
                <w:sz w:val="21"/>
                <w:szCs w:val="21"/>
              </w:rPr>
              <w:t>得分</w:t>
            </w:r>
            <w:r>
              <w:rPr>
                <w:sz w:val="21"/>
                <w:szCs w:val="21"/>
              </w:rPr>
              <w:t>≤25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工程量清单报价评标基准价计算公式为：</w:t>
      </w:r>
    </w:p>
    <w:p>
      <w:pPr>
        <w:snapToGrid w:val="0"/>
        <w:spacing w:line="360" w:lineRule="auto"/>
        <w:ind w:firstLine="481"/>
        <w:rPr>
          <w:rFonts w:hAnsi="宋体" w:cs="宋体"/>
          <w:sz w:val="24"/>
          <w:szCs w:val="24"/>
        </w:rPr>
      </w:pPr>
      <w:r>
        <w:rPr>
          <w:rFonts w:hint="eastAsia" w:hAnsi="宋体" w:cs="宋体"/>
          <w:sz w:val="24"/>
          <w:szCs w:val="24"/>
        </w:rPr>
        <w:t>评标基准价＝最高投标限价×K+投标报价×（1－K）。</w:t>
      </w:r>
    </w:p>
    <w:p>
      <w:pPr>
        <w:snapToGrid w:val="0"/>
        <w:spacing w:line="360" w:lineRule="auto"/>
        <w:ind w:firstLine="481"/>
        <w:rPr>
          <w:rFonts w:hAnsi="宋体" w:cs="宋体"/>
          <w:sz w:val="24"/>
          <w:szCs w:val="24"/>
        </w:rPr>
      </w:pPr>
      <w:r>
        <w:rPr>
          <w:rFonts w:hint="eastAsia" w:hAnsi="宋体" w:cs="宋体"/>
          <w:sz w:val="24"/>
          <w:szCs w:val="24"/>
        </w:rPr>
        <w:t>其中：K为最高投标限价权重系数，取值范围为0.3≤K≤0.5（K的取值：0.3、0.35、0.4、0.45、0.5），在开标现场由随机选定的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snapToGrid w:val="0"/>
        <w:spacing w:line="360" w:lineRule="auto"/>
        <w:ind w:firstLine="481"/>
        <w:rPr>
          <w:rFonts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分部分项工程项目清单单价评审（10分）</w:t>
      </w:r>
    </w:p>
    <w:p>
      <w:pPr>
        <w:snapToGrid w:val="0"/>
        <w:spacing w:line="360" w:lineRule="auto"/>
        <w:ind w:firstLine="484"/>
        <w:rPr>
          <w:rFonts w:hAnsi="宋体" w:eastAsia="宋体" w:cs="宋体"/>
          <w:sz w:val="24"/>
          <w:szCs w:val="24"/>
        </w:rPr>
      </w:pPr>
      <w:r>
        <w:rPr>
          <w:rFonts w:hint="eastAsia" w:hAnsi="宋体" w:eastAsia="宋体" w:cs="宋体"/>
          <w:sz w:val="24"/>
          <w:szCs w:val="24"/>
        </w:rPr>
        <w:t>从最高投标限价中分部分项工程项目权重最大的前10-30项清单项目中抽取15项，在剩余的分部分项工程项目清单项目中抽取5项。</w:t>
      </w:r>
    </w:p>
    <w:p>
      <w:pPr>
        <w:snapToGrid w:val="0"/>
        <w:spacing w:line="360" w:lineRule="auto"/>
        <w:ind w:firstLine="484"/>
        <w:rPr>
          <w:rFonts w:hAnsi="宋体" w:eastAsia="宋体" w:cs="宋体"/>
          <w:sz w:val="24"/>
          <w:szCs w:val="24"/>
        </w:rPr>
      </w:pPr>
      <w:r>
        <w:rPr>
          <w:rFonts w:hint="eastAsia" w:hAnsi="宋体" w:eastAsia="宋体" w:cs="宋体"/>
          <w:sz w:val="24"/>
          <w:szCs w:val="24"/>
        </w:rPr>
        <w:t>综合单价基准值是以各有效投标报价中（当有效投标人5名及以上时，去掉1个最高、1个最低值）对应抽取清单项目综合单价的算术平均值。</w:t>
      </w:r>
    </w:p>
    <w:p>
      <w:pPr>
        <w:snapToGrid w:val="0"/>
        <w:spacing w:line="360" w:lineRule="auto"/>
        <w:ind w:firstLine="484"/>
        <w:rPr>
          <w:rFonts w:hAnsi="宋体" w:eastAsia="宋体" w:cs="宋体"/>
          <w:sz w:val="24"/>
          <w:szCs w:val="24"/>
        </w:rPr>
      </w:pPr>
      <w:r>
        <w:rPr>
          <w:rFonts w:hint="eastAsia" w:hAnsi="宋体" w:eastAsia="宋体" w:cs="宋体"/>
          <w:sz w:val="24"/>
          <w:szCs w:val="24"/>
        </w:rPr>
        <w:t xml:space="preserve">投标人报价在综合单价基准值95%–103%范围内（不含95%和103%）的，每项得0.5分；在综合单价基准值90%–95%范围内（含90%和95%）每项得0.25分。满分共计10分。超出该范围的不得分。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措施项目费的评审（不含安全文明措施费）（5分）</w:t>
      </w:r>
    </w:p>
    <w:p>
      <w:pPr>
        <w:snapToGrid w:val="0"/>
        <w:spacing w:line="360" w:lineRule="auto"/>
        <w:ind w:firstLine="480" w:firstLineChars="200"/>
        <w:rPr>
          <w:rFonts w:hAnsi="宋体" w:eastAsia="宋体" w:cs="宋体"/>
          <w:sz w:val="24"/>
          <w:szCs w:val="24"/>
        </w:rPr>
      </w:pPr>
      <w:r>
        <w:rPr>
          <w:rFonts w:hint="eastAsia" w:hAnsi="宋体" w:eastAsia="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snapToGrid w:val="0"/>
        <w:spacing w:line="360" w:lineRule="auto"/>
        <w:ind w:firstLine="240" w:firstLineChars="100"/>
        <w:rPr>
          <w:rFonts w:hAnsi="宋体" w:cs="宋体"/>
          <w:b/>
          <w:bCs/>
          <w:sz w:val="24"/>
          <w:szCs w:val="24"/>
        </w:rPr>
      </w:pPr>
      <w:r>
        <w:rPr>
          <w:rFonts w:hint="eastAsia" w:hAnsi="宋体" w:cs="宋体"/>
          <w:b/>
          <w:bCs/>
          <w:sz w:val="24"/>
          <w:szCs w:val="24"/>
        </w:rPr>
        <w:t>8、主要材料单价的评审（5分）</w:t>
      </w:r>
    </w:p>
    <w:p>
      <w:pPr>
        <w:adjustRightInd w:val="0"/>
        <w:snapToGrid w:val="0"/>
        <w:spacing w:line="440" w:lineRule="exact"/>
        <w:ind w:firstLine="578" w:firstLineChars="241"/>
        <w:rPr>
          <w:rFonts w:hAnsi="宋体" w:eastAsia="宋体" w:cs="宋体"/>
          <w:sz w:val="24"/>
          <w:szCs w:val="24"/>
        </w:rPr>
      </w:pPr>
      <w:r>
        <w:rPr>
          <w:rFonts w:hint="eastAsia" w:hAnsi="宋体" w:eastAsia="宋体" w:cs="宋体"/>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hAnsi="宋体" w:eastAsia="宋体" w:cs="宋体"/>
          <w:sz w:val="24"/>
          <w:szCs w:val="24"/>
        </w:rPr>
      </w:pPr>
      <w:r>
        <w:rPr>
          <w:rFonts w:hint="eastAsia" w:hAnsi="宋体" w:eastAsia="宋体" w:cs="宋体"/>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Ansi="宋体" w:eastAsia="宋体" w:cs="宋体"/>
          <w:sz w:val="24"/>
          <w:szCs w:val="24"/>
        </w:rPr>
      </w:pPr>
      <w:r>
        <w:rPr>
          <w:rFonts w:hint="eastAsia" w:hAnsi="宋体" w:eastAsia="宋体" w:cs="宋体"/>
          <w:sz w:val="24"/>
          <w:szCs w:val="24"/>
        </w:rPr>
        <w:t xml:space="preserve">当投标人报价在材料单价基准值95%–103%范围内（不含95%和103%）每项得0.5分，在材料单价基准值90%–95%范围内（含90%和95%）每项得0.25分。超出该范围的不得分。 </w:t>
      </w:r>
    </w:p>
    <w:p>
      <w:pPr>
        <w:adjustRightInd w:val="0"/>
        <w:snapToGrid w:val="0"/>
        <w:spacing w:line="440" w:lineRule="exact"/>
        <w:ind w:firstLine="578" w:firstLineChars="241"/>
        <w:rPr>
          <w:rFonts w:hAnsi="宋体" w:eastAsia="宋体" w:cs="宋体"/>
          <w:sz w:val="24"/>
          <w:szCs w:val="24"/>
        </w:rPr>
      </w:pPr>
      <w:r>
        <w:rPr>
          <w:rFonts w:hint="eastAsia" w:hAnsi="宋体" w:eastAsia="宋体" w:cs="宋体"/>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（四）综合标（25分）</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2"/>
        <w:gridCol w:w="1797"/>
        <w:gridCol w:w="5602"/>
        <w:gridCol w:w="16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 w:hRule="atLeast"/>
          <w:jc w:val="center"/>
        </w:trPr>
        <w:tc>
          <w:tcPr>
            <w:tcW w:w="662" w:type="dxa"/>
            <w:vAlign w:val="center"/>
          </w:tcPr>
          <w:p>
            <w:pPr>
              <w:spacing w:line="300" w:lineRule="exact"/>
              <w:jc w:val="center"/>
              <w:rPr>
                <w:rFonts w:hAnsi="宋体" w:eastAsia="宋体" w:cs="宋体"/>
                <w:sz w:val="21"/>
                <w:szCs w:val="21"/>
              </w:rPr>
            </w:pPr>
            <w:r>
              <w:rPr>
                <w:rFonts w:hint="eastAsia" w:hAnsi="宋体" w:eastAsia="宋体" w:cs="宋体"/>
                <w:sz w:val="21"/>
                <w:szCs w:val="21"/>
              </w:rPr>
              <w:t>序号</w:t>
            </w:r>
          </w:p>
        </w:tc>
        <w:tc>
          <w:tcPr>
            <w:tcW w:w="1797" w:type="dxa"/>
            <w:vAlign w:val="center"/>
          </w:tcPr>
          <w:p>
            <w:pPr>
              <w:spacing w:line="300" w:lineRule="exact"/>
              <w:jc w:val="center"/>
              <w:rPr>
                <w:rFonts w:hAnsi="宋体" w:eastAsia="宋体" w:cs="宋体"/>
                <w:sz w:val="21"/>
                <w:szCs w:val="21"/>
              </w:rPr>
            </w:pPr>
            <w:r>
              <w:rPr>
                <w:rFonts w:hint="eastAsia" w:hAnsi="宋体" w:eastAsia="宋体" w:cs="宋体"/>
                <w:b/>
                <w:sz w:val="21"/>
                <w:szCs w:val="21"/>
              </w:rPr>
              <w:t>项目</w:t>
            </w:r>
          </w:p>
        </w:tc>
        <w:tc>
          <w:tcPr>
            <w:tcW w:w="5602" w:type="dxa"/>
            <w:vAlign w:val="center"/>
          </w:tcPr>
          <w:p>
            <w:pPr>
              <w:spacing w:line="300" w:lineRule="exact"/>
              <w:jc w:val="center"/>
              <w:rPr>
                <w:rFonts w:hAnsi="宋体" w:eastAsia="宋体" w:cs="宋体"/>
                <w:sz w:val="21"/>
                <w:szCs w:val="21"/>
              </w:rPr>
            </w:pPr>
            <w:r>
              <w:rPr>
                <w:rFonts w:hint="eastAsia" w:hAnsi="宋体" w:eastAsia="宋体" w:cs="宋体"/>
                <w:b/>
                <w:sz w:val="21"/>
                <w:szCs w:val="21"/>
              </w:rPr>
              <w:t>评分标准</w:t>
            </w:r>
          </w:p>
        </w:tc>
        <w:tc>
          <w:tcPr>
            <w:tcW w:w="1675" w:type="dxa"/>
            <w:vAlign w:val="center"/>
          </w:tcPr>
          <w:p>
            <w:pPr>
              <w:spacing w:line="300" w:lineRule="exact"/>
              <w:jc w:val="center"/>
              <w:rPr>
                <w:rFonts w:hAnsi="宋体" w:eastAsia="宋体" w:cs="宋体"/>
                <w:b/>
                <w:sz w:val="21"/>
                <w:szCs w:val="21"/>
              </w:rPr>
            </w:pPr>
            <w:r>
              <w:rPr>
                <w:rFonts w:hint="eastAsia" w:hAnsi="宋体" w:eastAsia="宋体" w:cs="宋体"/>
                <w:b/>
                <w:sz w:val="21"/>
                <w:szCs w:val="21"/>
              </w:rPr>
              <w:t>评审得分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662" w:type="dxa"/>
            <w:vAlign w:val="center"/>
          </w:tcPr>
          <w:p>
            <w:pPr>
              <w:autoSpaceDE w:val="0"/>
              <w:autoSpaceDN w:val="0"/>
              <w:adjustRightInd w:val="0"/>
              <w:spacing w:line="300" w:lineRule="exact"/>
              <w:jc w:val="center"/>
              <w:rPr>
                <w:rFonts w:eastAsia="宋体"/>
                <w:sz w:val="21"/>
                <w:szCs w:val="21"/>
              </w:rPr>
            </w:pPr>
            <w:r>
              <w:rPr>
                <w:rFonts w:hint="eastAsia"/>
                <w:sz w:val="21"/>
                <w:szCs w:val="21"/>
              </w:rPr>
              <w:t>1</w:t>
            </w:r>
          </w:p>
        </w:tc>
        <w:tc>
          <w:tcPr>
            <w:tcW w:w="1797" w:type="dxa"/>
            <w:vAlign w:val="center"/>
          </w:tcPr>
          <w:p>
            <w:pPr>
              <w:autoSpaceDE w:val="0"/>
              <w:autoSpaceDN w:val="0"/>
              <w:adjustRightInd w:val="0"/>
              <w:spacing w:line="300" w:lineRule="exact"/>
              <w:jc w:val="center"/>
              <w:rPr>
                <w:sz w:val="21"/>
                <w:szCs w:val="21"/>
              </w:rPr>
            </w:pPr>
            <w:r>
              <w:rPr>
                <w:rFonts w:hint="eastAsia"/>
                <w:sz w:val="21"/>
                <w:szCs w:val="21"/>
              </w:rPr>
              <w:t>企业业绩</w:t>
            </w:r>
          </w:p>
          <w:p>
            <w:pPr>
              <w:autoSpaceDE w:val="0"/>
              <w:autoSpaceDN w:val="0"/>
              <w:adjustRightInd w:val="0"/>
              <w:spacing w:line="300" w:lineRule="exact"/>
              <w:jc w:val="center"/>
              <w:rPr>
                <w:sz w:val="21"/>
                <w:szCs w:val="21"/>
              </w:rPr>
            </w:pPr>
            <w:r>
              <w:rPr>
                <w:rFonts w:hint="eastAsia" w:hAnsi="宋体" w:cs="宋体"/>
                <w:sz w:val="21"/>
                <w:szCs w:val="21"/>
              </w:rPr>
              <w:t>（0-4分</w:t>
            </w:r>
            <w:r>
              <w:rPr>
                <w:rFonts w:hint="eastAsia"/>
                <w:sz w:val="21"/>
                <w:szCs w:val="21"/>
              </w:rPr>
              <w:t>）</w:t>
            </w:r>
          </w:p>
        </w:tc>
        <w:tc>
          <w:tcPr>
            <w:tcW w:w="5602" w:type="dxa"/>
            <w:vAlign w:val="center"/>
          </w:tcPr>
          <w:p>
            <w:pPr>
              <w:snapToGrid w:val="0"/>
              <w:spacing w:line="300" w:lineRule="exact"/>
              <w:rPr>
                <w:sz w:val="21"/>
                <w:szCs w:val="21"/>
              </w:rPr>
            </w:pPr>
            <w:r>
              <w:rPr>
                <w:rFonts w:hint="eastAsia" w:hAnsi="宋体" w:eastAsia="宋体" w:cs="宋体"/>
                <w:sz w:val="21"/>
                <w:szCs w:val="21"/>
              </w:rPr>
              <w:t>2016年1月1日以来（以合同签订时间为准）：企业具有类似工程施工业绩者，每项得2分，本项最高得4分。（以施工合同和竣工验收表为准或施工合同和中标通知书为准）</w:t>
            </w:r>
          </w:p>
        </w:tc>
        <w:tc>
          <w:tcPr>
            <w:tcW w:w="1675" w:type="dxa"/>
            <w:vAlign w:val="center"/>
          </w:tcPr>
          <w:p>
            <w:pPr>
              <w:jc w:val="center"/>
              <w:rPr>
                <w:sz w:val="21"/>
                <w:szCs w:val="21"/>
              </w:rPr>
            </w:pPr>
            <w:r>
              <w:rPr>
                <w:rFonts w:hint="eastAsia" w:hAnsi="宋体" w:eastAsia="宋体" w:cs="宋体"/>
                <w:kern w:val="2"/>
                <w:sz w:val="21"/>
                <w:szCs w:val="21"/>
              </w:rPr>
              <w:t>0＜得分≤4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662" w:type="dxa"/>
            <w:vAlign w:val="center"/>
          </w:tcPr>
          <w:p>
            <w:pPr>
              <w:spacing w:line="300" w:lineRule="exact"/>
              <w:jc w:val="center"/>
              <w:rPr>
                <w:rFonts w:eastAsia="宋体"/>
                <w:sz w:val="21"/>
                <w:szCs w:val="21"/>
              </w:rPr>
            </w:pPr>
            <w:r>
              <w:rPr>
                <w:rFonts w:hint="eastAsia"/>
                <w:sz w:val="21"/>
                <w:szCs w:val="21"/>
              </w:rPr>
              <w:t>2</w:t>
            </w:r>
          </w:p>
        </w:tc>
        <w:tc>
          <w:tcPr>
            <w:tcW w:w="1797" w:type="dxa"/>
            <w:vAlign w:val="center"/>
          </w:tcPr>
          <w:p>
            <w:pPr>
              <w:spacing w:line="300" w:lineRule="exact"/>
              <w:jc w:val="center"/>
              <w:rPr>
                <w:sz w:val="21"/>
                <w:szCs w:val="21"/>
              </w:rPr>
            </w:pPr>
            <w:r>
              <w:rPr>
                <w:rFonts w:hint="eastAsia"/>
                <w:sz w:val="21"/>
                <w:szCs w:val="21"/>
              </w:rPr>
              <w:t>项目经理业绩</w:t>
            </w:r>
            <w:r>
              <w:rPr>
                <w:rFonts w:hint="eastAsia" w:hAnsi="宋体" w:cs="宋体"/>
                <w:sz w:val="21"/>
                <w:szCs w:val="21"/>
              </w:rPr>
              <w:t>(0-6分）</w:t>
            </w:r>
          </w:p>
        </w:tc>
        <w:tc>
          <w:tcPr>
            <w:tcW w:w="5602" w:type="dxa"/>
            <w:vAlign w:val="center"/>
          </w:tcPr>
          <w:p>
            <w:pPr>
              <w:snapToGrid w:val="0"/>
              <w:spacing w:line="300" w:lineRule="exact"/>
              <w:rPr>
                <w:sz w:val="21"/>
                <w:szCs w:val="21"/>
              </w:rPr>
            </w:pPr>
            <w:r>
              <w:rPr>
                <w:rFonts w:hint="eastAsia" w:hAnsi="宋体" w:eastAsia="宋体" w:cs="宋体"/>
                <w:sz w:val="21"/>
                <w:szCs w:val="21"/>
              </w:rPr>
              <w:t>2016年1月1日以来（以合同签订时间为准）：拟派项目经理具有类似工程施工业绩者，得6分，本项最高得6分。（以施工合同和竣工验收表为准或施工合同和中标通知书为准。若施工合同或竣工验收表中未注明项目经理姓名者须提供建设单位出具的相关证明文件）与企业业绩不重复。</w:t>
            </w:r>
          </w:p>
        </w:tc>
        <w:tc>
          <w:tcPr>
            <w:tcW w:w="1675" w:type="dxa"/>
            <w:vAlign w:val="center"/>
          </w:tcPr>
          <w:p>
            <w:pPr>
              <w:jc w:val="center"/>
              <w:rPr>
                <w:sz w:val="21"/>
                <w:szCs w:val="21"/>
              </w:rPr>
            </w:pPr>
            <w:r>
              <w:rPr>
                <w:rFonts w:hint="eastAsia" w:hAnsi="宋体" w:eastAsia="宋体" w:cs="宋体"/>
                <w:kern w:val="2"/>
                <w:sz w:val="21"/>
                <w:szCs w:val="21"/>
              </w:rPr>
              <w:t>0＜得分≤6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62" w:type="dxa"/>
            <w:vMerge w:val="restart"/>
            <w:vAlign w:val="center"/>
          </w:tcPr>
          <w:p>
            <w:pPr>
              <w:spacing w:line="300" w:lineRule="exact"/>
              <w:jc w:val="center"/>
              <w:rPr>
                <w:rFonts w:eastAsia="宋体"/>
                <w:sz w:val="21"/>
                <w:szCs w:val="21"/>
              </w:rPr>
            </w:pPr>
            <w:r>
              <w:rPr>
                <w:rFonts w:hint="eastAsia"/>
                <w:sz w:val="21"/>
                <w:szCs w:val="21"/>
              </w:rPr>
              <w:t>3</w:t>
            </w:r>
          </w:p>
        </w:tc>
        <w:tc>
          <w:tcPr>
            <w:tcW w:w="1797" w:type="dxa"/>
            <w:vMerge w:val="restart"/>
            <w:vAlign w:val="center"/>
          </w:tcPr>
          <w:p>
            <w:pPr>
              <w:spacing w:line="300" w:lineRule="exact"/>
              <w:jc w:val="center"/>
              <w:rPr>
                <w:sz w:val="21"/>
                <w:szCs w:val="21"/>
              </w:rPr>
            </w:pPr>
            <w:r>
              <w:rPr>
                <w:rFonts w:hint="eastAsia"/>
                <w:sz w:val="21"/>
                <w:szCs w:val="21"/>
              </w:rPr>
              <w:t>优惠承诺</w:t>
            </w:r>
          </w:p>
          <w:p>
            <w:pPr>
              <w:spacing w:line="300" w:lineRule="exact"/>
              <w:jc w:val="center"/>
              <w:rPr>
                <w:sz w:val="21"/>
                <w:szCs w:val="21"/>
              </w:rPr>
            </w:pPr>
            <w:r>
              <w:rPr>
                <w:rFonts w:hint="eastAsia" w:hAnsi="宋体" w:cs="宋体"/>
                <w:sz w:val="21"/>
                <w:szCs w:val="21"/>
              </w:rPr>
              <w:t>（1-4分）</w:t>
            </w: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优惠承诺应是书面的符合工程实际情况，确保依法依规，优惠合理，详实可行。</w:t>
            </w:r>
          </w:p>
        </w:tc>
        <w:tc>
          <w:tcPr>
            <w:tcW w:w="1675" w:type="dxa"/>
            <w:vAlign w:val="center"/>
          </w:tcPr>
          <w:p>
            <w:pPr>
              <w:jc w:val="center"/>
              <w:rPr>
                <w:sz w:val="21"/>
                <w:szCs w:val="21"/>
              </w:rPr>
            </w:pPr>
            <w:r>
              <w:rPr>
                <w:rFonts w:hint="eastAsia" w:hAnsi="宋体" w:eastAsia="宋体" w:cs="宋体"/>
                <w:kern w:val="2"/>
                <w:sz w:val="21"/>
                <w:szCs w:val="21"/>
              </w:rPr>
              <w:t>3＜得分≤4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62" w:type="dxa"/>
            <w:vMerge w:val="continue"/>
            <w:vAlign w:val="center"/>
          </w:tcPr>
          <w:p>
            <w:pPr>
              <w:spacing w:line="300" w:lineRule="exact"/>
              <w:jc w:val="left"/>
              <w:rPr>
                <w:sz w:val="21"/>
                <w:szCs w:val="21"/>
              </w:rPr>
            </w:pPr>
          </w:p>
        </w:tc>
        <w:tc>
          <w:tcPr>
            <w:tcW w:w="1797" w:type="dxa"/>
            <w:vMerge w:val="continue"/>
            <w:vAlign w:val="center"/>
          </w:tcPr>
          <w:p>
            <w:pPr>
              <w:spacing w:line="300" w:lineRule="exact"/>
              <w:jc w:val="left"/>
              <w:rPr>
                <w:sz w:val="21"/>
                <w:szCs w:val="21"/>
              </w:rPr>
            </w:pP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优惠承诺符合工程实际情况，确保依法依规，优惠基本合理，基本详实可行。</w:t>
            </w:r>
          </w:p>
        </w:tc>
        <w:tc>
          <w:tcPr>
            <w:tcW w:w="1675" w:type="dxa"/>
            <w:vAlign w:val="center"/>
          </w:tcPr>
          <w:p>
            <w:pPr>
              <w:jc w:val="center"/>
              <w:rPr>
                <w:sz w:val="21"/>
                <w:szCs w:val="21"/>
              </w:rPr>
            </w:pPr>
            <w:r>
              <w:rPr>
                <w:rFonts w:hint="eastAsia" w:hAnsi="宋体" w:eastAsia="宋体" w:cs="宋体"/>
                <w:kern w:val="2"/>
                <w:sz w:val="21"/>
                <w:szCs w:val="21"/>
              </w:rPr>
              <w:t>1≤得分≤3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 w:hRule="atLeast"/>
          <w:jc w:val="center"/>
        </w:trPr>
        <w:tc>
          <w:tcPr>
            <w:tcW w:w="662" w:type="dxa"/>
            <w:vMerge w:val="restart"/>
            <w:vAlign w:val="center"/>
          </w:tcPr>
          <w:p>
            <w:pPr>
              <w:tabs>
                <w:tab w:val="left" w:pos="366"/>
              </w:tabs>
              <w:spacing w:line="300" w:lineRule="exact"/>
              <w:jc w:val="center"/>
              <w:rPr>
                <w:rFonts w:eastAsia="宋体"/>
                <w:sz w:val="21"/>
                <w:szCs w:val="21"/>
              </w:rPr>
            </w:pPr>
            <w:r>
              <w:rPr>
                <w:rFonts w:hint="eastAsia"/>
                <w:sz w:val="21"/>
                <w:szCs w:val="21"/>
              </w:rPr>
              <w:t>4</w:t>
            </w:r>
          </w:p>
        </w:tc>
        <w:tc>
          <w:tcPr>
            <w:tcW w:w="1797" w:type="dxa"/>
            <w:vMerge w:val="restart"/>
            <w:vAlign w:val="center"/>
          </w:tcPr>
          <w:p>
            <w:pPr>
              <w:spacing w:line="300" w:lineRule="exact"/>
              <w:jc w:val="center"/>
              <w:rPr>
                <w:sz w:val="21"/>
                <w:szCs w:val="21"/>
              </w:rPr>
            </w:pPr>
            <w:r>
              <w:rPr>
                <w:rFonts w:hint="eastAsia"/>
                <w:sz w:val="21"/>
                <w:szCs w:val="21"/>
              </w:rPr>
              <w:t>履职尽责承诺</w:t>
            </w:r>
            <w:r>
              <w:rPr>
                <w:rFonts w:hint="eastAsia" w:hAnsi="宋体" w:cs="宋体"/>
                <w:sz w:val="21"/>
                <w:szCs w:val="21"/>
              </w:rPr>
              <w:t>（1-3分）</w:t>
            </w: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675" w:type="dxa"/>
            <w:vAlign w:val="center"/>
          </w:tcPr>
          <w:p>
            <w:pPr>
              <w:jc w:val="center"/>
              <w:rPr>
                <w:sz w:val="21"/>
                <w:szCs w:val="21"/>
              </w:rPr>
            </w:pPr>
            <w:r>
              <w:rPr>
                <w:rFonts w:hint="eastAsia" w:hAnsi="宋体" w:eastAsia="宋体" w:cs="宋体"/>
                <w:kern w:val="2"/>
                <w:sz w:val="21"/>
                <w:szCs w:val="21"/>
              </w:rPr>
              <w:t>2＜得分≤3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62" w:type="dxa"/>
            <w:vMerge w:val="continue"/>
            <w:vAlign w:val="center"/>
          </w:tcPr>
          <w:p>
            <w:pPr>
              <w:spacing w:line="300" w:lineRule="exact"/>
              <w:jc w:val="left"/>
              <w:rPr>
                <w:sz w:val="21"/>
                <w:szCs w:val="21"/>
              </w:rPr>
            </w:pPr>
          </w:p>
        </w:tc>
        <w:tc>
          <w:tcPr>
            <w:tcW w:w="1797" w:type="dxa"/>
            <w:vMerge w:val="continue"/>
            <w:vAlign w:val="center"/>
          </w:tcPr>
          <w:p>
            <w:pPr>
              <w:spacing w:line="300" w:lineRule="exact"/>
              <w:jc w:val="left"/>
              <w:rPr>
                <w:sz w:val="21"/>
                <w:szCs w:val="21"/>
              </w:rPr>
            </w:pP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具有可行、合法有效的书面保证技术措施落实到位的承诺和落实不到位的处理承诺，提供承包商履约保证</w:t>
            </w:r>
            <w:r>
              <w:rPr>
                <w:rFonts w:hint="eastAsia" w:ascii="新宋体" w:hAnsi="新宋体" w:eastAsia="新宋体" w:cs="新宋体"/>
                <w:sz w:val="21"/>
                <w:szCs w:val="21"/>
              </w:rPr>
              <w:t>，其中包括各关键岗位人员（项目负责人、技术负责人及相关技术人员、质量员、安全员、材料员、施工员等）的在岗、更换等履职尽责承诺，提供承包商履约保证。</w:t>
            </w:r>
          </w:p>
        </w:tc>
        <w:tc>
          <w:tcPr>
            <w:tcW w:w="1675" w:type="dxa"/>
            <w:vAlign w:val="center"/>
          </w:tcPr>
          <w:p>
            <w:pPr>
              <w:jc w:val="center"/>
              <w:rPr>
                <w:sz w:val="21"/>
                <w:szCs w:val="21"/>
              </w:rPr>
            </w:pPr>
            <w:r>
              <w:rPr>
                <w:rFonts w:hint="eastAsia" w:hAnsi="宋体" w:eastAsia="宋体" w:cs="宋体"/>
                <w:kern w:val="2"/>
                <w:sz w:val="21"/>
                <w:szCs w:val="21"/>
              </w:rPr>
              <w:t>1≤得分≤2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662" w:type="dxa"/>
            <w:vAlign w:val="center"/>
          </w:tcPr>
          <w:p>
            <w:pPr>
              <w:spacing w:line="300" w:lineRule="exact"/>
              <w:jc w:val="center"/>
              <w:rPr>
                <w:rFonts w:eastAsia="宋体"/>
                <w:sz w:val="21"/>
                <w:szCs w:val="21"/>
              </w:rPr>
            </w:pPr>
            <w:r>
              <w:rPr>
                <w:rFonts w:hint="eastAsia"/>
                <w:sz w:val="21"/>
                <w:szCs w:val="21"/>
              </w:rPr>
              <w:t>5</w:t>
            </w:r>
          </w:p>
        </w:tc>
        <w:tc>
          <w:tcPr>
            <w:tcW w:w="1797" w:type="dxa"/>
            <w:vAlign w:val="center"/>
          </w:tcPr>
          <w:p>
            <w:pPr>
              <w:spacing w:line="300" w:lineRule="exact"/>
              <w:ind w:firstLine="315" w:firstLineChars="150"/>
              <w:rPr>
                <w:sz w:val="21"/>
                <w:szCs w:val="21"/>
              </w:rPr>
            </w:pPr>
            <w:r>
              <w:rPr>
                <w:rFonts w:hint="eastAsia"/>
                <w:sz w:val="21"/>
                <w:szCs w:val="21"/>
              </w:rPr>
              <w:t>企业信用</w:t>
            </w:r>
          </w:p>
          <w:p>
            <w:pPr>
              <w:spacing w:line="300" w:lineRule="exact"/>
              <w:jc w:val="center"/>
              <w:rPr>
                <w:sz w:val="21"/>
                <w:szCs w:val="21"/>
              </w:rPr>
            </w:pPr>
            <w:r>
              <w:rPr>
                <w:rFonts w:hint="eastAsia" w:hAnsi="宋体" w:cs="宋体"/>
                <w:sz w:val="21"/>
                <w:szCs w:val="21"/>
              </w:rPr>
              <w:t>（0-4分）</w:t>
            </w:r>
          </w:p>
        </w:tc>
        <w:tc>
          <w:tcPr>
            <w:tcW w:w="5602" w:type="dxa"/>
            <w:vAlign w:val="center"/>
          </w:tcPr>
          <w:p>
            <w:pPr>
              <w:snapToGrid w:val="0"/>
              <w:spacing w:line="300" w:lineRule="exact"/>
              <w:rPr>
                <w:rFonts w:ascii="新宋体" w:hAnsi="新宋体" w:eastAsia="新宋体" w:cs="新宋体"/>
                <w:sz w:val="21"/>
                <w:szCs w:val="21"/>
              </w:rPr>
            </w:pPr>
            <w:r>
              <w:rPr>
                <w:rFonts w:hint="eastAsia" w:hAnsi="宋体" w:cs="宋体"/>
                <w:sz w:val="24"/>
                <w:szCs w:val="24"/>
              </w:rPr>
              <w:t>1</w:t>
            </w:r>
            <w:r>
              <w:rPr>
                <w:rFonts w:hint="eastAsia" w:ascii="新宋体" w:hAnsi="新宋体" w:eastAsia="新宋体" w:cs="新宋体"/>
                <w:sz w:val="21"/>
                <w:szCs w:val="21"/>
              </w:rPr>
              <w:t>、企业获得过质量管理体系、环境管理体系、职业健康安全管理体系三体系认证的，得2分。（以有效期内的证书原件扫描件为准）</w:t>
            </w:r>
          </w:p>
          <w:p>
            <w:pPr>
              <w:snapToGrid w:val="0"/>
              <w:spacing w:line="300" w:lineRule="exact"/>
              <w:rPr>
                <w:rFonts w:hAnsi="宋体" w:eastAsia="宋体" w:cs="宋体"/>
                <w:sz w:val="21"/>
                <w:szCs w:val="21"/>
              </w:rPr>
            </w:pPr>
            <w:r>
              <w:rPr>
                <w:rFonts w:ascii="新宋体" w:hAnsi="新宋体" w:eastAsia="新宋体" w:cs="新宋体"/>
                <w:sz w:val="21"/>
                <w:szCs w:val="21"/>
              </w:rPr>
              <w:t>2</w:t>
            </w:r>
            <w:r>
              <w:rPr>
                <w:rFonts w:hint="eastAsia" w:ascii="新宋体" w:hAnsi="新宋体" w:eastAsia="新宋体" w:cs="新宋体"/>
                <w:sz w:val="21"/>
                <w:szCs w:val="21"/>
              </w:rPr>
              <w:t>、投标人提供</w:t>
            </w:r>
            <w:r>
              <w:rPr>
                <w:rFonts w:ascii="新宋体" w:hAnsi="新宋体" w:eastAsia="新宋体" w:cs="新宋体"/>
                <w:sz w:val="21"/>
                <w:szCs w:val="21"/>
              </w:rPr>
              <w:t>2016</w:t>
            </w:r>
            <w:r>
              <w:rPr>
                <w:rFonts w:hint="eastAsia" w:ascii="新宋体" w:hAnsi="新宋体" w:eastAsia="新宋体" w:cs="新宋体"/>
                <w:sz w:val="21"/>
                <w:szCs w:val="21"/>
              </w:rPr>
              <w:t>年</w:t>
            </w:r>
            <w:r>
              <w:rPr>
                <w:rFonts w:ascii="新宋体" w:hAnsi="新宋体" w:eastAsia="新宋体" w:cs="新宋体"/>
                <w:sz w:val="21"/>
                <w:szCs w:val="21"/>
              </w:rPr>
              <w:t>1</w:t>
            </w:r>
            <w:r>
              <w:rPr>
                <w:rFonts w:hint="eastAsia" w:ascii="新宋体" w:hAnsi="新宋体" w:eastAsia="新宋体" w:cs="新宋体"/>
                <w:sz w:val="21"/>
                <w:szCs w:val="21"/>
              </w:rPr>
              <w:t>月1日以来信用评级机构出具的有效的企业信用等级证书原件扫描件，等级为</w:t>
            </w:r>
            <w:r>
              <w:rPr>
                <w:rFonts w:ascii="新宋体" w:hAnsi="新宋体" w:eastAsia="新宋体" w:cs="新宋体"/>
                <w:sz w:val="21"/>
                <w:szCs w:val="21"/>
              </w:rPr>
              <w:t>AAA</w:t>
            </w:r>
            <w:r>
              <w:rPr>
                <w:rFonts w:hint="eastAsia" w:ascii="新宋体" w:hAnsi="新宋体" w:eastAsia="新宋体" w:cs="新宋体"/>
                <w:sz w:val="21"/>
                <w:szCs w:val="21"/>
              </w:rPr>
              <w:t>级的得</w:t>
            </w:r>
            <w:r>
              <w:rPr>
                <w:rFonts w:ascii="新宋体" w:hAnsi="新宋体" w:eastAsia="新宋体" w:cs="新宋体"/>
                <w:sz w:val="21"/>
                <w:szCs w:val="21"/>
              </w:rPr>
              <w:t>2</w:t>
            </w:r>
            <w:r>
              <w:rPr>
                <w:rFonts w:hint="eastAsia" w:ascii="新宋体" w:hAnsi="新宋体" w:eastAsia="新宋体" w:cs="新宋体"/>
                <w:sz w:val="21"/>
                <w:szCs w:val="21"/>
              </w:rPr>
              <w:t>分。</w:t>
            </w:r>
          </w:p>
        </w:tc>
        <w:tc>
          <w:tcPr>
            <w:tcW w:w="1675" w:type="dxa"/>
            <w:vAlign w:val="center"/>
          </w:tcPr>
          <w:p>
            <w:pPr>
              <w:jc w:val="center"/>
              <w:rPr>
                <w:sz w:val="21"/>
                <w:szCs w:val="21"/>
              </w:rPr>
            </w:pPr>
            <w:r>
              <w:rPr>
                <w:rFonts w:hint="eastAsia" w:hAnsi="宋体" w:eastAsia="宋体" w:cs="宋体"/>
                <w:kern w:val="2"/>
                <w:sz w:val="21"/>
                <w:szCs w:val="21"/>
              </w:rPr>
              <w:t>0≤得分≤4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4" w:hRule="atLeast"/>
          <w:jc w:val="center"/>
        </w:trPr>
        <w:tc>
          <w:tcPr>
            <w:tcW w:w="662" w:type="dxa"/>
            <w:vAlign w:val="center"/>
          </w:tcPr>
          <w:p>
            <w:pPr>
              <w:spacing w:line="300" w:lineRule="exact"/>
              <w:jc w:val="center"/>
              <w:rPr>
                <w:sz w:val="21"/>
                <w:szCs w:val="21"/>
              </w:rPr>
            </w:pPr>
            <w:r>
              <w:rPr>
                <w:rFonts w:hint="eastAsia"/>
                <w:sz w:val="21"/>
                <w:szCs w:val="21"/>
              </w:rPr>
              <w:t>6</w:t>
            </w:r>
          </w:p>
        </w:tc>
        <w:tc>
          <w:tcPr>
            <w:tcW w:w="1797" w:type="dxa"/>
            <w:vAlign w:val="center"/>
          </w:tcPr>
          <w:p>
            <w:pPr>
              <w:spacing w:line="300" w:lineRule="exact"/>
              <w:jc w:val="center"/>
              <w:rPr>
                <w:sz w:val="21"/>
                <w:szCs w:val="21"/>
              </w:rPr>
            </w:pPr>
            <w:r>
              <w:rPr>
                <w:rFonts w:hint="eastAsia"/>
                <w:sz w:val="21"/>
                <w:szCs w:val="21"/>
              </w:rPr>
              <w:t>项目经理信用</w:t>
            </w:r>
            <w:r>
              <w:rPr>
                <w:rFonts w:hint="eastAsia" w:hAnsi="宋体" w:cs="宋体"/>
                <w:sz w:val="21"/>
                <w:szCs w:val="21"/>
              </w:rPr>
              <w:t>（0-2分）</w:t>
            </w: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自2016年1月1日以来，项目经理获得过市级及以上优秀项目经理者得2分。（需提供获奖证书和同级奖励文件扫描件，以证书时间为准）</w:t>
            </w:r>
          </w:p>
        </w:tc>
        <w:tc>
          <w:tcPr>
            <w:tcW w:w="1675" w:type="dxa"/>
            <w:vAlign w:val="center"/>
          </w:tcPr>
          <w:p>
            <w:pPr>
              <w:jc w:val="center"/>
              <w:rPr>
                <w:sz w:val="21"/>
                <w:szCs w:val="21"/>
              </w:rPr>
            </w:pPr>
            <w:r>
              <w:rPr>
                <w:rFonts w:hint="eastAsia" w:hAnsi="宋体" w:eastAsia="宋体" w:cs="宋体"/>
                <w:kern w:val="2"/>
                <w:sz w:val="21"/>
                <w:szCs w:val="21"/>
              </w:rPr>
              <w:t>0≤得分≤2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662" w:type="dxa"/>
            <w:vAlign w:val="center"/>
          </w:tcPr>
          <w:p>
            <w:pPr>
              <w:tabs>
                <w:tab w:val="left" w:pos="379"/>
              </w:tabs>
              <w:spacing w:line="300" w:lineRule="exact"/>
              <w:jc w:val="center"/>
              <w:rPr>
                <w:sz w:val="21"/>
                <w:szCs w:val="21"/>
              </w:rPr>
            </w:pPr>
            <w:r>
              <w:rPr>
                <w:rFonts w:hint="eastAsia"/>
                <w:sz w:val="21"/>
                <w:szCs w:val="21"/>
              </w:rPr>
              <w:t>7</w:t>
            </w:r>
          </w:p>
        </w:tc>
        <w:tc>
          <w:tcPr>
            <w:tcW w:w="1797" w:type="dxa"/>
            <w:vAlign w:val="center"/>
          </w:tcPr>
          <w:p>
            <w:pPr>
              <w:spacing w:line="300" w:lineRule="exact"/>
              <w:jc w:val="center"/>
              <w:rPr>
                <w:sz w:val="21"/>
                <w:szCs w:val="21"/>
              </w:rPr>
            </w:pPr>
            <w:r>
              <w:rPr>
                <w:rFonts w:hint="eastAsia"/>
                <w:sz w:val="21"/>
                <w:szCs w:val="21"/>
              </w:rPr>
              <w:t>招标人意见</w:t>
            </w:r>
          </w:p>
          <w:p>
            <w:pPr>
              <w:spacing w:line="300" w:lineRule="exact"/>
              <w:jc w:val="center"/>
              <w:rPr>
                <w:sz w:val="21"/>
                <w:szCs w:val="21"/>
              </w:rPr>
            </w:pPr>
            <w:r>
              <w:rPr>
                <w:rFonts w:hint="eastAsia" w:hAnsi="宋体" w:cs="宋体"/>
                <w:sz w:val="21"/>
                <w:szCs w:val="21"/>
              </w:rPr>
              <w:t>（0-2分）</w:t>
            </w: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招标人意见均为2分</w:t>
            </w:r>
          </w:p>
        </w:tc>
        <w:tc>
          <w:tcPr>
            <w:tcW w:w="1675" w:type="dxa"/>
            <w:vAlign w:val="center"/>
          </w:tcPr>
          <w:p>
            <w:pPr>
              <w:jc w:val="center"/>
              <w:rPr>
                <w:sz w:val="21"/>
                <w:szCs w:val="21"/>
              </w:rPr>
            </w:pPr>
            <w:r>
              <w:rPr>
                <w:rFonts w:hint="eastAsia" w:hAnsi="宋体" w:eastAsia="宋体" w:cs="宋体"/>
                <w:kern w:val="2"/>
                <w:sz w:val="21"/>
                <w:szCs w:val="21"/>
              </w:rPr>
              <w:t>0≤得分≤2</w:t>
            </w:r>
          </w:p>
        </w:tc>
      </w:tr>
    </w:tbl>
    <w:p>
      <w:pPr>
        <w:snapToGrid w:val="0"/>
        <w:spacing w:line="360" w:lineRule="auto"/>
        <w:rPr>
          <w:rFonts w:hAnsi="宋体" w:cs="宋体"/>
          <w:b/>
          <w:bCs/>
          <w:sz w:val="24"/>
          <w:szCs w:val="24"/>
        </w:rPr>
      </w:pPr>
      <w:r>
        <w:rPr>
          <w:rFonts w:hint="eastAsia" w:hAnsi="宋体" w:cs="宋体"/>
          <w:b/>
          <w:bCs/>
          <w:sz w:val="24"/>
          <w:szCs w:val="24"/>
        </w:rPr>
        <w:t>注：1）业绩合同以合同签订日期为准。</w:t>
      </w:r>
    </w:p>
    <w:p>
      <w:pPr>
        <w:snapToGrid w:val="0"/>
        <w:spacing w:line="360" w:lineRule="auto"/>
        <w:ind w:firstLine="470" w:firstLineChars="196"/>
        <w:rPr>
          <w:rFonts w:hAnsi="宋体" w:cs="宋体"/>
          <w:b/>
          <w:bCs/>
          <w:sz w:val="24"/>
          <w:szCs w:val="24"/>
        </w:rPr>
      </w:pPr>
      <w:r>
        <w:rPr>
          <w:rFonts w:hint="eastAsia" w:hAnsi="宋体" w:cs="宋体"/>
          <w:b/>
          <w:bCs/>
          <w:sz w:val="24"/>
          <w:szCs w:val="24"/>
        </w:rPr>
        <w:t>2）凡评标办法里涉及到的证书、证件及业绩材料等，均应在投标文件中附其原件扫描件或图片，否则该项得分应作0分处理。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投标人综合得分＝技术标得分＋商务标得分＋综合标得分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七、定标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八、评标注意事项</w:t>
      </w:r>
      <w:bookmarkEnd w:id="72"/>
      <w:bookmarkEnd w:id="73"/>
      <w:bookmarkEnd w:id="74"/>
      <w:bookmarkEnd w:id="75"/>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40" w:lineRule="exact"/>
        <w:ind w:firstLine="480" w:firstLineChars="200"/>
        <w:rPr>
          <w:rFonts w:ascii="新宋体" w:hAnsi="新宋体" w:eastAsia="新宋体"/>
          <w:sz w:val="24"/>
        </w:rPr>
      </w:pPr>
      <w:r>
        <w:rPr>
          <w:rFonts w:hint="eastAsia" w:ascii="新宋体" w:hAnsi="新宋体" w:eastAsia="新宋体"/>
          <w:sz w:val="24"/>
        </w:rPr>
        <w:t>1.评标委员会完成技术标评分、综合标评分后，应分别从中去掉一个最高分和一个最低分，取平均值作为该投标人的技术标、综合标得分。</w:t>
      </w:r>
    </w:p>
    <w:p>
      <w:pPr>
        <w:spacing w:line="400" w:lineRule="exact"/>
        <w:ind w:firstLine="480" w:firstLineChars="200"/>
        <w:rPr>
          <w:rFonts w:ascii="新宋体" w:hAnsi="新宋体" w:eastAsia="新宋体"/>
          <w:sz w:val="24"/>
        </w:rPr>
      </w:pPr>
      <w:r>
        <w:rPr>
          <w:rFonts w:hint="eastAsia" w:hAnsi="宋体" w:cs="宋体"/>
          <w:bCs/>
          <w:sz w:val="24"/>
          <w:szCs w:val="24"/>
        </w:rPr>
        <w:t>2.评标委员会人数在5人以上时，去掉一个最高分和一个最低分取平均值；评标委员会人数在5人时，取所有评委评分的平均值。</w:t>
      </w:r>
    </w:p>
    <w:p>
      <w:pPr>
        <w:spacing w:line="400" w:lineRule="exact"/>
        <w:ind w:firstLine="480" w:firstLineChars="200"/>
        <w:rPr>
          <w:rFonts w:hAnsi="宋体" w:cs="宋体"/>
          <w:bCs/>
          <w:sz w:val="24"/>
          <w:szCs w:val="24"/>
        </w:rPr>
      </w:pPr>
      <w:r>
        <w:rPr>
          <w:rFonts w:hint="eastAsia" w:hAnsi="宋体" w:cs="宋体"/>
          <w:bCs/>
          <w:sz w:val="24"/>
          <w:szCs w:val="24"/>
        </w:rPr>
        <w:t>3.分数计算过程中，保留两位小数，小数点后第三位四舍五入。</w:t>
      </w:r>
    </w:p>
    <w:p>
      <w:pPr>
        <w:pStyle w:val="20"/>
        <w:keepNext w:val="0"/>
        <w:keepLines w:val="0"/>
        <w:ind w:firstLine="480" w:firstLineChars="200"/>
        <w:rPr>
          <w:rFonts w:ascii="新宋体" w:hAnsi="新宋体" w:eastAsia="新宋体"/>
          <w:b/>
          <w:szCs w:val="24"/>
        </w:rPr>
      </w:pPr>
      <w:r>
        <w:rPr>
          <w:rFonts w:hint="eastAsia" w:ascii="新宋体" w:hAnsi="新宋体" w:eastAsia="新宋体"/>
          <w:b/>
          <w:szCs w:val="24"/>
        </w:rPr>
        <w:t>九、评标报告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20"/>
        <w:keepNext w:val="0"/>
        <w:keepLines w:val="0"/>
        <w:ind w:firstLine="480" w:firstLineChars="200"/>
        <w:rPr>
          <w:rFonts w:ascii="新宋体" w:hAnsi="新宋体" w:eastAsia="新宋体"/>
          <w:b/>
          <w:szCs w:val="24"/>
        </w:rPr>
      </w:pPr>
      <w:r>
        <w:rPr>
          <w:rFonts w:hint="eastAsia" w:ascii="新宋体" w:hAnsi="新宋体" w:eastAsia="新宋体"/>
          <w:b/>
        </w:rPr>
        <w:t>十、</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w:t>
      </w:r>
      <w:r>
        <w:rPr>
          <w:rFonts w:hint="eastAsia" w:ascii="新宋体" w:hAnsi="新宋体" w:eastAsia="新宋体"/>
          <w:sz w:val="24"/>
        </w:rPr>
        <w:t>告知各投标人</w:t>
      </w:r>
      <w:r>
        <w:rPr>
          <w:rFonts w:ascii="新宋体" w:hAnsi="新宋体" w:eastAsia="新宋体"/>
          <w:sz w:val="24"/>
        </w:rPr>
        <w:t>，</w:t>
      </w:r>
      <w:r>
        <w:rPr>
          <w:rFonts w:hint="eastAsia" w:ascii="新宋体" w:hAnsi="新宋体" w:eastAsia="新宋体"/>
          <w:sz w:val="24"/>
        </w:rPr>
        <w:t>质疑</w:t>
      </w:r>
      <w:r>
        <w:rPr>
          <w:rFonts w:ascii="新宋体" w:hAnsi="新宋体" w:eastAsia="新宋体"/>
          <w:sz w:val="24"/>
        </w:rPr>
        <w:t>时间不少于3日。</w:t>
      </w:r>
      <w:r>
        <w:rPr>
          <w:rFonts w:hint="eastAsia" w:ascii="新宋体" w:hAnsi="新宋体" w:eastAsia="新宋体"/>
          <w:sz w:val="24"/>
        </w:rPr>
        <w:t>质疑</w:t>
      </w:r>
      <w:r>
        <w:rPr>
          <w:rFonts w:ascii="新宋体" w:hAnsi="新宋体" w:eastAsia="新宋体"/>
          <w:sz w:val="24"/>
        </w:rPr>
        <w:t>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十一、特殊情况的处置程序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11.1关于澄清、说明或补正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11.2关于评标活动暂停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11.2.1评标委员会应当执行连续评标的原则，按评标办法中规定的程序、内容、方法、标准完成全部评标工作。只有发生不可抗力导致评标工作无法继续时，评标活动方可暂停。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11.2.2发生评标暂停情况时，评标委员会应当封存全部投标文件和评标记录，待不可抗力的影响结束且具备继续评标的条件时，由原评标委员会继续评标。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11.3关于评标中途更换评标委员会成员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11.3.1除非发生下列情况之一，评标委员会成员不得在评标中途更换：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11.3.2退出评标的评标委员会成员，其已完成的评标行为无效。由招标人根据本招标文件规定的评标委员会成员产生方式另行确定替代者进行评标。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11.4记名投票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11.5评标委员会对评标结果有异议的</w:t>
      </w:r>
    </w:p>
    <w:p>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rPr>
          <w:rFonts w:hAnsi="宋体" w:cs="宋体"/>
          <w:b/>
          <w:sz w:val="36"/>
          <w:szCs w:val="36"/>
        </w:rPr>
      </w:pPr>
      <w:r>
        <w:rPr>
          <w:rFonts w:hint="eastAsia" w:hAnsi="宋体" w:cs="宋体"/>
          <w:b/>
          <w:sz w:val="36"/>
          <w:szCs w:val="36"/>
        </w:rPr>
        <w:br w:type="page"/>
      </w: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w:t>
      </w:r>
      <w:bookmarkEnd w:id="71"/>
    </w:p>
    <w:p>
      <w:pPr>
        <w:tabs>
          <w:tab w:val="left" w:pos="5000"/>
        </w:tabs>
        <w:spacing w:line="360" w:lineRule="auto"/>
        <w:ind w:firstLine="490"/>
        <w:rPr>
          <w:rFonts w:hAnsi="宋体" w:cs="宋体"/>
          <w:bCs/>
          <w:sz w:val="28"/>
          <w:szCs w:val="28"/>
        </w:rPr>
      </w:pPr>
      <w:bookmarkStart w:id="76" w:name="_Toc278443514"/>
    </w:p>
    <w:p>
      <w:pPr>
        <w:tabs>
          <w:tab w:val="left" w:pos="5000"/>
        </w:tabs>
        <w:spacing w:line="360" w:lineRule="auto"/>
        <w:ind w:firstLine="490"/>
        <w:rPr>
          <w:rFonts w:hAnsi="宋体" w:cs="宋体"/>
          <w:b/>
          <w:sz w:val="32"/>
          <w:szCs w:val="32"/>
        </w:rPr>
      </w:pPr>
      <w:r>
        <w:rPr>
          <w:rFonts w:hint="eastAsia" w:hAnsi="宋体" w:cs="宋体"/>
          <w:bCs/>
          <w:sz w:val="28"/>
          <w:szCs w:val="28"/>
        </w:rPr>
        <w:t>采用由中华人民共和国住房和城乡建设部与国家工商行政管理局联合制定的《建设工程施工合同》(GF2017-0201)签订合</w:t>
      </w:r>
      <w:bookmarkEnd w:id="76"/>
      <w:bookmarkStart w:id="77" w:name="_Toc278443518"/>
      <w:r>
        <w:rPr>
          <w:rFonts w:hint="eastAsia" w:hAnsi="宋体" w:cs="宋体"/>
          <w:bCs/>
          <w:sz w:val="28"/>
          <w:szCs w:val="28"/>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2678" w:firstLineChars="744"/>
        <w:outlineLvl w:val="0"/>
        <w:rPr>
          <w:rFonts w:hAnsi="宋体" w:cs="宋体"/>
          <w:b/>
          <w:sz w:val="36"/>
          <w:szCs w:val="36"/>
        </w:rPr>
      </w:pPr>
      <w:r>
        <w:rPr>
          <w:rFonts w:hint="eastAsia"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u w:val="single"/>
        </w:rPr>
      </w:pPr>
      <w:r>
        <w:rPr>
          <w:rFonts w:hint="eastAsia" w:hAnsi="宋体" w:cs="宋体"/>
          <w:sz w:val="24"/>
        </w:rPr>
        <w:t>(2)</w:t>
      </w:r>
      <w:r>
        <w:rPr>
          <w:rFonts w:hint="eastAsia" w:hAnsi="宋体" w:eastAsia="宋体" w:cs="宋体"/>
          <w:sz w:val="24"/>
        </w:rPr>
        <w:t xml:space="preserve"> </w:t>
      </w:r>
      <w:r>
        <w:rPr>
          <w:rFonts w:hint="eastAsia" w:hAnsi="宋体" w:cs="宋体"/>
          <w:sz w:val="24"/>
          <w:u w:val="single"/>
        </w:rPr>
        <w:t>《河南省通用安装工程预算定额》(HA 02-31-2016)、《河南省房屋建筑与装饰工程预算定额》(HA 01-31-2016)、《建设工程工程量清单计价规范》（GB50500-2013）及其有关配套文件；</w:t>
      </w:r>
    </w:p>
    <w:p>
      <w:pPr>
        <w:spacing w:line="440" w:lineRule="exact"/>
        <w:ind w:left="1" w:firstLine="480" w:firstLineChars="200"/>
        <w:rPr>
          <w:rFonts w:hAnsi="宋体" w:cs="宋体"/>
          <w:sz w:val="24"/>
        </w:rPr>
      </w:pPr>
      <w:r>
        <w:rPr>
          <w:rFonts w:hint="eastAsia" w:hAnsi="宋体" w:cs="宋体"/>
          <w:sz w:val="24"/>
        </w:rPr>
        <w:t>(3) 主要材料价格按2019年第三期《许昌工程造价信息》及市场调查价；</w:t>
      </w:r>
    </w:p>
    <w:p>
      <w:pPr>
        <w:spacing w:line="440" w:lineRule="exact"/>
        <w:ind w:left="1" w:firstLine="480" w:firstLineChars="200"/>
        <w:rPr>
          <w:rFonts w:hAnsi="宋体" w:cs="宋体"/>
          <w:sz w:val="24"/>
        </w:rPr>
      </w:pPr>
      <w:r>
        <w:rPr>
          <w:rFonts w:hint="eastAsia" w:hAnsi="宋体" w:cs="宋体"/>
          <w:sz w:val="24"/>
        </w:rPr>
        <w:t>(4) 人工费指数、机械类指数、管理类指数依据豫建标定[2019]26号文价格指数调整；</w:t>
      </w:r>
    </w:p>
    <w:p>
      <w:pPr>
        <w:spacing w:line="440" w:lineRule="exact"/>
        <w:ind w:left="1" w:firstLine="480" w:firstLineChars="200"/>
        <w:rPr>
          <w:rFonts w:hAnsi="宋体" w:cs="宋体"/>
          <w:sz w:val="24"/>
        </w:rPr>
      </w:pPr>
      <w:r>
        <w:rPr>
          <w:rFonts w:hint="eastAsia" w:hAnsi="宋体" w:cs="宋体"/>
          <w:sz w:val="24"/>
        </w:rPr>
        <w:t>(5) 税金依据建办标函[2019]193号文，按9%计入；</w:t>
      </w:r>
    </w:p>
    <w:p>
      <w:pPr>
        <w:spacing w:line="440" w:lineRule="exact"/>
        <w:ind w:left="1" w:firstLine="480" w:firstLineChars="200"/>
        <w:rPr>
          <w:rFonts w:hAnsi="宋体" w:cs="宋体"/>
          <w:sz w:val="24"/>
        </w:rPr>
      </w:pPr>
      <w:r>
        <w:rPr>
          <w:rFonts w:hint="eastAsia" w:hAnsi="宋体" w:cs="宋体"/>
          <w:sz w:val="24"/>
        </w:rPr>
        <w:t>(6) 其他措施费（夜间施工增加费、二次搬运费、冬雨季施工增加费）按定额足额计取。</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(7)其他的相关资料：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widowControl/>
        <w:jc w:val="center"/>
        <w:rPr>
          <w:rFonts w:hAnsi="宋体" w:cs="宋体"/>
          <w:b/>
          <w:sz w:val="36"/>
          <w:szCs w:val="36"/>
        </w:rPr>
      </w:pPr>
      <w:r>
        <w:rPr>
          <w:rFonts w:hAnsi="宋体" w:cs="宋体"/>
          <w:b/>
          <w:sz w:val="36"/>
          <w:szCs w:val="36"/>
        </w:rPr>
        <w:br w:type="page"/>
      </w:r>
      <w:r>
        <w:rPr>
          <w:rFonts w:hint="eastAsia" w:hAnsi="宋体" w:cs="宋体"/>
          <w:b/>
          <w:sz w:val="36"/>
          <w:szCs w:val="36"/>
        </w:rPr>
        <w:t>第六章 图 纸</w:t>
      </w:r>
      <w:bookmarkEnd w:id="77"/>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按照招标文件中第二章投标人须知前附表第2.1项下载。</w:t>
      </w:r>
    </w:p>
    <w:p>
      <w:pPr>
        <w:autoSpaceDE w:val="0"/>
        <w:autoSpaceDN w:val="0"/>
        <w:adjustRightInd w:val="0"/>
        <w:jc w:val="center"/>
        <w:outlineLvl w:val="0"/>
        <w:rPr>
          <w:rFonts w:hAnsi="宋体" w:cs="宋体"/>
          <w:sz w:val="28"/>
          <w:szCs w:val="28"/>
        </w:rPr>
      </w:pPr>
      <w:bookmarkStart w:id="78"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8"/>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9"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 xml:space="preserve">致： </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天（日历天）内竣工，并确保工程质量达到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我方承诺，若我方中标，愿意按国家发改委“计价格（2002）1980号”规定缴纳招标代理服务费等相关费用。</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规费RMB￥：元</w:t>
            </w:r>
          </w:p>
          <w:p>
            <w:pPr>
              <w:spacing w:line="480" w:lineRule="exact"/>
              <w:ind w:firstLine="600" w:firstLineChars="250"/>
              <w:rPr>
                <w:rFonts w:hAnsi="宋体" w:eastAsia="宋体" w:cs="宋体"/>
                <w:sz w:val="24"/>
              </w:rPr>
            </w:pPr>
            <w:r>
              <w:rPr>
                <w:rFonts w:hint="eastAsia" w:hAnsi="宋体" w:eastAsia="宋体" w:cs="宋体"/>
                <w:sz w:val="24"/>
              </w:rPr>
              <w:t>税金RMB￥：元</w:t>
            </w:r>
          </w:p>
          <w:p>
            <w:pPr>
              <w:spacing w:line="480" w:lineRule="exact"/>
              <w:ind w:firstLine="600" w:firstLineChars="250"/>
              <w:rPr>
                <w:rFonts w:hAnsi="宋体" w:eastAsia="宋体" w:cs="宋体"/>
                <w:sz w:val="24"/>
              </w:rPr>
            </w:pPr>
            <w:r>
              <w:rPr>
                <w:rFonts w:hint="eastAsia" w:hAnsi="宋体" w:eastAsia="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spacing w:line="276" w:lineRule="auto"/>
              <w:rPr>
                <w:rFonts w:hAnsi="宋体"/>
                <w:sz w:val="24"/>
              </w:rPr>
            </w:pPr>
            <w:r>
              <w:rPr>
                <w:rFonts w:hint="eastAsia" w:hAnsi="宋体"/>
                <w:sz w:val="24"/>
              </w:rPr>
              <w:t>承  诺：</w:t>
            </w:r>
          </w:p>
          <w:p>
            <w:pPr>
              <w:spacing w:line="276" w:lineRule="auto"/>
              <w:rPr>
                <w:rFonts w:hAnsi="宋体"/>
                <w:sz w:val="24"/>
              </w:rPr>
            </w:pPr>
          </w:p>
          <w:p>
            <w:pPr>
              <w:spacing w:line="276" w:lineRule="auto"/>
              <w:rPr>
                <w:rFonts w:hAnsi="宋体"/>
                <w:sz w:val="24"/>
              </w:rPr>
            </w:pPr>
          </w:p>
          <w:p>
            <w:pPr>
              <w:spacing w:line="276" w:lineRule="auto"/>
              <w:rPr>
                <w:rFonts w:hAnsi="宋体"/>
                <w:sz w:val="24"/>
              </w:rPr>
            </w:pPr>
          </w:p>
          <w:p>
            <w:pPr>
              <w:rPr>
                <w:rFonts w:hAnsi="宋体" w:eastAsia="宋体" w:cs="宋体"/>
                <w:sz w:val="24"/>
              </w:rPr>
            </w:pPr>
            <w:r>
              <w:rPr>
                <w:rFonts w:hint="eastAsia" w:ascii="新宋体" w:hAnsi="新宋体" w:eastAsia="新宋体"/>
                <w:sz w:val="24"/>
              </w:rPr>
              <w:t>（包含优惠承诺、质量承诺、服务承诺及按扬尘污染整治标准进行各工序的施工等）</w:t>
            </w:r>
          </w:p>
        </w:tc>
      </w:tr>
    </w:tbl>
    <w:p>
      <w:pPr>
        <w:ind w:right="475"/>
        <w:jc w:val="right"/>
        <w:rPr>
          <w:rFonts w:hAnsi="宋体" w:cs="宋体"/>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9"/>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Ansi="宋体" w:cs="宋体"/>
          <w:b/>
          <w:bCs/>
          <w:sz w:val="28"/>
          <w:szCs w:val="28"/>
        </w:rPr>
      </w:pPr>
      <w:bookmarkStart w:id="80" w:name="_Toc271787731"/>
      <w:r>
        <w:rPr>
          <w:rFonts w:hint="eastAsia" w:hAnsi="宋体" w:cs="宋体"/>
          <w:b/>
          <w:bCs/>
          <w:sz w:val="28"/>
          <w:szCs w:val="28"/>
        </w:rPr>
        <w:t>（一）法定代表人身份证明</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r>
        <w:rPr>
          <w:rFonts w:hint="eastAsia" w:hAnsi="宋体" w:cs="宋体"/>
          <w:sz w:val="24"/>
        </w:rPr>
        <w:t>联系电话</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1" w:name="_Toc271787732"/>
      <w:r>
        <w:rPr>
          <w:rFonts w:hint="eastAsia" w:hAnsi="宋体" w:cs="宋体"/>
          <w:b/>
          <w:bCs/>
          <w:sz w:val="28"/>
          <w:szCs w:val="28"/>
        </w:rPr>
        <w:t>（二）授权委托书</w:t>
      </w:r>
      <w:bookmarkEnd w:id="81"/>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附：法定代表人身份证明和其委托代理人的原件扫描件或图片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u w:val="single"/>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 xml:space="preserve">联系电话：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80" w:firstLineChars="1100"/>
        <w:rPr>
          <w:rFonts w:hAnsi="宋体" w:cs="宋体"/>
          <w:b/>
          <w:bCs/>
          <w:sz w:val="28"/>
          <w:szCs w:val="28"/>
        </w:rPr>
      </w:pP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340" w:lineRule="exact"/>
        <w:rPr>
          <w:rFonts w:hAnsi="宋体" w:cs="宋体"/>
          <w:sz w:val="24"/>
        </w:rPr>
      </w:pPr>
      <w:r>
        <w:rPr>
          <w:rFonts w:hint="eastAsia" w:hAnsi="宋体" w:cs="宋体"/>
          <w:sz w:val="24"/>
        </w:rPr>
        <w:t>附提交凭证：</w:t>
      </w:r>
    </w:p>
    <w:p>
      <w:pPr>
        <w:numPr>
          <w:ilvl w:val="0"/>
          <w:numId w:val="3"/>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“许昌公共资源交易中心保证金缴纳回执”。</w:t>
      </w:r>
    </w:p>
    <w:p>
      <w:pPr>
        <w:autoSpaceDE w:val="0"/>
        <w:autoSpaceDN w:val="0"/>
        <w:adjustRightInd w:val="0"/>
        <w:spacing w:line="420" w:lineRule="exact"/>
        <w:jc w:val="center"/>
        <w:rPr>
          <w:rFonts w:hAnsi="宋体" w:cs="宋体"/>
          <w:b/>
          <w:sz w:val="32"/>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1"/>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rPr>
      </w:pPr>
      <w:r>
        <w:rPr>
          <w:rFonts w:hint="eastAsia" w:hAnsi="宋体" w:cs="宋体"/>
          <w:sz w:val="24"/>
        </w:rPr>
        <w:t>项目负责人应附注册证书、安全生产考核合格证书、身份证、职称证、学历证、养老保险复印件及未担任其他在施建设工程项目项目负责人的承诺书，管理过的项目业绩须附合同协议书和竣工验收备案登记表（或施工合同和中标通知书）复印件。类似项目限于以项目负责人身份参与的项目。（以上证件，投标单位可根据资格要求结合本单位项目管理人员证件情况如有则附于表后，如无则可不附）。</w:t>
      </w:r>
    </w:p>
    <w:tbl>
      <w:tblPr>
        <w:tblStyle w:val="1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rPr>
      </w:pPr>
      <w:r>
        <w:rPr>
          <w:rFonts w:hint="eastAsia" w:hAnsi="宋体" w:cs="宋体"/>
          <w:sz w:val="24"/>
        </w:rPr>
        <w:t>主要项目管理人员是指技术负责人、专职安全生产管理员等岗位人员。</w:t>
      </w:r>
    </w:p>
    <w:tbl>
      <w:tblPr>
        <w:tblStyle w:val="11"/>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 xml:space="preserve">承诺书 </w:t>
      </w: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1"/>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 xml:space="preserve">备注：应附企业法人营业执照、企业资质证书副本、安全生产许可证等材料的原件扫描件（或图片） </w:t>
      </w:r>
    </w:p>
    <w:p>
      <w:pPr>
        <w:autoSpaceDE w:val="0"/>
        <w:autoSpaceDN w:val="0"/>
        <w:adjustRightInd w:val="0"/>
        <w:spacing w:line="360" w:lineRule="auto"/>
        <w:ind w:right="215" w:firstLine="420"/>
        <w:rPr>
          <w:rFonts w:hAnsi="宋体" w:cs="宋体"/>
          <w:sz w:val="24"/>
        </w:rPr>
      </w:pPr>
      <w:r>
        <w:rPr>
          <w:rFonts w:hint="eastAsia" w:hAnsi="宋体" w:cs="宋体"/>
          <w:sz w:val="24"/>
        </w:rPr>
        <w:t xml:space="preserve">     </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1"/>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1"/>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4"/>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tabs>
          <w:tab w:val="center" w:pos="4739"/>
        </w:tabs>
        <w:ind w:left="180"/>
        <w:rPr>
          <w:rFonts w:hAnsi="宋体" w:cs="宋体"/>
          <w:b/>
          <w:bCs/>
          <w:sz w:val="26"/>
          <w:szCs w:val="26"/>
        </w:rPr>
      </w:pPr>
      <w:r>
        <w:rPr>
          <w:rFonts w:hint="eastAsia" w:hAnsi="宋体" w:cs="宋体"/>
          <w:b/>
          <w:bCs/>
          <w:sz w:val="26"/>
          <w:szCs w:val="26"/>
        </w:rPr>
        <w:t>（1）内容完整性</w:t>
      </w:r>
    </w:p>
    <w:p>
      <w:pPr>
        <w:tabs>
          <w:tab w:val="center" w:pos="4739"/>
        </w:tabs>
        <w:ind w:left="180"/>
        <w:rPr>
          <w:rFonts w:hAnsi="宋体" w:cs="宋体"/>
          <w:b/>
          <w:bCs/>
          <w:sz w:val="26"/>
          <w:szCs w:val="26"/>
        </w:rPr>
      </w:pPr>
      <w:r>
        <w:rPr>
          <w:rFonts w:hint="eastAsia" w:hAnsi="宋体" w:cs="宋体"/>
          <w:b/>
          <w:bCs/>
          <w:sz w:val="26"/>
          <w:szCs w:val="26"/>
        </w:rPr>
        <w:t>（2）主要施工方案与技术措施</w:t>
      </w:r>
    </w:p>
    <w:p>
      <w:pPr>
        <w:tabs>
          <w:tab w:val="center" w:pos="4739"/>
        </w:tabs>
        <w:ind w:left="180"/>
        <w:rPr>
          <w:rFonts w:hAnsi="宋体" w:cs="宋体"/>
          <w:b/>
          <w:bCs/>
          <w:sz w:val="26"/>
          <w:szCs w:val="26"/>
        </w:rPr>
      </w:pPr>
      <w:r>
        <w:rPr>
          <w:rFonts w:hint="eastAsia" w:hAnsi="宋体" w:cs="宋体"/>
          <w:b/>
          <w:bCs/>
          <w:sz w:val="26"/>
          <w:szCs w:val="26"/>
        </w:rPr>
        <w:t>（3）质量管理体系与措施</w:t>
      </w:r>
    </w:p>
    <w:p>
      <w:pPr>
        <w:tabs>
          <w:tab w:val="center" w:pos="4739"/>
        </w:tabs>
        <w:ind w:left="180"/>
        <w:rPr>
          <w:rFonts w:hAnsi="宋体" w:cs="宋体"/>
          <w:b/>
          <w:bCs/>
          <w:sz w:val="26"/>
          <w:szCs w:val="26"/>
        </w:rPr>
      </w:pPr>
      <w:r>
        <w:rPr>
          <w:rFonts w:hint="eastAsia" w:hAnsi="宋体" w:cs="宋体"/>
          <w:b/>
          <w:bCs/>
          <w:sz w:val="26"/>
          <w:szCs w:val="26"/>
        </w:rPr>
        <w:t>（4）安全管理体系与措施</w:t>
      </w:r>
    </w:p>
    <w:p>
      <w:pPr>
        <w:tabs>
          <w:tab w:val="center" w:pos="4739"/>
        </w:tabs>
        <w:ind w:left="180"/>
        <w:rPr>
          <w:rFonts w:hAnsi="宋体" w:cs="宋体"/>
          <w:b/>
          <w:bCs/>
          <w:sz w:val="26"/>
          <w:szCs w:val="26"/>
        </w:rPr>
      </w:pPr>
      <w:r>
        <w:rPr>
          <w:rFonts w:hint="eastAsia" w:hAnsi="宋体" w:cs="宋体"/>
          <w:b/>
          <w:bCs/>
          <w:sz w:val="26"/>
          <w:szCs w:val="26"/>
        </w:rPr>
        <w:t>（5）文明施工、环境保护管理体系及施工现场扬尘治理措施</w:t>
      </w:r>
    </w:p>
    <w:p>
      <w:pPr>
        <w:tabs>
          <w:tab w:val="center" w:pos="4739"/>
        </w:tabs>
        <w:ind w:left="180"/>
        <w:rPr>
          <w:rFonts w:hAnsi="宋体" w:cs="宋体"/>
          <w:b/>
          <w:bCs/>
          <w:sz w:val="26"/>
          <w:szCs w:val="26"/>
        </w:rPr>
      </w:pPr>
      <w:r>
        <w:rPr>
          <w:rFonts w:hint="eastAsia" w:hAnsi="宋体" w:cs="宋体"/>
          <w:b/>
          <w:bCs/>
          <w:sz w:val="26"/>
          <w:szCs w:val="26"/>
        </w:rPr>
        <w:t>（6）工期保证措施</w:t>
      </w:r>
    </w:p>
    <w:p>
      <w:pPr>
        <w:tabs>
          <w:tab w:val="center" w:pos="4739"/>
        </w:tabs>
        <w:ind w:left="180"/>
        <w:rPr>
          <w:rFonts w:hAnsi="宋体" w:cs="宋体"/>
          <w:b/>
          <w:bCs/>
          <w:sz w:val="26"/>
          <w:szCs w:val="26"/>
        </w:rPr>
      </w:pPr>
      <w:r>
        <w:rPr>
          <w:rFonts w:hint="eastAsia" w:hAnsi="宋体" w:cs="宋体"/>
          <w:b/>
          <w:bCs/>
          <w:sz w:val="26"/>
          <w:szCs w:val="26"/>
        </w:rPr>
        <w:t>（7）拟投入资源配备计划</w:t>
      </w:r>
    </w:p>
    <w:p>
      <w:pPr>
        <w:tabs>
          <w:tab w:val="center" w:pos="4739"/>
        </w:tabs>
        <w:ind w:left="180"/>
        <w:rPr>
          <w:rFonts w:hAnsi="宋体" w:cs="宋体"/>
          <w:b/>
          <w:bCs/>
          <w:sz w:val="26"/>
          <w:szCs w:val="26"/>
        </w:rPr>
      </w:pPr>
      <w:r>
        <w:rPr>
          <w:rFonts w:hint="eastAsia" w:hAnsi="宋体" w:cs="宋体"/>
          <w:b/>
          <w:bCs/>
          <w:sz w:val="26"/>
          <w:szCs w:val="26"/>
        </w:rPr>
        <w:t>（8）施工进度表或网络计划图</w:t>
      </w:r>
    </w:p>
    <w:p>
      <w:pPr>
        <w:tabs>
          <w:tab w:val="center" w:pos="4739"/>
        </w:tabs>
        <w:ind w:left="180"/>
        <w:rPr>
          <w:rFonts w:hAnsi="宋体" w:cs="宋体"/>
          <w:b/>
          <w:bCs/>
          <w:sz w:val="26"/>
          <w:szCs w:val="26"/>
        </w:rPr>
      </w:pPr>
      <w:r>
        <w:rPr>
          <w:rFonts w:hint="eastAsia" w:hAnsi="宋体" w:cs="宋体"/>
          <w:b/>
          <w:bCs/>
          <w:sz w:val="26"/>
          <w:szCs w:val="26"/>
        </w:rPr>
        <w:t>（9）施工总平面图布置</w:t>
      </w:r>
    </w:p>
    <w:p>
      <w:pPr>
        <w:tabs>
          <w:tab w:val="center" w:pos="4739"/>
        </w:tabs>
        <w:ind w:left="180"/>
        <w:rPr>
          <w:rFonts w:hAnsi="宋体" w:cs="宋体"/>
          <w:b/>
          <w:bCs/>
          <w:sz w:val="26"/>
          <w:szCs w:val="26"/>
        </w:rPr>
      </w:pPr>
      <w:r>
        <w:rPr>
          <w:rFonts w:hint="eastAsia" w:hAnsi="宋体" w:cs="宋体"/>
          <w:b/>
          <w:bCs/>
          <w:sz w:val="26"/>
          <w:szCs w:val="26"/>
        </w:rPr>
        <w:t>（10）技术创新的应用实施措施</w:t>
      </w:r>
    </w:p>
    <w:p>
      <w:pPr>
        <w:tabs>
          <w:tab w:val="center" w:pos="4739"/>
        </w:tabs>
        <w:ind w:left="180"/>
        <w:rPr>
          <w:rFonts w:hAnsi="宋体" w:cs="宋体"/>
          <w:b/>
          <w:bCs/>
          <w:sz w:val="26"/>
          <w:szCs w:val="26"/>
        </w:rPr>
      </w:pPr>
      <w:r>
        <w:rPr>
          <w:rFonts w:hint="eastAsia" w:hAnsi="宋体" w:cs="宋体"/>
          <w:b/>
          <w:bCs/>
          <w:sz w:val="26"/>
          <w:szCs w:val="26"/>
        </w:rPr>
        <w:t>（11）采用新工艺、新技术、新设备、新材料、BIM等的程度</w:t>
      </w:r>
    </w:p>
    <w:p>
      <w:pPr>
        <w:tabs>
          <w:tab w:val="center" w:pos="4739"/>
        </w:tabs>
        <w:ind w:left="180"/>
        <w:rPr>
          <w:rFonts w:hAnsi="宋体" w:cs="宋体"/>
          <w:b/>
          <w:bCs/>
          <w:sz w:val="26"/>
          <w:szCs w:val="26"/>
        </w:rPr>
      </w:pPr>
      <w:r>
        <w:rPr>
          <w:rFonts w:hint="eastAsia" w:hAnsi="宋体" w:cs="宋体"/>
          <w:b/>
          <w:bCs/>
          <w:sz w:val="26"/>
          <w:szCs w:val="26"/>
        </w:rPr>
        <w:t>（12）施工现场实施信息化监控和数据处理</w:t>
      </w:r>
    </w:p>
    <w:p>
      <w:pPr>
        <w:autoSpaceDE w:val="0"/>
        <w:autoSpaceDN w:val="0"/>
        <w:spacing w:line="540" w:lineRule="exact"/>
        <w:ind w:firstLine="130" w:firstLineChars="50"/>
        <w:jc w:val="left"/>
        <w:rPr>
          <w:rFonts w:hAnsi="宋体" w:cs="宋体"/>
          <w:b/>
          <w:sz w:val="26"/>
          <w:szCs w:val="26"/>
        </w:rPr>
      </w:pPr>
      <w:r>
        <w:rPr>
          <w:rFonts w:hint="eastAsia" w:hAnsi="宋体" w:cs="宋体"/>
          <w:b/>
          <w:bCs/>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p>
      <w:pPr>
        <w:pStyle w:val="2"/>
        <w:ind w:firstLine="340"/>
      </w:pPr>
    </w:p>
    <w:p>
      <w:pPr>
        <w:pStyle w:val="4"/>
        <w:ind w:left="680" w:firstLine="680"/>
        <w:rPr>
          <w:rFonts w:hint="default"/>
          <w:lang w:eastAsia="zh-CN"/>
        </w:rPr>
      </w:pPr>
    </w:p>
    <w:p>
      <w:pPr>
        <w:pStyle w:val="4"/>
        <w:ind w:left="680" w:firstLine="680"/>
        <w:rPr>
          <w:rFonts w:hint="default"/>
          <w:lang w:eastAsia="zh-CN"/>
        </w:rPr>
      </w:pPr>
    </w:p>
    <w:sectPr>
      <w:footerReference r:id="rId10" w:type="first"/>
      <w:footerReference r:id="rId9"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pBdr>
                    <w:top w:val="single" w:color="auto" w:sz="4" w:space="0"/>
                  </w:pBdr>
                  <w:ind w:right="360"/>
                  <w:jc w:val="center"/>
                </w:pPr>
                <w:r>
                  <w:fldChar w:fldCharType="begin"/>
                </w:r>
                <w:r>
                  <w:rPr>
                    <w:rStyle w:val="14"/>
                  </w:rPr>
                  <w:instrText xml:space="preserve"> PAGE </w:instrText>
                </w:r>
                <w:r>
                  <w:fldChar w:fldCharType="separate"/>
                </w:r>
                <w:r>
                  <w:rPr>
                    <w:rStyle w:val="14"/>
                  </w:rPr>
                  <w:t>60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1673"/>
    <w:rsid w:val="00026094"/>
    <w:rsid w:val="000310D4"/>
    <w:rsid w:val="0003329B"/>
    <w:rsid w:val="00033EBD"/>
    <w:rsid w:val="000427DF"/>
    <w:rsid w:val="000432ED"/>
    <w:rsid w:val="0006136C"/>
    <w:rsid w:val="0007083C"/>
    <w:rsid w:val="00071018"/>
    <w:rsid w:val="000A4B70"/>
    <w:rsid w:val="000A4B94"/>
    <w:rsid w:val="000C408F"/>
    <w:rsid w:val="000D1F2C"/>
    <w:rsid w:val="000E11EF"/>
    <w:rsid w:val="000E1C6A"/>
    <w:rsid w:val="000E42CD"/>
    <w:rsid w:val="000E5DE8"/>
    <w:rsid w:val="000F3E50"/>
    <w:rsid w:val="000F459D"/>
    <w:rsid w:val="000F66D9"/>
    <w:rsid w:val="000F6F95"/>
    <w:rsid w:val="00100CE6"/>
    <w:rsid w:val="00100E01"/>
    <w:rsid w:val="001015B8"/>
    <w:rsid w:val="00106D22"/>
    <w:rsid w:val="00112BE9"/>
    <w:rsid w:val="0012336D"/>
    <w:rsid w:val="00123585"/>
    <w:rsid w:val="00124C0C"/>
    <w:rsid w:val="001311B8"/>
    <w:rsid w:val="001444CB"/>
    <w:rsid w:val="00145DCD"/>
    <w:rsid w:val="00153D65"/>
    <w:rsid w:val="00154AC4"/>
    <w:rsid w:val="00184B91"/>
    <w:rsid w:val="0018555F"/>
    <w:rsid w:val="00190CA3"/>
    <w:rsid w:val="001921CF"/>
    <w:rsid w:val="001A6353"/>
    <w:rsid w:val="001A6925"/>
    <w:rsid w:val="001B3FB5"/>
    <w:rsid w:val="001D1431"/>
    <w:rsid w:val="001D41ED"/>
    <w:rsid w:val="001D6C4E"/>
    <w:rsid w:val="001F2568"/>
    <w:rsid w:val="001F3006"/>
    <w:rsid w:val="001F37E5"/>
    <w:rsid w:val="001F417A"/>
    <w:rsid w:val="001F5720"/>
    <w:rsid w:val="002008F6"/>
    <w:rsid w:val="00203AE3"/>
    <w:rsid w:val="0020445D"/>
    <w:rsid w:val="00204E6B"/>
    <w:rsid w:val="002415A9"/>
    <w:rsid w:val="00242C92"/>
    <w:rsid w:val="00252774"/>
    <w:rsid w:val="002639F8"/>
    <w:rsid w:val="00276551"/>
    <w:rsid w:val="00294330"/>
    <w:rsid w:val="00294ACF"/>
    <w:rsid w:val="002963C0"/>
    <w:rsid w:val="00296B80"/>
    <w:rsid w:val="002A2A43"/>
    <w:rsid w:val="002A696E"/>
    <w:rsid w:val="002B0DFE"/>
    <w:rsid w:val="002B535B"/>
    <w:rsid w:val="002B616B"/>
    <w:rsid w:val="002C04F5"/>
    <w:rsid w:val="002C5BF9"/>
    <w:rsid w:val="002C61C6"/>
    <w:rsid w:val="002D33A7"/>
    <w:rsid w:val="002E2FFB"/>
    <w:rsid w:val="002F3583"/>
    <w:rsid w:val="0030456B"/>
    <w:rsid w:val="00307D3E"/>
    <w:rsid w:val="0031627C"/>
    <w:rsid w:val="00336A88"/>
    <w:rsid w:val="00337A96"/>
    <w:rsid w:val="00344E21"/>
    <w:rsid w:val="00365BE5"/>
    <w:rsid w:val="003702A0"/>
    <w:rsid w:val="00371D0F"/>
    <w:rsid w:val="00392100"/>
    <w:rsid w:val="003B534F"/>
    <w:rsid w:val="003C299D"/>
    <w:rsid w:val="003C67D0"/>
    <w:rsid w:val="003F28E5"/>
    <w:rsid w:val="003F36DD"/>
    <w:rsid w:val="00405E2F"/>
    <w:rsid w:val="00413EFB"/>
    <w:rsid w:val="00424975"/>
    <w:rsid w:val="00425696"/>
    <w:rsid w:val="00455C8F"/>
    <w:rsid w:val="00470530"/>
    <w:rsid w:val="00470E7E"/>
    <w:rsid w:val="00472957"/>
    <w:rsid w:val="00476B5B"/>
    <w:rsid w:val="004B37FB"/>
    <w:rsid w:val="004B7AB0"/>
    <w:rsid w:val="004C404F"/>
    <w:rsid w:val="004D6A6D"/>
    <w:rsid w:val="004E1B34"/>
    <w:rsid w:val="004F5208"/>
    <w:rsid w:val="00500738"/>
    <w:rsid w:val="0050085D"/>
    <w:rsid w:val="005167ED"/>
    <w:rsid w:val="00524065"/>
    <w:rsid w:val="00531547"/>
    <w:rsid w:val="00533676"/>
    <w:rsid w:val="005458F0"/>
    <w:rsid w:val="00547524"/>
    <w:rsid w:val="00562253"/>
    <w:rsid w:val="00573217"/>
    <w:rsid w:val="00576C6C"/>
    <w:rsid w:val="0058032D"/>
    <w:rsid w:val="00580526"/>
    <w:rsid w:val="00590089"/>
    <w:rsid w:val="00594E08"/>
    <w:rsid w:val="005D27A6"/>
    <w:rsid w:val="005D3872"/>
    <w:rsid w:val="0061290A"/>
    <w:rsid w:val="0061481C"/>
    <w:rsid w:val="00615E17"/>
    <w:rsid w:val="006201FD"/>
    <w:rsid w:val="00620DF2"/>
    <w:rsid w:val="006259AD"/>
    <w:rsid w:val="00631E65"/>
    <w:rsid w:val="00634E07"/>
    <w:rsid w:val="00644B21"/>
    <w:rsid w:val="00650A9F"/>
    <w:rsid w:val="00664366"/>
    <w:rsid w:val="00682561"/>
    <w:rsid w:val="006B072C"/>
    <w:rsid w:val="006B7778"/>
    <w:rsid w:val="006D11E5"/>
    <w:rsid w:val="006D5D6D"/>
    <w:rsid w:val="006E08B6"/>
    <w:rsid w:val="006E0A13"/>
    <w:rsid w:val="006E7BEB"/>
    <w:rsid w:val="006F39BA"/>
    <w:rsid w:val="0070276D"/>
    <w:rsid w:val="007122BF"/>
    <w:rsid w:val="007318DC"/>
    <w:rsid w:val="00736649"/>
    <w:rsid w:val="007570DC"/>
    <w:rsid w:val="007635FD"/>
    <w:rsid w:val="00765FA1"/>
    <w:rsid w:val="00772E5C"/>
    <w:rsid w:val="00776137"/>
    <w:rsid w:val="007818A1"/>
    <w:rsid w:val="00783FCD"/>
    <w:rsid w:val="00790DBC"/>
    <w:rsid w:val="00792C2C"/>
    <w:rsid w:val="00797E88"/>
    <w:rsid w:val="007A1340"/>
    <w:rsid w:val="007B2BE7"/>
    <w:rsid w:val="007B6D1A"/>
    <w:rsid w:val="007C0EAF"/>
    <w:rsid w:val="007C1FB6"/>
    <w:rsid w:val="007C3A6F"/>
    <w:rsid w:val="007D3457"/>
    <w:rsid w:val="007E1335"/>
    <w:rsid w:val="007E6EC1"/>
    <w:rsid w:val="007F2B41"/>
    <w:rsid w:val="008052D5"/>
    <w:rsid w:val="00807369"/>
    <w:rsid w:val="0081642E"/>
    <w:rsid w:val="00830D2B"/>
    <w:rsid w:val="00831312"/>
    <w:rsid w:val="00836665"/>
    <w:rsid w:val="008447ED"/>
    <w:rsid w:val="0084516D"/>
    <w:rsid w:val="008612AE"/>
    <w:rsid w:val="00882E9E"/>
    <w:rsid w:val="00892C13"/>
    <w:rsid w:val="008A4823"/>
    <w:rsid w:val="008D074E"/>
    <w:rsid w:val="008D2093"/>
    <w:rsid w:val="008E4246"/>
    <w:rsid w:val="008E640B"/>
    <w:rsid w:val="008E6A24"/>
    <w:rsid w:val="008F5FB7"/>
    <w:rsid w:val="008F729F"/>
    <w:rsid w:val="0090127E"/>
    <w:rsid w:val="00902390"/>
    <w:rsid w:val="00916381"/>
    <w:rsid w:val="00921082"/>
    <w:rsid w:val="00931B64"/>
    <w:rsid w:val="00942073"/>
    <w:rsid w:val="009425BA"/>
    <w:rsid w:val="0095421D"/>
    <w:rsid w:val="0095656E"/>
    <w:rsid w:val="00957C23"/>
    <w:rsid w:val="00960EF0"/>
    <w:rsid w:val="00964592"/>
    <w:rsid w:val="009725E8"/>
    <w:rsid w:val="00982813"/>
    <w:rsid w:val="00985A7A"/>
    <w:rsid w:val="00992A0D"/>
    <w:rsid w:val="009A5E0F"/>
    <w:rsid w:val="009B403B"/>
    <w:rsid w:val="009D4DFC"/>
    <w:rsid w:val="009E1075"/>
    <w:rsid w:val="009E605A"/>
    <w:rsid w:val="009F0235"/>
    <w:rsid w:val="009F2026"/>
    <w:rsid w:val="00A003AC"/>
    <w:rsid w:val="00A016E5"/>
    <w:rsid w:val="00A04484"/>
    <w:rsid w:val="00A11AEA"/>
    <w:rsid w:val="00A11B8C"/>
    <w:rsid w:val="00A14144"/>
    <w:rsid w:val="00A200A7"/>
    <w:rsid w:val="00A20BFD"/>
    <w:rsid w:val="00A3190A"/>
    <w:rsid w:val="00A335BB"/>
    <w:rsid w:val="00A34834"/>
    <w:rsid w:val="00A410F4"/>
    <w:rsid w:val="00A41C2A"/>
    <w:rsid w:val="00A422F6"/>
    <w:rsid w:val="00A63949"/>
    <w:rsid w:val="00A72935"/>
    <w:rsid w:val="00A734EC"/>
    <w:rsid w:val="00A7544A"/>
    <w:rsid w:val="00A948AA"/>
    <w:rsid w:val="00A94F1D"/>
    <w:rsid w:val="00AA0DCB"/>
    <w:rsid w:val="00AA4FBF"/>
    <w:rsid w:val="00AA6FA3"/>
    <w:rsid w:val="00AC0DF2"/>
    <w:rsid w:val="00AC523B"/>
    <w:rsid w:val="00AD624F"/>
    <w:rsid w:val="00AD79EB"/>
    <w:rsid w:val="00AE07B7"/>
    <w:rsid w:val="00AE1046"/>
    <w:rsid w:val="00AE1A2D"/>
    <w:rsid w:val="00AE21F0"/>
    <w:rsid w:val="00AF29A7"/>
    <w:rsid w:val="00AF3F35"/>
    <w:rsid w:val="00AF431D"/>
    <w:rsid w:val="00B03EBE"/>
    <w:rsid w:val="00B2280C"/>
    <w:rsid w:val="00B258EF"/>
    <w:rsid w:val="00B31840"/>
    <w:rsid w:val="00B354CE"/>
    <w:rsid w:val="00B35EB0"/>
    <w:rsid w:val="00B40224"/>
    <w:rsid w:val="00B555D9"/>
    <w:rsid w:val="00B5742F"/>
    <w:rsid w:val="00B65C6B"/>
    <w:rsid w:val="00B66F77"/>
    <w:rsid w:val="00B700A2"/>
    <w:rsid w:val="00B80677"/>
    <w:rsid w:val="00BA449A"/>
    <w:rsid w:val="00BC1F1F"/>
    <w:rsid w:val="00BC5B90"/>
    <w:rsid w:val="00BE0598"/>
    <w:rsid w:val="00BE55A1"/>
    <w:rsid w:val="00BE7B04"/>
    <w:rsid w:val="00BF27C4"/>
    <w:rsid w:val="00BF41D4"/>
    <w:rsid w:val="00C05D1F"/>
    <w:rsid w:val="00C26BCD"/>
    <w:rsid w:val="00C43D25"/>
    <w:rsid w:val="00C473B4"/>
    <w:rsid w:val="00C51CD5"/>
    <w:rsid w:val="00C61680"/>
    <w:rsid w:val="00C63C42"/>
    <w:rsid w:val="00C70C78"/>
    <w:rsid w:val="00C7226A"/>
    <w:rsid w:val="00C75A96"/>
    <w:rsid w:val="00C81278"/>
    <w:rsid w:val="00C92076"/>
    <w:rsid w:val="00CA2F93"/>
    <w:rsid w:val="00CA3869"/>
    <w:rsid w:val="00CC5433"/>
    <w:rsid w:val="00CE106D"/>
    <w:rsid w:val="00CE3AB9"/>
    <w:rsid w:val="00CF1BCA"/>
    <w:rsid w:val="00D317F7"/>
    <w:rsid w:val="00D32BCD"/>
    <w:rsid w:val="00D4064D"/>
    <w:rsid w:val="00D430DB"/>
    <w:rsid w:val="00D5106D"/>
    <w:rsid w:val="00D53455"/>
    <w:rsid w:val="00D53566"/>
    <w:rsid w:val="00D55744"/>
    <w:rsid w:val="00D60CE0"/>
    <w:rsid w:val="00D70280"/>
    <w:rsid w:val="00D75E2A"/>
    <w:rsid w:val="00D75F23"/>
    <w:rsid w:val="00D77007"/>
    <w:rsid w:val="00D840C4"/>
    <w:rsid w:val="00D85418"/>
    <w:rsid w:val="00DA665B"/>
    <w:rsid w:val="00DA6A64"/>
    <w:rsid w:val="00DA7ADB"/>
    <w:rsid w:val="00DA7C36"/>
    <w:rsid w:val="00DB7688"/>
    <w:rsid w:val="00DC5756"/>
    <w:rsid w:val="00DD38F1"/>
    <w:rsid w:val="00DD556B"/>
    <w:rsid w:val="00DD68BE"/>
    <w:rsid w:val="00DF0077"/>
    <w:rsid w:val="00DF203A"/>
    <w:rsid w:val="00DF67C1"/>
    <w:rsid w:val="00E07E2E"/>
    <w:rsid w:val="00E17AC8"/>
    <w:rsid w:val="00E52957"/>
    <w:rsid w:val="00E65D2F"/>
    <w:rsid w:val="00E840E4"/>
    <w:rsid w:val="00EA7812"/>
    <w:rsid w:val="00EB1ECD"/>
    <w:rsid w:val="00EC2D03"/>
    <w:rsid w:val="00ED4F12"/>
    <w:rsid w:val="00EF567C"/>
    <w:rsid w:val="00EF7D94"/>
    <w:rsid w:val="00F026CB"/>
    <w:rsid w:val="00F04796"/>
    <w:rsid w:val="00F11597"/>
    <w:rsid w:val="00F21EAE"/>
    <w:rsid w:val="00F23030"/>
    <w:rsid w:val="00F244BB"/>
    <w:rsid w:val="00F45404"/>
    <w:rsid w:val="00F51DBA"/>
    <w:rsid w:val="00F65359"/>
    <w:rsid w:val="00F65C07"/>
    <w:rsid w:val="00F67A2C"/>
    <w:rsid w:val="00F727C7"/>
    <w:rsid w:val="00F907B9"/>
    <w:rsid w:val="00F93A74"/>
    <w:rsid w:val="00F94066"/>
    <w:rsid w:val="00F9449A"/>
    <w:rsid w:val="00F95ABF"/>
    <w:rsid w:val="00FB4AB8"/>
    <w:rsid w:val="00FE4A3E"/>
    <w:rsid w:val="01DB434E"/>
    <w:rsid w:val="025A1A0E"/>
    <w:rsid w:val="05B347DC"/>
    <w:rsid w:val="05C54C49"/>
    <w:rsid w:val="06E835F7"/>
    <w:rsid w:val="07E778CA"/>
    <w:rsid w:val="07F46824"/>
    <w:rsid w:val="08CA67DF"/>
    <w:rsid w:val="08F576CB"/>
    <w:rsid w:val="0A4866D0"/>
    <w:rsid w:val="0A8E6F0E"/>
    <w:rsid w:val="0A9A38CE"/>
    <w:rsid w:val="0B0010DA"/>
    <w:rsid w:val="0B4C6956"/>
    <w:rsid w:val="0BAC12EB"/>
    <w:rsid w:val="0C410EA5"/>
    <w:rsid w:val="0D8116DE"/>
    <w:rsid w:val="0E274A96"/>
    <w:rsid w:val="0EB217EF"/>
    <w:rsid w:val="0F3930AA"/>
    <w:rsid w:val="0FE557E4"/>
    <w:rsid w:val="10085E52"/>
    <w:rsid w:val="13CC49C6"/>
    <w:rsid w:val="14D972B5"/>
    <w:rsid w:val="14EC08FF"/>
    <w:rsid w:val="151E2293"/>
    <w:rsid w:val="15AC6033"/>
    <w:rsid w:val="15B305CC"/>
    <w:rsid w:val="1769612C"/>
    <w:rsid w:val="176C0E13"/>
    <w:rsid w:val="17D77D80"/>
    <w:rsid w:val="1A6627AB"/>
    <w:rsid w:val="1A8C3E4C"/>
    <w:rsid w:val="1AC14286"/>
    <w:rsid w:val="1ADA0CB9"/>
    <w:rsid w:val="1B1A0113"/>
    <w:rsid w:val="1B8D32EB"/>
    <w:rsid w:val="1C063260"/>
    <w:rsid w:val="1CE276BD"/>
    <w:rsid w:val="1D004958"/>
    <w:rsid w:val="1D726CFF"/>
    <w:rsid w:val="203866A1"/>
    <w:rsid w:val="2119095A"/>
    <w:rsid w:val="21421D01"/>
    <w:rsid w:val="220075A0"/>
    <w:rsid w:val="22F50FD7"/>
    <w:rsid w:val="25361EA3"/>
    <w:rsid w:val="26166079"/>
    <w:rsid w:val="269D2D47"/>
    <w:rsid w:val="26AC047F"/>
    <w:rsid w:val="27FD27F9"/>
    <w:rsid w:val="280D5608"/>
    <w:rsid w:val="28B00D83"/>
    <w:rsid w:val="28C01D96"/>
    <w:rsid w:val="2AB95941"/>
    <w:rsid w:val="2ABC6414"/>
    <w:rsid w:val="2D2C6D7A"/>
    <w:rsid w:val="2DEF4A1F"/>
    <w:rsid w:val="2F3A012D"/>
    <w:rsid w:val="2F93078B"/>
    <w:rsid w:val="2FFD3C00"/>
    <w:rsid w:val="307578E4"/>
    <w:rsid w:val="30D23E37"/>
    <w:rsid w:val="30E64908"/>
    <w:rsid w:val="30F03510"/>
    <w:rsid w:val="322A2B63"/>
    <w:rsid w:val="32D53070"/>
    <w:rsid w:val="3427237C"/>
    <w:rsid w:val="343C7DB6"/>
    <w:rsid w:val="35254EA4"/>
    <w:rsid w:val="358E19EB"/>
    <w:rsid w:val="35DC23A2"/>
    <w:rsid w:val="375271E8"/>
    <w:rsid w:val="37B71904"/>
    <w:rsid w:val="382C792D"/>
    <w:rsid w:val="391861CA"/>
    <w:rsid w:val="3945175B"/>
    <w:rsid w:val="39D40903"/>
    <w:rsid w:val="3A4820C8"/>
    <w:rsid w:val="3BCA3EEE"/>
    <w:rsid w:val="3C526FDA"/>
    <w:rsid w:val="3E0C767D"/>
    <w:rsid w:val="3EDE5F9D"/>
    <w:rsid w:val="3F557D77"/>
    <w:rsid w:val="3F653ECD"/>
    <w:rsid w:val="40B1193E"/>
    <w:rsid w:val="41A24648"/>
    <w:rsid w:val="42B750E0"/>
    <w:rsid w:val="42E171A3"/>
    <w:rsid w:val="45C149C9"/>
    <w:rsid w:val="46170712"/>
    <w:rsid w:val="46C97F82"/>
    <w:rsid w:val="476A20C4"/>
    <w:rsid w:val="49C75B91"/>
    <w:rsid w:val="4A1672AB"/>
    <w:rsid w:val="4B2411D6"/>
    <w:rsid w:val="4C536B94"/>
    <w:rsid w:val="4CEF3CF8"/>
    <w:rsid w:val="4D9D7117"/>
    <w:rsid w:val="4E1B15A0"/>
    <w:rsid w:val="4E841886"/>
    <w:rsid w:val="4F1047DD"/>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8367F9"/>
    <w:rsid w:val="5CAF735A"/>
    <w:rsid w:val="5E352002"/>
    <w:rsid w:val="5E6723DF"/>
    <w:rsid w:val="5EB10811"/>
    <w:rsid w:val="5F1C7AED"/>
    <w:rsid w:val="5F90413A"/>
    <w:rsid w:val="60565855"/>
    <w:rsid w:val="60775FB9"/>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B2D7184"/>
    <w:rsid w:val="6C965D84"/>
    <w:rsid w:val="6E452348"/>
    <w:rsid w:val="6FA96611"/>
    <w:rsid w:val="71EB3F0D"/>
    <w:rsid w:val="72F15351"/>
    <w:rsid w:val="73AC73AC"/>
    <w:rsid w:val="742A7635"/>
    <w:rsid w:val="743773CC"/>
    <w:rsid w:val="749123F0"/>
    <w:rsid w:val="74FF5FC2"/>
    <w:rsid w:val="76173E55"/>
    <w:rsid w:val="76731A9E"/>
    <w:rsid w:val="773B0D0D"/>
    <w:rsid w:val="77CA4249"/>
    <w:rsid w:val="78412583"/>
    <w:rsid w:val="7855496E"/>
    <w:rsid w:val="78C52C06"/>
    <w:rsid w:val="79A1156A"/>
    <w:rsid w:val="79A5544F"/>
    <w:rsid w:val="79B6126F"/>
    <w:rsid w:val="79C6269C"/>
    <w:rsid w:val="7A4E6CB4"/>
    <w:rsid w:val="7AA8546C"/>
    <w:rsid w:val="7ABD0011"/>
    <w:rsid w:val="7B521D5B"/>
    <w:rsid w:val="7B5A74E2"/>
    <w:rsid w:val="7B6D1EB3"/>
    <w:rsid w:val="7B853AC8"/>
    <w:rsid w:val="7C5E37E6"/>
    <w:rsid w:val="7DF22565"/>
    <w:rsid w:val="7EBE4303"/>
    <w:rsid w:val="7F0707C4"/>
    <w:rsid w:val="7F436895"/>
    <w:rsid w:val="7F590637"/>
    <w:rsid w:val="7F78421F"/>
    <w:rsid w:val="7FF554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6">
    <w:name w:val="heading 2"/>
    <w:basedOn w:val="1"/>
    <w:next w:val="1"/>
    <w:link w:val="1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unhideWhenUsed/>
    <w:qFormat/>
    <w:uiPriority w:val="0"/>
    <w:pPr>
      <w:keepNext/>
      <w:keepLines/>
      <w:spacing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hAnsi="宋体" w:cs="宋体"/>
      <w:sz w:val="24"/>
    </w:rPr>
  </w:style>
  <w:style w:type="table" w:styleId="12">
    <w:name w:val="Table Grid"/>
    <w:basedOn w:val="11"/>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basedOn w:val="13"/>
    <w:qFormat/>
    <w:uiPriority w:val="0"/>
    <w:rPr>
      <w:color w:val="000000"/>
      <w:u w:val="none"/>
    </w:rPr>
  </w:style>
  <w:style w:type="character" w:customStyle="1" w:styleId="18">
    <w:name w:val="标题 2 Char"/>
    <w:basedOn w:val="13"/>
    <w:link w:val="6"/>
    <w:semiHidden/>
    <w:qFormat/>
    <w:uiPriority w:val="0"/>
    <w:rPr>
      <w:rFonts w:asciiTheme="majorHAnsi" w:hAnsiTheme="majorHAnsi" w:eastAsiaTheme="majorEastAsia" w:cstheme="majorBidi"/>
      <w:b/>
      <w:bCs/>
      <w:sz w:val="32"/>
      <w:szCs w:val="32"/>
    </w:rPr>
  </w:style>
  <w:style w:type="paragraph" w:customStyle="1" w:styleId="1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0">
    <w:name w:val="样式 标题 3 + (中文) 黑体 小四 非加粗 段前: 7.8 磅 段后: 0 磅 行距: 固定值 20 磅"/>
    <w:basedOn w:val="7"/>
    <w:qFormat/>
    <w:uiPriority w:val="0"/>
    <w:pPr>
      <w:spacing w:line="400" w:lineRule="exact"/>
    </w:pPr>
    <w:rPr>
      <w:rFonts w:eastAsia="黑体" w:cs="宋体"/>
      <w:b w:val="0"/>
      <w:bCs w:val="0"/>
      <w:sz w:val="24"/>
      <w:szCs w:val="20"/>
    </w:rPr>
  </w:style>
  <w:style w:type="character" w:customStyle="1" w:styleId="21">
    <w:name w:val="red"/>
    <w:basedOn w:val="13"/>
    <w:qFormat/>
    <w:uiPriority w:val="0"/>
    <w:rPr>
      <w:color w:val="FF0000"/>
      <w:sz w:val="18"/>
      <w:szCs w:val="18"/>
    </w:rPr>
  </w:style>
  <w:style w:type="character" w:customStyle="1" w:styleId="22">
    <w:name w:val="red1"/>
    <w:basedOn w:val="13"/>
    <w:qFormat/>
    <w:uiPriority w:val="0"/>
    <w:rPr>
      <w:color w:val="FF0000"/>
      <w:sz w:val="18"/>
      <w:szCs w:val="18"/>
    </w:rPr>
  </w:style>
  <w:style w:type="character" w:customStyle="1" w:styleId="23">
    <w:name w:val="red2"/>
    <w:basedOn w:val="13"/>
    <w:qFormat/>
    <w:uiPriority w:val="0"/>
    <w:rPr>
      <w:color w:val="CC0000"/>
    </w:rPr>
  </w:style>
  <w:style w:type="character" w:customStyle="1" w:styleId="24">
    <w:name w:val="red3"/>
    <w:basedOn w:val="13"/>
    <w:qFormat/>
    <w:uiPriority w:val="0"/>
    <w:rPr>
      <w:color w:val="FF0000"/>
    </w:rPr>
  </w:style>
  <w:style w:type="character" w:customStyle="1" w:styleId="25">
    <w:name w:val="hover25"/>
    <w:basedOn w:val="13"/>
    <w:qFormat/>
    <w:uiPriority w:val="0"/>
  </w:style>
  <w:style w:type="character" w:customStyle="1" w:styleId="26">
    <w:name w:val="green"/>
    <w:basedOn w:val="13"/>
    <w:qFormat/>
    <w:uiPriority w:val="0"/>
    <w:rPr>
      <w:color w:val="66AE00"/>
      <w:sz w:val="18"/>
      <w:szCs w:val="18"/>
    </w:rPr>
  </w:style>
  <w:style w:type="character" w:customStyle="1" w:styleId="27">
    <w:name w:val="green1"/>
    <w:basedOn w:val="13"/>
    <w:qFormat/>
    <w:uiPriority w:val="0"/>
    <w:rPr>
      <w:color w:val="66AE00"/>
      <w:sz w:val="18"/>
      <w:szCs w:val="18"/>
    </w:rPr>
  </w:style>
  <w:style w:type="character" w:customStyle="1" w:styleId="28">
    <w:name w:val="blue"/>
    <w:basedOn w:val="13"/>
    <w:qFormat/>
    <w:uiPriority w:val="0"/>
    <w:rPr>
      <w:color w:val="0371C6"/>
      <w:sz w:val="21"/>
      <w:szCs w:val="21"/>
    </w:rPr>
  </w:style>
  <w:style w:type="character" w:customStyle="1" w:styleId="29">
    <w:name w:val="gb-jt"/>
    <w:basedOn w:val="13"/>
    <w:qFormat/>
    <w:uiPriority w:val="0"/>
  </w:style>
  <w:style w:type="character" w:customStyle="1" w:styleId="30">
    <w:name w:val="right"/>
    <w:basedOn w:val="13"/>
    <w:qFormat/>
    <w:uiPriority w:val="0"/>
    <w:rPr>
      <w:color w:val="999999"/>
      <w:sz w:val="18"/>
      <w:szCs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5747</Words>
  <Characters>32761</Characters>
  <Lines>273</Lines>
  <Paragraphs>76</Paragraphs>
  <TotalTime>432</TotalTime>
  <ScaleCrop>false</ScaleCrop>
  <LinksUpToDate>false</LinksUpToDate>
  <CharactersWithSpaces>38432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2019-10-12T08:16:00Z</dcterms:created>
  <dc:creator>Administrator</dc:creator>
  <cp:lastModifiedBy>中大国信工程管理有限公司:中大国信工程管理有限公司</cp:lastModifiedBy>
  <cp:lastPrinted>2020-04-02T09:05:00Z</cp:lastPrinted>
  <dcterms:modified xsi:type="dcterms:W3CDTF">2020-04-07T03:37:32Z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