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sz w:val="48"/>
          <w:szCs w:val="48"/>
        </w:rPr>
      </w:pPr>
    </w:p>
    <w:p>
      <w:pPr>
        <w:jc w:val="center"/>
        <w:rPr>
          <w:rFonts w:hint="eastAsia" w:ascii="宋体" w:hAnsi="宋体" w:eastAsia="宋体" w:cs="宋体"/>
          <w:b/>
          <w:bCs/>
          <w:color w:val="auto"/>
          <w:sz w:val="72"/>
          <w:szCs w:val="72"/>
        </w:rPr>
      </w:pPr>
    </w:p>
    <w:p>
      <w:pPr>
        <w:jc w:val="center"/>
        <w:rPr>
          <w:rFonts w:ascii="宋体" w:hAnsi="宋体" w:eastAsia="宋体" w:cs="宋体"/>
          <w:b/>
          <w:bCs/>
          <w:color w:val="auto"/>
          <w:sz w:val="72"/>
          <w:szCs w:val="72"/>
        </w:rPr>
      </w:pPr>
      <w:r>
        <w:rPr>
          <w:rFonts w:hint="eastAsia" w:ascii="宋体" w:hAnsi="宋体" w:eastAsia="宋体" w:cs="宋体"/>
          <w:b/>
          <w:bCs/>
          <w:color w:val="auto"/>
          <w:sz w:val="72"/>
          <w:szCs w:val="72"/>
        </w:rPr>
        <w:t>开发区垃圾分类工作购买社会化服务</w:t>
      </w:r>
    </w:p>
    <w:p>
      <w:pPr>
        <w:rPr>
          <w:rFonts w:ascii="微软简隶书" w:eastAsia="微软简隶书"/>
          <w:color w:val="auto"/>
        </w:rPr>
      </w:pPr>
    </w:p>
    <w:p>
      <w:pPr>
        <w:pStyle w:val="2"/>
        <w:ind w:firstLine="340"/>
        <w:jc w:val="center"/>
        <w:rPr>
          <w:rFonts w:hint="eastAsia"/>
          <w:color w:val="auto"/>
          <w:sz w:val="56"/>
          <w:szCs w:val="32"/>
          <w:lang w:val="en-US" w:eastAsia="zh-CN"/>
        </w:rPr>
      </w:pPr>
      <w:r>
        <w:rPr>
          <w:rFonts w:hint="eastAsia"/>
          <w:color w:val="auto"/>
          <w:sz w:val="56"/>
          <w:szCs w:val="32"/>
          <w:lang w:val="en-US" w:eastAsia="zh-CN"/>
        </w:rPr>
        <w:t>(</w:t>
      </w:r>
      <w:r>
        <w:rPr>
          <w:rFonts w:hint="eastAsia"/>
          <w:color w:val="auto"/>
          <w:sz w:val="56"/>
          <w:szCs w:val="32"/>
        </w:rPr>
        <w:t>不见面开标</w:t>
      </w:r>
      <w:r>
        <w:rPr>
          <w:rFonts w:hint="eastAsia"/>
          <w:color w:val="auto"/>
          <w:sz w:val="56"/>
          <w:szCs w:val="32"/>
          <w:lang w:val="en-US" w:eastAsia="zh-CN"/>
        </w:rPr>
        <w:t>)</w:t>
      </w:r>
    </w:p>
    <w:p>
      <w:pPr>
        <w:pStyle w:val="2"/>
        <w:ind w:firstLine="340"/>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
          <w:bCs/>
          <w:color w:val="auto"/>
          <w:sz w:val="90"/>
          <w:szCs w:val="90"/>
        </w:rPr>
      </w:pPr>
      <w:r>
        <w:rPr>
          <w:rFonts w:hint="eastAsia" w:asciiTheme="majorEastAsia" w:hAnsiTheme="majorEastAsia" w:eastAsiaTheme="majorEastAsia" w:cstheme="majorEastAsia"/>
          <w:b/>
          <w:bCs/>
          <w:color w:val="auto"/>
          <w:sz w:val="90"/>
          <w:szCs w:val="90"/>
        </w:rPr>
        <w:t>招 标 文 件</w:t>
      </w:r>
    </w:p>
    <w:p>
      <w:pPr>
        <w:rPr>
          <w:rFonts w:ascii="微软简隶书" w:eastAsia="微软简隶书"/>
          <w:color w:val="auto"/>
        </w:rPr>
      </w:pPr>
    </w:p>
    <w:p>
      <w:pPr>
        <w:rPr>
          <w:rFonts w:ascii="微软简隶书" w:eastAsia="微软简隶书"/>
          <w:color w:val="auto"/>
        </w:rPr>
      </w:pPr>
    </w:p>
    <w:p>
      <w:pPr>
        <w:pStyle w:val="2"/>
        <w:ind w:firstLine="340"/>
        <w:rPr>
          <w:color w:val="auto"/>
        </w:rPr>
      </w:pPr>
    </w:p>
    <w:p>
      <w:pPr>
        <w:rPr>
          <w:rFonts w:ascii="微软简隶书" w:eastAsia="微软简隶书"/>
          <w:color w:val="auto"/>
        </w:rPr>
      </w:pPr>
    </w:p>
    <w:p>
      <w:pPr>
        <w:spacing w:line="276" w:lineRule="auto"/>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项目编号：JZFCG-G20</w:t>
      </w:r>
      <w:r>
        <w:rPr>
          <w:rFonts w:hint="eastAsia" w:asciiTheme="majorEastAsia" w:hAnsiTheme="majorEastAsia" w:eastAsiaTheme="majorEastAsia" w:cstheme="majorEastAsia"/>
          <w:b/>
          <w:bCs/>
          <w:color w:val="auto"/>
          <w:sz w:val="36"/>
          <w:szCs w:val="36"/>
          <w:lang w:val="en-US" w:eastAsia="zh-CN"/>
        </w:rPr>
        <w:t>20013</w:t>
      </w:r>
      <w:r>
        <w:rPr>
          <w:rFonts w:hint="eastAsia" w:asciiTheme="majorEastAsia" w:hAnsiTheme="majorEastAsia" w:eastAsiaTheme="majorEastAsia" w:cstheme="majorEastAsia"/>
          <w:b/>
          <w:bCs/>
          <w:color w:val="auto"/>
          <w:sz w:val="36"/>
          <w:szCs w:val="36"/>
        </w:rPr>
        <w:t>号</w:t>
      </w:r>
    </w:p>
    <w:p>
      <w:pPr>
        <w:spacing w:line="276" w:lineRule="auto"/>
        <w:ind w:firstLine="723" w:firstLineChars="2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采购单位：许昌经济技术开发区住房建设城市管理</w:t>
      </w:r>
    </w:p>
    <w:p>
      <w:pPr>
        <w:spacing w:line="276" w:lineRule="auto"/>
        <w:ind w:left="1995" w:leftChars="950" w:firstLine="542" w:firstLineChars="15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与环境保护局</w:t>
      </w:r>
    </w:p>
    <w:p>
      <w:pPr>
        <w:spacing w:line="276" w:lineRule="auto"/>
        <w:ind w:firstLine="723" w:firstLineChars="2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代理机构：河南远大建设工程管理有限公司</w:t>
      </w:r>
    </w:p>
    <w:p>
      <w:pPr>
        <w:spacing w:line="276" w:lineRule="auto"/>
        <w:ind w:firstLine="2530" w:firstLineChars="7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二〇二零年</w:t>
      </w:r>
      <w:r>
        <w:rPr>
          <w:rFonts w:hint="eastAsia" w:asciiTheme="majorEastAsia" w:hAnsiTheme="majorEastAsia" w:eastAsiaTheme="majorEastAsia" w:cstheme="majorEastAsia"/>
          <w:b/>
          <w:bCs/>
          <w:color w:val="auto"/>
          <w:sz w:val="36"/>
          <w:szCs w:val="36"/>
          <w:lang w:eastAsia="zh-CN"/>
        </w:rPr>
        <w:t>四</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pStyle w:val="2"/>
        <w:ind w:firstLine="0" w:firstLineChars="0"/>
        <w:rPr>
          <w:color w:val="auto"/>
        </w:rPr>
      </w:pPr>
    </w:p>
    <w:p>
      <w:pPr>
        <w:widowControl/>
        <w:ind w:firstLine="2530" w:firstLineChars="700"/>
        <w:jc w:val="left"/>
        <w:rPr>
          <w:rFonts w:ascii="宋体" w:hAnsi="宋体" w:cs="宋体"/>
          <w:b/>
          <w:color w:val="auto"/>
          <w:sz w:val="36"/>
          <w:szCs w:val="36"/>
        </w:rPr>
      </w:pPr>
      <w:r>
        <w:rPr>
          <w:rFonts w:ascii="宋体" w:hAnsi="宋体" w:cs="宋体"/>
          <w:b/>
          <w:color w:val="auto"/>
          <w:sz w:val="36"/>
          <w:szCs w:val="36"/>
        </w:rPr>
        <w:br w:type="page"/>
      </w:r>
      <w:r>
        <w:rPr>
          <w:rFonts w:hint="eastAsia" w:ascii="宋体" w:hAnsi="宋体" w:cs="宋体"/>
          <w:b/>
          <w:color w:val="auto"/>
          <w:sz w:val="36"/>
          <w:szCs w:val="36"/>
        </w:rPr>
        <w:t xml:space="preserve">第一章 </w:t>
      </w:r>
      <w:r>
        <w:rPr>
          <w:rFonts w:hint="eastAsia" w:ascii="宋体" w:hAnsi="宋体" w:cs="宋体"/>
          <w:b/>
          <w:color w:val="auto"/>
          <w:sz w:val="36"/>
          <w:szCs w:val="36"/>
          <w:shd w:val="clear" w:color="auto" w:fill="FFFFFF"/>
        </w:rPr>
        <w:t>投标邀请</w:t>
      </w:r>
    </w:p>
    <w:p>
      <w:pPr>
        <w:pStyle w:val="25"/>
        <w:widowControl/>
        <w:spacing w:before="240" w:line="360" w:lineRule="auto"/>
        <w:ind w:firstLine="472" w:firstLineChars="196"/>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一、项目基本情况</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（一）项目名称：开发区垃圾分类试点工作购买社会化服务</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（二）项目编号：JZFCG-G20</w:t>
      </w:r>
      <w:r>
        <w:rPr>
          <w:rFonts w:hint="eastAsia" w:cs="仿宋_GB2312" w:asciiTheme="minorEastAsia" w:hAnsiTheme="minorEastAsia" w:eastAsiaTheme="minorEastAsia"/>
          <w:color w:val="auto"/>
          <w:lang w:val="en-US" w:eastAsia="zh-CN"/>
        </w:rPr>
        <w:t>20013</w:t>
      </w:r>
      <w:r>
        <w:rPr>
          <w:rFonts w:hint="eastAsia" w:cs="仿宋_GB2312" w:asciiTheme="minorEastAsia" w:hAnsiTheme="minorEastAsia" w:eastAsiaTheme="minorEastAsia"/>
          <w:color w:val="auto"/>
        </w:rPr>
        <w:t>号</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（三）采购方式：公开招标</w:t>
      </w:r>
    </w:p>
    <w:p>
      <w:pPr>
        <w:spacing w:line="360" w:lineRule="auto"/>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四）采购需求：为小区6000户居民日常生活垃圾分类减量工作，小区内垃圾分类宣传设施策划、制作、实施，宣传活动开展；智能设备投放，可回收垃圾、和有毒有害垃圾分类收集运输处置；厨余垃圾、其他垃圾的分类收集。</w:t>
      </w:r>
    </w:p>
    <w:p>
      <w:pPr>
        <w:spacing w:line="360" w:lineRule="auto"/>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（五）预算金额(最高限价)：1789920.00元/年； </w:t>
      </w:r>
    </w:p>
    <w:p>
      <w:pPr>
        <w:pStyle w:val="25"/>
        <w:widowControl/>
        <w:spacing w:line="360" w:lineRule="auto"/>
        <w:ind w:firstLine="420"/>
        <w:jc w:val="left"/>
        <w:rPr>
          <w:rFonts w:cs="仿宋_GB2312" w:asciiTheme="minorEastAsia" w:hAnsiTheme="minorEastAsia" w:eastAsiaTheme="minorEastAsia"/>
          <w:color w:val="auto"/>
        </w:rPr>
      </w:pPr>
      <w:r>
        <w:rPr>
          <w:rFonts w:cs="仿宋_GB2312" w:asciiTheme="minorEastAsia" w:hAnsiTheme="minorEastAsia" w:eastAsiaTheme="minorEastAsia"/>
          <w:color w:val="auto"/>
        </w:rPr>
        <w:t>（六）交付（服务、完工）时间：</w:t>
      </w:r>
      <w:r>
        <w:rPr>
          <w:rFonts w:hint="eastAsia" w:ascii="宋体" w:hAnsi="宋体" w:cs="宋体"/>
          <w:bCs/>
          <w:color w:val="auto"/>
          <w:szCs w:val="21"/>
        </w:rPr>
        <w:t>自</w:t>
      </w:r>
      <w:r>
        <w:rPr>
          <w:rFonts w:hint="eastAsia" w:cs="仿宋_GB2312" w:asciiTheme="minorEastAsia" w:hAnsiTheme="minorEastAsia"/>
          <w:color w:val="auto"/>
        </w:rPr>
        <w:t>合同签订后3年</w:t>
      </w:r>
      <w:r>
        <w:rPr>
          <w:rFonts w:hint="eastAsia" w:cs="仿宋_GB2312" w:asciiTheme="minorEastAsia" w:hAnsiTheme="minorEastAsia" w:eastAsiaTheme="minorEastAsia"/>
          <w:color w:val="auto"/>
        </w:rPr>
        <w:t>。</w:t>
      </w:r>
    </w:p>
    <w:p>
      <w:pPr>
        <w:pStyle w:val="25"/>
        <w:widowControl/>
        <w:spacing w:line="360" w:lineRule="auto"/>
        <w:ind w:firstLine="420"/>
        <w:jc w:val="left"/>
        <w:rPr>
          <w:rFonts w:cs="仿宋_GB2312" w:asciiTheme="minorEastAsia" w:hAnsiTheme="minorEastAsia" w:eastAsiaTheme="minorEastAsia"/>
          <w:bCs/>
          <w:color w:val="auto"/>
        </w:rPr>
      </w:pPr>
      <w:r>
        <w:rPr>
          <w:rFonts w:cs="仿宋_GB2312" w:asciiTheme="minorEastAsia" w:hAnsiTheme="minorEastAsia" w:eastAsiaTheme="minorEastAsia"/>
          <w:color w:val="auto"/>
        </w:rPr>
        <w:t>（</w:t>
      </w:r>
      <w:r>
        <w:rPr>
          <w:rFonts w:hint="eastAsia" w:cs="仿宋_GB2312" w:asciiTheme="minorEastAsia" w:hAnsiTheme="minorEastAsia" w:eastAsiaTheme="minorEastAsia"/>
          <w:color w:val="auto"/>
        </w:rPr>
        <w:t>七</w:t>
      </w:r>
      <w:r>
        <w:rPr>
          <w:rFonts w:cs="仿宋_GB2312" w:asciiTheme="minorEastAsia" w:hAnsiTheme="minorEastAsia" w:eastAsiaTheme="minorEastAsia"/>
          <w:color w:val="auto"/>
        </w:rPr>
        <w:t>）交付（服务、施工）地点：</w:t>
      </w:r>
      <w:r>
        <w:rPr>
          <w:rFonts w:hint="eastAsia" w:cs="仿宋_GB2312" w:asciiTheme="minorEastAsia" w:hAnsiTheme="minorEastAsia" w:eastAsiaTheme="minorEastAsia"/>
          <w:bCs/>
          <w:color w:val="auto"/>
        </w:rPr>
        <w:t>合同约定。</w:t>
      </w:r>
    </w:p>
    <w:p>
      <w:pPr>
        <w:pStyle w:val="25"/>
        <w:widowControl/>
        <w:spacing w:line="360" w:lineRule="auto"/>
        <w:ind w:firstLine="420"/>
        <w:jc w:val="left"/>
        <w:rPr>
          <w:rFonts w:cs="黑体" w:asciiTheme="minorEastAsia" w:hAnsiTheme="minorEastAsia" w:eastAsiaTheme="minorEastAsia"/>
          <w:bCs/>
          <w:color w:val="auto"/>
        </w:rPr>
      </w:pPr>
      <w:r>
        <w:rPr>
          <w:rFonts w:hint="eastAsia" w:cs="黑体" w:asciiTheme="minorEastAsia" w:hAnsiTheme="minorEastAsia" w:eastAsiaTheme="minorEastAsia"/>
          <w:bCs/>
          <w:color w:val="auto"/>
        </w:rPr>
        <w:t>（八）进口产品：不允许。</w:t>
      </w:r>
    </w:p>
    <w:p>
      <w:pPr>
        <w:pStyle w:val="25"/>
        <w:widowControl/>
        <w:spacing w:line="360" w:lineRule="auto"/>
        <w:ind w:firstLine="420"/>
        <w:jc w:val="left"/>
        <w:rPr>
          <w:rFonts w:cs="黑体" w:asciiTheme="minorEastAsia" w:hAnsiTheme="minorEastAsia" w:eastAsiaTheme="minorEastAsia"/>
          <w:bCs/>
          <w:color w:val="auto"/>
        </w:rPr>
      </w:pPr>
      <w:r>
        <w:rPr>
          <w:rFonts w:hint="eastAsia" w:cs="黑体" w:asciiTheme="minorEastAsia" w:hAnsiTheme="minorEastAsia" w:eastAsiaTheme="minorEastAsia"/>
          <w:bCs/>
          <w:color w:val="auto"/>
        </w:rPr>
        <w:t>（九）分包：不允许。</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二、需要落实的政府采购政策</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本项目落实中小微型企业、</w:t>
      </w:r>
      <w:r>
        <w:rPr>
          <w:rFonts w:hint="eastAsia" w:ascii="宋体" w:hAnsi="宋体" w:cs="仿宋_GB2312"/>
          <w:color w:val="auto"/>
        </w:rPr>
        <w:t>监狱企业、</w:t>
      </w:r>
      <w:r>
        <w:rPr>
          <w:rFonts w:hint="eastAsia" w:cs="仿宋_GB2312" w:asciiTheme="minorEastAsia" w:hAnsiTheme="minorEastAsia" w:eastAsiaTheme="minorEastAsia"/>
          <w:color w:val="auto"/>
        </w:rPr>
        <w:t>残疾人福利性单位扶持等相关政府采购政策。</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三、投标人资格要求</w:t>
      </w:r>
    </w:p>
    <w:p>
      <w:pPr>
        <w:pStyle w:val="25"/>
        <w:widowControl/>
        <w:spacing w:line="360" w:lineRule="auto"/>
        <w:ind w:firstLine="420"/>
        <w:jc w:val="left"/>
        <w:rPr>
          <w:rFonts w:cs="仿宋_GB2312" w:asciiTheme="minorEastAsia" w:hAnsiTheme="minorEastAsia" w:eastAsiaTheme="minorEastAsia"/>
          <w:color w:val="auto"/>
        </w:rPr>
      </w:pPr>
      <w:r>
        <w:rPr>
          <w:rFonts w:cs="仿宋_GB2312" w:asciiTheme="minorEastAsia" w:hAnsiTheme="minorEastAsia" w:eastAsiaTheme="minorEastAsia"/>
          <w:color w:val="auto"/>
        </w:rPr>
        <w:t>（一）</w:t>
      </w:r>
      <w:r>
        <w:rPr>
          <w:rFonts w:hint="eastAsia" w:cs="仿宋_GB2312" w:asciiTheme="minorEastAsia" w:hAnsiTheme="minorEastAsia" w:eastAsiaTheme="minorEastAsia"/>
          <w:color w:val="auto"/>
        </w:rPr>
        <w:t>具备《中华人民共和国政府采购法》第二十二条规定。</w:t>
      </w:r>
    </w:p>
    <w:p>
      <w:pPr>
        <w:pStyle w:val="25"/>
        <w:widowControl/>
        <w:spacing w:line="360" w:lineRule="auto"/>
        <w:ind w:firstLine="420"/>
        <w:jc w:val="left"/>
        <w:rPr>
          <w:rFonts w:cs="仿宋_GB2312" w:asciiTheme="minorEastAsia" w:hAnsiTheme="minorEastAsia" w:eastAsiaTheme="minorEastAsia"/>
          <w:color w:val="auto"/>
        </w:rPr>
      </w:pPr>
      <w:r>
        <w:rPr>
          <w:rFonts w:cs="仿宋_GB2312" w:asciiTheme="minorEastAsia" w:hAnsiTheme="minorEastAsia" w:eastAsiaTheme="minorEastAsia"/>
          <w:color w:val="auto"/>
        </w:rPr>
        <w:t>（二）未被列入“信用中国”网站(www.creditchina.gov.cn)失信被执行人、重大税收违法案件当事人名单、政府采购严重违法失信名单的投标人；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rPr>
        <w:t>“</w:t>
      </w:r>
      <w:r>
        <w:rPr>
          <w:rFonts w:cs="仿宋_GB2312" w:asciiTheme="minorEastAsia" w:hAnsiTheme="minorEastAsia" w:eastAsiaTheme="minorEastAsia"/>
          <w:color w:val="auto"/>
        </w:rPr>
        <w:t>中国政府采购网</w:t>
      </w:r>
      <w:r>
        <w:rPr>
          <w:rFonts w:hint="eastAsia" w:cs="仿宋_GB2312" w:asciiTheme="minorEastAsia" w:hAnsiTheme="minorEastAsia" w:eastAsiaTheme="minorEastAsia"/>
          <w:color w:val="auto"/>
        </w:rPr>
        <w:t>”</w:t>
      </w:r>
      <w:r>
        <w:rPr>
          <w:rFonts w:cs="仿宋_GB2312" w:asciiTheme="minorEastAsia" w:hAnsiTheme="minorEastAsia" w:eastAsiaTheme="minorEastAsia"/>
          <w:color w:val="auto"/>
        </w:rPr>
        <w:t xml:space="preserve"> (www.ccgp.gov.cn)政府采购严重违法失信行为记录名单的投标人</w:t>
      </w:r>
      <w:r>
        <w:rPr>
          <w:rFonts w:hint="eastAsia" w:cs="仿宋_GB2312" w:asciiTheme="minorEastAsia" w:hAnsiTheme="minorEastAsia" w:eastAsiaTheme="minorEastAsia"/>
          <w:color w:val="auto"/>
        </w:rPr>
        <w:t>；“国家企业信用公示系统”网站（</w:t>
      </w:r>
      <w:r>
        <w:rPr>
          <w:rFonts w:cs="仿宋_GB2312" w:asciiTheme="minorEastAsia" w:hAnsiTheme="minorEastAsia" w:eastAsiaTheme="minorEastAsia"/>
          <w:color w:val="auto"/>
        </w:rPr>
        <w:t>www.gsxt.gov.cn</w:t>
      </w:r>
      <w:r>
        <w:rPr>
          <w:rFonts w:hint="eastAsia" w:cs="仿宋_GB2312" w:asciiTheme="minorEastAsia" w:hAnsiTheme="minorEastAsia" w:eastAsiaTheme="minorEastAsia"/>
          <w:color w:val="auto"/>
        </w:rPr>
        <w:t>）严重违法失信企业名单（黑名单）的投标人</w:t>
      </w:r>
      <w:r>
        <w:rPr>
          <w:rFonts w:cs="仿宋_GB2312" w:asciiTheme="minorEastAsia" w:hAnsiTheme="minorEastAsia" w:eastAsiaTheme="minorEastAsia"/>
          <w:color w:val="auto"/>
        </w:rPr>
        <w:t>。</w:t>
      </w:r>
    </w:p>
    <w:p>
      <w:pPr>
        <w:pStyle w:val="25"/>
        <w:widowControl/>
        <w:spacing w:line="360" w:lineRule="auto"/>
        <w:ind w:firstLine="420"/>
        <w:jc w:val="left"/>
        <w:rPr>
          <w:rFonts w:cs="仿宋_GB2312" w:asciiTheme="minorEastAsia" w:hAnsiTheme="minorEastAsia" w:eastAsiaTheme="minorEastAsia"/>
          <w:color w:val="auto"/>
        </w:rPr>
      </w:pPr>
      <w:r>
        <w:rPr>
          <w:rFonts w:cs="仿宋_GB2312" w:asciiTheme="minorEastAsia" w:hAnsiTheme="minorEastAsia" w:eastAsiaTheme="minorEastAsia"/>
          <w:color w:val="auto"/>
        </w:rPr>
        <w:t>（三）</w:t>
      </w:r>
      <w:r>
        <w:rPr>
          <w:rFonts w:hint="eastAsia" w:cs="仿宋_GB2312" w:asciiTheme="minorEastAsia" w:hAnsiTheme="minorEastAsia" w:eastAsiaTheme="minorEastAsia"/>
          <w:color w:val="auto"/>
        </w:rPr>
        <w:t>本次招标不接受联合体投标。</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四、招标文件的获取</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（一）网上下载招标文件</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持CA数字认证证书，登录《全国公共资源交易平台（河南省·许昌市）》“系统用户注册”入口http://221.14.6.70:8088/ggzy/eps/public/RegistAllJcxx.html）进行免费注册登记（详见“常见问题解答-诚信库网上注册相关资料下载”）；</w:t>
      </w:r>
    </w:p>
    <w:p>
      <w:pPr>
        <w:pStyle w:val="25"/>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2、在投标截止时间前</w:t>
      </w:r>
      <w:bookmarkStart w:id="12" w:name="_GoBack"/>
      <w:bookmarkEnd w:id="12"/>
      <w:r>
        <w:rPr>
          <w:rFonts w:hint="eastAsia" w:cs="仿宋_GB2312" w:asciiTheme="minorEastAsia" w:hAnsiTheme="minorEastAsia" w:eastAsiaTheme="minorEastAsia"/>
          <w:color w:val="auto"/>
        </w:rPr>
        <w:t>均可登录《全国公共资源交易平台（河南省·许昌市）》“投标人/供应商登录”入口（http://221.14.6.70:8088/ggzy/）自行下载招标文件（详见“常见问题解答-交易系统操作手册”）。</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五、投标截止时间、开标时间及地点</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w:t>
      </w:r>
      <w:r>
        <w:rPr>
          <w:rFonts w:hint="eastAsia" w:cs="仿宋_GB2312" w:asciiTheme="minorEastAsia" w:hAnsiTheme="minorEastAsia" w:eastAsiaTheme="minorEastAsia"/>
          <w:color w:val="auto"/>
        </w:rPr>
        <w:t>）投标截止及开标时间：2020年</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 xml:space="preserve"> 月</w:t>
      </w:r>
      <w:r>
        <w:rPr>
          <w:rFonts w:hint="eastAsia" w:cs="仿宋_GB2312" w:asciiTheme="minorEastAsia" w:hAnsiTheme="minorEastAsia" w:eastAsiaTheme="minorEastAsia"/>
          <w:color w:val="auto"/>
          <w:lang w:val="en-US" w:eastAsia="zh-CN"/>
        </w:rPr>
        <w:t>28</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8</w:t>
      </w:r>
      <w:r>
        <w:rPr>
          <w:rFonts w:hint="eastAsia" w:cs="仿宋_GB2312" w:asciiTheme="minorEastAsia" w:hAnsiTheme="minorEastAsia" w:eastAsiaTheme="minorEastAsia"/>
          <w:color w:val="auto"/>
        </w:rPr>
        <w:t>时30分（北京时间），逾期提交或不符合规定的投标文件不予接受。</w:t>
      </w:r>
    </w:p>
    <w:p>
      <w:pPr>
        <w:pStyle w:val="25"/>
        <w:widowControl/>
        <w:spacing w:line="360" w:lineRule="auto"/>
        <w:ind w:firstLine="420"/>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（二）开标地点：许昌市公共资源交易中心三楼开标</w:t>
      </w:r>
      <w:r>
        <w:rPr>
          <w:rFonts w:hint="eastAsia" w:cs="仿宋_GB2312" w:asciiTheme="minorEastAsia" w:hAnsiTheme="minorEastAsia" w:eastAsiaTheme="minorEastAsia"/>
          <w:color w:val="auto"/>
          <w:lang w:eastAsia="zh-CN"/>
        </w:rPr>
        <w:t>三</w:t>
      </w:r>
      <w:r>
        <w:rPr>
          <w:rFonts w:hint="eastAsia" w:cs="仿宋_GB2312" w:asciiTheme="minorEastAsia" w:hAnsiTheme="minorEastAsia" w:eastAsiaTheme="minorEastAsia"/>
          <w:color w:val="auto"/>
        </w:rPr>
        <w:t>室。（本项目采用远程不见面开标，投标人无须到现场）。</w:t>
      </w:r>
    </w:p>
    <w:p>
      <w:pPr>
        <w:pStyle w:val="25"/>
        <w:widowControl/>
        <w:spacing w:line="360" w:lineRule="auto"/>
        <w:ind w:firstLine="420"/>
        <w:jc w:val="left"/>
        <w:rPr>
          <w:color w:val="auto"/>
        </w:rPr>
      </w:pPr>
      <w:r>
        <w:rPr>
          <w:rFonts w:hint="eastAsia" w:cs="仿宋_GB2312" w:asciiTheme="minorEastAsia" w:hAnsiTheme="minorEastAsia" w:eastAsiaTheme="minorEastAsia"/>
          <w:color w:val="auto"/>
        </w:rPr>
        <w:t>（三）</w:t>
      </w:r>
      <w:r>
        <w:rPr>
          <w:rFonts w:hint="eastAsia" w:ascii="宋体" w:hAnsi="宋体" w:cs="宋体"/>
          <w:color w:val="auto"/>
          <w:sz w:val="21"/>
          <w:szCs w:val="21"/>
          <w:shd w:val="clear" w:color="auto" w:fill="FFFFFF"/>
        </w:rPr>
        <w:t>本项目为全流程电子化交易项目，投标人须提交电子投标文件。</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1、加密电子投标文件（.file格式）须在投标截止时间（开标时间）前通过《全国公共资源交易平台(河南省▪许昌市)》公共资源交易系统成功上传。</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六、本次招标公告同时在《中国政府采购网》、《河南省政府采购网》、《许昌市政府采购网》、《全国公共资源交易平台（河南省·许昌市）》发布。</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七、公告期限</w:t>
      </w:r>
    </w:p>
    <w:p>
      <w:pPr>
        <w:pStyle w:val="25"/>
        <w:widowControl/>
        <w:spacing w:line="360" w:lineRule="auto"/>
        <w:ind w:firstLine="420"/>
        <w:jc w:val="left"/>
        <w:rPr>
          <w:rFonts w:cs="黑体" w:asciiTheme="minorEastAsia" w:hAnsiTheme="minorEastAsia" w:eastAsiaTheme="minorEastAsia"/>
          <w:b/>
          <w:bCs/>
          <w:color w:val="auto"/>
        </w:rPr>
      </w:pPr>
      <w:r>
        <w:rPr>
          <w:rFonts w:hint="eastAsia" w:ascii="宋体" w:hAnsi="宋体" w:cs="仿宋_GB2312"/>
          <w:color w:val="auto"/>
        </w:rPr>
        <w:t>本招标公告自发布之日起公告期限为5个工作日。</w:t>
      </w:r>
    </w:p>
    <w:p>
      <w:pPr>
        <w:pStyle w:val="25"/>
        <w:widowControl/>
        <w:spacing w:line="360" w:lineRule="auto"/>
        <w:ind w:firstLine="420"/>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采购人：许昌经济技术开发区住房建设城市管理与环境保护局</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址：许昌经济技术开发区管理委员会（瑞祥路中段）</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联系人：赵先生</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联系电话：15617231729           0374-8581586</w:t>
      </w:r>
    </w:p>
    <w:p>
      <w:pPr>
        <w:pStyle w:val="25"/>
        <w:widowControl/>
        <w:spacing w:line="360" w:lineRule="auto"/>
        <w:ind w:firstLine="42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代理机构：河南远大建设工程管理有限公司</w:t>
      </w:r>
    </w:p>
    <w:p>
      <w:pPr>
        <w:pStyle w:val="25"/>
        <w:widowControl/>
        <w:spacing w:line="360" w:lineRule="auto"/>
        <w:ind w:firstLine="420"/>
        <w:jc w:val="left"/>
        <w:rPr>
          <w:rFonts w:ascii="宋体" w:hAnsi="宋体" w:cs="仿宋_GB2312"/>
          <w:color w:val="auto"/>
        </w:rPr>
      </w:pPr>
      <w:r>
        <w:rPr>
          <w:rFonts w:hint="eastAsia" w:ascii="宋体" w:hAnsi="宋体" w:cs="仿宋_GB2312"/>
          <w:color w:val="auto"/>
        </w:rPr>
        <w:t>地    址：许昌市智慧大道汇通商务苑D幢5层</w:t>
      </w:r>
    </w:p>
    <w:p>
      <w:pPr>
        <w:pStyle w:val="25"/>
        <w:widowControl/>
        <w:spacing w:line="360" w:lineRule="auto"/>
        <w:ind w:firstLine="420"/>
        <w:jc w:val="left"/>
        <w:rPr>
          <w:rFonts w:ascii="宋体" w:hAnsi="宋体" w:cs="仿宋_GB2312"/>
          <w:color w:val="auto"/>
        </w:rPr>
      </w:pPr>
      <w:r>
        <w:rPr>
          <w:rFonts w:hint="eastAsia" w:ascii="宋体" w:hAnsi="宋体" w:cs="仿宋_GB2312"/>
          <w:color w:val="auto"/>
        </w:rPr>
        <w:t>联 系 人：李先生</w:t>
      </w:r>
    </w:p>
    <w:p>
      <w:pPr>
        <w:pStyle w:val="25"/>
        <w:widowControl/>
        <w:spacing w:line="360" w:lineRule="auto"/>
        <w:ind w:firstLine="420"/>
        <w:jc w:val="left"/>
        <w:rPr>
          <w:rFonts w:ascii="宋体" w:hAnsi="宋体" w:cs="仿宋_GB2312"/>
          <w:color w:val="auto"/>
        </w:rPr>
      </w:pPr>
      <w:r>
        <w:rPr>
          <w:rFonts w:hint="eastAsia" w:ascii="宋体" w:hAnsi="宋体" w:cs="仿宋_GB2312"/>
          <w:color w:val="auto"/>
        </w:rPr>
        <w:t>联系电话：13137430303</w:t>
      </w:r>
    </w:p>
    <w:p>
      <w:pPr>
        <w:pStyle w:val="25"/>
        <w:widowControl/>
        <w:spacing w:line="360" w:lineRule="auto"/>
        <w:ind w:firstLine="420"/>
        <w:jc w:val="left"/>
        <w:rPr>
          <w:rFonts w:cs="仿宋_GB2312" w:asciiTheme="minorEastAsia" w:hAnsiTheme="minorEastAsia" w:eastAsiaTheme="minorEastAsia"/>
          <w:color w:val="auto"/>
        </w:rPr>
      </w:pPr>
    </w:p>
    <w:p>
      <w:pPr>
        <w:autoSpaceDE w:val="0"/>
        <w:autoSpaceDN w:val="0"/>
        <w:adjustRightInd w:val="0"/>
        <w:spacing w:line="360" w:lineRule="auto"/>
        <w:ind w:firstLine="560"/>
        <w:jc w:val="right"/>
        <w:rPr>
          <w:rFonts w:cs="仿宋_GB2312" w:asciiTheme="minorEastAsia" w:hAnsiTheme="minorEastAsia"/>
          <w:color w:val="auto"/>
          <w:sz w:val="24"/>
          <w:szCs w:val="24"/>
        </w:rPr>
      </w:pPr>
      <w:r>
        <w:rPr>
          <w:rFonts w:hint="eastAsia" w:cs="仿宋_GB2312" w:asciiTheme="minorEastAsia" w:hAnsiTheme="minorEastAsia"/>
          <w:color w:val="auto"/>
          <w:sz w:val="24"/>
        </w:rPr>
        <w:t>许昌经济技术开发区住房建设城市管理与环境保护局</w:t>
      </w:r>
    </w:p>
    <w:p>
      <w:pPr>
        <w:wordWrap w:val="0"/>
        <w:autoSpaceDE w:val="0"/>
        <w:autoSpaceDN w:val="0"/>
        <w:adjustRightInd w:val="0"/>
        <w:spacing w:line="360" w:lineRule="auto"/>
        <w:ind w:firstLine="560"/>
        <w:jc w:val="right"/>
        <w:rPr>
          <w:rFonts w:hAnsi="宋体"/>
          <w:b/>
          <w:color w:val="auto"/>
          <w:sz w:val="28"/>
          <w:szCs w:val="28"/>
        </w:rPr>
      </w:pPr>
      <w:r>
        <w:rPr>
          <w:rFonts w:hint="eastAsia" w:cs="仿宋_GB2312" w:asciiTheme="minorEastAsia" w:hAnsiTheme="minorEastAsia"/>
          <w:color w:val="auto"/>
          <w:sz w:val="24"/>
          <w:szCs w:val="24"/>
        </w:rPr>
        <w:t>2020年</w:t>
      </w:r>
      <w:r>
        <w:rPr>
          <w:rFonts w:hint="eastAsia" w:cs="仿宋_GB2312" w:asciiTheme="minorEastAsia" w:hAnsiTheme="minorEastAsia"/>
          <w:color w:val="auto"/>
          <w:sz w:val="24"/>
          <w:szCs w:val="24"/>
          <w:lang w:val="en-US" w:eastAsia="zh-CN"/>
        </w:rPr>
        <w:t>4</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rPr>
        <w:t xml:space="preserve">日  </w:t>
      </w:r>
    </w:p>
    <w:p>
      <w:pPr>
        <w:spacing w:line="360" w:lineRule="auto"/>
        <w:rPr>
          <w:rFonts w:hAnsi="宋体"/>
          <w:b/>
          <w:color w:val="auto"/>
          <w:sz w:val="32"/>
          <w:szCs w:val="32"/>
        </w:rPr>
      </w:pPr>
    </w:p>
    <w:p>
      <w:pPr>
        <w:pStyle w:val="2"/>
        <w:ind w:firstLine="340"/>
        <w:rPr>
          <w:color w:val="auto"/>
        </w:rPr>
      </w:pPr>
    </w:p>
    <w:p>
      <w:pPr>
        <w:pStyle w:val="2"/>
        <w:ind w:firstLine="340"/>
        <w:rPr>
          <w:color w:val="auto"/>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宋体" w:hAnsi="宋体"/>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宋体" w:hAnsi="宋体"/>
          <w:b/>
          <w:color w:val="auto"/>
          <w:szCs w:val="21"/>
        </w:rPr>
        <w:t>2</w:t>
      </w:r>
      <w:r>
        <w:rPr>
          <w:rFonts w:ascii="宋体" w:hAnsi="宋体"/>
          <w:b/>
          <w:color w:val="auto"/>
          <w:szCs w:val="21"/>
        </w:rPr>
        <w:t>.</w:t>
      </w:r>
      <w:r>
        <w:rPr>
          <w:rFonts w:hint="eastAsia" w:hAnsi="宋体"/>
          <w:b/>
          <w:color w:val="auto"/>
          <w:szCs w:val="21"/>
        </w:rPr>
        <w:t>电子文件下载、制作、提交期间和远程不见面开标（电子投标文件的解密）环节，投标人须使用同一个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3</w:t>
      </w:r>
      <w:r>
        <w:rPr>
          <w:rFonts w:hint="eastAsia" w:ascii="宋体" w:hAnsi="宋体"/>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w:t>
      </w:r>
      <w:r>
        <w:rPr>
          <w:rFonts w:hint="eastAsia" w:ascii="宋体" w:hAnsi="宋体"/>
          <w:color w:val="auto"/>
          <w:szCs w:val="21"/>
        </w:rPr>
        <w:t>.1</w:t>
      </w:r>
      <w:r>
        <w:rPr>
          <w:rFonts w:hint="eastAsia" w:hAnsi="宋体"/>
          <w:color w:val="auto"/>
          <w:szCs w:val="21"/>
        </w:rPr>
        <w:t xml:space="preserve"> 投标人登录《全国公共资源交易平台</w:t>
      </w:r>
      <w:r>
        <w:rPr>
          <w:rFonts w:hint="eastAsia"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宋体"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宋体" w:hAnsi="宋体"/>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4</w:t>
      </w:r>
      <w:r>
        <w:rPr>
          <w:rFonts w:hint="eastAsia" w:ascii="宋体" w:hAnsi="宋体"/>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宋体" w:hAnsi="宋体"/>
          <w:color w:val="auto"/>
          <w:szCs w:val="21"/>
        </w:rPr>
        <w:t>4</w:t>
      </w:r>
      <w:r>
        <w:rPr>
          <w:rFonts w:hint="eastAsia" w:ascii="宋体" w:hAnsi="宋体"/>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4.</w:t>
      </w:r>
      <w:r>
        <w:rPr>
          <w:rFonts w:hint="eastAsia" w:ascii="宋体" w:hAnsi="宋体"/>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cs="MS Mincho"/>
          <w:color w:val="auto"/>
          <w:szCs w:val="21"/>
        </w:rPr>
        <w:t>.</w:t>
      </w:r>
      <w:r>
        <w:rPr>
          <w:rFonts w:hint="eastAsia" w:ascii="宋体" w:hAnsi="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r>
        <w:rPr>
          <w:rFonts w:hint="eastAsia" w:ascii="宋体" w:hAnsi="宋体" w:cs="仿宋_GB2312"/>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宋体" w:hAnsi="宋体"/>
          <w:b/>
          <w:color w:val="auto"/>
          <w:szCs w:val="21"/>
        </w:rPr>
        <w:t>5.远程不见面开标（</w:t>
      </w:r>
      <w:r>
        <w:rPr>
          <w:rFonts w:hint="eastAsia" w:hAnsi="宋体"/>
          <w:b/>
          <w:color w:val="auto"/>
          <w:szCs w:val="21"/>
        </w:rPr>
        <w:t>电子投标文件的解密</w:t>
      </w:r>
      <w:r>
        <w:rPr>
          <w:rFonts w:hint="eastAsia" w:ascii="宋体" w:hAnsi="宋体"/>
          <w:b/>
          <w:color w:val="auto"/>
          <w:szCs w:val="21"/>
        </w:rPr>
        <w:t>）</w:t>
      </w:r>
    </w:p>
    <w:p>
      <w:pPr>
        <w:tabs>
          <w:tab w:val="left" w:pos="7095"/>
        </w:tabs>
        <w:spacing w:line="360" w:lineRule="auto"/>
        <w:ind w:firstLine="420"/>
        <w:contextualSpacing/>
        <w:rPr>
          <w:rFonts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宋体" w:hAnsi="宋体"/>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s="仿宋_GB2312"/>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宋体" w:hAnsi="宋体"/>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color w:val="auto"/>
          <w:szCs w:val="21"/>
        </w:rPr>
      </w:pPr>
      <w:r>
        <w:rPr>
          <w:rFonts w:hint="eastAsia" w:ascii="宋体" w:hAnsi="宋体"/>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宋体" w:hAnsi="宋体" w:cs="宋体"/>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宋体" w:hAnsi="宋体"/>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宋体" w:hAnsi="宋体"/>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宋体" w:hAnsi="宋体"/>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宋体" w:hAnsi="宋体"/>
          <w:color w:val="auto"/>
          <w:szCs w:val="21"/>
        </w:rPr>
      </w:pPr>
      <w:r>
        <w:rPr>
          <w:rFonts w:hint="eastAsia" w:ascii="宋体" w:hAnsi="宋体"/>
          <w:color w:val="auto"/>
          <w:szCs w:val="21"/>
        </w:rPr>
        <w:t>6.2 评标期间，投标人应保持通讯手机畅通。</w:t>
      </w:r>
      <w:r>
        <w:rPr>
          <w:rFonts w:hint="eastAsia" w:ascii="宋体" w:hAnsi="宋体" w:cs="宋体"/>
          <w:color w:val="auto"/>
          <w:kern w:val="0"/>
          <w:szCs w:val="21"/>
        </w:rPr>
        <w:t>评标委员会</w:t>
      </w:r>
      <w:r>
        <w:rPr>
          <w:rFonts w:hint="eastAsia" w:ascii="宋体" w:hAnsi="宋体"/>
          <w:color w:val="auto"/>
          <w:szCs w:val="21"/>
        </w:rPr>
        <w:t>如</w:t>
      </w:r>
      <w:r>
        <w:rPr>
          <w:rFonts w:hint="eastAsia" w:ascii="宋体" w:hAnsi="宋体" w:cs="宋体"/>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6.3有多轮报价的，各投标人应提前准备</w:t>
      </w:r>
      <w:r>
        <w:rPr>
          <w:rFonts w:hint="eastAsia" w:hAnsi="宋体"/>
          <w:color w:val="auto"/>
          <w:szCs w:val="21"/>
          <w:lang w:eastAsia="zh-CN"/>
        </w:rPr>
        <w:t>好</w:t>
      </w:r>
      <w:r>
        <w:rPr>
          <w:rFonts w:hint="eastAsia" w:hAnsi="宋体"/>
          <w:color w:val="auto"/>
          <w:szCs w:val="21"/>
        </w:rPr>
        <w:t>分项报价，为多轮报价做好准备，在谈判小组发起报价通知后，在规定时间内提交有效报价。</w:t>
      </w:r>
    </w:p>
    <w:p>
      <w:pPr>
        <w:pStyle w:val="2"/>
        <w:ind w:firstLine="340"/>
        <w:rPr>
          <w:color w:val="auto"/>
        </w:rPr>
      </w:pPr>
    </w:p>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 xml:space="preserve"> 项目需求</w:t>
      </w:r>
    </w:p>
    <w:p>
      <w:pPr>
        <w:pStyle w:val="51"/>
        <w:numPr>
          <w:ilvl w:val="0"/>
          <w:numId w:val="0"/>
        </w:numPr>
        <w:spacing w:line="360" w:lineRule="auto"/>
        <w:ind w:leftChars="0"/>
        <w:rPr>
          <w:rFonts w:ascii="宋体" w:hAnsi="宋体" w:cs="黑体"/>
          <w:b/>
          <w:bCs/>
          <w:color w:val="auto"/>
          <w:sz w:val="24"/>
          <w:szCs w:val="24"/>
          <w:shd w:val="clear" w:color="auto" w:fill="FFFFFF"/>
        </w:rPr>
      </w:pPr>
      <w:r>
        <w:rPr>
          <w:rFonts w:hint="eastAsia" w:ascii="宋体" w:hAnsi="宋体" w:cs="黑体"/>
          <w:b/>
          <w:bCs/>
          <w:color w:val="auto"/>
          <w:sz w:val="24"/>
          <w:szCs w:val="24"/>
          <w:shd w:val="clear" w:color="auto" w:fill="FFFFFF"/>
        </w:rPr>
        <w:t>本项目需实现的功能或者目标</w:t>
      </w:r>
    </w:p>
    <w:p>
      <w:pPr>
        <w:spacing w:line="360" w:lineRule="auto"/>
        <w:contextualSpacing/>
        <w:rPr>
          <w:rFonts w:ascii="宋体" w:hAnsi="宋体" w:cs="微软雅黑"/>
          <w:b/>
          <w:color w:val="auto"/>
          <w:sz w:val="24"/>
          <w:szCs w:val="24"/>
        </w:rPr>
      </w:pPr>
      <w:r>
        <w:rPr>
          <w:rFonts w:hint="eastAsia" w:ascii="宋体" w:hAnsi="宋体" w:cs="微软雅黑"/>
          <w:b/>
          <w:color w:val="auto"/>
          <w:sz w:val="24"/>
          <w:szCs w:val="24"/>
        </w:rPr>
        <w:t>一、招标范围：许昌经济技术开发区 12 个小区（龙湖华庭、西尚美、御翠花苑、世纪宏城、许由花园、香港城、西继迅达花园、福兴花园、双龙小区、金盾佳苑、三利小区、瑞兴苑），共计 6000 户社区居民日常生活垃圾分类减量工作， 并对社区内生活垃圾进行“四分类”（可回收垃圾、有害垃圾、厨余垃圾、其它垃圾）和减量运营管理服务，包括生活垃圾分类减量、资源回收日活动及低值可回收物、有害垃圾的分类贮存工作。</w:t>
      </w:r>
    </w:p>
    <w:p>
      <w:pPr>
        <w:spacing w:line="360" w:lineRule="auto"/>
        <w:contextualSpacing/>
        <w:rPr>
          <w:rFonts w:ascii="仿宋" w:hAnsi="仿宋" w:eastAsia="仿宋" w:cs="仿宋"/>
          <w:b/>
          <w:color w:val="auto"/>
          <w:kern w:val="0"/>
          <w:sz w:val="24"/>
          <w:szCs w:val="24"/>
          <w:shd w:val="clear" w:color="auto" w:fill="FFFFFF"/>
        </w:rPr>
      </w:pPr>
      <w:r>
        <w:rPr>
          <w:rFonts w:hint="eastAsia" w:ascii="宋体" w:hAnsi="宋体" w:cs="微软雅黑"/>
          <w:b/>
          <w:color w:val="auto"/>
          <w:sz w:val="24"/>
          <w:szCs w:val="24"/>
        </w:rPr>
        <w:t>★</w:t>
      </w:r>
      <w:r>
        <w:rPr>
          <w:rFonts w:hint="eastAsia" w:ascii="宋体" w:hAnsi="宋体" w:cs="黑体"/>
          <w:b/>
          <w:bCs/>
          <w:color w:val="auto"/>
          <w:sz w:val="24"/>
          <w:szCs w:val="24"/>
          <w:shd w:val="clear" w:color="auto" w:fill="FFFFFF"/>
        </w:rPr>
        <w:t>二、项目需求</w:t>
      </w:r>
    </w:p>
    <w:p>
      <w:pPr>
        <w:spacing w:line="360" w:lineRule="auto"/>
        <w:ind w:firstLine="482" w:firstLineChars="200"/>
        <w:contextualSpacing/>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2.1设备配置</w:t>
      </w:r>
    </w:p>
    <w:tbl>
      <w:tblPr>
        <w:tblStyle w:val="27"/>
        <w:tblW w:w="827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742"/>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vAlign w:val="center"/>
          </w:tcPr>
          <w:p>
            <w:pPr>
              <w:spacing w:line="360" w:lineRule="auto"/>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人员、设施、设备名称</w:t>
            </w:r>
          </w:p>
        </w:tc>
        <w:tc>
          <w:tcPr>
            <w:tcW w:w="1742" w:type="dxa"/>
            <w:vAlign w:val="center"/>
          </w:tcPr>
          <w:p>
            <w:pPr>
              <w:spacing w:line="360" w:lineRule="auto"/>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数量（单位：个）</w:t>
            </w:r>
          </w:p>
        </w:tc>
        <w:tc>
          <w:tcPr>
            <w:tcW w:w="3742" w:type="dxa"/>
            <w:vAlign w:val="center"/>
          </w:tcPr>
          <w:p>
            <w:pPr>
              <w:spacing w:line="360" w:lineRule="auto"/>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配备依据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四分类垃圾桶</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102</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公共区域和每栋楼前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二分类垃圾桶</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120</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单元门口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固定宣传展板</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50</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出口和广场、车棚等区域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温馨提示标牌</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200</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电梯、绿地、树木等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单元宣传标牌</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212</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单元门口内（外）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宣导员</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22</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300户/人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智能可回收箱</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7</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1500户/台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垃圾分类清运车辆</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2</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清运工作实际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志愿服务站</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7</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小区实际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大件垃圾暂存处</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7</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小区实际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1" w:type="dxa"/>
          </w:tcPr>
          <w:p>
            <w:pPr>
              <w:spacing w:line="360" w:lineRule="auto"/>
              <w:ind w:left="420" w:leftChars="200" w:firstLine="480" w:firstLineChars="200"/>
              <w:contextualSpacing/>
              <w:jc w:val="center"/>
              <w:rPr>
                <w:rFonts w:ascii="宋体" w:hAnsi="宋体" w:eastAsia="宋体" w:cs="宋体"/>
                <w:bCs/>
                <w:color w:val="auto"/>
                <w:sz w:val="24"/>
                <w:szCs w:val="24"/>
              </w:rPr>
            </w:pPr>
            <w:r>
              <w:rPr>
                <w:rFonts w:hint="eastAsia" w:ascii="宋体" w:hAnsi="宋体" w:eastAsia="宋体" w:cs="宋体"/>
                <w:bCs/>
                <w:color w:val="auto"/>
                <w:sz w:val="24"/>
                <w:szCs w:val="24"/>
              </w:rPr>
              <w:t>有害垃圾暂存点</w:t>
            </w:r>
          </w:p>
        </w:tc>
        <w:tc>
          <w:tcPr>
            <w:tcW w:w="1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12</w:t>
            </w:r>
          </w:p>
        </w:tc>
        <w:tc>
          <w:tcPr>
            <w:tcW w:w="3742" w:type="dxa"/>
          </w:tcPr>
          <w:p>
            <w:pPr>
              <w:spacing w:line="360" w:lineRule="auto"/>
              <w:ind w:left="420" w:leftChars="200" w:firstLine="480" w:firstLineChars="200"/>
              <w:contextualSpacing/>
              <w:rPr>
                <w:rFonts w:ascii="宋体" w:hAnsi="宋体" w:eastAsia="宋体" w:cs="宋体"/>
                <w:bCs/>
                <w:color w:val="auto"/>
                <w:sz w:val="24"/>
                <w:szCs w:val="24"/>
              </w:rPr>
            </w:pPr>
            <w:r>
              <w:rPr>
                <w:rFonts w:hint="eastAsia" w:ascii="宋体" w:hAnsi="宋体" w:eastAsia="宋体" w:cs="宋体"/>
                <w:bCs/>
                <w:color w:val="auto"/>
                <w:sz w:val="24"/>
                <w:szCs w:val="24"/>
              </w:rPr>
              <w:t>每个试点小区一处</w:t>
            </w:r>
          </w:p>
        </w:tc>
      </w:tr>
    </w:tbl>
    <w:p>
      <w:pPr>
        <w:spacing w:line="360" w:lineRule="auto"/>
        <w:ind w:firstLine="482" w:firstLineChars="200"/>
        <w:contextualSpacing/>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2.2服务范围</w:t>
      </w:r>
    </w:p>
    <w:p>
      <w:pPr>
        <w:spacing w:line="360" w:lineRule="auto"/>
        <w:ind w:firstLine="482" w:firstLineChars="200"/>
        <w:contextualSpacing/>
        <w:rPr>
          <w:rFonts w:ascii="宋体" w:hAnsi="宋体" w:eastAsia="宋体" w:cs="宋体"/>
          <w:b/>
          <w:color w:val="auto"/>
          <w:sz w:val="24"/>
          <w:szCs w:val="24"/>
        </w:rPr>
      </w:pPr>
      <w:r>
        <w:rPr>
          <w:rFonts w:hint="eastAsia" w:ascii="宋体" w:hAnsi="宋体" w:eastAsia="宋体" w:cs="宋体"/>
          <w:b/>
          <w:color w:val="auto"/>
          <w:sz w:val="24"/>
          <w:szCs w:val="24"/>
        </w:rPr>
        <w:t>为小区6000户居民日常生活垃圾分类减量工作，小区内垃圾分类宣传设施策划、制作、实施，宣传活动开展；智能设备投放，可回收垃圾、和有毒有害垃圾分类收集运输处置；厨余垃圾、其他垃圾的分类收集。</w:t>
      </w:r>
    </w:p>
    <w:p>
      <w:pPr>
        <w:spacing w:line="360" w:lineRule="auto"/>
        <w:ind w:firstLine="482" w:firstLineChars="200"/>
        <w:contextualSpacing/>
        <w:rPr>
          <w:rFonts w:ascii="宋体" w:hAnsi="宋体" w:eastAsia="宋体" w:cs="宋体"/>
          <w:b/>
          <w:color w:val="auto"/>
          <w:kern w:val="0"/>
          <w:sz w:val="24"/>
          <w:szCs w:val="24"/>
          <w:lang w:val="zh-CN"/>
        </w:rPr>
      </w:pPr>
      <w:r>
        <w:rPr>
          <w:rFonts w:hint="eastAsia" w:ascii="宋体" w:hAnsi="宋体" w:eastAsia="宋体" w:cs="宋体"/>
          <w:b/>
          <w:color w:val="auto"/>
          <w:sz w:val="24"/>
          <w:szCs w:val="24"/>
        </w:rPr>
        <w:t>★三</w:t>
      </w:r>
      <w:r>
        <w:rPr>
          <w:rFonts w:hint="eastAsia" w:ascii="宋体" w:hAnsi="宋体" w:eastAsia="宋体" w:cs="宋体"/>
          <w:b/>
          <w:color w:val="auto"/>
          <w:kern w:val="0"/>
          <w:sz w:val="24"/>
          <w:szCs w:val="24"/>
          <w:lang w:val="zh-CN"/>
        </w:rPr>
        <w:t>、服务标准、期限、效率等要求</w:t>
      </w:r>
    </w:p>
    <w:p>
      <w:pPr>
        <w:spacing w:line="276" w:lineRule="auto"/>
        <w:jc w:val="center"/>
        <w:rPr>
          <w:rFonts w:ascii="宋体" w:hAnsi="宋体"/>
          <w:b/>
          <w:color w:val="auto"/>
          <w:sz w:val="32"/>
        </w:rPr>
      </w:pPr>
      <w:r>
        <w:rPr>
          <w:rFonts w:hint="eastAsia" w:ascii="宋体" w:hAnsi="宋体"/>
          <w:b/>
          <w:color w:val="auto"/>
          <w:sz w:val="32"/>
        </w:rPr>
        <w:t>服务要求</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1、达到</w:t>
      </w:r>
      <w:r>
        <w:rPr>
          <w:rFonts w:ascii="宋体" w:hAnsi="宋体"/>
          <w:color w:val="auto"/>
          <w:sz w:val="24"/>
          <w:szCs w:val="21"/>
        </w:rPr>
        <w:t>《</w:t>
      </w:r>
      <w:r>
        <w:rPr>
          <w:rFonts w:hint="eastAsia" w:ascii="宋体" w:hAnsi="宋体"/>
          <w:color w:val="auto"/>
          <w:sz w:val="24"/>
          <w:szCs w:val="21"/>
        </w:rPr>
        <w:t>许昌</w:t>
      </w:r>
      <w:r>
        <w:rPr>
          <w:rFonts w:ascii="宋体" w:hAnsi="宋体"/>
          <w:color w:val="auto"/>
          <w:sz w:val="24"/>
          <w:szCs w:val="21"/>
        </w:rPr>
        <w:t>市</w:t>
      </w:r>
      <w:r>
        <w:rPr>
          <w:rFonts w:hint="eastAsia" w:ascii="宋体" w:hAnsi="宋体"/>
          <w:color w:val="auto"/>
          <w:sz w:val="24"/>
          <w:szCs w:val="21"/>
        </w:rPr>
        <w:t>2</w:t>
      </w:r>
      <w:r>
        <w:rPr>
          <w:rFonts w:ascii="宋体" w:hAnsi="宋体"/>
          <w:color w:val="auto"/>
          <w:sz w:val="24"/>
          <w:szCs w:val="21"/>
        </w:rPr>
        <w:t>020年推进城市生活垃圾分类工作实施意见》</w:t>
      </w:r>
      <w:r>
        <w:rPr>
          <w:rFonts w:hint="eastAsia" w:ascii="宋体" w:hAnsi="宋体"/>
          <w:color w:val="auto"/>
          <w:sz w:val="24"/>
          <w:szCs w:val="21"/>
        </w:rPr>
        <w:t>、</w:t>
      </w:r>
      <w:r>
        <w:rPr>
          <w:rFonts w:ascii="宋体" w:hAnsi="宋体"/>
          <w:color w:val="auto"/>
          <w:sz w:val="24"/>
          <w:szCs w:val="21"/>
        </w:rPr>
        <w:t>《</w:t>
      </w:r>
      <w:r>
        <w:rPr>
          <w:rFonts w:hint="eastAsia" w:ascii="宋体" w:hAnsi="宋体"/>
          <w:color w:val="auto"/>
          <w:sz w:val="24"/>
          <w:szCs w:val="21"/>
        </w:rPr>
        <w:t>许昌</w:t>
      </w:r>
      <w:r>
        <w:rPr>
          <w:rFonts w:ascii="宋体" w:hAnsi="宋体"/>
          <w:color w:val="auto"/>
          <w:sz w:val="24"/>
          <w:szCs w:val="21"/>
        </w:rPr>
        <w:t>经济技术开发区管理委员会关于</w:t>
      </w:r>
      <w:r>
        <w:rPr>
          <w:rFonts w:hint="eastAsia" w:ascii="宋体" w:hAnsi="宋体"/>
          <w:color w:val="auto"/>
          <w:sz w:val="24"/>
          <w:szCs w:val="21"/>
        </w:rPr>
        <w:t>2</w:t>
      </w:r>
      <w:r>
        <w:rPr>
          <w:rFonts w:ascii="宋体" w:hAnsi="宋体"/>
          <w:color w:val="auto"/>
          <w:sz w:val="24"/>
          <w:szCs w:val="21"/>
        </w:rPr>
        <w:t>020年生活垃圾分类工作的实施意见》</w:t>
      </w:r>
      <w:r>
        <w:rPr>
          <w:rFonts w:hint="eastAsia" w:ascii="宋体" w:hAnsi="宋体"/>
          <w:color w:val="auto"/>
          <w:sz w:val="24"/>
          <w:szCs w:val="21"/>
        </w:rPr>
        <w:t xml:space="preserve">标准要求。试点稳定运行，在项目运行初始阶段，居民生活垃圾分类知识知晓率达到 90%，生活垃圾回收利用率达到 30%；在项目运行稳定阶段，生活垃圾无害化处理率达到 </w:t>
      </w:r>
      <w:r>
        <w:rPr>
          <w:rFonts w:ascii="宋体" w:hAnsi="宋体"/>
          <w:color w:val="auto"/>
          <w:sz w:val="24"/>
          <w:szCs w:val="21"/>
        </w:rPr>
        <w:t>9</w:t>
      </w:r>
      <w:r>
        <w:rPr>
          <w:rFonts w:hint="eastAsia" w:ascii="宋体" w:hAnsi="宋体"/>
          <w:color w:val="auto"/>
          <w:sz w:val="24"/>
          <w:szCs w:val="21"/>
        </w:rPr>
        <w:t>0%，居民生活垃圾分类知识知晓率达到 95%，生活垃圾回收利用率达到 35%以上，居民分类投放垃圾的参与率和准确率达到 95% 和 80%以上。</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2、收集的低值可回收物资资源化、无害化处理率达到 90%以上。</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3、生活垃圾分类减量全覆盖的管理、垃圾分类减量的宣传督导：在社区开展垃圾分类和减量静态、动态宣传及培训，每个试点社区公共区域安装或张贴宣传画或海报。</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4、组织开展“资源回收日”活动，每月组织开展的“资源回收日”活动不少于 4 次，每月开展的动态宣传活动不少于 4 场（可结合资源回收日活动，活动时间选择周六或周日）。</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5、负责试点垃圾减量分类投放点设备、设施、场地的日常监督管理工作，建立完善的内部管理制度，落实安全管理机制，确保投放点正常运作，安全、干净、整洁、卫生。</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6、专职督导员配置要求：每 300 户配置 1 名督导员，负责社区垃圾分类的入户宣传、指导，做好居民分类投放的监督和有关统计工作。督导员要佩戴胸牌或袖标上岗。</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7、配备垃圾分类设备实现生活垃圾“四分类”运营，垃圾分类设备包括积分兑换机（具备发放垃圾袋和积分兑换功能），每 1500 户配备 1 台。智能厨余垃圾分类箱每 500 户配备 1 台；智能可回收箱每 1000 户配备 1 台。有毒有害箱体，每 1000 户配备 1 台；另外其他垃圾和非智能厨余垃圾按每 35 户配备各 1 个 240 升的投放桶设置在便于收运的适当位置，投放桶要摆放整齐，外观整洁干净，设置点地面要进行硬化处理。</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8、制定居民参与垃圾分类减量奖励制度。</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9、按照政府垃圾分类细则制定出有效的管理制度和作业流程。</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10、每月 5 号前上报上月项目运营报表，向业主报送项目运营情况。</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11、负责管理和作业过程中的事故处理和一切费用并独立解决因事故引起的各项纠纷。</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12、配合甲方迎接上级部门检查，组织接待相关的参观学习考察团队，以及对试点工作进行媒体宣传报道。</w:t>
      </w:r>
    </w:p>
    <w:p>
      <w:pPr>
        <w:spacing w:line="276" w:lineRule="auto"/>
        <w:ind w:firstLine="484" w:firstLineChars="202"/>
        <w:jc w:val="left"/>
        <w:rPr>
          <w:rFonts w:hint="eastAsia" w:ascii="宋体" w:hAnsi="宋体"/>
          <w:color w:val="auto"/>
          <w:sz w:val="24"/>
          <w:szCs w:val="21"/>
        </w:rPr>
      </w:pPr>
      <w:r>
        <w:rPr>
          <w:rFonts w:hint="eastAsia" w:ascii="宋体" w:hAnsi="宋体"/>
          <w:color w:val="auto"/>
          <w:sz w:val="24"/>
          <w:szCs w:val="21"/>
        </w:rPr>
        <w:t>13、具体工作内容中标后按照采购人要求及省、市政府文件执行。</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其他内容：</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1、中标人在合同执行过程中，须接受招标方及其上级的检查监督。</w:t>
      </w:r>
    </w:p>
    <w:p>
      <w:pPr>
        <w:spacing w:line="276" w:lineRule="auto"/>
        <w:ind w:firstLine="484" w:firstLineChars="202"/>
        <w:jc w:val="left"/>
        <w:rPr>
          <w:rFonts w:ascii="宋体" w:hAnsi="宋体"/>
          <w:color w:val="auto"/>
          <w:sz w:val="24"/>
          <w:szCs w:val="21"/>
        </w:rPr>
      </w:pPr>
      <w:r>
        <w:rPr>
          <w:rFonts w:hint="eastAsia" w:ascii="宋体" w:hAnsi="宋体"/>
          <w:color w:val="auto"/>
          <w:sz w:val="24"/>
          <w:szCs w:val="21"/>
        </w:rPr>
        <w:t>2、因中标方原因导致服务合同被解除的，中标方承担全部损失和责任。</w:t>
      </w:r>
    </w:p>
    <w:p>
      <w:pPr>
        <w:spacing w:line="276" w:lineRule="auto"/>
        <w:ind w:firstLine="484" w:firstLineChars="202"/>
        <w:jc w:val="left"/>
        <w:rPr>
          <w:rFonts w:hint="eastAsia" w:ascii="宋体" w:hAnsi="宋体"/>
          <w:color w:val="auto"/>
          <w:sz w:val="24"/>
          <w:szCs w:val="21"/>
        </w:rPr>
      </w:pPr>
      <w:r>
        <w:rPr>
          <w:rFonts w:hint="eastAsia" w:ascii="宋体" w:hAnsi="宋体"/>
          <w:color w:val="auto"/>
          <w:sz w:val="24"/>
          <w:szCs w:val="21"/>
        </w:rPr>
        <w:t>3、中标方服务过程中所有损坏的设施设备，应自行承担相应费用，并不能因此免除做好垃圾分类运营服务的责任。</w:t>
      </w:r>
    </w:p>
    <w:p>
      <w:pPr>
        <w:spacing w:line="276" w:lineRule="auto"/>
        <w:ind w:firstLine="484" w:firstLineChars="202"/>
        <w:jc w:val="left"/>
        <w:rPr>
          <w:rFonts w:hint="eastAsia" w:ascii="宋体" w:hAnsi="宋体" w:eastAsia="宋体" w:cs="宋体"/>
          <w:b/>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、服务期限为 3 年，由中标单位与业主签订合同之日起，满 1 年后中标方达到服务要求续签下一年合同，服务期满 3 年终止。中标单位服务期满后可自行选择是否对所配设施进行回收</w:t>
      </w:r>
      <w:r>
        <w:rPr>
          <w:rFonts w:hint="eastAsia" w:ascii="宋体" w:hAnsi="宋体" w:eastAsia="宋体" w:cs="宋体"/>
          <w:b/>
          <w:bCs/>
          <w:color w:val="auto"/>
          <w:sz w:val="24"/>
          <w:szCs w:val="24"/>
        </w:rPr>
        <w:t>。</w:t>
      </w:r>
    </w:p>
    <w:p>
      <w:pPr>
        <w:spacing w:line="276" w:lineRule="auto"/>
        <w:ind w:firstLine="484" w:firstLineChars="202"/>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、投标人须提供完整可行的服务管理方案</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否则为无效投标。</w:t>
      </w:r>
    </w:p>
    <w:p>
      <w:pPr>
        <w:spacing w:line="276" w:lineRule="auto"/>
        <w:ind w:firstLine="484" w:firstLineChars="202"/>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、投标人应就本项目完整投标，否则为无效投标。</w:t>
      </w:r>
    </w:p>
    <w:p>
      <w:pPr>
        <w:spacing w:line="276" w:lineRule="auto"/>
        <w:ind w:firstLine="484" w:firstLineChars="202"/>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本项目为交钥匙服务项目。</w:t>
      </w:r>
    </w:p>
    <w:p>
      <w:pPr>
        <w:spacing w:line="276" w:lineRule="auto"/>
        <w:ind w:firstLine="484" w:firstLineChars="202"/>
        <w:jc w:val="left"/>
        <w:rPr>
          <w:color w:val="auto"/>
        </w:rPr>
      </w:pPr>
      <w:r>
        <w:rPr>
          <w:rFonts w:hint="eastAsia" w:hAnsi="宋体" w:cs="宋体"/>
          <w:bCs/>
          <w:color w:val="auto"/>
          <w:sz w:val="24"/>
          <w:szCs w:val="24"/>
          <w:lang w:val="en-US" w:eastAsia="zh-CN"/>
        </w:rPr>
        <w:t>8</w:t>
      </w:r>
      <w:r>
        <w:rPr>
          <w:rFonts w:hint="eastAsia" w:hAnsi="宋体" w:cs="宋体"/>
          <w:bCs/>
          <w:color w:val="auto"/>
          <w:sz w:val="24"/>
          <w:szCs w:val="24"/>
        </w:rPr>
        <w:t>、质量标准：达到《许昌市2020年推进城市生活垃圾分类工作实施意见》、《许昌经济技术开发区管理委员会关于2020年生活垃圾分类工作的实施意见》标准要求。如中标单位在实地工作中存在弄虚作假行为达两次</w:t>
      </w:r>
      <w:r>
        <w:rPr>
          <w:rFonts w:hint="eastAsia" w:hAnsi="宋体" w:cs="宋体"/>
          <w:bCs/>
          <w:color w:val="auto"/>
          <w:sz w:val="24"/>
          <w:szCs w:val="24"/>
          <w:lang w:eastAsia="zh-CN"/>
        </w:rPr>
        <w:t>及</w:t>
      </w:r>
      <w:r>
        <w:rPr>
          <w:rFonts w:hint="eastAsia" w:hAnsi="宋体" w:cs="宋体"/>
          <w:bCs/>
          <w:color w:val="auto"/>
          <w:sz w:val="24"/>
          <w:szCs w:val="24"/>
          <w:lang w:val="en-US" w:eastAsia="zh-CN"/>
        </w:rPr>
        <w:t>+</w:t>
      </w:r>
      <w:r>
        <w:rPr>
          <w:rFonts w:hint="eastAsia" w:hAnsi="宋体" w:cs="宋体"/>
          <w:bCs/>
          <w:color w:val="auto"/>
          <w:sz w:val="24"/>
          <w:szCs w:val="24"/>
        </w:rPr>
        <w:t>以上，业主可与中标单位解除合同。</w:t>
      </w:r>
    </w:p>
    <w:p>
      <w:pPr>
        <w:widowControl/>
        <w:shd w:val="clear" w:color="auto" w:fill="FFFFFF"/>
        <w:spacing w:line="360" w:lineRule="auto"/>
        <w:ind w:firstLine="482" w:firstLineChars="200"/>
        <w:contextualSpacing/>
        <w:jc w:val="left"/>
        <w:rPr>
          <w:rFonts w:ascii="楷体" w:hAnsi="楷体" w:eastAsia="楷体" w:cs="宋体"/>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四、验收标准</w:t>
      </w:r>
    </w:p>
    <w:p>
      <w:pPr>
        <w:widowControl/>
        <w:shd w:val="clear" w:color="auto" w:fill="FFFFFF"/>
        <w:spacing w:line="360" w:lineRule="auto"/>
        <w:ind w:firstLine="720" w:firstLineChars="300"/>
        <w:contextualSpacing/>
        <w:jc w:val="left"/>
        <w:rPr>
          <w:rFonts w:ascii="宋体" w:cs="宋体"/>
          <w:color w:val="auto"/>
          <w:kern w:val="0"/>
          <w:sz w:val="24"/>
          <w:szCs w:val="24"/>
          <w:lang w:val="zh-CN"/>
        </w:rPr>
      </w:pPr>
      <w:r>
        <w:rPr>
          <w:rFonts w:ascii="宋体" w:hAnsi="宋体" w:cs="宋体"/>
          <w:color w:val="auto"/>
          <w:kern w:val="0"/>
          <w:sz w:val="24"/>
          <w:szCs w:val="24"/>
          <w:lang w:val="zh-CN"/>
        </w:rPr>
        <w:t>1</w:t>
      </w:r>
      <w:r>
        <w:rPr>
          <w:rFonts w:hint="eastAsia" w:ascii="宋体" w:hAnsi="宋体" w:cs="宋体"/>
          <w:color w:val="auto"/>
          <w:kern w:val="0"/>
          <w:sz w:val="24"/>
          <w:szCs w:val="24"/>
          <w:lang w:val="zh-CN"/>
        </w:rPr>
        <w:t>、由采购人成立验收小组</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按照采购合同的约定对中标人履约情况进行验收。验收时</w:t>
      </w:r>
      <w:r>
        <w:rPr>
          <w:rFonts w:ascii="宋体" w:cs="宋体"/>
          <w:color w:val="auto"/>
          <w:kern w:val="0"/>
          <w:sz w:val="24"/>
          <w:szCs w:val="24"/>
          <w:lang w:val="zh-CN"/>
        </w:rPr>
        <w:t>,</w:t>
      </w:r>
      <w:r>
        <w:rPr>
          <w:rFonts w:hint="eastAsia" w:ascii="宋体" w:hAnsi="宋体" w:cs="宋体"/>
          <w:color w:val="auto"/>
          <w:kern w:val="0"/>
          <w:sz w:val="24"/>
          <w:szCs w:val="24"/>
          <w:lang w:val="zh-CN"/>
        </w:rPr>
        <w:t>按照采购合同的约定对每一项技术、服务、安全标准的履约情况进行确认。验收结束后</w:t>
      </w:r>
      <w:r>
        <w:rPr>
          <w:rFonts w:ascii="宋体" w:cs="宋体"/>
          <w:color w:val="auto"/>
          <w:kern w:val="0"/>
          <w:sz w:val="24"/>
          <w:szCs w:val="24"/>
          <w:lang w:val="zh-CN"/>
        </w:rPr>
        <w:t>,</w:t>
      </w:r>
      <w:r>
        <w:rPr>
          <w:rFonts w:hint="eastAsia" w:ascii="宋体" w:hAnsi="宋体" w:cs="宋体"/>
          <w:color w:val="auto"/>
          <w:kern w:val="0"/>
          <w:sz w:val="24"/>
          <w:szCs w:val="24"/>
          <w:lang w:val="zh-CN"/>
        </w:rPr>
        <w:t>出具验收书</w:t>
      </w:r>
      <w:r>
        <w:rPr>
          <w:rFonts w:ascii="宋体" w:cs="宋体"/>
          <w:color w:val="auto"/>
          <w:kern w:val="0"/>
          <w:sz w:val="24"/>
          <w:szCs w:val="24"/>
          <w:lang w:val="zh-CN"/>
        </w:rPr>
        <w:t>,</w:t>
      </w:r>
      <w:r>
        <w:rPr>
          <w:rFonts w:hint="eastAsia" w:ascii="宋体" w:hAnsi="宋体" w:cs="宋体"/>
          <w:color w:val="auto"/>
          <w:kern w:val="0"/>
          <w:sz w:val="24"/>
          <w:szCs w:val="24"/>
          <w:lang w:val="zh-CN"/>
        </w:rPr>
        <w:t>列明各项标准的验收情况及项目总体评价</w:t>
      </w:r>
      <w:r>
        <w:rPr>
          <w:rFonts w:ascii="宋体" w:cs="宋体"/>
          <w:color w:val="auto"/>
          <w:kern w:val="0"/>
          <w:sz w:val="24"/>
          <w:szCs w:val="24"/>
          <w:lang w:val="zh-CN"/>
        </w:rPr>
        <w:t>,</w:t>
      </w:r>
      <w:r>
        <w:rPr>
          <w:rFonts w:hint="eastAsia" w:ascii="宋体" w:hAnsi="宋体" w:cs="宋体"/>
          <w:color w:val="auto"/>
          <w:kern w:val="0"/>
          <w:sz w:val="24"/>
          <w:szCs w:val="24"/>
          <w:lang w:val="zh-CN"/>
        </w:rPr>
        <w:t>由验收双方共同签署。</w:t>
      </w:r>
    </w:p>
    <w:p>
      <w:pPr>
        <w:widowControl/>
        <w:shd w:val="clear" w:color="auto" w:fill="FFFFFF"/>
        <w:spacing w:line="360" w:lineRule="auto"/>
        <w:ind w:firstLine="720" w:firstLineChars="300"/>
        <w:contextualSpacing/>
        <w:jc w:val="left"/>
        <w:rPr>
          <w:rFonts w:ascii="仿宋" w:hAnsi="仿宋" w:eastAsia="仿宋"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、按照招标文件要求、投标文件响应和承诺验收</w:t>
      </w:r>
      <w:r>
        <w:rPr>
          <w:rFonts w:hint="eastAsia" w:ascii="仿宋" w:hAnsi="仿宋" w:eastAsia="仿宋" w:cs="宋体"/>
          <w:color w:val="auto"/>
          <w:kern w:val="0"/>
          <w:sz w:val="24"/>
          <w:szCs w:val="24"/>
          <w:lang w:val="zh-CN"/>
        </w:rPr>
        <w:t>；</w:t>
      </w:r>
    </w:p>
    <w:p>
      <w:pPr>
        <w:pStyle w:val="25"/>
        <w:widowControl/>
        <w:shd w:val="clear" w:color="auto" w:fill="FFFFFF"/>
        <w:spacing w:line="360" w:lineRule="auto"/>
        <w:ind w:firstLine="420"/>
        <w:contextualSpacing/>
        <w:jc w:val="left"/>
        <w:rPr>
          <w:rFonts w:ascii="宋体" w:cs="黑体"/>
          <w:b/>
          <w:bCs/>
          <w:color w:val="auto"/>
          <w:shd w:val="clear" w:color="auto" w:fill="FFFFFF"/>
        </w:rPr>
      </w:pPr>
      <w:r>
        <w:rPr>
          <w:rFonts w:hint="eastAsia" w:ascii="宋体" w:hAnsi="宋体" w:cs="微软雅黑"/>
          <w:b/>
          <w:color w:val="auto"/>
        </w:rPr>
        <w:t>★五</w:t>
      </w:r>
      <w:r>
        <w:rPr>
          <w:rFonts w:hint="eastAsia" w:ascii="宋体" w:hAnsi="宋体" w:cs="黑体"/>
          <w:b/>
          <w:bCs/>
          <w:color w:val="auto"/>
          <w:shd w:val="clear" w:color="auto" w:fill="FFFFFF"/>
        </w:rPr>
        <w:t>、本项目预算金额</w:t>
      </w:r>
      <w:r>
        <w:rPr>
          <w:rFonts w:hint="eastAsia" w:ascii="宋体" w:hAnsi="宋体" w:cs="宋体" w:eastAsiaTheme="minorEastAsia"/>
          <w:color w:val="auto"/>
          <w:kern w:val="0"/>
        </w:rPr>
        <w:t>1789920</w:t>
      </w:r>
      <w:r>
        <w:rPr>
          <w:rFonts w:hint="eastAsia" w:ascii="宋体" w:hAnsi="宋体" w:cs="宋体" w:eastAsiaTheme="minorEastAsia"/>
          <w:color w:val="auto"/>
          <w:kern w:val="0"/>
          <w:lang w:val="zh-CN"/>
        </w:rPr>
        <w:t>.</w:t>
      </w:r>
      <w:r>
        <w:rPr>
          <w:rFonts w:hint="eastAsia" w:ascii="宋体" w:hAnsi="宋体" w:cs="黑体"/>
          <w:color w:val="auto"/>
          <w:shd w:val="clear" w:color="auto" w:fill="FFFFFF"/>
        </w:rPr>
        <w:t>00</w:t>
      </w:r>
      <w:r>
        <w:rPr>
          <w:rFonts w:hint="eastAsia" w:ascii="宋体" w:hAnsi="宋体" w:cs="黑体"/>
          <w:b/>
          <w:bCs/>
          <w:color w:val="auto"/>
          <w:shd w:val="clear" w:color="auto" w:fill="FFFFFF"/>
        </w:rPr>
        <w:t>元/年。最高限价</w:t>
      </w:r>
      <w:r>
        <w:rPr>
          <w:rFonts w:hint="eastAsia" w:ascii="宋体" w:hAnsi="宋体" w:cs="宋体" w:eastAsiaTheme="minorEastAsia"/>
          <w:color w:val="auto"/>
          <w:kern w:val="0"/>
        </w:rPr>
        <w:t>1789920.</w:t>
      </w:r>
      <w:r>
        <w:rPr>
          <w:rFonts w:hint="eastAsia" w:ascii="宋体" w:hAnsi="宋体" w:cs="仿宋_GB2312"/>
          <w:color w:val="auto"/>
          <w:shd w:val="clear" w:color="auto" w:fill="FFFFFF"/>
        </w:rPr>
        <w:t>00</w:t>
      </w:r>
      <w:r>
        <w:rPr>
          <w:rFonts w:hint="eastAsia" w:ascii="宋体" w:hAnsi="宋体" w:cs="黑体"/>
          <w:b/>
          <w:bCs/>
          <w:color w:val="auto"/>
          <w:shd w:val="clear" w:color="auto" w:fill="FFFFFF"/>
        </w:rPr>
        <w:t>元/年</w:t>
      </w:r>
      <w:r>
        <w:rPr>
          <w:rFonts w:hint="eastAsia" w:ascii="宋体" w:hAnsi="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六、资金支付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2、支付时间及条件：按照合同约定支付。</w:t>
      </w:r>
    </w:p>
    <w:p>
      <w:pPr>
        <w:widowControl/>
        <w:shd w:val="clear" w:color="auto" w:fill="FFFFFF"/>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pPr>
        <w:spacing w:line="360" w:lineRule="auto"/>
        <w:ind w:firstLine="602" w:firstLineChars="200"/>
        <w:contextualSpacing/>
        <w:rPr>
          <w:rFonts w:ascii="仿宋" w:hAnsi="仿宋" w:eastAsia="仿宋" w:cs="仿宋"/>
          <w:b/>
          <w:color w:val="auto"/>
          <w:kern w:val="0"/>
          <w:sz w:val="30"/>
          <w:szCs w:val="30"/>
          <w:shd w:val="clear" w:color="auto" w:fill="FFFFFF"/>
        </w:rPr>
      </w:pPr>
    </w:p>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投标人须知前附表</w:t>
      </w:r>
    </w:p>
    <w:p>
      <w:pPr>
        <w:pStyle w:val="25"/>
        <w:widowControl/>
        <w:spacing w:line="360" w:lineRule="auto"/>
        <w:ind w:firstLine="420"/>
        <w:jc w:val="left"/>
        <w:rPr>
          <w:rFonts w:ascii="宋体" w:hAnsi="宋体" w:cs="仿宋_GB2312"/>
          <w:color w:val="auto"/>
        </w:rPr>
      </w:pPr>
      <w:r>
        <w:rPr>
          <w:rFonts w:hint="eastAsia" w:cs="微软雅黑"/>
          <w:b/>
          <w:color w:val="auto"/>
        </w:rPr>
        <w:t>招标文件中凡标有</w:t>
      </w:r>
      <w:r>
        <w:rPr>
          <w:rFonts w:hint="eastAsia" w:cs="微软雅黑" w:asciiTheme="minorEastAsia" w:hAnsiTheme="minorEastAsia"/>
          <w:b/>
          <w:color w:val="auto"/>
        </w:rPr>
        <w:t>★</w:t>
      </w:r>
      <w:r>
        <w:rPr>
          <w:rFonts w:hint="eastAsia" w:cs="微软雅黑"/>
          <w:b/>
          <w:color w:val="auto"/>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项目名称：开发区垃圾分类试点工作购买社会化服务</w:t>
            </w:r>
          </w:p>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项目编号：JZFCG-G2019XXX号</w:t>
            </w:r>
          </w:p>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为小区6000户居民日常生活垃圾分类减量工作，小区内垃圾分类宣传设施策划、制作、实施，宣传活动开展；智能设备投放，可回收垃圾、和有毒有害垃圾分类收集运输处置；厨余垃圾、其他垃圾的分类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名称：许昌经济技术开发区住房建设城市管理与环境保护局</w:t>
            </w:r>
          </w:p>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地址：许昌经济技术开发区管理委员会（瑞祥路中段）</w:t>
            </w:r>
          </w:p>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联系人：赵先生     联系电话：</w:t>
            </w:r>
            <w:r>
              <w:rPr>
                <w:rFonts w:cs="仿宋_GB2312" w:asciiTheme="minorEastAsia" w:hAnsiTheme="minorEastAsia"/>
                <w:color w:val="auto"/>
                <w:sz w:val="24"/>
                <w:szCs w:val="24"/>
              </w:rPr>
              <w:t>15617231729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名称：河南远大建设工程管理有限公司</w:t>
            </w:r>
          </w:p>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地址：许昌市智慧大道汇通商务苑D幢5层</w:t>
            </w:r>
          </w:p>
          <w:p>
            <w:pPr>
              <w:autoSpaceDE w:val="0"/>
              <w:autoSpaceDN w:val="0"/>
              <w:adjustRightInd w:val="0"/>
              <w:spacing w:line="276"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联系人：李先生      联系电话：13137430303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jc w:val="left"/>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ind w:right="-11"/>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ind w:right="-11"/>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ind w:right="-11"/>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ind w:right="-11"/>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jc w:val="left"/>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ascii="宋体" w:hAnsi="宋体" w:eastAsia="宋体" w:cs="仿宋_GB2312"/>
                <w:color w:val="auto"/>
                <w:sz w:val="24"/>
                <w:szCs w:val="24"/>
              </w:rPr>
              <w:t>2018年度</w:t>
            </w:r>
            <w:r>
              <w:rPr>
                <w:rFonts w:hint="eastAsia" w:cs="宋体" w:asciiTheme="minorEastAsia" w:hAnsiTheme="minorEastAsia"/>
                <w:bCs/>
                <w:color w:val="auto"/>
                <w:sz w:val="24"/>
                <w:szCs w:val="24"/>
                <w:lang w:val="zh-CN"/>
              </w:rPr>
              <w:t>经审计的财务报告，包括资产负债表、利润表、现金流量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jc w:val="left"/>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jc w:val="left"/>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jc w:val="left"/>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jc w:val="left"/>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宋体" w:asciiTheme="minorEastAsia" w:hAnsiTheme="minorEastAsia"/>
                <w:b/>
                <w:bCs/>
                <w:color w:val="auto"/>
                <w:sz w:val="24"/>
                <w:szCs w:val="24"/>
                <w:lang w:val="zh-CN"/>
              </w:rPr>
              <w:t>未被列入“信用中国”网站(www.creditchina.gov.cn)失信被执行人、重大税收违法案件当事人名单、政府采购严重违法失信名单的投标人；</w:t>
            </w:r>
            <w:r>
              <w:rPr>
                <w:rFonts w:hint="eastAsia" w:cs="宋体" w:asciiTheme="minorEastAsia" w:hAnsiTheme="minorEastAsia"/>
                <w:b/>
                <w:bCs/>
                <w:color w:val="auto"/>
                <w:sz w:val="24"/>
                <w:szCs w:val="24"/>
                <w:lang w:val="zh-CN"/>
              </w:rPr>
              <w:t>“</w:t>
            </w:r>
            <w:r>
              <w:rPr>
                <w:rFonts w:cs="宋体" w:asciiTheme="minorEastAsia" w:hAnsiTheme="minorEastAsia"/>
                <w:b/>
                <w:bCs/>
                <w:color w:val="auto"/>
                <w:sz w:val="24"/>
                <w:szCs w:val="24"/>
                <w:lang w:val="zh-CN"/>
              </w:rPr>
              <w:t>中国政府采购网</w:t>
            </w:r>
            <w:r>
              <w:rPr>
                <w:rFonts w:hint="eastAsia" w:cs="宋体" w:asciiTheme="minorEastAsia" w:hAnsiTheme="minorEastAsia"/>
                <w:b/>
                <w:bCs/>
                <w:color w:val="auto"/>
                <w:sz w:val="24"/>
                <w:szCs w:val="24"/>
                <w:lang w:val="zh-CN"/>
              </w:rPr>
              <w:t>”</w:t>
            </w:r>
            <w:r>
              <w:rPr>
                <w:rFonts w:cs="宋体" w:asciiTheme="minorEastAsia" w:hAnsiTheme="minorEastAsia"/>
                <w:b/>
                <w:bCs/>
                <w:color w:val="auto"/>
                <w:sz w:val="24"/>
                <w:szCs w:val="24"/>
                <w:lang w:val="zh-CN"/>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国家企业信用公示系统</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网站</w:t>
            </w:r>
            <w:r>
              <w:rPr>
                <w:rFonts w:hint="eastAsia" w:cs="宋体" w:asciiTheme="minorEastAsia" w:hAnsiTheme="minorEastAsia"/>
                <w:b/>
                <w:color w:val="auto"/>
                <w:kern w:val="0"/>
                <w:sz w:val="24"/>
                <w:szCs w:val="24"/>
              </w:rPr>
              <w:t>（</w:t>
            </w:r>
            <w:r>
              <w:rPr>
                <w:rFonts w:cs="宋体" w:asciiTheme="minorEastAsia" w:hAnsiTheme="minorEastAsia"/>
                <w:b/>
                <w:color w:val="auto"/>
                <w:kern w:val="0"/>
                <w:sz w:val="24"/>
                <w:szCs w:val="24"/>
              </w:rPr>
              <w:t>www.gsxt.gov.cn</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严重违法失信企业名单</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黑名单</w:t>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4"/>
                <w:szCs w:val="24"/>
                <w:lang w:val="zh-CN"/>
              </w:rPr>
              <w:t>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）和“国家企业信用公示系统”网站（</w:t>
            </w:r>
            <w:r>
              <w:rPr>
                <w:rFonts w:cs="宋体" w:asciiTheme="minorEastAsia" w:hAnsiTheme="minorEastAsia"/>
                <w:color w:val="auto"/>
                <w:kern w:val="0"/>
                <w:sz w:val="24"/>
                <w:szCs w:val="24"/>
              </w:rPr>
              <w:t>www.gsxt.gov.cn</w:t>
            </w:r>
            <w:r>
              <w:rPr>
                <w:rFonts w:hint="eastAsia" w:cs="宋体" w:asciiTheme="minorEastAsia" w:hAnsiTheme="minorEastAsia"/>
                <w:color w:val="auto"/>
                <w:kern w:val="0"/>
                <w:sz w:val="24"/>
                <w:szCs w:val="24"/>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jc w:val="left"/>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spacing w:line="360" w:lineRule="auto"/>
              <w:contextualSpacing/>
              <w:jc w:val="left"/>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1789920.00元/年；超出最高限价的投标无效。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276" w:lineRule="auto"/>
              <w:jc w:val="left"/>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276" w:lineRule="auto"/>
              <w:jc w:val="left"/>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276" w:lineRule="auto"/>
              <w:jc w:val="left"/>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276" w:lineRule="auto"/>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jc w:val="left"/>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jc w:val="left"/>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napToGrid w:val="0"/>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napToGrid w:val="0"/>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jc w:val="left"/>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2020年</w:t>
            </w:r>
            <w:r>
              <w:rPr>
                <w:rFonts w:hint="eastAsia" w:cs="宋体" w:asciiTheme="minorEastAsia" w:hAnsiTheme="minorEastAsia"/>
                <w:bCs/>
                <w:color w:val="auto"/>
                <w:sz w:val="24"/>
                <w:szCs w:val="24"/>
                <w:lang w:val="en-US" w:eastAsia="zh-CN"/>
              </w:rPr>
              <w:t>4</w:t>
            </w:r>
            <w:r>
              <w:rPr>
                <w:rFonts w:hint="eastAsia" w:cs="宋体" w:asciiTheme="minorEastAsia" w:hAnsiTheme="minorEastAsia"/>
                <w:bCs/>
                <w:color w:val="auto"/>
                <w:sz w:val="24"/>
                <w:szCs w:val="24"/>
              </w:rPr>
              <w:t>月</w:t>
            </w:r>
            <w:r>
              <w:rPr>
                <w:rFonts w:hint="eastAsia" w:cs="宋体" w:asciiTheme="minorEastAsia" w:hAnsiTheme="minorEastAsia"/>
                <w:bCs/>
                <w:color w:val="auto"/>
                <w:sz w:val="24"/>
                <w:szCs w:val="24"/>
                <w:lang w:val="en-US" w:eastAsia="zh-CN"/>
              </w:rPr>
              <w:t>28</w:t>
            </w:r>
            <w:r>
              <w:rPr>
                <w:rFonts w:hint="eastAsia" w:cs="宋体" w:asciiTheme="minorEastAsia" w:hAnsiTheme="minorEastAsia"/>
                <w:bCs/>
                <w:color w:val="auto"/>
                <w:sz w:val="24"/>
                <w:szCs w:val="24"/>
              </w:rPr>
              <w:t>日</w:t>
            </w:r>
            <w:r>
              <w:rPr>
                <w:rFonts w:hint="eastAsia" w:cs="宋体" w:asciiTheme="minorEastAsia" w:hAnsiTheme="minorEastAsia"/>
                <w:bCs/>
                <w:color w:val="auto"/>
                <w:sz w:val="24"/>
                <w:szCs w:val="24"/>
                <w:lang w:val="en-US" w:eastAsia="zh-CN"/>
              </w:rPr>
              <w:t>8</w:t>
            </w:r>
            <w:r>
              <w:rPr>
                <w:rFonts w:hint="eastAsia" w:cs="宋体" w:asciiTheme="minorEastAsia" w:hAnsiTheme="minorEastAsia"/>
                <w:bCs/>
                <w:color w:val="auto"/>
                <w:sz w:val="24"/>
                <w:szCs w:val="24"/>
              </w:rPr>
              <w:t>时30分</w:t>
            </w:r>
            <w:r>
              <w:rPr>
                <w:rFonts w:hint="eastAsia" w:cs="宋体" w:asciiTheme="minorEastAsia" w:hAnsiTheme="minorEastAsia"/>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开标地点：许昌市公共资源交易中心（本项目采用远程不见面开标，投标人无须到交易中心现场）。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spacing w:line="360" w:lineRule="auto"/>
              <w:contextualSpacing/>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不</w:t>
            </w:r>
            <w:r>
              <w:rPr>
                <w:rFonts w:hint="eastAsia" w:cs="宋体" w:asciiTheme="minorEastAsia" w:hAnsiTheme="minorEastAsia"/>
                <w:bCs/>
                <w:color w:val="auto"/>
                <w:sz w:val="24"/>
                <w:szCs w:val="24"/>
                <w:lang w:val="zh-CN"/>
              </w:rPr>
              <w:t>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jc w:val="left"/>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jc w:val="left"/>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中标人在接到中标通知时，须向代理机构发送投标报价及分项报价一览表（包含主要中标标的的名称、规格型号、数量、单价、服务要求等）电子文档，并同时通知代理机构联系人，联系电话：李先生，</w:t>
            </w:r>
            <w:r>
              <w:rPr>
                <w:rFonts w:hint="eastAsia" w:cs="宋体" w:asciiTheme="minorEastAsia" w:hAnsiTheme="minorEastAsia"/>
                <w:b/>
                <w:bCs/>
                <w:color w:val="auto"/>
                <w:sz w:val="24"/>
                <w:szCs w:val="24"/>
                <w:lang w:val="zh-CN"/>
              </w:rPr>
              <w:t>邮箱：</w:t>
            </w:r>
            <w:r>
              <w:rPr>
                <w:color w:val="auto"/>
              </w:rPr>
              <w:fldChar w:fldCharType="begin"/>
            </w:r>
            <w:r>
              <w:rPr>
                <w:color w:val="auto"/>
              </w:rPr>
              <w:instrText xml:space="preserve"> HYPERLINK "mailto:hnhsdlxcgs@126.com" </w:instrText>
            </w:r>
            <w:r>
              <w:rPr>
                <w:color w:val="auto"/>
              </w:rPr>
              <w:fldChar w:fldCharType="separate"/>
            </w:r>
            <w:r>
              <w:rPr>
                <w:rStyle w:val="33"/>
                <w:rFonts w:hint="eastAsia" w:cs="宋体" w:asciiTheme="minorEastAsia" w:hAnsiTheme="minorEastAsia"/>
                <w:b/>
                <w:bCs/>
                <w:color w:val="auto"/>
                <w:sz w:val="24"/>
                <w:szCs w:val="24"/>
                <w:lang w:val="zh-CN"/>
              </w:rPr>
              <w:t xml:space="preserve"> </w:t>
            </w:r>
            <w:r>
              <w:rPr>
                <w:rStyle w:val="33"/>
                <w:rFonts w:hint="eastAsia" w:cs="宋体" w:asciiTheme="minorEastAsia" w:hAnsiTheme="minorEastAsia"/>
                <w:b/>
                <w:bCs/>
                <w:color w:val="auto"/>
                <w:sz w:val="24"/>
                <w:szCs w:val="24"/>
              </w:rPr>
              <w:t>5</w:t>
            </w:r>
            <w:r>
              <w:rPr>
                <w:rStyle w:val="33"/>
                <w:rFonts w:hint="eastAsia" w:cs="宋体" w:asciiTheme="minorEastAsia" w:hAnsiTheme="minorEastAsia"/>
                <w:b/>
                <w:bCs/>
                <w:color w:val="auto"/>
                <w:sz w:val="24"/>
                <w:szCs w:val="24"/>
              </w:rPr>
              <w:fldChar w:fldCharType="end"/>
            </w:r>
            <w:r>
              <w:rPr>
                <w:rStyle w:val="33"/>
                <w:rFonts w:hint="eastAsia" w:cs="宋体" w:asciiTheme="minorEastAsia" w:hAnsiTheme="minorEastAsia"/>
                <w:b/>
                <w:bCs/>
                <w:color w:val="auto"/>
                <w:sz w:val="24"/>
                <w:szCs w:val="24"/>
              </w:rPr>
              <w:t>59106@qq.com</w:t>
            </w:r>
            <w:r>
              <w:rPr>
                <w:rFonts w:hint="eastAsia" w:cs="宋体" w:asciiTheme="minorEastAsia" w:hAnsiTheme="minorEastAsia"/>
                <w:b/>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jc w:val="left"/>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jc w:val="left"/>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27</w:t>
            </w:r>
          </w:p>
        </w:tc>
        <w:tc>
          <w:tcPr>
            <w:tcW w:w="2268" w:type="dxa"/>
            <w:vAlign w:val="center"/>
          </w:tcPr>
          <w:p>
            <w:pPr>
              <w:autoSpaceDE w:val="0"/>
              <w:autoSpaceDN w:val="0"/>
              <w:adjustRightInd w:val="0"/>
              <w:spacing w:line="360" w:lineRule="auto"/>
              <w:jc w:val="center"/>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特别提示</w:t>
            </w:r>
          </w:p>
        </w:tc>
        <w:tc>
          <w:tcPr>
            <w:tcW w:w="6813" w:type="dxa"/>
            <w:vAlign w:val="center"/>
          </w:tcPr>
          <w:p>
            <w:pPr>
              <w:autoSpaceDE w:val="0"/>
              <w:autoSpaceDN w:val="0"/>
              <w:adjustRightInd w:val="0"/>
              <w:spacing w:line="360" w:lineRule="auto"/>
              <w:contextualSpacing/>
              <w:jc w:val="left"/>
              <w:rPr>
                <w:rFonts w:cs="宋体" w:asciiTheme="minorEastAsia" w:hAnsiTheme="minorEastAsia"/>
                <w:b/>
                <w:color w:val="auto"/>
                <w:sz w:val="24"/>
                <w:lang w:val="zh-CN"/>
              </w:rPr>
            </w:pPr>
            <w:r>
              <w:rPr>
                <w:rFonts w:hint="eastAsia" w:cs="宋体" w:asciiTheme="minorEastAsia" w:hAnsiTheme="minorEastAsia"/>
                <w:b/>
                <w:color w:val="auto"/>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不同投标人电子投标文件制作硬件特征码（网卡MAC地址、CPU序号、硬盘序列号）均一致时，视为‘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ind w:firstLine="420" w:firstLineChars="200"/>
              <w:contextualSpacing/>
              <w:jc w:val="left"/>
              <w:rPr>
                <w:rFonts w:cs="宋体" w:asciiTheme="minorEastAsia" w:hAnsiTheme="minorEastAsia"/>
                <w:b/>
                <w:color w:val="auto"/>
                <w:kern w:val="0"/>
                <w:szCs w:val="21"/>
                <w:highlight w:val="yellow"/>
                <w:lang w:val="zh-CN"/>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tc>
      </w:tr>
    </w:tbl>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 xml:space="preserve"> 投标人须知</w:t>
      </w:r>
    </w:p>
    <w:p>
      <w:pPr>
        <w:tabs>
          <w:tab w:val="left" w:pos="1260"/>
        </w:tabs>
        <w:autoSpaceDE w:val="0"/>
        <w:autoSpaceDN w:val="0"/>
        <w:adjustRightInd w:val="0"/>
        <w:spacing w:line="360" w:lineRule="auto"/>
        <w:contextualSpacing/>
        <w:jc w:val="center"/>
        <w:rPr>
          <w:rFonts w:ascii="宋体" w:hAnsi="宋体" w:cs="宋体"/>
          <w:b/>
          <w:color w:val="auto"/>
          <w:kern w:val="0"/>
          <w:szCs w:val="21"/>
        </w:rPr>
      </w:pPr>
      <w:r>
        <w:rPr>
          <w:rFonts w:hint="eastAsia" w:ascii="宋体" w:hAnsi="宋体" w:cs="宋体"/>
          <w:b/>
          <w:color w:val="auto"/>
          <w:kern w:val="0"/>
          <w:szCs w:val="21"/>
        </w:rPr>
        <w:t>一、概念释义</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适用范围</w:t>
      </w:r>
    </w:p>
    <w:p>
      <w:pPr>
        <w:pStyle w:val="80"/>
        <w:numPr>
          <w:ilvl w:val="0"/>
          <w:numId w:val="6"/>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本招标文件仅适用于本次“投标邀请”中所述采购项目。</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本招标文件解释权属于“投标邀请”所述的采购人。</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定义</w:t>
      </w:r>
    </w:p>
    <w:p>
      <w:pPr>
        <w:pStyle w:val="80"/>
        <w:numPr>
          <w:ilvl w:val="0"/>
          <w:numId w:val="6"/>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“采购项目”：“投标人须知前附表”中所述的采购项目。</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“采购人”：是指依法进行政府采购的国家机关、事业单位、团体组织。采购人名称、     地址、电话、联系人见“投标人须知前附表”。</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“进口产品”：是指通过中国海关报关验放进入中国境内且产自关境外的产品，包括已经进入中国境内的进口产品。详见《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left="991" w:leftChars="472"/>
        <w:contextualSpacing/>
        <w:rPr>
          <w:rFonts w:ascii="宋体" w:hAnsi="宋体" w:cs="宋体"/>
          <w:color w:val="auto"/>
          <w:kern w:val="0"/>
          <w:szCs w:val="21"/>
        </w:rPr>
      </w:pPr>
      <w:r>
        <w:rPr>
          <w:rFonts w:hint="eastAsia" w:ascii="宋体" w:hAnsi="宋体" w:cs="宋体"/>
          <w:color w:val="auto"/>
          <w:kern w:val="0"/>
          <w:szCs w:val="21"/>
        </w:rPr>
        <w:t xml:space="preserve">2.7.1  </w:t>
      </w:r>
      <w:r>
        <w:rPr>
          <w:rFonts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ascii="宋体" w:hAnsi="宋体" w:cs="宋体"/>
          <w:color w:val="auto"/>
          <w:kern w:val="0"/>
          <w:szCs w:val="21"/>
        </w:rPr>
      </w:pPr>
      <w:r>
        <w:rPr>
          <w:rFonts w:hint="eastAsia" w:ascii="宋体" w:hAnsi="宋体" w:cs="宋体"/>
          <w:color w:val="auto"/>
          <w:kern w:val="0"/>
          <w:szCs w:val="21"/>
        </w:rPr>
        <w:t xml:space="preserve">2.7.2  </w:t>
      </w:r>
      <w:r>
        <w:rPr>
          <w:rFonts w:ascii="宋体" w:hAnsi="宋体" w:cs="宋体"/>
          <w:color w:val="auto"/>
          <w:kern w:val="0"/>
          <w:szCs w:val="21"/>
        </w:rPr>
        <w:t>如</w:t>
      </w:r>
      <w:r>
        <w:rPr>
          <w:rFonts w:hint="eastAsia" w:ascii="宋体" w:hAnsi="宋体" w:cs="宋体"/>
          <w:color w:val="auto"/>
          <w:kern w:val="0"/>
          <w:szCs w:val="21"/>
        </w:rPr>
        <w:t>招标</w:t>
      </w:r>
      <w:r>
        <w:rPr>
          <w:rFonts w:ascii="宋体" w:hAnsi="宋体" w:cs="宋体"/>
          <w:color w:val="auto"/>
          <w:kern w:val="0"/>
          <w:szCs w:val="21"/>
        </w:rPr>
        <w:t>文件中已说明，经财政部门审核同意，允许部分或全部产品采购进口产品，投标人既可提供本国产品，也可以提供进口产品。</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招标文件中凡标有“</w:t>
      </w:r>
      <w:r>
        <w:rPr>
          <w:rFonts w:hint="eastAsia" w:ascii="宋体" w:hAnsi="宋体" w:cs="宋体"/>
          <w:color w:val="auto"/>
          <w:kern w:val="0"/>
          <w:szCs w:val="21"/>
        </w:rPr>
        <w:t>★</w:t>
      </w:r>
      <w:r>
        <w:rPr>
          <w:rFonts w:hint="eastAsia" w:ascii="宋体" w:hAnsi="宋体" w:cs="宋体"/>
          <w:color w:val="auto"/>
          <w:kern w:val="0"/>
          <w:szCs w:val="21"/>
        </w:rPr>
        <w:t>”的条款均系实质性要求条款。</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合格的投标人</w:t>
      </w:r>
    </w:p>
    <w:p>
      <w:pPr>
        <w:pStyle w:val="80"/>
        <w:numPr>
          <w:ilvl w:val="0"/>
          <w:numId w:val="6"/>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在中华人民共和国境内注册，具有本项目生产、制造、供应或实施能力，符合、承认并承诺履行本招标文件各项规定的法人、其他组织或者自然人。</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符合本项目“投标邀请”和“投标人须知前附表”中规定的合格投标人所必须具备的条件。</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ascii="宋体" w:hAnsi="宋体" w:cs="宋体"/>
          <w:color w:val="auto"/>
          <w:kern w:val="0"/>
          <w:szCs w:val="21"/>
        </w:rPr>
        <w:t>政府采购活动中查询及使用投标人信用记录的具体要求为：投标人未被列入失信被执行人、重大税收违法案件当事人名单、</w:t>
      </w:r>
      <w:r>
        <w:rPr>
          <w:rFonts w:ascii="宋体" w:hAnsi="宋体" w:cs="仿宋_GB2312"/>
          <w:color w:val="auto"/>
          <w:szCs w:val="21"/>
          <w:shd w:val="clear" w:color="auto" w:fill="FFFFFF"/>
        </w:rPr>
        <w:t>政府采购严重违法失信名单</w:t>
      </w:r>
      <w:r>
        <w:rPr>
          <w:rFonts w:hint="eastAsia" w:ascii="宋体" w:hAnsi="宋体" w:cs="宋体"/>
          <w:color w:val="auto"/>
          <w:kern w:val="0"/>
          <w:szCs w:val="21"/>
        </w:rPr>
        <w:t>、</w:t>
      </w:r>
      <w:r>
        <w:rPr>
          <w:rFonts w:ascii="宋体" w:hAnsi="宋体" w:cs="仿宋_GB2312"/>
          <w:color w:val="auto"/>
          <w:szCs w:val="21"/>
          <w:shd w:val="clear" w:color="auto" w:fill="FFFFFF"/>
        </w:rPr>
        <w:t>政府采购严重违法失信行为记录名单</w:t>
      </w:r>
      <w:r>
        <w:rPr>
          <w:rFonts w:hint="eastAsia" w:ascii="宋体" w:hAnsi="宋体" w:cs="仿宋_GB2312"/>
          <w:color w:val="auto"/>
          <w:szCs w:val="21"/>
          <w:shd w:val="clear" w:color="auto" w:fill="FFFFFF"/>
        </w:rPr>
        <w:t>、</w:t>
      </w:r>
      <w:r>
        <w:rPr>
          <w:rFonts w:hint="eastAsia" w:ascii="宋体" w:hAnsi="宋体" w:cs="宋体"/>
          <w:color w:val="auto"/>
          <w:kern w:val="0"/>
          <w:szCs w:val="21"/>
        </w:rPr>
        <w:t>严重违法失信社会组织名单（联合体形式投标的，联合体成员存在不良信用记录，视同联合体存在不良信用记录）。</w:t>
      </w:r>
    </w:p>
    <w:p>
      <w:pPr>
        <w:pStyle w:val="80"/>
        <w:autoSpaceDE w:val="0"/>
        <w:autoSpaceDN w:val="0"/>
        <w:spacing w:line="360" w:lineRule="auto"/>
        <w:ind w:left="1700" w:leftChars="473" w:hanging="707" w:hangingChars="337"/>
        <w:contextualSpacing/>
        <w:rPr>
          <w:rFonts w:ascii="宋体" w:hAnsi="宋体" w:cs="宋体"/>
          <w:color w:val="auto"/>
          <w:kern w:val="0"/>
          <w:szCs w:val="21"/>
        </w:rPr>
      </w:pPr>
      <w:r>
        <w:rPr>
          <w:rFonts w:hint="eastAsia" w:ascii="宋体" w:hAnsi="宋体" w:cs="宋体"/>
          <w:color w:val="auto"/>
          <w:kern w:val="0"/>
          <w:szCs w:val="21"/>
        </w:rPr>
        <w:t>3.3.1  查询渠道：“信用中国”网站（</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）、“中国社会组织公共服务平台”网站（</w:t>
      </w:r>
      <w:r>
        <w:rPr>
          <w:rFonts w:ascii="宋体" w:hAnsi="宋体" w:cs="宋体"/>
          <w:color w:val="auto"/>
          <w:kern w:val="0"/>
          <w:szCs w:val="21"/>
        </w:rPr>
        <w:t>www.chinanpo.gov.cn</w:t>
      </w:r>
      <w:r>
        <w:rPr>
          <w:rFonts w:hint="eastAsia" w:ascii="宋体" w:hAnsi="宋体" w:cs="宋体"/>
          <w:color w:val="auto"/>
          <w:kern w:val="0"/>
          <w:szCs w:val="21"/>
        </w:rPr>
        <w:t>）；</w:t>
      </w:r>
    </w:p>
    <w:p>
      <w:pPr>
        <w:autoSpaceDE w:val="0"/>
        <w:autoSpaceDN w:val="0"/>
        <w:spacing w:line="360" w:lineRule="auto"/>
        <w:ind w:firstLine="945" w:firstLineChars="450"/>
        <w:contextualSpacing/>
        <w:rPr>
          <w:rFonts w:ascii="宋体" w:hAnsi="宋体" w:cs="宋体"/>
          <w:color w:val="auto"/>
          <w:kern w:val="0"/>
          <w:szCs w:val="21"/>
        </w:rPr>
      </w:pPr>
      <w:r>
        <w:rPr>
          <w:rFonts w:hint="eastAsia" w:ascii="宋体" w:hAnsi="宋体" w:cs="宋体"/>
          <w:color w:val="auto"/>
          <w:kern w:val="0"/>
          <w:szCs w:val="21"/>
        </w:rPr>
        <w:t>3.3.2  截止时间：同投标截止时间；</w:t>
      </w:r>
    </w:p>
    <w:p>
      <w:pPr>
        <w:pStyle w:val="80"/>
        <w:autoSpaceDE w:val="0"/>
        <w:autoSpaceDN w:val="0"/>
        <w:spacing w:line="360" w:lineRule="auto"/>
        <w:ind w:left="1700" w:leftChars="473" w:hanging="707" w:hangingChars="337"/>
        <w:contextualSpacing/>
        <w:rPr>
          <w:rFonts w:ascii="宋体" w:hAnsi="宋体" w:cs="宋体"/>
          <w:color w:val="auto"/>
          <w:kern w:val="0"/>
          <w:szCs w:val="21"/>
        </w:rPr>
      </w:pPr>
      <w:r>
        <w:rPr>
          <w:rFonts w:hint="eastAsia" w:ascii="宋体" w:hAnsi="宋体" w:cs="宋体"/>
          <w:color w:val="auto"/>
          <w:kern w:val="0"/>
          <w:szCs w:val="21"/>
        </w:rPr>
        <w:t>3.3.3  信用信息查询记录和证据留存具体方式：经采购人确认的查询结果网页截图作为查询记录和证据，与其他采购文件一并保存；</w:t>
      </w:r>
    </w:p>
    <w:p>
      <w:pPr>
        <w:pStyle w:val="80"/>
        <w:autoSpaceDE w:val="0"/>
        <w:autoSpaceDN w:val="0"/>
        <w:spacing w:line="360" w:lineRule="auto"/>
        <w:ind w:left="1698" w:leftChars="452" w:hanging="749" w:hangingChars="357"/>
        <w:contextualSpacing/>
        <w:rPr>
          <w:rFonts w:ascii="宋体" w:hAnsi="宋体" w:cs="宋体"/>
          <w:color w:val="auto"/>
          <w:kern w:val="0"/>
          <w:szCs w:val="21"/>
        </w:rPr>
      </w:pPr>
      <w:r>
        <w:rPr>
          <w:rFonts w:hint="eastAsia" w:ascii="宋体" w:hAnsi="宋体" w:cs="宋体"/>
          <w:color w:val="auto"/>
          <w:kern w:val="0"/>
          <w:szCs w:val="21"/>
        </w:rPr>
        <w:t>3.3.4  信用信息的使用原则：经采购人认定的被列入失信被执行人、重大税收违法案件当事人名单、</w:t>
      </w:r>
      <w:r>
        <w:rPr>
          <w:rFonts w:ascii="宋体" w:hAnsi="宋体" w:cs="仿宋_GB2312"/>
          <w:color w:val="auto"/>
          <w:szCs w:val="21"/>
          <w:shd w:val="clear" w:color="auto" w:fill="FFFFFF"/>
        </w:rPr>
        <w:t>政府采购严重违法失信名单</w:t>
      </w:r>
      <w:r>
        <w:rPr>
          <w:rFonts w:hint="eastAsia" w:ascii="宋体" w:hAnsi="宋体" w:cs="宋体"/>
          <w:color w:val="auto"/>
          <w:kern w:val="0"/>
          <w:szCs w:val="21"/>
        </w:rPr>
        <w:t>、</w:t>
      </w:r>
      <w:r>
        <w:rPr>
          <w:rFonts w:ascii="宋体" w:hAnsi="宋体" w:cs="仿宋_GB2312"/>
          <w:color w:val="auto"/>
          <w:szCs w:val="21"/>
          <w:shd w:val="clear" w:color="auto" w:fill="FFFFFF"/>
        </w:rPr>
        <w:t>政府采购严重违法失信行为记录名单</w:t>
      </w:r>
      <w:r>
        <w:rPr>
          <w:rFonts w:hint="eastAsia" w:ascii="宋体" w:hAnsi="宋体" w:cs="仿宋_GB2312"/>
          <w:color w:val="auto"/>
          <w:szCs w:val="21"/>
          <w:shd w:val="clear" w:color="auto" w:fill="FFFFFF"/>
        </w:rPr>
        <w:t>、</w:t>
      </w:r>
      <w:r>
        <w:rPr>
          <w:rFonts w:hint="eastAsia" w:ascii="宋体" w:hAnsi="宋体" w:cs="宋体"/>
          <w:color w:val="auto"/>
          <w:kern w:val="0"/>
          <w:szCs w:val="21"/>
        </w:rPr>
        <w:t>严重违法失信社会组织名单的投标人，将拒绝其参与本次政府采购活动。</w:t>
      </w:r>
    </w:p>
    <w:p>
      <w:pPr>
        <w:pStyle w:val="80"/>
        <w:autoSpaceDE w:val="0"/>
        <w:autoSpaceDN w:val="0"/>
        <w:spacing w:line="360" w:lineRule="auto"/>
        <w:ind w:left="1698" w:leftChars="453" w:hanging="747" w:hangingChars="356"/>
        <w:contextualSpacing/>
        <w:rPr>
          <w:rFonts w:ascii="宋体" w:hAnsi="宋体" w:cs="宋体"/>
          <w:color w:val="auto"/>
          <w:kern w:val="0"/>
          <w:szCs w:val="21"/>
        </w:rPr>
      </w:pPr>
      <w:r>
        <w:rPr>
          <w:rFonts w:hint="eastAsia" w:ascii="宋体" w:hAnsi="宋体" w:cs="宋体"/>
          <w:color w:val="auto"/>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ascii="宋体" w:hAnsi="宋体" w:cs="宋体"/>
          <w:color w:val="auto"/>
          <w:kern w:val="0"/>
          <w:szCs w:val="21"/>
          <w:highlight w:val="cyan"/>
        </w:rPr>
      </w:pPr>
      <w:r>
        <w:rPr>
          <w:rFonts w:hint="eastAsia" w:ascii="宋体" w:hAnsi="宋体" w:cs="宋体"/>
          <w:color w:val="auto"/>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ascii="宋体" w:hAnsi="宋体" w:cs="宋体"/>
          <w:color w:val="auto"/>
          <w:kern w:val="0"/>
          <w:szCs w:val="21"/>
          <w:highlight w:val="cyan"/>
        </w:rPr>
      </w:pPr>
      <w:r>
        <w:rPr>
          <w:rFonts w:hint="eastAsia" w:ascii="宋体" w:hAnsi="宋体" w:cs="宋体"/>
          <w:color w:val="auto"/>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ascii="宋体" w:hAnsi="宋体" w:cs="宋体"/>
          <w:color w:val="auto"/>
          <w:kern w:val="0"/>
          <w:szCs w:val="21"/>
        </w:rPr>
      </w:pPr>
      <w:r>
        <w:rPr>
          <w:rFonts w:hint="eastAsia" w:ascii="宋体" w:hAnsi="宋体" w:cs="宋体"/>
          <w:color w:val="auto"/>
          <w:kern w:val="0"/>
          <w:szCs w:val="21"/>
        </w:rPr>
        <w:t>3.6  “投标邀请”和“投标人须知前附表”规定接受联合体投标的，除应符合本章第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项和3.2项要求外，还应遵守以下规定：</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ascii="宋体" w:hAnsi="宋体" w:cs="宋体"/>
          <w:color w:val="auto"/>
          <w:kern w:val="0"/>
          <w:szCs w:val="21"/>
        </w:rPr>
      </w:pPr>
      <w:r>
        <w:rPr>
          <w:rFonts w:hint="eastAsia" w:ascii="宋体" w:hAnsi="宋体" w:cs="宋体"/>
          <w:color w:val="auto"/>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ascii="宋体" w:hAnsi="宋体" w:cs="宋体"/>
          <w:color w:val="auto"/>
          <w:kern w:val="0"/>
          <w:szCs w:val="21"/>
        </w:rPr>
      </w:pPr>
      <w:r>
        <w:rPr>
          <w:rFonts w:hint="eastAsia" w:ascii="宋体" w:hAnsi="宋体" w:cs="宋体"/>
          <w:color w:val="auto"/>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ascii="宋体" w:hAnsi="宋体" w:cs="宋体"/>
          <w:color w:val="auto"/>
          <w:kern w:val="0"/>
          <w:szCs w:val="21"/>
        </w:rPr>
      </w:pPr>
      <w:r>
        <w:rPr>
          <w:rFonts w:hint="eastAsia" w:ascii="宋体" w:hAnsi="宋体" w:cs="宋体"/>
          <w:color w:val="auto"/>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ascii="宋体" w:hAnsi="宋体" w:cs="宋体"/>
          <w:color w:val="auto"/>
          <w:kern w:val="0"/>
          <w:szCs w:val="21"/>
        </w:rPr>
      </w:pPr>
      <w:r>
        <w:rPr>
          <w:rFonts w:hint="eastAsia" w:ascii="宋体" w:hAnsi="宋体" w:cs="宋体"/>
          <w:color w:val="auto"/>
          <w:kern w:val="0"/>
          <w:szCs w:val="21"/>
        </w:rPr>
        <w:t xml:space="preserve">3.6.5  </w:t>
      </w:r>
      <w:r>
        <w:rPr>
          <w:rFonts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"https://baike.baidu.com/item/æ¿æè¿å¸¦è´£ä" \t "_blank" </w:instrText>
      </w:r>
      <w:r>
        <w:rPr>
          <w:color w:val="auto"/>
        </w:rPr>
        <w:fldChar w:fldCharType="separate"/>
      </w:r>
      <w:r>
        <w:rPr>
          <w:rFonts w:ascii="宋体" w:hAnsi="宋体" w:cs="宋体"/>
          <w:color w:val="auto"/>
          <w:kern w:val="0"/>
          <w:szCs w:val="21"/>
        </w:rPr>
        <w:t>承担连带责任</w:t>
      </w:r>
      <w:r>
        <w:rPr>
          <w:rFonts w:ascii="宋体" w:hAnsi="宋体" w:cs="宋体"/>
          <w:color w:val="auto"/>
          <w:kern w:val="0"/>
          <w:szCs w:val="21"/>
        </w:rPr>
        <w:fldChar w:fldCharType="end"/>
      </w:r>
      <w:r>
        <w:rPr>
          <w:rFonts w:ascii="宋体" w:hAnsi="宋体" w:cs="宋体"/>
          <w:color w:val="auto"/>
          <w:kern w:val="0"/>
          <w:szCs w:val="21"/>
        </w:rPr>
        <w:t>。</w:t>
      </w:r>
    </w:p>
    <w:p>
      <w:pPr>
        <w:autoSpaceDE w:val="0"/>
        <w:autoSpaceDN w:val="0"/>
        <w:spacing w:line="360" w:lineRule="auto"/>
        <w:ind w:firstLine="424" w:firstLineChars="202"/>
        <w:contextualSpacing/>
        <w:rPr>
          <w:rFonts w:ascii="宋体" w:hAnsi="宋体" w:cs="宋体"/>
          <w:color w:val="auto"/>
          <w:kern w:val="0"/>
          <w:szCs w:val="21"/>
        </w:rPr>
      </w:pPr>
      <w:r>
        <w:rPr>
          <w:rFonts w:hint="eastAsia" w:ascii="宋体" w:hAnsi="宋体" w:cs="宋体"/>
          <w:color w:val="auto"/>
          <w:kern w:val="0"/>
          <w:szCs w:val="21"/>
        </w:rPr>
        <w:t>3.7  法律、行政法规规定的其他条件。</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合格的货物和服务</w:t>
      </w:r>
    </w:p>
    <w:p>
      <w:pPr>
        <w:pStyle w:val="80"/>
        <w:numPr>
          <w:ilvl w:val="0"/>
          <w:numId w:val="6"/>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投标人所提供的服务应当没有侵犯任何第三方的知识产权、技术秘密等合法权利。</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color w:val="auto"/>
          <w:szCs w:val="21"/>
          <w:shd w:val="clear" w:color="auto" w:fill="FFFFFF"/>
        </w:rPr>
        <w:t>根据《强制性产品认证管理规定》（质检总局第117号令）要求，</w:t>
      </w:r>
      <w:r>
        <w:rPr>
          <w:rFonts w:hint="eastAsia" w:ascii="宋体" w:hAnsi="宋体" w:cs="宋体"/>
          <w:color w:val="auto"/>
          <w:kern w:val="0"/>
          <w:szCs w:val="21"/>
        </w:rPr>
        <w:t>如投标人所投产品被列入</w:t>
      </w:r>
      <w:r>
        <w:rPr>
          <w:rFonts w:ascii="宋体" w:hAnsi="宋体" w:cs="宋体"/>
          <w:color w:val="auto"/>
          <w:kern w:val="0"/>
          <w:szCs w:val="21"/>
        </w:rPr>
        <w:t>《中华人民共和国实施强制性产品认证的产品目录》，</w:t>
      </w:r>
      <w:r>
        <w:rPr>
          <w:rFonts w:hint="eastAsia" w:ascii="宋体" w:hAnsi="宋体" w:cs="宋体"/>
          <w:color w:val="auto"/>
          <w:kern w:val="0"/>
          <w:szCs w:val="21"/>
        </w:rPr>
        <w:t>则该产品应</w:t>
      </w:r>
      <w:r>
        <w:rPr>
          <w:rFonts w:ascii="宋体" w:hAnsi="宋体" w:cs="宋体"/>
          <w:color w:val="auto"/>
          <w:kern w:val="0"/>
          <w:szCs w:val="21"/>
        </w:rPr>
        <w:t>具备国家认监委</w:t>
      </w:r>
      <w:r>
        <w:rPr>
          <w:rFonts w:hint="eastAsia" w:ascii="宋体" w:hAnsi="宋体" w:cs="宋体"/>
          <w:color w:val="auto"/>
          <w:kern w:val="0"/>
          <w:szCs w:val="21"/>
        </w:rPr>
        <w:t>指定强制性产品认证机构</w:t>
      </w:r>
      <w:r>
        <w:rPr>
          <w:rFonts w:ascii="宋体" w:hAnsi="宋体" w:cs="宋体"/>
          <w:color w:val="auto"/>
          <w:kern w:val="0"/>
          <w:szCs w:val="21"/>
        </w:rPr>
        <w:t>颁</w:t>
      </w:r>
      <w:r>
        <w:rPr>
          <w:rFonts w:hint="eastAsia" w:ascii="宋体" w:hAnsi="宋体" w:cs="宋体"/>
          <w:color w:val="auto"/>
          <w:kern w:val="0"/>
          <w:szCs w:val="21"/>
        </w:rPr>
        <w:t>发的</w:t>
      </w:r>
      <w:r>
        <w:rPr>
          <w:rFonts w:ascii="宋体" w:hAnsi="宋体" w:cs="宋体"/>
          <w:color w:val="auto"/>
          <w:kern w:val="0"/>
          <w:szCs w:val="21"/>
        </w:rPr>
        <w:t>《中国</w:t>
      </w:r>
      <w:r>
        <w:rPr>
          <w:rFonts w:hint="eastAsia" w:ascii="宋体" w:hAnsi="宋体" w:cs="宋体"/>
          <w:color w:val="auto"/>
          <w:kern w:val="0"/>
          <w:szCs w:val="21"/>
        </w:rPr>
        <w:t>国家</w:t>
      </w:r>
      <w:r>
        <w:rPr>
          <w:rFonts w:ascii="宋体" w:hAnsi="宋体" w:cs="宋体"/>
          <w:color w:val="auto"/>
          <w:kern w:val="0"/>
          <w:szCs w:val="21"/>
        </w:rPr>
        <w:t>强制</w:t>
      </w:r>
      <w:r>
        <w:rPr>
          <w:rFonts w:hint="eastAsia" w:ascii="宋体" w:hAnsi="宋体" w:cs="宋体"/>
          <w:color w:val="auto"/>
          <w:kern w:val="0"/>
          <w:szCs w:val="21"/>
        </w:rPr>
        <w:t>性产品</w:t>
      </w:r>
      <w:r>
        <w:rPr>
          <w:rFonts w:ascii="宋体" w:hAnsi="宋体" w:cs="宋体"/>
          <w:color w:val="auto"/>
          <w:kern w:val="0"/>
          <w:szCs w:val="21"/>
        </w:rPr>
        <w:t>认证</w:t>
      </w:r>
      <w:r>
        <w:rPr>
          <w:rFonts w:hint="eastAsia" w:ascii="宋体" w:hAnsi="宋体" w:cs="宋体"/>
          <w:color w:val="auto"/>
          <w:kern w:val="0"/>
          <w:szCs w:val="21"/>
        </w:rPr>
        <w:t>证书</w:t>
      </w:r>
      <w:r>
        <w:rPr>
          <w:rFonts w:ascii="宋体" w:hAnsi="宋体" w:cs="宋体"/>
          <w:color w:val="auto"/>
          <w:kern w:val="0"/>
          <w:szCs w:val="21"/>
        </w:rPr>
        <w:t>》（CCC 认证）。</w:t>
      </w:r>
      <w:r>
        <w:rPr>
          <w:rFonts w:hint="eastAsia" w:ascii="宋体" w:hAnsi="宋体" w:cs="宋体"/>
          <w:color w:val="auto"/>
          <w:kern w:val="0"/>
          <w:szCs w:val="21"/>
        </w:rPr>
        <w:t>投标人</w:t>
      </w:r>
      <w:r>
        <w:rPr>
          <w:rFonts w:ascii="宋体" w:hAnsi="宋体" w:cs="宋体"/>
          <w:color w:val="auto"/>
          <w:kern w:val="0"/>
          <w:szCs w:val="21"/>
        </w:rPr>
        <w:t>不能提供超出此目录范畴外的替代品</w:t>
      </w:r>
      <w:r>
        <w:rPr>
          <w:rFonts w:hint="eastAsia" w:ascii="宋体" w:hAnsi="宋体" w:cs="宋体"/>
          <w:color w:val="auto"/>
          <w:kern w:val="0"/>
          <w:szCs w:val="21"/>
        </w:rPr>
        <w:t>。</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根据财政部、工业和信息化部、国家质检总局、国家认监委联合发布</w:t>
      </w:r>
      <w:bookmarkStart w:id="0" w:name="baidusnap0"/>
      <w:bookmarkEnd w:id="0"/>
      <w:r>
        <w:rPr>
          <w:rFonts w:hint="eastAsia" w:ascii="宋体" w:hAnsi="宋体" w:cs="宋体"/>
          <w:color w:val="auto"/>
          <w:kern w:val="0"/>
          <w:szCs w:val="21"/>
        </w:rPr>
        <w:t>《关于信息安全产品实施政府采购的通知》（财库[2010]48号）要求，投标人所投产品如被列入</w:t>
      </w:r>
      <w:r>
        <w:rPr>
          <w:rFonts w:ascii="宋体" w:hAnsi="宋体" w:cs="宋体"/>
          <w:color w:val="auto"/>
          <w:kern w:val="0"/>
          <w:szCs w:val="21"/>
        </w:rPr>
        <w:t>《信息安全产品强制性认证目录》，</w:t>
      </w:r>
      <w:r>
        <w:rPr>
          <w:rFonts w:hint="eastAsia" w:ascii="宋体" w:hAnsi="宋体" w:cs="宋体"/>
          <w:color w:val="auto"/>
          <w:kern w:val="0"/>
          <w:szCs w:val="21"/>
        </w:rPr>
        <w:t>则该产品应</w:t>
      </w:r>
      <w:r>
        <w:rPr>
          <w:rFonts w:ascii="宋体" w:hAnsi="宋体" w:cs="宋体"/>
          <w:color w:val="auto"/>
          <w:kern w:val="0"/>
          <w:szCs w:val="21"/>
        </w:rPr>
        <w:t>具备</w:t>
      </w:r>
      <w:r>
        <w:rPr>
          <w:rFonts w:hint="eastAsia" w:ascii="宋体" w:hAnsi="宋体" w:cs="宋体"/>
          <w:color w:val="auto"/>
          <w:kern w:val="0"/>
          <w:szCs w:val="21"/>
        </w:rPr>
        <w:t>中国信息安全认证中心</w:t>
      </w:r>
      <w:r>
        <w:rPr>
          <w:rFonts w:ascii="宋体" w:hAnsi="宋体" w:cs="宋体"/>
          <w:color w:val="auto"/>
          <w:kern w:val="0"/>
          <w:szCs w:val="21"/>
        </w:rPr>
        <w:t>颁</w:t>
      </w:r>
      <w:r>
        <w:rPr>
          <w:rFonts w:hint="eastAsia" w:ascii="宋体" w:hAnsi="宋体" w:cs="宋体"/>
          <w:color w:val="auto"/>
          <w:kern w:val="0"/>
          <w:szCs w:val="21"/>
        </w:rPr>
        <w:t>发的</w:t>
      </w:r>
      <w:r>
        <w:rPr>
          <w:rFonts w:ascii="宋体" w:hAnsi="宋体" w:cs="宋体"/>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ascii="宋体" w:hAnsi="宋体" w:cs="宋体"/>
          <w:color w:val="auto"/>
          <w:kern w:val="0"/>
          <w:szCs w:val="21"/>
        </w:rPr>
        <w:t>》。</w:t>
      </w:r>
      <w:r>
        <w:rPr>
          <w:rFonts w:hint="eastAsia" w:ascii="宋体" w:hAnsi="宋体" w:cs="宋体"/>
          <w:color w:val="auto"/>
          <w:kern w:val="0"/>
          <w:szCs w:val="21"/>
        </w:rPr>
        <w:t>投标人</w:t>
      </w:r>
      <w:r>
        <w:rPr>
          <w:rFonts w:ascii="宋体" w:hAnsi="宋体" w:cs="宋体"/>
          <w:color w:val="auto"/>
          <w:kern w:val="0"/>
          <w:szCs w:val="21"/>
        </w:rPr>
        <w:t>不能提供超出此目录范畴外的替代品</w:t>
      </w:r>
      <w:r>
        <w:rPr>
          <w:rFonts w:hint="eastAsia" w:ascii="宋体" w:hAnsi="宋体" w:cs="宋体"/>
          <w:color w:val="auto"/>
          <w:kern w:val="0"/>
          <w:szCs w:val="21"/>
        </w:rPr>
        <w:t>。</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投标费用</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信息发布</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采购代理机构代理费用收取标准和方式</w:t>
      </w:r>
    </w:p>
    <w:p>
      <w:pPr>
        <w:pStyle w:val="80"/>
        <w:autoSpaceDE w:val="0"/>
        <w:autoSpaceDN w:val="0"/>
        <w:spacing w:line="360" w:lineRule="auto"/>
        <w:ind w:left="964" w:firstLine="0" w:firstLineChars="0"/>
        <w:contextualSpacing/>
        <w:rPr>
          <w:rFonts w:ascii="宋体" w:hAnsi="宋体" w:cs="宋体"/>
          <w:color w:val="auto"/>
          <w:kern w:val="0"/>
          <w:szCs w:val="21"/>
        </w:rPr>
      </w:pPr>
      <w:r>
        <w:rPr>
          <w:rFonts w:hint="eastAsia" w:ascii="宋体" w:hAnsi="宋体" w:cs="宋体"/>
          <w:color w:val="auto"/>
          <w:kern w:val="0"/>
          <w:szCs w:val="21"/>
        </w:rPr>
        <w:t>详见投标人须知前附表。</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其他</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招标文件构成</w:t>
      </w:r>
    </w:p>
    <w:p>
      <w:pPr>
        <w:pStyle w:val="80"/>
        <w:numPr>
          <w:ilvl w:val="0"/>
          <w:numId w:val="7"/>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招标文件由以下部分组成：</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（1）投标邀请（招标公告）</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（2）项目需求</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（3）投标人须知前附表</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（4）投标人须知</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（5）政府采购政策功能</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（6）资格审查与评标</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（7）合同条款及格式</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（8）投标文件有关格式</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（9）本项目招标文件的澄清、答复、修改、补充内容（如有的话）</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80"/>
        <w:autoSpaceDE w:val="0"/>
        <w:autoSpaceDN w:val="0"/>
        <w:spacing w:line="360" w:lineRule="auto"/>
        <w:ind w:left="964" w:firstLine="0" w:firstLineChars="0"/>
        <w:contextualSpacing/>
        <w:rPr>
          <w:rFonts w:ascii="宋体" w:hAnsi="宋体" w:cs="宋体"/>
          <w:color w:val="auto"/>
          <w:kern w:val="0"/>
          <w:szCs w:val="21"/>
        </w:rPr>
      </w:pP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现场考察、开标前答疑会</w:t>
      </w:r>
    </w:p>
    <w:p>
      <w:pPr>
        <w:pStyle w:val="80"/>
        <w:numPr>
          <w:ilvl w:val="0"/>
          <w:numId w:val="7"/>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现场考察及参加开标前答疑会所发生的费用及一切责任由投标人自行承担。</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招标文件的澄清或修改</w:t>
      </w:r>
    </w:p>
    <w:p>
      <w:pPr>
        <w:pStyle w:val="80"/>
        <w:numPr>
          <w:ilvl w:val="0"/>
          <w:numId w:val="8"/>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在投标截止期前，无论出于何种原因，招标人可主动地或在解答潜在投标人提出的澄清问题时对招标文件进行修改。</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如果澄清或者修改发出的时间距规定的投标截止时间不足15日，招标人将顺延提交投标文件的截止时间。</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投标的语言及计量单位</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pStyle w:val="80"/>
        <w:autoSpaceDE w:val="0"/>
        <w:autoSpaceDN w:val="0"/>
        <w:spacing w:line="360" w:lineRule="auto"/>
        <w:ind w:left="964" w:firstLine="0" w:firstLineChars="0"/>
        <w:contextualSpacing/>
        <w:rPr>
          <w:rFonts w:ascii="宋体" w:hAnsi="宋体" w:cs="宋体"/>
          <w:color w:val="auto"/>
          <w:kern w:val="0"/>
          <w:szCs w:val="21"/>
        </w:rPr>
      </w:pP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投标报价</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本次招标项目的投标均以人民币为计算单位。</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采购人不得向投标人索要或者接受其给予的赠品、回扣或者与采购无关的其他商品、服务。</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投标人应对项目要求的全部内容进行报价，少报漏报将导致其投标为非实质性响应予以拒绝。</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本项目所涉及的运输、施工、安装、集成、调试、验收、备品和工具等费用均包含在投标报价中。</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最低报价不能作为中标的保证。</w:t>
      </w:r>
    </w:p>
    <w:p>
      <w:pPr>
        <w:autoSpaceDE w:val="0"/>
        <w:autoSpaceDN w:val="0"/>
        <w:spacing w:line="360" w:lineRule="auto"/>
        <w:ind w:left="420"/>
        <w:contextualSpacing/>
        <w:rPr>
          <w:rFonts w:ascii="宋体" w:hAnsi="宋体" w:cs="宋体"/>
          <w:color w:val="auto"/>
          <w:kern w:val="0"/>
          <w:szCs w:val="21"/>
        </w:rPr>
      </w:pP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投标有效期</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投标有效期内投标人撤销投标文件的，投标人将承担违背投标承诺函的责任追究。</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中标人的投标文件作为项目合同的附件，其有效期至中标人全部合同义务履行完毕为止。</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投标文件构成</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投标文件的构成应符合法律法规及招标文件的要求。</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投标文件由资格证明材料、符合性证明材料、其它材料等组成。</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color w:val="auto"/>
          <w:kern w:val="0"/>
          <w:szCs w:val="21"/>
        </w:rPr>
        <w:t>.file</w:t>
      </w:r>
      <w:r>
        <w:rPr>
          <w:rFonts w:hint="eastAsia" w:ascii="宋体" w:hAnsi="宋体" w:cs="宋体"/>
          <w:color w:val="auto"/>
          <w:kern w:val="0"/>
          <w:szCs w:val="21"/>
        </w:rPr>
        <w:t>”的文件用于电子投标使用，后缀名为“.PDF”的文件用于上传投标文件。</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电子投标文件制作技术咨询：</w:t>
      </w:r>
      <w:r>
        <w:rPr>
          <w:rFonts w:hint="eastAsia" w:ascii="宋体" w:hAnsi="宋体" w:cs="宋体"/>
          <w:b/>
          <w:color w:val="auto"/>
          <w:kern w:val="0"/>
          <w:szCs w:val="21"/>
        </w:rPr>
        <w:t>0374-2961598</w:t>
      </w:r>
      <w:r>
        <w:rPr>
          <w:rFonts w:hint="eastAsia" w:ascii="宋体" w:hAnsi="宋体" w:cs="宋体"/>
          <w:color w:val="auto"/>
          <w:kern w:val="0"/>
          <w:szCs w:val="21"/>
        </w:rPr>
        <w:t>。</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投标文件格式</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按招标文件格式编制</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投标保证金</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本项目不收取投标保证金。</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投标人应提供投标承诺函。</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投标文件的数量和签署盖章</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投标人应提交投标文件份数见“投标人须知前附表”。</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color w:val="auto"/>
          <w:kern w:val="0"/>
          <w:szCs w:val="21"/>
        </w:rPr>
      </w:pPr>
      <w:r>
        <w:rPr>
          <w:rFonts w:hint="eastAsia" w:ascii="宋体" w:hAnsi="宋体" w:cs="宋体"/>
          <w:b/>
          <w:color w:val="auto"/>
          <w:kern w:val="0"/>
          <w:szCs w:val="21"/>
        </w:rPr>
        <w:t>四、投标文件的递交</w:t>
      </w:r>
    </w:p>
    <w:p>
      <w:pPr>
        <w:autoSpaceDE w:val="0"/>
        <w:autoSpaceDN w:val="0"/>
        <w:spacing w:line="360" w:lineRule="auto"/>
        <w:contextualSpacing/>
        <w:rPr>
          <w:rFonts w:ascii="宋体" w:hAnsi="宋体" w:cs="宋体"/>
          <w:b/>
          <w:bCs/>
          <w:color w:val="auto"/>
          <w:kern w:val="0"/>
          <w:szCs w:val="21"/>
        </w:rPr>
      </w:pPr>
      <w:r>
        <w:rPr>
          <w:rFonts w:hint="eastAsia" w:ascii="宋体" w:hAnsi="宋体" w:cs="宋体"/>
          <w:b/>
          <w:bCs/>
          <w:color w:val="auto"/>
          <w:kern w:val="0"/>
          <w:szCs w:val="21"/>
        </w:rPr>
        <w:t>19.投标文件的密封</w:t>
      </w:r>
    </w:p>
    <w:p>
      <w:pPr>
        <w:autoSpaceDE w:val="0"/>
        <w:autoSpaceDN w:val="0"/>
        <w:spacing w:line="360" w:lineRule="auto"/>
        <w:ind w:left="420"/>
        <w:contextualSpacing/>
        <w:rPr>
          <w:rFonts w:ascii="宋体" w:hAnsi="宋体" w:cs="宋体"/>
          <w:color w:val="auto"/>
          <w:kern w:val="0"/>
          <w:szCs w:val="21"/>
        </w:rPr>
      </w:pPr>
      <w:r>
        <w:rPr>
          <w:rFonts w:hint="eastAsia" w:ascii="宋体" w:hAnsi="宋体" w:cs="宋体"/>
          <w:color w:val="auto"/>
          <w:kern w:val="0"/>
          <w:szCs w:val="21"/>
        </w:rPr>
        <w:t>19.1 投标人必须在“投标邀请”和“投标人须知前附表”中规定的投标截止时间前，将加密电子投标文件（.file格式）通过《全国公共资源交易平台(河南省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cs="宋体"/>
          <w:color w:val="auto"/>
          <w:kern w:val="0"/>
          <w:szCs w:val="21"/>
        </w:rPr>
        <w:t>许昌市)》公共资源交易系统成功上传。</w:t>
      </w:r>
    </w:p>
    <w:p>
      <w:pPr>
        <w:autoSpaceDE w:val="0"/>
        <w:autoSpaceDN w:val="0"/>
        <w:spacing w:line="360" w:lineRule="auto"/>
        <w:ind w:left="420"/>
        <w:contextualSpacing/>
        <w:rPr>
          <w:rFonts w:ascii="宋体" w:hAnsi="宋体" w:cs="宋体"/>
          <w:color w:val="auto"/>
          <w:kern w:val="0"/>
          <w:szCs w:val="21"/>
        </w:rPr>
      </w:pPr>
      <w:r>
        <w:rPr>
          <w:rFonts w:hint="eastAsia" w:ascii="宋体" w:hAnsi="宋体" w:cs="宋体"/>
          <w:color w:val="auto"/>
          <w:kern w:val="0"/>
          <w:szCs w:val="21"/>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投标截止时间</w:t>
      </w:r>
    </w:p>
    <w:p>
      <w:pPr>
        <w:pStyle w:val="80"/>
        <w:numPr>
          <w:ilvl w:val="0"/>
          <w:numId w:val="9"/>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投标人必须在“投标邀请”和“投标人须知前附表”中规定的投标截止时间前，将所有投标文件送达招标文件指定的开标地点。</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招标人收到投标文件后，应当如实记载投标文件的送达时间和密封情况，签收保存，并向投标人出具签收回执。任何单位和个人不得在开标前开启投标文件。</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0"/>
        <w:autoSpaceDE w:val="0"/>
        <w:autoSpaceDN w:val="0"/>
        <w:spacing w:line="360" w:lineRule="auto"/>
        <w:ind w:left="964" w:firstLine="0" w:firstLineChars="0"/>
        <w:contextualSpacing/>
        <w:rPr>
          <w:rFonts w:ascii="宋体" w:hAnsi="宋体" w:cs="宋体"/>
          <w:color w:val="auto"/>
          <w:kern w:val="0"/>
          <w:szCs w:val="21"/>
        </w:rPr>
      </w:pP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迟交的投标文件</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投标截止时间之后送达/上传的投标文件，招标人将拒绝接收。</w:t>
      </w:r>
    </w:p>
    <w:p>
      <w:pPr>
        <w:autoSpaceDE w:val="0"/>
        <w:autoSpaceDN w:val="0"/>
        <w:spacing w:line="360" w:lineRule="auto"/>
        <w:ind w:left="964"/>
        <w:contextualSpacing/>
        <w:rPr>
          <w:rFonts w:ascii="宋体" w:hAnsi="宋体" w:cs="宋体"/>
          <w:color w:val="auto"/>
          <w:kern w:val="0"/>
          <w:szCs w:val="21"/>
        </w:rPr>
      </w:pP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投标文件的修改和撤回</w:t>
      </w:r>
    </w:p>
    <w:p>
      <w:pPr>
        <w:pStyle w:val="80"/>
        <w:numPr>
          <w:ilvl w:val="0"/>
          <w:numId w:val="10"/>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投标人在投标截止时间前，对所递交的投标文件进行补充、修改或者撤回的，须书面通知招标人。</w:t>
      </w:r>
    </w:p>
    <w:p>
      <w:pPr>
        <w:autoSpaceDE w:val="0"/>
        <w:autoSpaceDN w:val="0"/>
        <w:spacing w:line="360" w:lineRule="auto"/>
        <w:ind w:left="964"/>
        <w:contextualSpacing/>
        <w:rPr>
          <w:rFonts w:ascii="宋体" w:hAnsi="宋体" w:cs="宋体"/>
          <w:color w:val="auto"/>
          <w:kern w:val="0"/>
          <w:szCs w:val="21"/>
        </w:rPr>
      </w:pPr>
      <w:r>
        <w:rPr>
          <w:rFonts w:hint="eastAsia" w:ascii="宋体" w:hAnsi="宋体" w:cs="宋体"/>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投标人补充、修改的内容并作为投标文件的组成部分。补充或修改应当按招标文件要求签署、盖章、密封、递交，并应注明“修改</w:t>
      </w:r>
      <w:r>
        <w:rPr>
          <w:rFonts w:ascii="宋体" w:hAnsi="宋体" w:cs="宋体"/>
          <w:color w:val="auto"/>
          <w:kern w:val="0"/>
          <w:szCs w:val="21"/>
        </w:rPr>
        <w:t>”</w:t>
      </w:r>
      <w:r>
        <w:rPr>
          <w:rFonts w:hint="eastAsia" w:ascii="宋体" w:hAnsi="宋体" w:cs="宋体"/>
          <w:color w:val="auto"/>
          <w:kern w:val="0"/>
          <w:szCs w:val="21"/>
        </w:rPr>
        <w:t>或“补充</w:t>
      </w:r>
      <w:r>
        <w:rPr>
          <w:rFonts w:ascii="宋体" w:hAnsi="宋体" w:cs="宋体"/>
          <w:color w:val="auto"/>
          <w:kern w:val="0"/>
          <w:szCs w:val="21"/>
        </w:rPr>
        <w:t>”</w:t>
      </w:r>
      <w:r>
        <w:rPr>
          <w:rFonts w:hint="eastAsia" w:ascii="宋体" w:hAnsi="宋体" w:cs="宋体"/>
          <w:color w:val="auto"/>
          <w:kern w:val="0"/>
          <w:szCs w:val="21"/>
        </w:rPr>
        <w:t>字样。</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投标人在递交投标文件后，可以撤回其投标，但投标人必须在规定的投标截止时间前以书面形式告知招标人。</w:t>
      </w:r>
    </w:p>
    <w:p>
      <w:pPr>
        <w:pStyle w:val="80"/>
        <w:numPr>
          <w:ilvl w:val="1"/>
          <w:numId w:val="5"/>
        </w:numPr>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投标人不得在投标有效期内撤销投标文件，否则投标人将承担违背投标承诺函的责任追究。</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除投标人须知前附表另有规定外，投标人所提交的电子投标文件不予退还。</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pStyle w:val="80"/>
        <w:numPr>
          <w:ilvl w:val="0"/>
          <w:numId w:val="5"/>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开标</w:t>
      </w:r>
    </w:p>
    <w:p>
      <w:pPr>
        <w:pStyle w:val="80"/>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80"/>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80"/>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80"/>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23.4如无投标人提出异议，采购代理机构通过“文字互动”对话框通知各投标人进行电子签章。投标人应在《开标记录表》上进行电子签章，未进行电子签章的视为对开标结果无异议。</w:t>
      </w:r>
    </w:p>
    <w:p>
      <w:pPr>
        <w:pStyle w:val="80"/>
        <w:autoSpaceDE w:val="0"/>
        <w:autoSpaceDN w:val="0"/>
        <w:spacing w:line="360" w:lineRule="auto"/>
        <w:ind w:firstLineChars="0"/>
        <w:contextualSpacing/>
        <w:rPr>
          <w:rFonts w:ascii="宋体" w:hAnsi="宋体" w:cs="宋体"/>
          <w:color w:val="auto"/>
          <w:kern w:val="0"/>
          <w:szCs w:val="21"/>
        </w:rPr>
      </w:pPr>
      <w:r>
        <w:rPr>
          <w:rFonts w:hint="eastAsia" w:ascii="宋体" w:hAnsi="宋体" w:cs="宋体"/>
          <w:color w:val="auto"/>
          <w:kern w:val="0"/>
          <w:szCs w:val="21"/>
        </w:rPr>
        <w:t>23.5采购人（代理机构）签章并上传《开标记录表》，不见面开标活动结束。</w:t>
      </w:r>
    </w:p>
    <w:p>
      <w:pPr>
        <w:pStyle w:val="80"/>
        <w:numPr>
          <w:ilvl w:val="0"/>
          <w:numId w:val="5"/>
        </w:numPr>
        <w:autoSpaceDE w:val="0"/>
        <w:autoSpaceDN w:val="0"/>
        <w:spacing w:line="360" w:lineRule="auto"/>
        <w:ind w:firstLineChars="0"/>
        <w:contextualSpacing/>
        <w:jc w:val="left"/>
        <w:rPr>
          <w:rFonts w:ascii="宋体" w:hAnsi="宋体" w:cs="宋体"/>
          <w:b/>
          <w:color w:val="auto"/>
          <w:kern w:val="0"/>
          <w:szCs w:val="21"/>
        </w:rPr>
      </w:pPr>
      <w:r>
        <w:rPr>
          <w:rFonts w:hint="eastAsia" w:ascii="宋体" w:hAnsi="宋体" w:cs="宋体"/>
          <w:b/>
          <w:color w:val="auto"/>
          <w:kern w:val="0"/>
          <w:szCs w:val="21"/>
        </w:rPr>
        <w:t>资格审查</w:t>
      </w:r>
    </w:p>
    <w:p>
      <w:pPr>
        <w:autoSpaceDE w:val="0"/>
        <w:autoSpaceDN w:val="0"/>
        <w:spacing w:line="360" w:lineRule="auto"/>
        <w:contextualSpacing/>
        <w:jc w:val="left"/>
        <w:rPr>
          <w:rFonts w:ascii="宋体" w:hAnsi="宋体" w:cs="宋体"/>
          <w:color w:val="auto"/>
          <w:kern w:val="0"/>
          <w:szCs w:val="21"/>
        </w:rPr>
      </w:pPr>
      <w:r>
        <w:rPr>
          <w:rFonts w:hint="eastAsia" w:ascii="宋体" w:hAnsi="宋体" w:cs="宋体"/>
          <w:color w:val="auto"/>
          <w:kern w:val="0"/>
          <w:szCs w:val="21"/>
        </w:rPr>
        <w:t>开标结束后，采购人依法对投标人的资格进行审查。合格投标人不足3家的，不得评标。</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25.</w:t>
      </w:r>
      <w:r>
        <w:rPr>
          <w:rFonts w:hint="eastAsia" w:cs="宋体" w:asciiTheme="minorEastAsia" w:hAnsiTheme="minorEastAsia"/>
          <w:b/>
          <w:color w:val="auto"/>
          <w:kern w:val="0"/>
          <w:sz w:val="24"/>
          <w:szCs w:val="24"/>
        </w:rPr>
        <w:t>资格</w:t>
      </w:r>
      <w:r>
        <w:rPr>
          <w:rFonts w:hint="eastAsia" w:cs="宋体" w:asciiTheme="minorEastAsia" w:hAnsiTheme="minorEastAsia"/>
          <w:b/>
          <w:color w:val="auto"/>
          <w:kern w:val="0"/>
          <w:szCs w:val="21"/>
        </w:rPr>
        <w:t>审查</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开标结束后，采购人(采购代理机构)依法对投标人的资格进行审查。合格投标人不足3家的，不得评标。</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26.评标委员会的组成</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26.2 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26.3 评审专家与投标人存在下列利害关系之一的,应当回避:</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26.5 采购人不得担任评标小组长。</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26.6 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26.7 评标委员会成员名单在评标结果公告前应当保密。</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27.符合性审查</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27.1 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27.2 审查、评价投标文件是否符合招标文件的商务、技术等实质性要求。</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27.3 可要求投标人对投标文件有关事项作出澄清或者说明。</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28.投标文件的澄清</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28.1 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28.3 投标人的澄清文件是其投标文件的组成部分。</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29.投标文件报价出现前后不一致的修正</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29.1 投标文件中开标一览表(报价表)内容与投标文件中相应内容不一致的，以开标一览表(报价表)为准；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29.2 大写金额和小写金额不一致的，以大写金额为准；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29.3 单价金额小数点或者百分比有明显错位的，以开标一览表的总价为准，并修改单价；</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30.投标无效情形</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30.1 投标文件属下列情况之一的，按照无效投标处理：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(1)投标文件未按招标文件要求签署、盖章的；</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(2)不具备招标文件中规定的资格要求的；</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(3)报价超过招标文件中规定的预算金额或者最高限价的；</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30.2 有下列情形之一的，视为投标人串通投标，其投标无效：</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(1)不同投标人的投标文件由同一单位或者个人编制；</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(2)不同投标人委托同一单位或者个人办理投标事宜；</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(3)不同投标人的投标文件载明的项目管理成员或者联系人员为同一人；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(4)不同投标人的投标文件异常一致或者投标报价呈规律性差异；</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(5)不同投标人的投标文件相互混装；</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30.5 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30.6 </w:t>
      </w:r>
      <w:r>
        <w:rPr>
          <w:rFonts w:cs="宋体" w:asciiTheme="minorEastAsia" w:hAnsiTheme="minorEastAsia"/>
          <w:color w:val="auto"/>
          <w:kern w:val="0"/>
          <w:szCs w:val="21"/>
        </w:rPr>
        <w:t>法律、法规和招标文件规定的其他无效情形。</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31.相同品牌投标人的认定</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32.投标文件的比较与评价</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33.评标方法、评标标准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33.1 评标方法分为最低评标价法和综合评分法。</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（1）最低评标价法</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33.2 价格分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left="964"/>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adjustRightInd w:val="0"/>
        <w:snapToGrid w:val="0"/>
        <w:spacing w:line="360" w:lineRule="auto"/>
        <w:ind w:left="964"/>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adjustRightInd w:val="0"/>
        <w:snapToGrid w:val="0"/>
        <w:spacing w:line="360" w:lineRule="auto"/>
        <w:ind w:left="964"/>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adjustRightInd w:val="0"/>
        <w:snapToGrid w:val="0"/>
        <w:spacing w:line="360" w:lineRule="auto"/>
        <w:ind w:left="964"/>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（2）评标过程中，不得去掉报价中的最高报价和最低报价。</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（3）因落实政府采购政策进行价格调整的，以调整后的价格计算评标基准价和投标报价。</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33.3 本次评标具体评标方法、评标标准见（第六章 资格审查与评标）。</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34.推荐中标候选人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34.1 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35.评审意见无效情形</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(1)确定参与评标至评标结束前私自接触投标人；</w:t>
      </w:r>
    </w:p>
    <w:p>
      <w:pPr>
        <w:autoSpaceDE w:val="0"/>
        <w:autoSpaceDN w:val="0"/>
        <w:adjustRightInd w:val="0"/>
        <w:snapToGrid w:val="0"/>
        <w:spacing w:line="360" w:lineRule="auto"/>
        <w:rPr>
          <w:rFonts w:cs="宋体" w:asciiTheme="minorEastAsia" w:hAnsiTheme="minorEastAsia"/>
          <w:color w:val="auto"/>
          <w:spacing w:val="-4"/>
          <w:kern w:val="0"/>
          <w:szCs w:val="21"/>
        </w:rPr>
      </w:pPr>
      <w:r>
        <w:rPr>
          <w:rFonts w:hint="eastAsia" w:cs="宋体" w:asciiTheme="minorEastAsia" w:hAnsiTheme="minorEastAsia"/>
          <w:color w:val="auto"/>
          <w:spacing w:val="-4"/>
          <w:kern w:val="0"/>
          <w:szCs w:val="21"/>
        </w:rPr>
        <w:t>(2)接受投标人提出的与投标文件不一致的澄清或者说明，《投标人须知》26条规定的情形除外；</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(3)违反评标纪律发表倾向性意见或者征询采购人的倾向性意见；</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(4)对需要专业判断的主观评审因素协商评分；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(5)在评标过程中擅离职守，影响评标程序正常进行的；</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(6)记录、复制或者带走任何评标资料；</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(7)其他不遵守评标纪律的行为。</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36.保密</w:t>
      </w:r>
    </w:p>
    <w:p>
      <w:pPr>
        <w:autoSpaceDE w:val="0"/>
        <w:autoSpaceDN w:val="0"/>
        <w:adjustRightInd w:val="0"/>
        <w:snapToGrid w:val="0"/>
        <w:spacing w:line="360" w:lineRule="auto"/>
        <w:rPr>
          <w:rFonts w:cs="宋体" w:asciiTheme="minorEastAsia" w:hAnsiTheme="minorEastAsia"/>
          <w:color w:val="auto"/>
          <w:spacing w:val="-2"/>
          <w:kern w:val="0"/>
          <w:szCs w:val="21"/>
        </w:rPr>
      </w:pPr>
      <w:r>
        <w:rPr>
          <w:rFonts w:hint="eastAsia" w:cs="宋体" w:asciiTheme="minorEastAsia" w:hAnsiTheme="minorEastAsia"/>
          <w:color w:val="auto"/>
          <w:spacing w:val="-2"/>
          <w:kern w:val="0"/>
          <w:szCs w:val="21"/>
        </w:rPr>
        <w:t>36.1 评审专家应当遵守评审工作纪律，不得泄露评审文件、评审情况和评审中获悉的商业秘密。</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before="240" w:line="360" w:lineRule="auto"/>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37.确定中标人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37.1 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37.2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38.中标公告、发出中标通知书</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38.1 采购人确认中标人后，招标人在公告中标结果的同时，向中标人发出中标通知书。</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38.2 中标通知书发出后，采购人不得违法改变中标结果，中标人无正当理由不得放弃中标。</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color w:val="auto"/>
          <w:kern w:val="0"/>
          <w:szCs w:val="21"/>
        </w:rPr>
        <w:t>38.3 中标人在接到中标通知时，须向代理机构发送投标报价及分项报价一览表（包含主要中标标的的名称、规格型号、数量、单价、服务要求等）电子文档，并同时通知代理机构联系人。</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39.质疑提出与答复</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39.1 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39.2 </w:t>
      </w: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(2)</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40.签订合同</w:t>
      </w:r>
    </w:p>
    <w:p>
      <w:pPr>
        <w:autoSpaceDE w:val="0"/>
        <w:autoSpaceDN w:val="0"/>
        <w:adjustRightInd w:val="0"/>
        <w:snapToGri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rPr>
          <w:rFonts w:cs="宋体" w:asciiTheme="minorEastAsia" w:hAnsiTheme="minorEastAsia"/>
          <w:b/>
          <w:color w:val="auto"/>
          <w:kern w:val="0"/>
          <w:szCs w:val="21"/>
        </w:rPr>
      </w:pPr>
      <w:r>
        <w:rPr>
          <w:rFonts w:hint="eastAsia" w:cs="宋体" w:asciiTheme="minorEastAsia" w:hAnsiTheme="minorEastAsia"/>
          <w:b/>
          <w:color w:val="auto"/>
          <w:kern w:val="0"/>
          <w:szCs w:val="21"/>
        </w:rPr>
        <w:t>41.履约保证金</w:t>
      </w:r>
    </w:p>
    <w:p>
      <w:pPr>
        <w:autoSpaceDE w:val="0"/>
        <w:autoSpaceDN w:val="0"/>
        <w:adjustRightInd w:val="0"/>
        <w:snapToGrid w:val="0"/>
        <w:spacing w:line="360" w:lineRule="auto"/>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 xml:space="preserve"> 政府采购政策功能</w:t>
      </w:r>
    </w:p>
    <w:p>
      <w:pPr>
        <w:spacing w:before="240" w:line="360" w:lineRule="auto"/>
        <w:ind w:firstLine="420" w:firstLineChars="200"/>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7"/>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eastAsiaTheme="minorEastAsia"/>
          <w:b/>
          <w:color w:val="auto"/>
          <w:sz w:val="21"/>
          <w:szCs w:val="21"/>
          <w:lang w:val="zh-CN"/>
        </w:rPr>
        <w:t>一、</w:t>
      </w:r>
      <w:r>
        <w:rPr>
          <w:rFonts w:hint="eastAsia" w:cs="仿宋_GB2312" w:asciiTheme="minorEastAsia" w:hAnsiTheme="minorEastAsia"/>
          <w:b/>
          <w:color w:val="auto"/>
          <w:szCs w:val="21"/>
          <w:lang w:val="zh-CN"/>
        </w:rPr>
        <w:t>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p>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 xml:space="preserve"> 资格审查与评标</w:t>
      </w:r>
    </w:p>
    <w:p>
      <w:pPr>
        <w:pStyle w:val="17"/>
        <w:spacing w:before="240" w:line="360" w:lineRule="auto"/>
        <w:ind w:firstLine="211"/>
        <w:contextualSpacing/>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采购人(采购代理机构)依法对投标人资格进行审查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2018年度经审计的财务报告，包括资产负债表、利润表、现金流量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4" w:hRule="atLeast"/>
        </w:trPr>
        <w:tc>
          <w:tcPr>
            <w:tcW w:w="9079" w:type="dxa"/>
            <w:vAlign w:val="center"/>
          </w:tcPr>
          <w:p>
            <w:pPr>
              <w:spacing w:line="336" w:lineRule="auto"/>
              <w:rPr>
                <w:rFonts w:cs="宋体" w:asciiTheme="minorEastAsia" w:hAnsiTheme="minorEastAsia"/>
                <w:b/>
                <w:bCs/>
                <w:color w:val="auto"/>
                <w:szCs w:val="21"/>
              </w:rPr>
            </w:pPr>
            <w:r>
              <w:rPr>
                <w:rFonts w:hint="eastAsia" w:asciiTheme="minorEastAsia" w:hAnsiTheme="minorEastAsia"/>
                <w:b/>
                <w:bCs/>
                <w:color w:val="auto"/>
                <w:szCs w:val="21"/>
              </w:rPr>
              <w:t>8、</w:t>
            </w:r>
            <w:r>
              <w:rPr>
                <w:rFonts w:cs="宋体" w:asciiTheme="minorEastAsia" w:hAnsiTheme="minorEastAsia"/>
                <w:b/>
                <w:bCs/>
                <w:color w:val="auto"/>
                <w:szCs w:val="21"/>
                <w:lang w:val="zh-CN"/>
              </w:rPr>
              <w:t>未被列入</w:t>
            </w:r>
            <w:r>
              <w:rPr>
                <w:rFonts w:cs="宋体" w:asciiTheme="minorEastAsia" w:hAnsiTheme="minorEastAsia"/>
                <w:b/>
                <w:bCs/>
                <w:color w:val="auto"/>
                <w:szCs w:val="21"/>
              </w:rPr>
              <w:t>“</w:t>
            </w:r>
            <w:r>
              <w:rPr>
                <w:rFonts w:cs="宋体" w:asciiTheme="minorEastAsia" w:hAnsiTheme="minorEastAsia"/>
                <w:b/>
                <w:bCs/>
                <w:color w:val="auto"/>
                <w:szCs w:val="21"/>
                <w:lang w:val="zh-CN"/>
              </w:rPr>
              <w:t>信用中国</w:t>
            </w:r>
            <w:r>
              <w:rPr>
                <w:rFonts w:cs="宋体" w:asciiTheme="minorEastAsia" w:hAnsiTheme="minorEastAsia"/>
                <w:b/>
                <w:bCs/>
                <w:color w:val="auto"/>
                <w:szCs w:val="21"/>
              </w:rPr>
              <w:t>”</w:t>
            </w:r>
            <w:r>
              <w:rPr>
                <w:rFonts w:cs="宋体" w:asciiTheme="minorEastAsia" w:hAnsiTheme="minorEastAsia"/>
                <w:b/>
                <w:bCs/>
                <w:color w:val="auto"/>
                <w:szCs w:val="21"/>
                <w:lang w:val="zh-CN"/>
              </w:rPr>
              <w:t>网站</w:t>
            </w:r>
            <w:r>
              <w:rPr>
                <w:rFonts w:cs="宋体" w:asciiTheme="minorEastAsia" w:hAnsiTheme="minorEastAsia"/>
                <w:b/>
                <w:bCs/>
                <w:color w:val="auto"/>
                <w:szCs w:val="21"/>
              </w:rPr>
              <w:t>(www.creditchina.gov.cn)</w:t>
            </w:r>
            <w:r>
              <w:rPr>
                <w:rFonts w:cs="宋体" w:asciiTheme="minorEastAsia" w:hAnsiTheme="minorEastAsia"/>
                <w:b/>
                <w:bCs/>
                <w:color w:val="auto"/>
                <w:szCs w:val="21"/>
                <w:lang w:val="zh-CN"/>
              </w:rPr>
              <w:t>失信被执行人、重大税收违法案件当事人名单、政府采购严重违法失信名单的投标人</w:t>
            </w:r>
            <w:r>
              <w:rPr>
                <w:rFonts w:cs="宋体" w:asciiTheme="minorEastAsia" w:hAnsiTheme="minorEastAsia"/>
                <w:b/>
                <w:bCs/>
                <w:color w:val="auto"/>
                <w:szCs w:val="21"/>
              </w:rPr>
              <w:t>；</w:t>
            </w:r>
            <w:r>
              <w:rPr>
                <w:rFonts w:hint="eastAsia" w:cs="宋体" w:asciiTheme="minorEastAsia" w:hAnsiTheme="minorEastAsia"/>
                <w:b/>
                <w:bCs/>
                <w:color w:val="auto"/>
                <w:szCs w:val="21"/>
              </w:rPr>
              <w:t>“</w:t>
            </w:r>
            <w:r>
              <w:rPr>
                <w:rFonts w:cs="宋体" w:asciiTheme="minorEastAsia" w:hAnsiTheme="minorEastAsia"/>
                <w:b/>
                <w:bCs/>
                <w:color w:val="auto"/>
                <w:szCs w:val="21"/>
                <w:lang w:val="zh-CN"/>
              </w:rPr>
              <w:t>中国政府采购网</w:t>
            </w:r>
            <w:r>
              <w:rPr>
                <w:rFonts w:hint="eastAsia" w:cs="宋体" w:asciiTheme="minorEastAsia" w:hAnsiTheme="minorEastAsia"/>
                <w:b/>
                <w:bCs/>
                <w:color w:val="auto"/>
                <w:szCs w:val="21"/>
              </w:rPr>
              <w:t>”</w:t>
            </w:r>
            <w:r>
              <w:rPr>
                <w:rFonts w:cs="宋体" w:asciiTheme="minorEastAsia" w:hAnsiTheme="minorEastAsia"/>
                <w:b/>
                <w:bCs/>
                <w:color w:val="auto"/>
                <w:szCs w:val="21"/>
              </w:rPr>
              <w:t xml:space="preserve"> (www.ccgp.gov.cn)</w:t>
            </w:r>
            <w:r>
              <w:rPr>
                <w:rFonts w:cs="宋体" w:asciiTheme="minorEastAsia" w:hAnsiTheme="minorEastAsia"/>
                <w:b/>
                <w:bCs/>
                <w:color w:val="auto"/>
                <w:szCs w:val="21"/>
                <w:lang w:val="zh-CN"/>
              </w:rPr>
              <w:t>政府采购严重违法失信行为记录名单的投标人</w:t>
            </w:r>
            <w:r>
              <w:rPr>
                <w:rFonts w:hint="eastAsia" w:cs="宋体" w:asciiTheme="minorEastAsia" w:hAnsiTheme="minorEastAsia"/>
                <w:b/>
                <w:bCs/>
                <w:color w:val="auto"/>
                <w:szCs w:val="21"/>
              </w:rPr>
              <w:t>；“</w:t>
            </w:r>
            <w:r>
              <w:rPr>
                <w:rFonts w:hint="eastAsia" w:cs="宋体" w:asciiTheme="minorEastAsia" w:hAnsiTheme="minorEastAsia"/>
                <w:b/>
                <w:bCs/>
                <w:color w:val="auto"/>
                <w:szCs w:val="21"/>
                <w:lang w:val="zh-CN"/>
              </w:rPr>
              <w:t>国家企业信用公示系统</w:t>
            </w:r>
            <w:r>
              <w:rPr>
                <w:rFonts w:hint="eastAsia" w:cs="宋体" w:asciiTheme="minorEastAsia" w:hAnsiTheme="minorEastAsia"/>
                <w:b/>
                <w:bCs/>
                <w:color w:val="auto"/>
                <w:szCs w:val="21"/>
              </w:rPr>
              <w:t>”</w:t>
            </w:r>
            <w:r>
              <w:rPr>
                <w:rFonts w:hint="eastAsia" w:cs="宋体" w:asciiTheme="minorEastAsia" w:hAnsiTheme="minorEastAsia"/>
                <w:b/>
                <w:bCs/>
                <w:color w:val="auto"/>
                <w:szCs w:val="21"/>
                <w:lang w:val="zh-CN"/>
              </w:rPr>
              <w:t>网站</w:t>
            </w:r>
            <w:r>
              <w:rPr>
                <w:rFonts w:hint="eastAsia" w:cs="宋体" w:asciiTheme="minorEastAsia" w:hAnsiTheme="minorEastAsia"/>
                <w:b/>
                <w:bCs/>
                <w:color w:val="auto"/>
                <w:szCs w:val="21"/>
              </w:rPr>
              <w:t>（</w:t>
            </w:r>
            <w:r>
              <w:rPr>
                <w:rFonts w:cs="宋体" w:asciiTheme="minorEastAsia" w:hAnsiTheme="minorEastAsia"/>
                <w:b/>
                <w:bCs/>
                <w:color w:val="auto"/>
                <w:szCs w:val="21"/>
              </w:rPr>
              <w:t>www.gsxt.gov.cn</w:t>
            </w:r>
            <w:r>
              <w:rPr>
                <w:rFonts w:hint="eastAsia" w:cs="宋体" w:asciiTheme="minorEastAsia" w:hAnsiTheme="minorEastAsia"/>
                <w:b/>
                <w:bCs/>
                <w:color w:val="auto"/>
                <w:szCs w:val="21"/>
              </w:rPr>
              <w:t>）</w:t>
            </w:r>
            <w:r>
              <w:rPr>
                <w:rFonts w:hint="eastAsia" w:cs="宋体" w:asciiTheme="minorEastAsia" w:hAnsiTheme="minorEastAsia"/>
                <w:b/>
                <w:bCs/>
                <w:color w:val="auto"/>
                <w:szCs w:val="21"/>
                <w:lang w:val="zh-CN"/>
              </w:rPr>
              <w:t>严重违法失信企业名单</w:t>
            </w:r>
            <w:r>
              <w:rPr>
                <w:rFonts w:hint="eastAsia" w:cs="宋体" w:asciiTheme="minorEastAsia" w:hAnsiTheme="minorEastAsia"/>
                <w:b/>
                <w:bCs/>
                <w:color w:val="auto"/>
                <w:szCs w:val="21"/>
              </w:rPr>
              <w:t>（</w:t>
            </w:r>
            <w:r>
              <w:rPr>
                <w:rFonts w:hint="eastAsia" w:cs="宋体" w:asciiTheme="minorEastAsia" w:hAnsiTheme="minorEastAsia"/>
                <w:b/>
                <w:bCs/>
                <w:color w:val="auto"/>
                <w:szCs w:val="21"/>
                <w:lang w:val="zh-CN"/>
              </w:rPr>
              <w:t>黑名单</w:t>
            </w:r>
            <w:r>
              <w:rPr>
                <w:rFonts w:hint="eastAsia" w:cs="宋体" w:asciiTheme="minorEastAsia" w:hAnsiTheme="minorEastAsia"/>
                <w:b/>
                <w:bCs/>
                <w:color w:val="auto"/>
                <w:szCs w:val="21"/>
              </w:rPr>
              <w:t>）</w:t>
            </w:r>
            <w:r>
              <w:rPr>
                <w:rFonts w:hint="eastAsia" w:cs="宋体" w:asciiTheme="minorEastAsia" w:hAnsiTheme="minorEastAsia"/>
                <w:b/>
                <w:bCs/>
                <w:color w:val="auto"/>
                <w:szCs w:val="21"/>
                <w:lang w:val="zh-CN"/>
              </w:rPr>
              <w:t>的投标人。</w:t>
            </w:r>
          </w:p>
          <w:p>
            <w:pPr>
              <w:spacing w:line="336"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、政府采购严重违法失信行为记录名单、严重违法失信企业名单（黑名单）（联合体形式投标的，联合体成员存在不良信用记录，视同联合体存在不良信用记录）。</w:t>
            </w:r>
          </w:p>
          <w:p>
            <w:pPr>
              <w:spacing w:line="336"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（1）查询渠道：“信用中国”网站（www.creditchina.gov.cn）、“中国政府采购网”（www.ccgp.gov.cn）和“国家企业信用公示系统”网站（</w:t>
            </w:r>
            <w:r>
              <w:rPr>
                <w:rFonts w:asciiTheme="minorEastAsia" w:hAnsiTheme="minorEastAsia"/>
                <w:bCs/>
                <w:color w:val="auto"/>
                <w:szCs w:val="21"/>
              </w:rPr>
              <w:t>www.gsxt.gov.cn</w:t>
            </w:r>
            <w:r>
              <w:rPr>
                <w:rFonts w:hint="eastAsia" w:asciiTheme="minorEastAsia" w:hAnsiTheme="minorEastAsia"/>
                <w:bCs/>
                <w:color w:val="auto"/>
                <w:szCs w:val="21"/>
              </w:rPr>
              <w:t>）；</w:t>
            </w:r>
          </w:p>
          <w:p>
            <w:pPr>
              <w:spacing w:line="336"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36"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36"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pPr>
              <w:spacing w:line="336" w:lineRule="auto"/>
              <w:rPr>
                <w:color w:val="auto"/>
              </w:rPr>
            </w:pPr>
            <w:r>
              <w:rPr>
                <w:rFonts w:hint="eastAsia" w:asciiTheme="minorEastAsia" w:hAnsiTheme="minorEastAsia"/>
                <w:bCs/>
                <w:color w:val="auto"/>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12、投标人以投标承诺函的形式替代投标保证金。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w:t>
            </w:r>
            <w:r>
              <w:rPr>
                <w:rFonts w:hint="eastAsia" w:asciiTheme="minorEastAsia" w:hAnsiTheme="minorEastAsia" w:eastAsiaTheme="minorEastAsia"/>
                <w:b/>
                <w:bCs/>
                <w:color w:val="auto"/>
                <w:szCs w:val="21"/>
                <w:highlight w:val="none"/>
              </w:rPr>
              <w:t>单位负责人为同一人或者存在直接控股、管理关系的不同供应商，不得参加同一合同项下的政府采购活动</w:t>
            </w:r>
            <w:r>
              <w:rPr>
                <w:rFonts w:hint="eastAsia" w:asciiTheme="minorEastAsia" w:hAnsiTheme="minorEastAsia"/>
                <w:b/>
                <w:bCs/>
                <w:color w:val="auto"/>
                <w:szCs w:val="21"/>
                <w:highlight w:val="none"/>
                <w:lang w:eastAsia="zh-CN"/>
              </w:rPr>
              <w:t>；</w:t>
            </w:r>
            <w:r>
              <w:rPr>
                <w:rFonts w:hint="eastAsia" w:cs="仿宋_GB2312" w:asciiTheme="minorEastAsia" w:hAnsiTheme="minorEastAsia" w:eastAsiaTheme="minorEastAsia"/>
                <w:color w:val="auto"/>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14、</w:t>
            </w:r>
            <w:r>
              <w:rPr>
                <w:rFonts w:hint="eastAsia" w:asciiTheme="minorEastAsia" w:hAnsiTheme="minorEastAsia" w:eastAsiaTheme="minorEastAsia"/>
                <w:b/>
                <w:bCs/>
                <w:color w:val="auto"/>
                <w:szCs w:val="21"/>
                <w:highlight w:val="none"/>
              </w:rPr>
              <w:t>为本项目提供整体设计、规范编制或者项目管理、监理、检测等服务的供应商不得参加本项目投标</w:t>
            </w:r>
            <w:r>
              <w:rPr>
                <w:rFonts w:hint="eastAsia" w:asciiTheme="minorEastAsia" w:hAnsiTheme="minorEastAsia"/>
                <w:b/>
                <w:bCs/>
                <w:color w:val="auto"/>
                <w:szCs w:val="21"/>
                <w:highlight w:val="none"/>
                <w:lang w:eastAsia="zh-CN"/>
              </w:rPr>
              <w:t>；</w:t>
            </w:r>
            <w:bookmarkStart w:id="2" w:name="baidusnap2"/>
            <w:bookmarkEnd w:id="2"/>
            <w:r>
              <w:rPr>
                <w:rFonts w:hint="eastAsia" w:cs="仿宋_GB2312" w:asciiTheme="minorEastAsia" w:hAnsiTheme="minorEastAsia" w:eastAsiaTheme="minorEastAsia"/>
                <w:color w:val="auto"/>
                <w:szCs w:val="21"/>
                <w:highlight w:val="none"/>
                <w:lang w:val="zh-CN"/>
              </w:rPr>
              <w:t>供应商提供未为本项目提供整体设计、</w:t>
            </w:r>
            <w:bookmarkStart w:id="3" w:name="baidusnap9"/>
            <w:bookmarkEnd w:id="3"/>
            <w:r>
              <w:rPr>
                <w:rFonts w:hint="eastAsia" w:cs="仿宋_GB2312" w:asciiTheme="minorEastAsia" w:hAnsiTheme="minorEastAsia" w:eastAsiaTheme="minorEastAsia"/>
                <w:color w:val="auto"/>
                <w:szCs w:val="21"/>
                <w:highlight w:val="none"/>
                <w:lang w:val="zh-CN"/>
              </w:rPr>
              <w:t>规范编制或者项目管理、监理、检测等服务承诺函（承诺函格式自拟）。</w:t>
            </w:r>
          </w:p>
        </w:tc>
      </w:tr>
    </w:tbl>
    <w:p>
      <w:pPr>
        <w:pStyle w:val="17"/>
        <w:spacing w:before="240" w:line="360" w:lineRule="auto"/>
        <w:contextualSpacing/>
        <w:jc w:val="left"/>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7"/>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420" w:firstLineChars="200"/>
        <w:contextualSpacing/>
        <w:rPr>
          <w:rFonts w:cs="仿宋_GB2312" w:asciiTheme="minorEastAsia" w:hAnsiTheme="minorEastAsia"/>
          <w:b/>
          <w:color w:val="auto"/>
          <w:szCs w:val="21"/>
          <w:lang w:val="zh-CN"/>
        </w:rPr>
      </w:pPr>
      <w:r>
        <w:rPr>
          <w:rFonts w:hint="eastAsia" w:cs="仿宋_GB2312" w:asciiTheme="minorEastAsia" w:hAnsiTheme="minorEastAsia"/>
          <w:b w:val="0"/>
          <w:bCs/>
          <w:color w:val="auto"/>
          <w:szCs w:val="21"/>
          <w:lang w:val="zh-CN"/>
        </w:rPr>
        <w:t>5）</w:t>
      </w:r>
      <w:r>
        <w:rPr>
          <w:rFonts w:hint="eastAsia" w:ascii="ˎ̥" w:hAnsi="ˎ̥"/>
          <w:color w:val="auto"/>
        </w:rPr>
        <w:t>不同投标人电子投标文件制作硬件特征码（网卡MAC地址、CPU序号、硬盘序列号）均一致时，视为‘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w:t>
      </w:r>
      <w:r>
        <w:rPr>
          <w:rFonts w:cs="仿宋_GB2312" w:asciiTheme="minorEastAsia" w:hAnsiTheme="minorEastAsia"/>
          <w:color w:val="auto"/>
          <w:szCs w:val="21"/>
          <w:lang w:val="zh-CN"/>
        </w:rPr>
        <w:t>法律、法规和招标文件规定的其他无效情形。</w:t>
      </w:r>
    </w:p>
    <w:p>
      <w:pPr>
        <w:tabs>
          <w:tab w:val="left" w:pos="1260"/>
        </w:tabs>
        <w:autoSpaceDE w:val="0"/>
        <w:autoSpaceDN w:val="0"/>
        <w:adjustRightInd w:val="0"/>
        <w:snapToGrid w:val="0"/>
        <w:spacing w:before="240" w:after="240"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（5）评标标准</w:t>
      </w:r>
    </w:p>
    <w:tbl>
      <w:tblPr>
        <w:tblStyle w:val="26"/>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5"/>
        <w:gridCol w:w="641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1425" w:type="dxa"/>
            <w:shd w:val="clear" w:color="auto" w:fill="auto"/>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color w:val="auto"/>
                <w:kern w:val="0"/>
                <w:sz w:val="24"/>
                <w:szCs w:val="24"/>
              </w:rPr>
              <w:t>分值构成</w:t>
            </w:r>
          </w:p>
          <w:p>
            <w:pPr>
              <w:widowControl/>
              <w:spacing w:line="330" w:lineRule="atLeast"/>
              <w:rPr>
                <w:rFonts w:cs="仿宋" w:asciiTheme="minorEastAsia" w:hAnsiTheme="minorEastAsia"/>
                <w:color w:val="auto"/>
                <w:sz w:val="24"/>
                <w:szCs w:val="24"/>
              </w:rPr>
            </w:pPr>
            <w:r>
              <w:rPr>
                <w:rFonts w:hint="eastAsia" w:cs="仿宋" w:asciiTheme="minorEastAsia" w:hAnsiTheme="minorEastAsia"/>
                <w:color w:val="auto"/>
                <w:kern w:val="0"/>
                <w:sz w:val="24"/>
                <w:szCs w:val="24"/>
              </w:rPr>
              <w:t>(总分100分)</w:t>
            </w:r>
          </w:p>
        </w:tc>
        <w:tc>
          <w:tcPr>
            <w:tcW w:w="7512" w:type="dxa"/>
            <w:gridSpan w:val="2"/>
            <w:shd w:val="clear" w:color="auto" w:fill="auto"/>
            <w:tcMar>
              <w:left w:w="108" w:type="dxa"/>
              <w:right w:w="108" w:type="dxa"/>
            </w:tcMar>
            <w:vAlign w:val="center"/>
          </w:tcPr>
          <w:p>
            <w:pPr>
              <w:widowControl/>
              <w:spacing w:line="360" w:lineRule="atLeast"/>
              <w:jc w:val="center"/>
              <w:rPr>
                <w:rFonts w:cs="仿宋" w:asciiTheme="minorEastAsia" w:hAnsiTheme="minorEastAsia"/>
                <w:color w:val="auto"/>
                <w:sz w:val="24"/>
                <w:szCs w:val="24"/>
              </w:rPr>
            </w:pPr>
            <w:r>
              <w:rPr>
                <w:rFonts w:hint="eastAsia" w:cs="仿宋" w:asciiTheme="minorEastAsia" w:hAnsiTheme="minorEastAsia"/>
                <w:color w:val="auto"/>
                <w:kern w:val="0"/>
                <w:sz w:val="24"/>
                <w:szCs w:val="24"/>
              </w:rPr>
              <w:t>价格分值：</w:t>
            </w:r>
            <w:r>
              <w:rPr>
                <w:rFonts w:hint="eastAsia" w:cs="仿宋" w:asciiTheme="minorEastAsia" w:hAnsiTheme="minorEastAsia"/>
                <w:color w:val="auto"/>
                <w:kern w:val="0"/>
                <w:sz w:val="24"/>
                <w:szCs w:val="24"/>
                <w:u w:val="single"/>
              </w:rPr>
              <w:t xml:space="preserve"> </w:t>
            </w:r>
            <w:r>
              <w:rPr>
                <w:rFonts w:hint="eastAsia" w:cs="仿宋" w:asciiTheme="minorEastAsia" w:hAnsiTheme="minorEastAsia"/>
                <w:color w:val="auto"/>
                <w:kern w:val="0"/>
                <w:sz w:val="24"/>
                <w:szCs w:val="24"/>
                <w:u w:val="single"/>
                <w:lang w:val="en-US" w:eastAsia="zh-CN"/>
              </w:rPr>
              <w:t>15</w:t>
            </w:r>
            <w:r>
              <w:rPr>
                <w:rFonts w:hint="eastAsia" w:cs="仿宋" w:asciiTheme="minorEastAsia" w:hAnsiTheme="minorEastAsia"/>
                <w:color w:val="auto"/>
                <w:kern w:val="0"/>
                <w:sz w:val="24"/>
                <w:szCs w:val="24"/>
                <w:u w:val="single"/>
              </w:rPr>
              <w:t xml:space="preserve"> </w:t>
            </w:r>
            <w:r>
              <w:rPr>
                <w:rFonts w:hint="eastAsia" w:cs="仿宋" w:asciiTheme="minorEastAsia" w:hAnsiTheme="minorEastAsia"/>
                <w:color w:val="auto"/>
                <w:kern w:val="0"/>
                <w:sz w:val="24"/>
                <w:szCs w:val="24"/>
              </w:rPr>
              <w:t>分</w:t>
            </w:r>
          </w:p>
          <w:p>
            <w:pPr>
              <w:widowControl/>
              <w:spacing w:line="360" w:lineRule="atLeast"/>
              <w:jc w:val="center"/>
              <w:rPr>
                <w:rFonts w:cs="仿宋" w:asciiTheme="minorEastAsia" w:hAnsiTheme="minorEastAsia"/>
                <w:color w:val="auto"/>
                <w:sz w:val="24"/>
                <w:szCs w:val="24"/>
              </w:rPr>
            </w:pPr>
            <w:r>
              <w:rPr>
                <w:rFonts w:hint="eastAsia" w:cs="仿宋" w:asciiTheme="minorEastAsia" w:hAnsiTheme="minorEastAsia"/>
                <w:color w:val="auto"/>
                <w:kern w:val="0"/>
                <w:sz w:val="24"/>
                <w:szCs w:val="24"/>
              </w:rPr>
              <w:t>商务部分：</w:t>
            </w:r>
            <w:r>
              <w:rPr>
                <w:rFonts w:hint="eastAsia" w:cs="仿宋" w:asciiTheme="minorEastAsia" w:hAnsiTheme="minorEastAsia"/>
                <w:color w:val="auto"/>
                <w:kern w:val="0"/>
                <w:sz w:val="24"/>
                <w:szCs w:val="24"/>
                <w:u w:val="single"/>
              </w:rPr>
              <w:t xml:space="preserve"> </w:t>
            </w:r>
            <w:r>
              <w:rPr>
                <w:rFonts w:cs="仿宋" w:asciiTheme="minorEastAsia" w:hAnsiTheme="minorEastAsia"/>
                <w:color w:val="auto"/>
                <w:kern w:val="0"/>
                <w:sz w:val="24"/>
                <w:szCs w:val="24"/>
                <w:u w:val="single"/>
              </w:rPr>
              <w:t xml:space="preserve">35 </w:t>
            </w:r>
            <w:r>
              <w:rPr>
                <w:rFonts w:hint="eastAsia" w:cs="仿宋" w:asciiTheme="minorEastAsia" w:hAnsiTheme="minorEastAsia"/>
                <w:color w:val="auto"/>
                <w:kern w:val="0"/>
                <w:sz w:val="24"/>
                <w:szCs w:val="24"/>
              </w:rPr>
              <w:t>分</w:t>
            </w:r>
          </w:p>
          <w:p>
            <w:pPr>
              <w:widowControl/>
              <w:spacing w:line="360" w:lineRule="atLeast"/>
              <w:jc w:val="center"/>
              <w:rPr>
                <w:rFonts w:cs="仿宋" w:asciiTheme="minorEastAsia" w:hAnsiTheme="minorEastAsia"/>
                <w:color w:val="auto"/>
                <w:sz w:val="24"/>
                <w:szCs w:val="24"/>
              </w:rPr>
            </w:pPr>
            <w:r>
              <w:rPr>
                <w:rFonts w:hint="eastAsia" w:cs="仿宋" w:asciiTheme="minorEastAsia" w:hAnsiTheme="minorEastAsia"/>
                <w:color w:val="auto"/>
                <w:kern w:val="0"/>
                <w:sz w:val="24"/>
                <w:szCs w:val="24"/>
              </w:rPr>
              <w:t>技术部分：</w:t>
            </w:r>
            <w:r>
              <w:rPr>
                <w:rFonts w:hint="eastAsia" w:cs="仿宋" w:asciiTheme="minorEastAsia" w:hAnsiTheme="minorEastAsia"/>
                <w:color w:val="auto"/>
                <w:kern w:val="0"/>
                <w:sz w:val="24"/>
                <w:szCs w:val="24"/>
                <w:u w:val="single"/>
              </w:rPr>
              <w:t xml:space="preserve"> </w:t>
            </w:r>
            <w:r>
              <w:rPr>
                <w:rFonts w:hint="eastAsia" w:cs="仿宋" w:asciiTheme="minorEastAsia" w:hAnsiTheme="minorEastAsia"/>
                <w:color w:val="auto"/>
                <w:kern w:val="0"/>
                <w:sz w:val="24"/>
                <w:szCs w:val="24"/>
                <w:u w:val="single"/>
                <w:lang w:val="en-US" w:eastAsia="zh-CN"/>
              </w:rPr>
              <w:t>50</w:t>
            </w:r>
            <w:r>
              <w:rPr>
                <w:rFonts w:cs="仿宋" w:asciiTheme="minorEastAsia" w:hAnsiTheme="minorEastAsia"/>
                <w:color w:val="auto"/>
                <w:kern w:val="0"/>
                <w:sz w:val="24"/>
                <w:szCs w:val="24"/>
                <w:u w:val="single"/>
              </w:rPr>
              <w:t xml:space="preserve"> </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937" w:type="dxa"/>
            <w:gridSpan w:val="3"/>
            <w:shd w:val="clear" w:color="auto" w:fill="auto"/>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一、价格部分（满分</w:t>
            </w:r>
            <w:r>
              <w:rPr>
                <w:rFonts w:hint="eastAsia" w:cs="仿宋" w:asciiTheme="minorEastAsia" w:hAnsiTheme="minorEastAsia"/>
                <w:b/>
                <w:color w:val="auto"/>
                <w:kern w:val="0"/>
                <w:sz w:val="24"/>
                <w:szCs w:val="24"/>
                <w:u w:val="single"/>
                <w:lang w:val="en-US" w:eastAsia="zh-CN"/>
              </w:rPr>
              <w:t>15</w:t>
            </w:r>
            <w:r>
              <w:rPr>
                <w:rFonts w:hint="eastAsia" w:cs="仿宋" w:asciiTheme="minorEastAsia" w:hAnsiTheme="minorEastAsia"/>
                <w:b/>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25"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评分因素</w:t>
            </w:r>
          </w:p>
        </w:tc>
        <w:tc>
          <w:tcPr>
            <w:tcW w:w="6419"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评分标准</w:t>
            </w:r>
          </w:p>
        </w:tc>
        <w:tc>
          <w:tcPr>
            <w:tcW w:w="1093"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4" w:hRule="atLeast"/>
          <w:jc w:val="center"/>
        </w:trPr>
        <w:tc>
          <w:tcPr>
            <w:tcW w:w="1425"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color w:val="auto"/>
                <w:kern w:val="0"/>
                <w:sz w:val="24"/>
                <w:szCs w:val="24"/>
              </w:rPr>
              <w:t>投标报价</w:t>
            </w:r>
          </w:p>
        </w:tc>
        <w:tc>
          <w:tcPr>
            <w:tcW w:w="6419" w:type="dxa"/>
            <w:shd w:val="clear" w:color="auto" w:fill="auto"/>
            <w:tcMar>
              <w:left w:w="108" w:type="dxa"/>
              <w:right w:w="108" w:type="dxa"/>
            </w:tcMar>
            <w:vAlign w:val="center"/>
          </w:tcPr>
          <w:p>
            <w:pPr>
              <w:spacing w:line="276" w:lineRule="auto"/>
              <w:rPr>
                <w:rFonts w:cs="仿宋" w:asciiTheme="minorEastAsia" w:hAnsiTheme="minorEastAsia"/>
                <w:color w:val="auto"/>
                <w:sz w:val="24"/>
                <w:szCs w:val="24"/>
              </w:rPr>
            </w:pPr>
            <w:r>
              <w:rPr>
                <w:rFonts w:hint="eastAsia" w:cs="仿宋" w:asciiTheme="minorEastAsia" w:hAnsiTheme="minorEastAsia"/>
                <w:color w:val="auto"/>
                <w:sz w:val="24"/>
                <w:szCs w:val="24"/>
              </w:rPr>
              <w:t>评标基准价：满足招标文件要求的有效投标报价中，最低的投标报价为评标基准价。</w:t>
            </w:r>
          </w:p>
          <w:p>
            <w:pPr>
              <w:spacing w:line="276" w:lineRule="auto"/>
              <w:rPr>
                <w:rFonts w:hint="default" w:cs="仿宋" w:asciiTheme="minorEastAsia" w:hAnsiTheme="minorEastAsia" w:eastAsiaTheme="minorEastAsia"/>
                <w:color w:val="auto"/>
                <w:sz w:val="24"/>
                <w:szCs w:val="24"/>
                <w:lang w:val="en-US" w:eastAsia="zh-CN"/>
              </w:rPr>
            </w:pPr>
            <w:r>
              <w:rPr>
                <w:rFonts w:hint="eastAsia" w:cs="仿宋" w:asciiTheme="minorEastAsia" w:hAnsiTheme="minorEastAsia"/>
                <w:color w:val="auto"/>
                <w:sz w:val="24"/>
                <w:szCs w:val="24"/>
              </w:rPr>
              <w:t>投标报价得分=（评标基准价/投标报价）×</w:t>
            </w:r>
            <w:r>
              <w:rPr>
                <w:rFonts w:hint="eastAsia" w:cs="仿宋" w:asciiTheme="minorEastAsia" w:hAnsiTheme="minorEastAsia"/>
                <w:color w:val="auto"/>
                <w:sz w:val="24"/>
                <w:szCs w:val="24"/>
                <w:lang w:val="en-US" w:eastAsia="zh-CN"/>
              </w:rPr>
              <w:t>15</w:t>
            </w:r>
          </w:p>
        </w:tc>
        <w:tc>
          <w:tcPr>
            <w:tcW w:w="1093"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color w:val="auto"/>
                <w:kern w:val="0"/>
                <w:sz w:val="24"/>
                <w:szCs w:val="24"/>
                <w:u w:val="single"/>
                <w:lang w:val="en-US" w:eastAsia="zh-CN"/>
              </w:rPr>
              <w:t>15</w:t>
            </w:r>
            <w:r>
              <w:rPr>
                <w:rFonts w:hint="eastAsia" w:cs="仿宋" w:asciiTheme="minorEastAsia" w:hAnsiTheme="minorEastAsia"/>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8937" w:type="dxa"/>
            <w:gridSpan w:val="3"/>
            <w:shd w:val="clear" w:color="auto" w:fill="auto"/>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二、商务部分（满分</w:t>
            </w:r>
            <w:r>
              <w:rPr>
                <w:rFonts w:cs="仿宋" w:asciiTheme="minorEastAsia" w:hAnsiTheme="minorEastAsia"/>
                <w:b/>
                <w:color w:val="auto"/>
                <w:kern w:val="0"/>
                <w:sz w:val="24"/>
                <w:szCs w:val="24"/>
                <w:u w:val="single"/>
              </w:rPr>
              <w:t>35</w:t>
            </w:r>
            <w:r>
              <w:rPr>
                <w:rFonts w:hint="eastAsia" w:cs="仿宋" w:asciiTheme="minorEastAsia" w:hAnsiTheme="minorEastAsia"/>
                <w:b/>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25"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评分因素</w:t>
            </w:r>
          </w:p>
        </w:tc>
        <w:tc>
          <w:tcPr>
            <w:tcW w:w="6419"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评分标准</w:t>
            </w:r>
          </w:p>
        </w:tc>
        <w:tc>
          <w:tcPr>
            <w:tcW w:w="1093"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1" w:hRule="atLeast"/>
          <w:jc w:val="center"/>
        </w:trPr>
        <w:tc>
          <w:tcPr>
            <w:tcW w:w="1425" w:type="dxa"/>
            <w:shd w:val="clear" w:color="auto" w:fill="auto"/>
            <w:tcMar>
              <w:left w:w="108" w:type="dxa"/>
              <w:right w:w="108" w:type="dxa"/>
            </w:tcMar>
            <w:vAlign w:val="center"/>
          </w:tcPr>
          <w:p>
            <w:pPr>
              <w:jc w:val="center"/>
              <w:rPr>
                <w:color w:val="auto"/>
              </w:rPr>
            </w:pPr>
            <w:r>
              <w:rPr>
                <w:rFonts w:hint="eastAsia"/>
                <w:color w:val="auto"/>
              </w:rPr>
              <w:t>业绩</w:t>
            </w:r>
          </w:p>
        </w:tc>
        <w:tc>
          <w:tcPr>
            <w:tcW w:w="6419" w:type="dxa"/>
            <w:shd w:val="clear" w:color="auto" w:fill="auto"/>
            <w:tcMar>
              <w:left w:w="108" w:type="dxa"/>
              <w:right w:w="108" w:type="dxa"/>
            </w:tcMar>
            <w:vAlign w:val="center"/>
          </w:tcPr>
          <w:p>
            <w:pPr>
              <w:ind w:firstLine="420" w:firstLineChars="200"/>
              <w:jc w:val="left"/>
              <w:rPr>
                <w:color w:val="auto"/>
                <w:highlight w:val="none"/>
              </w:rPr>
            </w:pPr>
            <w:r>
              <w:rPr>
                <w:rFonts w:hint="eastAsia"/>
                <w:color w:val="auto"/>
                <w:highlight w:val="none"/>
              </w:rPr>
              <w:t>投标人2018年1月1日以来具有类似业绩的，每份业绩得</w:t>
            </w:r>
            <w:r>
              <w:rPr>
                <w:color w:val="auto"/>
                <w:highlight w:val="none"/>
              </w:rPr>
              <w:t>2</w:t>
            </w:r>
            <w:r>
              <w:rPr>
                <w:rFonts w:hint="eastAsia"/>
                <w:color w:val="auto"/>
                <w:highlight w:val="none"/>
              </w:rPr>
              <w:t>分，满分</w:t>
            </w:r>
            <w:r>
              <w:rPr>
                <w:color w:val="auto"/>
                <w:highlight w:val="none"/>
              </w:rPr>
              <w:t>6</w:t>
            </w:r>
            <w:r>
              <w:rPr>
                <w:rFonts w:hint="eastAsia"/>
                <w:color w:val="auto"/>
                <w:highlight w:val="none"/>
              </w:rPr>
              <w:t>分。（需提供中标通知书、合同、中标公告的网上截图。）</w:t>
            </w:r>
          </w:p>
          <w:p>
            <w:pPr>
              <w:pStyle w:val="2"/>
              <w:ind w:firstLine="211"/>
              <w:jc w:val="left"/>
              <w:rPr>
                <w:b/>
                <w:color w:val="auto"/>
              </w:rPr>
            </w:pPr>
            <w:r>
              <w:rPr>
                <w:rFonts w:hint="eastAsia" w:asciiTheme="minorHAnsi" w:hAnsiTheme="minorHAnsi" w:eastAsiaTheme="minorEastAsia" w:cstheme="minorBidi"/>
                <w:b/>
                <w:color w:val="auto"/>
                <w:kern w:val="2"/>
                <w:sz w:val="21"/>
                <w:szCs w:val="22"/>
                <w:highlight w:val="none"/>
              </w:rPr>
              <w:t>类似业绩是指生活垃圾分类运营服务。</w:t>
            </w:r>
          </w:p>
        </w:tc>
        <w:tc>
          <w:tcPr>
            <w:tcW w:w="1093" w:type="dxa"/>
            <w:shd w:val="clear" w:color="auto" w:fill="auto"/>
            <w:tcMar>
              <w:left w:w="108" w:type="dxa"/>
              <w:right w:w="108" w:type="dxa"/>
            </w:tcMar>
            <w:vAlign w:val="center"/>
          </w:tcPr>
          <w:p>
            <w:pPr>
              <w:jc w:val="center"/>
              <w:rPr>
                <w:color w:val="auto"/>
              </w:rPr>
            </w:pPr>
            <w:r>
              <w:rPr>
                <w:color w:val="auto"/>
              </w:rPr>
              <w:t>6</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425" w:type="dxa"/>
            <w:shd w:val="clear" w:color="auto" w:fill="auto"/>
            <w:tcMar>
              <w:left w:w="108" w:type="dxa"/>
              <w:right w:w="108" w:type="dxa"/>
            </w:tcMar>
            <w:vAlign w:val="center"/>
          </w:tcPr>
          <w:p>
            <w:pPr>
              <w:jc w:val="center"/>
              <w:rPr>
                <w:color w:val="auto"/>
              </w:rPr>
            </w:pPr>
            <w:r>
              <w:rPr>
                <w:rFonts w:hint="eastAsia"/>
                <w:color w:val="auto"/>
              </w:rPr>
              <w:t>企业实力</w:t>
            </w:r>
          </w:p>
        </w:tc>
        <w:tc>
          <w:tcPr>
            <w:tcW w:w="6419" w:type="dxa"/>
            <w:shd w:val="clear" w:color="auto" w:fill="auto"/>
            <w:tcMar>
              <w:left w:w="108" w:type="dxa"/>
              <w:right w:w="108" w:type="dxa"/>
            </w:tcMar>
            <w:vAlign w:val="center"/>
          </w:tcPr>
          <w:p>
            <w:pPr>
              <w:spacing w:line="240" w:lineRule="auto"/>
              <w:rPr>
                <w:color w:val="auto"/>
              </w:rPr>
            </w:pPr>
            <w:r>
              <w:rPr>
                <w:rFonts w:hint="eastAsia"/>
                <w:color w:val="auto"/>
              </w:rPr>
              <w:t>1、投标人获得市级及以上人民政府颁发“资源节约、环境友好两型示范单位”证书得</w:t>
            </w:r>
            <w:r>
              <w:rPr>
                <w:color w:val="auto"/>
              </w:rPr>
              <w:t>5</w:t>
            </w:r>
            <w:r>
              <w:rPr>
                <w:rFonts w:hint="eastAsia"/>
                <w:color w:val="auto"/>
              </w:rPr>
              <w:t>分，没有不得分；</w:t>
            </w:r>
            <w:r>
              <w:rPr>
                <w:rFonts w:hint="eastAsia"/>
                <w:color w:val="auto"/>
                <w:lang w:eastAsia="zh-CN"/>
              </w:rPr>
              <w:t>（以证书原件扫描件或图片为准）</w:t>
            </w:r>
          </w:p>
          <w:p>
            <w:pPr>
              <w:spacing w:line="240" w:lineRule="auto"/>
              <w:rPr>
                <w:color w:val="auto"/>
              </w:rPr>
            </w:pPr>
            <w:r>
              <w:rPr>
                <w:rFonts w:hint="eastAsia"/>
                <w:color w:val="auto"/>
              </w:rPr>
              <w:t>2、投标人获得市级及以上工会部门颁发</w:t>
            </w:r>
            <w:r>
              <w:rPr>
                <w:rFonts w:hint="eastAsia"/>
                <w:color w:val="auto"/>
                <w:lang w:eastAsia="zh-CN"/>
              </w:rPr>
              <w:t>的</w:t>
            </w:r>
            <w:r>
              <w:rPr>
                <w:rFonts w:hint="eastAsia"/>
                <w:color w:val="auto"/>
              </w:rPr>
              <w:t>荣誉证书得</w:t>
            </w:r>
            <w:r>
              <w:rPr>
                <w:color w:val="auto"/>
              </w:rPr>
              <w:t>5</w:t>
            </w:r>
            <w:r>
              <w:rPr>
                <w:rFonts w:hint="eastAsia"/>
                <w:color w:val="auto"/>
              </w:rPr>
              <w:t>分，没有不得分；</w:t>
            </w:r>
            <w:r>
              <w:rPr>
                <w:rFonts w:hint="eastAsia"/>
                <w:color w:val="auto"/>
                <w:lang w:eastAsia="zh-CN"/>
              </w:rPr>
              <w:t>（以证书原件扫描件或图片为准）</w:t>
            </w:r>
          </w:p>
          <w:p>
            <w:pPr>
              <w:spacing w:line="240" w:lineRule="auto"/>
              <w:rPr>
                <w:color w:val="auto"/>
              </w:rPr>
            </w:pPr>
            <w:r>
              <w:rPr>
                <w:rFonts w:hint="eastAsia"/>
                <w:color w:val="auto"/>
              </w:rPr>
              <w:t>3、投标人获得市级及以上环保部门颁发“环保诚信企业”证书得</w:t>
            </w:r>
            <w:r>
              <w:rPr>
                <w:color w:val="auto"/>
              </w:rPr>
              <w:t>5</w:t>
            </w:r>
            <w:r>
              <w:rPr>
                <w:rFonts w:hint="eastAsia"/>
                <w:color w:val="auto"/>
              </w:rPr>
              <w:t>分，没有不得分。</w:t>
            </w:r>
            <w:r>
              <w:rPr>
                <w:rFonts w:hint="eastAsia"/>
                <w:color w:val="auto"/>
                <w:lang w:eastAsia="zh-CN"/>
              </w:rPr>
              <w:t>（以证书原件扫描件或图片为准）</w:t>
            </w:r>
          </w:p>
        </w:tc>
        <w:tc>
          <w:tcPr>
            <w:tcW w:w="1093" w:type="dxa"/>
            <w:shd w:val="clear" w:color="auto" w:fill="auto"/>
            <w:tcMar>
              <w:left w:w="108" w:type="dxa"/>
              <w:right w:w="108" w:type="dxa"/>
            </w:tcMar>
            <w:vAlign w:val="center"/>
          </w:tcPr>
          <w:p>
            <w:pPr>
              <w:jc w:val="center"/>
              <w:rPr>
                <w:color w:val="auto"/>
              </w:rPr>
            </w:pPr>
            <w:r>
              <w:rPr>
                <w:color w:val="auto"/>
              </w:rPr>
              <w:t>15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2" w:hRule="atLeast"/>
          <w:jc w:val="center"/>
        </w:trPr>
        <w:tc>
          <w:tcPr>
            <w:tcW w:w="1425" w:type="dxa"/>
            <w:shd w:val="clear" w:color="auto" w:fill="auto"/>
            <w:tcMar>
              <w:left w:w="108" w:type="dxa"/>
              <w:right w:w="108" w:type="dxa"/>
            </w:tcMar>
            <w:vAlign w:val="center"/>
          </w:tcPr>
          <w:p>
            <w:pPr>
              <w:jc w:val="center"/>
              <w:rPr>
                <w:color w:val="auto"/>
              </w:rPr>
            </w:pPr>
            <w:r>
              <w:rPr>
                <w:rFonts w:hint="eastAsia"/>
                <w:color w:val="auto"/>
              </w:rPr>
              <w:t>企业管理体系</w:t>
            </w:r>
          </w:p>
        </w:tc>
        <w:tc>
          <w:tcPr>
            <w:tcW w:w="6419" w:type="dxa"/>
            <w:shd w:val="clear" w:color="auto" w:fill="auto"/>
            <w:tcMar>
              <w:left w:w="108" w:type="dxa"/>
              <w:right w:w="108" w:type="dxa"/>
            </w:tcMar>
            <w:vAlign w:val="center"/>
          </w:tcPr>
          <w:p>
            <w:pPr>
              <w:rPr>
                <w:color w:val="auto"/>
              </w:rPr>
            </w:pPr>
            <w:r>
              <w:rPr>
                <w:rFonts w:hint="eastAsia"/>
                <w:color w:val="auto"/>
              </w:rPr>
              <w:t>1、投标人通过ISO9001、ISO14001、ISO</w:t>
            </w:r>
            <w:r>
              <w:rPr>
                <w:rFonts w:hint="eastAsia"/>
                <w:color w:val="auto"/>
                <w:lang w:val="en-US" w:eastAsia="zh-CN"/>
              </w:rPr>
              <w:t>18</w:t>
            </w:r>
            <w:r>
              <w:rPr>
                <w:rFonts w:hint="eastAsia"/>
                <w:color w:val="auto"/>
              </w:rPr>
              <w:t>001管理体系认证，每有一份合格有效的证书得1分，最高得3分。</w:t>
            </w:r>
            <w:r>
              <w:rPr>
                <w:rFonts w:hint="eastAsia"/>
                <w:color w:val="auto"/>
                <w:lang w:eastAsia="zh-CN"/>
              </w:rPr>
              <w:t>（以证书原件扫描件或图片为准）</w:t>
            </w:r>
          </w:p>
          <w:p>
            <w:pPr>
              <w:rPr>
                <w:color w:val="auto"/>
              </w:rPr>
            </w:pPr>
            <w:r>
              <w:rPr>
                <w:rFonts w:hint="eastAsia"/>
                <w:color w:val="auto"/>
              </w:rPr>
              <w:t>2、投标人提供GB/T 27922-2011售后服务评价体系证书得1分，没有不得分。</w:t>
            </w:r>
            <w:r>
              <w:rPr>
                <w:rFonts w:hint="eastAsia"/>
                <w:color w:val="auto"/>
                <w:lang w:eastAsia="zh-CN"/>
              </w:rPr>
              <w:t>（以证书原件扫描件或图片为准）</w:t>
            </w:r>
          </w:p>
        </w:tc>
        <w:tc>
          <w:tcPr>
            <w:tcW w:w="1093" w:type="dxa"/>
            <w:shd w:val="clear" w:color="auto" w:fill="auto"/>
            <w:tcMar>
              <w:left w:w="108" w:type="dxa"/>
              <w:right w:w="108" w:type="dxa"/>
            </w:tcMar>
            <w:vAlign w:val="center"/>
          </w:tcPr>
          <w:p>
            <w:pPr>
              <w:jc w:val="center"/>
              <w:rPr>
                <w:color w:val="auto"/>
              </w:rPr>
            </w:pPr>
            <w:r>
              <w:rPr>
                <w:rFonts w:hint="eastAsia"/>
                <w:color w:val="auto"/>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atLeast"/>
          <w:jc w:val="center"/>
        </w:trPr>
        <w:tc>
          <w:tcPr>
            <w:tcW w:w="1425" w:type="dxa"/>
            <w:shd w:val="clear" w:color="auto" w:fill="auto"/>
            <w:tcMar>
              <w:left w:w="108" w:type="dxa"/>
              <w:right w:w="108" w:type="dxa"/>
            </w:tcMar>
            <w:vAlign w:val="center"/>
          </w:tcPr>
          <w:p>
            <w:pPr>
              <w:widowControl/>
              <w:spacing w:line="276" w:lineRule="auto"/>
              <w:jc w:val="center"/>
              <w:rPr>
                <w:color w:val="auto"/>
              </w:rPr>
            </w:pPr>
            <w:r>
              <w:rPr>
                <w:rFonts w:hint="eastAsia" w:ascii="宋体" w:hAnsi="宋体" w:cs="宋体"/>
                <w:color w:val="auto"/>
                <w:kern w:val="0"/>
                <w:sz w:val="24"/>
                <w:szCs w:val="24"/>
              </w:rPr>
              <w:t>服务承诺</w:t>
            </w:r>
          </w:p>
        </w:tc>
        <w:tc>
          <w:tcPr>
            <w:tcW w:w="6419" w:type="dxa"/>
            <w:shd w:val="clear" w:color="auto" w:fill="auto"/>
            <w:tcMar>
              <w:left w:w="108" w:type="dxa"/>
              <w:right w:w="108" w:type="dxa"/>
            </w:tcMar>
            <w:vAlign w:val="center"/>
          </w:tcPr>
          <w:p>
            <w:pPr>
              <w:rPr>
                <w:rFonts w:hint="eastAsia"/>
                <w:color w:val="auto"/>
              </w:rPr>
            </w:pPr>
            <w:r>
              <w:rPr>
                <w:rFonts w:hint="eastAsia"/>
                <w:color w:val="auto"/>
              </w:rPr>
              <w:t>1、承诺遵守国家、省、市、区垃圾分类工作标准等各种文件要求的</w:t>
            </w:r>
            <w:r>
              <w:rPr>
                <w:rFonts w:hint="eastAsia"/>
                <w:color w:val="auto"/>
                <w:lang w:eastAsia="zh-CN"/>
              </w:rPr>
              <w:t>，</w:t>
            </w:r>
            <w:r>
              <w:rPr>
                <w:rFonts w:hint="eastAsia"/>
                <w:color w:val="auto"/>
              </w:rPr>
              <w:t>如果国家、省、市、区垃圾分类的标准等各种文件进行了变动调整，供应商应及时响应变动调整，按照最新标准或文件执行的</w:t>
            </w:r>
            <w:r>
              <w:rPr>
                <w:rFonts w:hint="eastAsia"/>
                <w:color w:val="auto"/>
                <w:lang w:eastAsia="zh-CN"/>
              </w:rPr>
              <w:t>得</w:t>
            </w:r>
            <w:r>
              <w:rPr>
                <w:rFonts w:hint="eastAsia"/>
                <w:color w:val="auto"/>
              </w:rPr>
              <w:t>2 分</w:t>
            </w:r>
            <w:r>
              <w:rPr>
                <w:rFonts w:hint="eastAsia"/>
                <w:color w:val="auto"/>
                <w:lang w:eastAsia="zh-CN"/>
              </w:rPr>
              <w:t>，无此内容或不全的不得分。</w:t>
            </w:r>
          </w:p>
          <w:p>
            <w:pPr>
              <w:rPr>
                <w:rFonts w:hint="eastAsia"/>
                <w:color w:val="auto"/>
                <w:lang w:eastAsia="zh-CN"/>
              </w:rPr>
            </w:pPr>
            <w:r>
              <w:rPr>
                <w:rFonts w:hint="eastAsia"/>
                <w:color w:val="auto"/>
              </w:rPr>
              <w:t>2、承诺随时配合采购人进行实施，并在服务期内安全文明作业的</w:t>
            </w:r>
            <w:r>
              <w:rPr>
                <w:rFonts w:hint="eastAsia"/>
                <w:color w:val="auto"/>
                <w:lang w:eastAsia="zh-CN"/>
              </w:rPr>
              <w:t>得</w:t>
            </w:r>
            <w:r>
              <w:rPr>
                <w:rFonts w:hint="eastAsia"/>
                <w:color w:val="auto"/>
              </w:rPr>
              <w:t>2 分</w:t>
            </w:r>
            <w:r>
              <w:rPr>
                <w:rFonts w:hint="eastAsia"/>
                <w:color w:val="auto"/>
                <w:lang w:eastAsia="zh-CN"/>
              </w:rPr>
              <w:t>，无此内容或不全的不得分。</w:t>
            </w:r>
          </w:p>
          <w:p>
            <w:pPr>
              <w:rPr>
                <w:rFonts w:hint="eastAsia"/>
                <w:color w:val="auto"/>
              </w:rPr>
            </w:pPr>
            <w:r>
              <w:rPr>
                <w:rFonts w:hint="eastAsia"/>
                <w:color w:val="auto"/>
              </w:rPr>
              <w:t>3、承诺按照许昌市用工要求来招聘员工，在服务期限内员工所产生的一切安全事故、纠纷等由供应商自身负责解决，与招标方无关的</w:t>
            </w:r>
            <w:r>
              <w:rPr>
                <w:rFonts w:hint="eastAsia"/>
                <w:color w:val="auto"/>
                <w:lang w:eastAsia="zh-CN"/>
              </w:rPr>
              <w:t>得</w:t>
            </w:r>
            <w:r>
              <w:rPr>
                <w:rFonts w:hint="eastAsia"/>
                <w:color w:val="auto"/>
              </w:rPr>
              <w:t>2分</w:t>
            </w:r>
            <w:r>
              <w:rPr>
                <w:rFonts w:hint="eastAsia"/>
                <w:color w:val="auto"/>
                <w:lang w:eastAsia="zh-CN"/>
              </w:rPr>
              <w:t>，无此内容或不全的不得分。</w:t>
            </w:r>
            <w:r>
              <w:rPr>
                <w:rFonts w:hint="eastAsia"/>
                <w:color w:val="auto"/>
              </w:rPr>
              <w:t xml:space="preserve">                                        </w:t>
            </w:r>
          </w:p>
          <w:p>
            <w:pPr>
              <w:rPr>
                <w:rFonts w:hint="eastAsia"/>
                <w:color w:val="auto"/>
              </w:rPr>
            </w:pPr>
            <w:r>
              <w:rPr>
                <w:rFonts w:hint="eastAsia"/>
                <w:color w:val="auto"/>
              </w:rPr>
              <w:t>4、其他承诺，评标委员会根据其他承诺的合理性及可行性，横向比较0-2分。</w:t>
            </w:r>
          </w:p>
          <w:p>
            <w:pPr>
              <w:rPr>
                <w:rFonts w:hint="eastAsia"/>
                <w:color w:val="auto"/>
              </w:rPr>
            </w:pPr>
            <w:r>
              <w:rPr>
                <w:rFonts w:hint="eastAsia"/>
                <w:color w:val="auto"/>
              </w:rPr>
              <w:t>5、供应商提供的</w:t>
            </w:r>
            <w:r>
              <w:rPr>
                <w:rFonts w:hint="eastAsia"/>
                <w:color w:val="auto"/>
                <w:lang w:eastAsia="zh-CN"/>
              </w:rPr>
              <w:t>整体</w:t>
            </w:r>
            <w:r>
              <w:rPr>
                <w:rFonts w:hint="eastAsia"/>
                <w:color w:val="auto"/>
              </w:rPr>
              <w:t>服务承诺方案，评标委员会根据方案的合理性及可行性在 0-2 分范围内量化。</w:t>
            </w:r>
          </w:p>
        </w:tc>
        <w:tc>
          <w:tcPr>
            <w:tcW w:w="1093" w:type="dxa"/>
            <w:shd w:val="clear" w:color="auto" w:fill="auto"/>
            <w:tcMar>
              <w:left w:w="108" w:type="dxa"/>
              <w:right w:w="108" w:type="dxa"/>
            </w:tcMar>
            <w:vAlign w:val="center"/>
          </w:tcPr>
          <w:p>
            <w:pPr>
              <w:widowControl/>
              <w:spacing w:line="276" w:lineRule="auto"/>
              <w:jc w:val="center"/>
              <w:rPr>
                <w:color w:val="auto"/>
              </w:rPr>
            </w:pPr>
            <w:r>
              <w:rPr>
                <w:rFonts w:ascii="宋体" w:hAnsi="宋体" w:cs="宋体"/>
                <w:color w:val="auto"/>
                <w:kern w:val="0"/>
                <w:sz w:val="24"/>
                <w:szCs w:val="24"/>
              </w:rPr>
              <w:t>10</w:t>
            </w:r>
            <w:r>
              <w:rPr>
                <w:rFonts w:hint="eastAsia" w:ascii="宋体" w:hAnsi="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8937" w:type="dxa"/>
            <w:gridSpan w:val="3"/>
            <w:shd w:val="clear" w:color="auto" w:fill="auto"/>
            <w:tcMar>
              <w:left w:w="108" w:type="dxa"/>
              <w:right w:w="108" w:type="dxa"/>
            </w:tcMar>
            <w:vAlign w:val="center"/>
          </w:tcPr>
          <w:p>
            <w:pPr>
              <w:widowControl/>
              <w:spacing w:line="330" w:lineRule="atLeast"/>
              <w:rPr>
                <w:rFonts w:cs="仿宋" w:asciiTheme="minorEastAsia" w:hAnsiTheme="minorEastAsia"/>
                <w:color w:val="auto"/>
                <w:sz w:val="24"/>
                <w:szCs w:val="24"/>
              </w:rPr>
            </w:pPr>
            <w:r>
              <w:rPr>
                <w:rFonts w:hint="eastAsia" w:cs="仿宋" w:asciiTheme="minorEastAsia" w:hAnsiTheme="minorEastAsia"/>
                <w:b/>
                <w:color w:val="auto"/>
                <w:kern w:val="0"/>
                <w:sz w:val="24"/>
                <w:szCs w:val="24"/>
              </w:rPr>
              <w:t>三、技术部分（满分</w:t>
            </w:r>
            <w:r>
              <w:rPr>
                <w:rFonts w:hint="eastAsia" w:cs="仿宋" w:asciiTheme="minorEastAsia" w:hAnsiTheme="minorEastAsia"/>
                <w:b/>
                <w:color w:val="auto"/>
                <w:kern w:val="0"/>
                <w:sz w:val="24"/>
                <w:szCs w:val="24"/>
                <w:u w:val="single"/>
                <w:lang w:val="en-US" w:eastAsia="zh-CN"/>
              </w:rPr>
              <w:t>50</w:t>
            </w:r>
            <w:r>
              <w:rPr>
                <w:rFonts w:hint="eastAsia" w:cs="仿宋" w:asciiTheme="minorEastAsia" w:hAnsiTheme="minorEastAsia"/>
                <w:b/>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25"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评分因素</w:t>
            </w:r>
          </w:p>
        </w:tc>
        <w:tc>
          <w:tcPr>
            <w:tcW w:w="6419"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评分标准</w:t>
            </w:r>
          </w:p>
        </w:tc>
        <w:tc>
          <w:tcPr>
            <w:tcW w:w="1093" w:type="dxa"/>
            <w:shd w:val="clear" w:color="auto" w:fill="auto"/>
            <w:tcMar>
              <w:left w:w="108" w:type="dxa"/>
              <w:right w:w="108" w:type="dxa"/>
            </w:tcMar>
            <w:vAlign w:val="center"/>
          </w:tcPr>
          <w:p>
            <w:pPr>
              <w:widowControl/>
              <w:spacing w:line="330" w:lineRule="atLeast"/>
              <w:jc w:val="center"/>
              <w:rPr>
                <w:rFonts w:cs="仿宋" w:asciiTheme="minorEastAsia" w:hAnsiTheme="minorEastAsia"/>
                <w:color w:val="auto"/>
                <w:sz w:val="24"/>
                <w:szCs w:val="24"/>
              </w:rPr>
            </w:pPr>
            <w:r>
              <w:rPr>
                <w:rFonts w:hint="eastAsia" w:cs="仿宋" w:asciiTheme="minorEastAsia" w:hAnsiTheme="minorEastAsia"/>
                <w:b/>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4" w:hRule="atLeast"/>
          <w:jc w:val="center"/>
        </w:trPr>
        <w:tc>
          <w:tcPr>
            <w:tcW w:w="1425" w:type="dxa"/>
            <w:shd w:val="clear" w:color="auto" w:fill="auto"/>
            <w:tcMar>
              <w:left w:w="108" w:type="dxa"/>
              <w:right w:w="108" w:type="dxa"/>
            </w:tcMar>
            <w:vAlign w:val="center"/>
          </w:tcPr>
          <w:p>
            <w:pPr>
              <w:jc w:val="center"/>
              <w:rPr>
                <w:color w:val="auto"/>
              </w:rPr>
            </w:pPr>
            <w:r>
              <w:rPr>
                <w:rFonts w:hint="eastAsia" w:ascii="宋体" w:hAnsi="宋体" w:cs="宋体"/>
                <w:bCs/>
                <w:color w:val="auto"/>
                <w:kern w:val="0"/>
                <w:sz w:val="24"/>
                <w:szCs w:val="24"/>
              </w:rPr>
              <w:t>技术人员配备</w:t>
            </w:r>
          </w:p>
        </w:tc>
        <w:tc>
          <w:tcPr>
            <w:tcW w:w="6419" w:type="dxa"/>
            <w:shd w:val="clear" w:color="auto" w:fill="auto"/>
            <w:tcMar>
              <w:left w:w="108" w:type="dxa"/>
              <w:right w:w="108" w:type="dxa"/>
            </w:tcMar>
            <w:vAlign w:val="center"/>
          </w:tcPr>
          <w:p>
            <w:pPr>
              <w:rPr>
                <w:color w:val="auto"/>
              </w:rPr>
            </w:pPr>
            <w:r>
              <w:rPr>
                <w:rFonts w:hint="eastAsia"/>
                <w:color w:val="auto"/>
              </w:rPr>
              <w:t>1、便于项目开展</w:t>
            </w:r>
            <w:r>
              <w:rPr>
                <w:rFonts w:hint="eastAsia"/>
                <w:color w:val="auto"/>
                <w:lang w:eastAsia="zh-CN"/>
              </w:rPr>
              <w:t>，</w:t>
            </w:r>
            <w:r>
              <w:rPr>
                <w:rFonts w:hint="eastAsia"/>
                <w:color w:val="auto"/>
              </w:rPr>
              <w:t>投标人需详细列出人员配备明细表，不限于项目负责人，督导员，设备运维工程师，垃圾分类专员、司机等项目组人员详细资料及配备数量，评标委员会根据投标人提供的人员机构明细详尽程度、数量、岗位种类</w:t>
            </w:r>
            <w:r>
              <w:rPr>
                <w:rFonts w:hint="eastAsia"/>
                <w:color w:val="auto"/>
                <w:lang w:eastAsia="zh-CN"/>
              </w:rPr>
              <w:t>及资料</w:t>
            </w:r>
            <w:r>
              <w:rPr>
                <w:rFonts w:hint="eastAsia"/>
                <w:color w:val="auto"/>
              </w:rPr>
              <w:t>等因素横向比较，较好的</w:t>
            </w:r>
            <w:r>
              <w:rPr>
                <w:color w:val="auto"/>
              </w:rPr>
              <w:t>5</w:t>
            </w:r>
            <w:r>
              <w:rPr>
                <w:rFonts w:hint="eastAsia"/>
                <w:color w:val="auto"/>
              </w:rPr>
              <w:t>分，一般的2分，较差的1分。没有此项叙述的不得分</w:t>
            </w:r>
            <w:r>
              <w:rPr>
                <w:rFonts w:hint="eastAsia"/>
                <w:color w:val="auto"/>
                <w:lang w:eastAsia="zh-CN"/>
              </w:rPr>
              <w:t>（以证书原件扫描件或图片为准）</w:t>
            </w:r>
            <w:r>
              <w:rPr>
                <w:rFonts w:hint="eastAsia"/>
                <w:color w:val="auto"/>
              </w:rPr>
              <w:t>。</w:t>
            </w:r>
          </w:p>
          <w:p>
            <w:pPr>
              <w:rPr>
                <w:color w:val="auto"/>
              </w:rPr>
            </w:pPr>
            <w:r>
              <w:rPr>
                <w:rFonts w:hint="eastAsia"/>
                <w:color w:val="auto"/>
              </w:rPr>
              <w:t>2、项目主要人员岗位职责：投标人根据项目人员岗位分别写出各岗位职责及详尽的工作范围及工作内容，横向比较，较好的</w:t>
            </w:r>
            <w:r>
              <w:rPr>
                <w:color w:val="auto"/>
              </w:rPr>
              <w:t>3分</w:t>
            </w:r>
            <w:r>
              <w:rPr>
                <w:rFonts w:hint="eastAsia"/>
                <w:color w:val="auto"/>
              </w:rPr>
              <w:t>，一般的</w:t>
            </w:r>
            <w:r>
              <w:rPr>
                <w:color w:val="auto"/>
              </w:rPr>
              <w:t>1</w:t>
            </w:r>
            <w:r>
              <w:rPr>
                <w:rFonts w:hint="eastAsia"/>
                <w:color w:val="auto"/>
                <w:lang w:val="en-US" w:eastAsia="zh-CN"/>
              </w:rPr>
              <w:t xml:space="preserve"> </w:t>
            </w:r>
            <w:r>
              <w:rPr>
                <w:color w:val="auto"/>
              </w:rPr>
              <w:t>分</w:t>
            </w:r>
            <w:r>
              <w:rPr>
                <w:rFonts w:hint="eastAsia"/>
                <w:color w:val="auto"/>
              </w:rPr>
              <w:t>。没有此项叙述的不得分</w:t>
            </w:r>
            <w:r>
              <w:rPr>
                <w:rFonts w:hint="eastAsia"/>
                <w:color w:val="auto"/>
                <w:lang w:val="en-US" w:eastAsia="zh-CN"/>
              </w:rPr>
              <w:t xml:space="preserve"> </w:t>
            </w:r>
            <w:r>
              <w:rPr>
                <w:rFonts w:hint="eastAsia"/>
                <w:color w:val="auto"/>
              </w:rPr>
              <w:t>。</w:t>
            </w:r>
          </w:p>
        </w:tc>
        <w:tc>
          <w:tcPr>
            <w:tcW w:w="1093" w:type="dxa"/>
            <w:shd w:val="clear" w:color="auto" w:fill="auto"/>
            <w:tcMar>
              <w:left w:w="108" w:type="dxa"/>
              <w:right w:w="108" w:type="dxa"/>
            </w:tcMar>
            <w:vAlign w:val="center"/>
          </w:tcPr>
          <w:p>
            <w:pPr>
              <w:jc w:val="center"/>
              <w:rPr>
                <w:color w:val="auto"/>
              </w:rPr>
            </w:pPr>
            <w:r>
              <w:rPr>
                <w:color w:val="auto"/>
              </w:rPr>
              <w:t>8</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jc w:val="center"/>
              <w:rPr>
                <w:color w:val="auto"/>
              </w:rPr>
            </w:pPr>
            <w:r>
              <w:rPr>
                <w:rFonts w:hint="eastAsia" w:ascii="宋体" w:hAnsi="宋体" w:cs="宋体"/>
                <w:bCs/>
                <w:color w:val="auto"/>
                <w:kern w:val="0"/>
                <w:sz w:val="24"/>
                <w:szCs w:val="24"/>
              </w:rPr>
              <w:t>总体服务</w:t>
            </w:r>
          </w:p>
        </w:tc>
        <w:tc>
          <w:tcPr>
            <w:tcW w:w="6419" w:type="dxa"/>
            <w:shd w:val="clear" w:color="auto" w:fill="auto"/>
            <w:tcMar>
              <w:left w:w="108" w:type="dxa"/>
              <w:right w:w="108" w:type="dxa"/>
            </w:tcMar>
            <w:vAlign w:val="center"/>
          </w:tcPr>
          <w:p>
            <w:pPr>
              <w:rPr>
                <w:color w:val="auto"/>
              </w:rPr>
            </w:pPr>
            <w:r>
              <w:rPr>
                <w:rFonts w:hint="eastAsia"/>
                <w:color w:val="auto"/>
              </w:rPr>
              <w:t>供应商制定垃圾分类减量总体服务方案(包含分类指导、分类投放、分类收集、分类运输、宣传发动、应急管理，数据智能化管理、系统维护）方案、资源回收日运营等方案)。</w:t>
            </w:r>
          </w:p>
          <w:p>
            <w:pPr>
              <w:rPr>
                <w:rFonts w:hint="eastAsia" w:eastAsiaTheme="minorEastAsia"/>
                <w:color w:val="auto"/>
                <w:lang w:eastAsia="zh-CN"/>
              </w:rPr>
            </w:pPr>
            <w:r>
              <w:rPr>
                <w:rFonts w:hint="eastAsia"/>
                <w:color w:val="auto"/>
              </w:rPr>
              <w:t>评标委员会根据各供应商总体服务方案的合理性、可行性和科学性，横向比较，较好的</w:t>
            </w:r>
            <w:r>
              <w:rPr>
                <w:rFonts w:hint="eastAsia"/>
                <w:color w:val="auto"/>
                <w:lang w:val="en-US" w:eastAsia="zh-CN"/>
              </w:rPr>
              <w:t>10</w:t>
            </w:r>
            <w:r>
              <w:rPr>
                <w:rFonts w:hint="eastAsia"/>
                <w:color w:val="auto"/>
              </w:rPr>
              <w:t>分，一般的</w:t>
            </w:r>
            <w:r>
              <w:rPr>
                <w:rFonts w:hint="eastAsia"/>
                <w:color w:val="auto"/>
                <w:lang w:val="en-US" w:eastAsia="zh-CN"/>
              </w:rPr>
              <w:t>6</w:t>
            </w:r>
            <w:r>
              <w:rPr>
                <w:rFonts w:hint="eastAsia"/>
                <w:color w:val="auto"/>
              </w:rPr>
              <w:t>分，较差的</w:t>
            </w:r>
            <w:r>
              <w:rPr>
                <w:rFonts w:hint="eastAsia"/>
                <w:color w:val="auto"/>
                <w:lang w:val="en-US" w:eastAsia="zh-CN"/>
              </w:rPr>
              <w:t>3</w:t>
            </w:r>
            <w:r>
              <w:rPr>
                <w:rFonts w:hint="eastAsia"/>
                <w:color w:val="auto"/>
              </w:rPr>
              <w:t>分。</w:t>
            </w:r>
            <w:r>
              <w:rPr>
                <w:rFonts w:hint="eastAsia"/>
                <w:color w:val="auto"/>
                <w:lang w:eastAsia="zh-CN"/>
              </w:rPr>
              <w:t>没有此项叙述的不得分。</w:t>
            </w:r>
          </w:p>
        </w:tc>
        <w:tc>
          <w:tcPr>
            <w:tcW w:w="1093" w:type="dxa"/>
            <w:shd w:val="clear" w:color="auto" w:fill="auto"/>
            <w:tcMar>
              <w:left w:w="108" w:type="dxa"/>
              <w:right w:w="108" w:type="dxa"/>
            </w:tcMar>
            <w:vAlign w:val="center"/>
          </w:tcPr>
          <w:p>
            <w:pPr>
              <w:jc w:val="center"/>
              <w:rPr>
                <w:color w:val="auto"/>
              </w:rPr>
            </w:pPr>
            <w:r>
              <w:rPr>
                <w:rFonts w:hint="eastAsia"/>
                <w:color w:val="auto"/>
                <w:lang w:val="en-US" w:eastAsia="zh-CN"/>
              </w:rPr>
              <w:t>10</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bCs/>
                <w:color w:val="auto"/>
                <w:kern w:val="0"/>
                <w:sz w:val="24"/>
                <w:szCs w:val="24"/>
              </w:rPr>
              <w:t>迎检方案</w:t>
            </w:r>
          </w:p>
        </w:tc>
        <w:tc>
          <w:tcPr>
            <w:tcW w:w="6419" w:type="dxa"/>
            <w:shd w:val="clear" w:color="auto" w:fill="auto"/>
            <w:tcMar>
              <w:left w:w="108" w:type="dxa"/>
              <w:right w:w="108" w:type="dxa"/>
            </w:tcMar>
            <w:vAlign w:val="center"/>
          </w:tcPr>
          <w:p>
            <w:pPr>
              <w:rPr>
                <w:rFonts w:hint="eastAsia" w:ascii="宋体" w:hAnsi="宋体" w:cs="宋体"/>
                <w:color w:val="auto"/>
                <w:kern w:val="0"/>
                <w:sz w:val="24"/>
                <w:szCs w:val="24"/>
              </w:rPr>
            </w:pPr>
            <w:r>
              <w:rPr>
                <w:rFonts w:hint="eastAsia" w:ascii="宋体" w:hAnsi="宋体" w:cs="宋体"/>
                <w:color w:val="auto"/>
                <w:kern w:val="0"/>
                <w:sz w:val="24"/>
                <w:szCs w:val="24"/>
              </w:rPr>
              <w:t>根据供应商提供垃圾分类巡检方案的有效性，垃圾分类巡检工作及时性、准确性，评标委员会根据方案的合理性、可行性和科学性，较好的</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分，一般的</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分，较差的</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color w:val="auto"/>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bCs/>
                <w:color w:val="auto"/>
                <w:kern w:val="0"/>
                <w:sz w:val="24"/>
                <w:szCs w:val="24"/>
              </w:rPr>
              <w:t>故障响应</w:t>
            </w:r>
          </w:p>
        </w:tc>
        <w:tc>
          <w:tcPr>
            <w:tcW w:w="6419" w:type="dxa"/>
            <w:shd w:val="clear" w:color="auto" w:fill="auto"/>
            <w:tcMar>
              <w:left w:w="108" w:type="dxa"/>
              <w:right w:w="108" w:type="dxa"/>
            </w:tcMar>
            <w:vAlign w:val="center"/>
          </w:tcPr>
          <w:p>
            <w:pP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根据供应商提供故障应急响应机制的科学性、完善性，包括故障的报警、处理、抢修、恢复全过程及备品备件的储备情况、备用状态等，评标委员会根据方案的合理性、可行性和科学性，较好的3分，一般的1分</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较差的</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bCs/>
                <w:color w:val="auto"/>
                <w:kern w:val="0"/>
                <w:sz w:val="24"/>
                <w:szCs w:val="24"/>
              </w:rPr>
              <w:t>宣传方案</w:t>
            </w:r>
          </w:p>
        </w:tc>
        <w:tc>
          <w:tcPr>
            <w:tcW w:w="6419" w:type="dxa"/>
            <w:shd w:val="clear" w:color="auto" w:fill="auto"/>
            <w:tcMar>
              <w:left w:w="108" w:type="dxa"/>
              <w:right w:w="108" w:type="dxa"/>
            </w:tcMar>
            <w:vAlign w:val="center"/>
          </w:tcPr>
          <w:p>
            <w:pPr>
              <w:rPr>
                <w:rFonts w:hint="eastAsia" w:ascii="宋体" w:hAnsi="宋体" w:cs="宋体"/>
                <w:color w:val="auto"/>
                <w:kern w:val="0"/>
                <w:sz w:val="24"/>
                <w:szCs w:val="24"/>
                <w:lang w:eastAsia="zh-CN"/>
              </w:rPr>
            </w:pPr>
            <w:r>
              <w:rPr>
                <w:rFonts w:hint="eastAsia" w:ascii="宋体" w:hAnsi="宋体" w:cs="宋体"/>
                <w:color w:val="auto"/>
                <w:kern w:val="0"/>
                <w:sz w:val="24"/>
                <w:szCs w:val="24"/>
              </w:rPr>
              <w:t>根据本项目的具体情况制定相应的宣传引导方案及宣传工作，评标委员会根据方案的合理性、可行性和科学性，较好的</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分，一般的</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，较差得</w:t>
            </w:r>
            <w:r>
              <w:rPr>
                <w:rFonts w:hint="eastAsia" w:ascii="宋体" w:hAnsi="宋体" w:cs="宋体"/>
                <w:color w:val="auto"/>
                <w:kern w:val="0"/>
                <w:sz w:val="24"/>
                <w:szCs w:val="24"/>
                <w:lang w:val="en-US" w:eastAsia="zh-CN"/>
              </w:rPr>
              <w:t>1分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bCs/>
                <w:color w:val="auto"/>
                <w:kern w:val="0"/>
                <w:sz w:val="24"/>
                <w:szCs w:val="24"/>
              </w:rPr>
              <w:t>突发事件处理措施</w:t>
            </w:r>
          </w:p>
        </w:tc>
        <w:tc>
          <w:tcPr>
            <w:tcW w:w="6419" w:type="dxa"/>
            <w:shd w:val="clear" w:color="auto" w:fill="auto"/>
            <w:tcMar>
              <w:left w:w="108" w:type="dxa"/>
              <w:right w:w="108" w:type="dxa"/>
            </w:tcMar>
            <w:vAlign w:val="center"/>
          </w:tcPr>
          <w:p>
            <w:pPr>
              <w:rPr>
                <w:rFonts w:hint="eastAsia" w:ascii="宋体" w:hAnsi="宋体" w:cs="宋体"/>
                <w:color w:val="auto"/>
                <w:kern w:val="0"/>
                <w:sz w:val="24"/>
                <w:szCs w:val="24"/>
                <w:lang w:eastAsia="zh-CN"/>
              </w:rPr>
            </w:pPr>
            <w:r>
              <w:rPr>
                <w:rFonts w:hint="eastAsia" w:ascii="宋体" w:hAnsi="宋体" w:cs="宋体"/>
                <w:color w:val="auto"/>
                <w:kern w:val="0"/>
                <w:sz w:val="24"/>
                <w:szCs w:val="24"/>
              </w:rPr>
              <w:t>根据供应商提供的应急保障机制，针对突发事件制定合理、有效的应急预案和措施，较好的</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分，一般的</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，较差得</w:t>
            </w:r>
            <w:r>
              <w:rPr>
                <w:rFonts w:hint="eastAsia" w:ascii="宋体" w:hAnsi="宋体" w:cs="宋体"/>
                <w:color w:val="auto"/>
                <w:kern w:val="0"/>
                <w:sz w:val="24"/>
                <w:szCs w:val="24"/>
                <w:lang w:val="en-US" w:eastAsia="zh-CN"/>
              </w:rPr>
              <w:t>1分</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bCs/>
                <w:color w:val="auto"/>
                <w:kern w:val="0"/>
                <w:sz w:val="24"/>
                <w:szCs w:val="24"/>
              </w:rPr>
              <w:t>培训计划</w:t>
            </w:r>
          </w:p>
        </w:tc>
        <w:tc>
          <w:tcPr>
            <w:tcW w:w="6419" w:type="dxa"/>
            <w:shd w:val="clear" w:color="auto" w:fill="auto"/>
            <w:tcMar>
              <w:left w:w="108" w:type="dxa"/>
              <w:right w:w="108" w:type="dxa"/>
            </w:tcMar>
            <w:vAlign w:val="center"/>
          </w:tcPr>
          <w:p>
            <w:pPr>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rPr>
              <w:t>评标委员会根据供应商制定的项目管理人员、一线工作人员培训计划措施,较好的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4分，一般的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2分，较差的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1分。</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color w:val="auto"/>
              </w:rPr>
            </w:pPr>
            <w:r>
              <w:rPr>
                <w:rFonts w:hint="eastAsia" w:ascii="宋体" w:hAnsi="宋体" w:cs="宋体"/>
                <w:bCs/>
                <w:color w:val="auto"/>
                <w:kern w:val="0"/>
                <w:sz w:val="24"/>
                <w:szCs w:val="24"/>
              </w:rPr>
              <w:t>厨余垃圾分拣方案</w:t>
            </w:r>
          </w:p>
        </w:tc>
        <w:tc>
          <w:tcPr>
            <w:tcW w:w="6419" w:type="dxa"/>
            <w:shd w:val="clear" w:color="auto" w:fill="auto"/>
            <w:tcMar>
              <w:left w:w="108" w:type="dxa"/>
              <w:right w:w="108" w:type="dxa"/>
            </w:tcMar>
            <w:vAlign w:val="center"/>
          </w:tcPr>
          <w:p>
            <w:pPr>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rPr>
              <w:t>评标委员会根据垃圾分类中厨余垃圾破袋分拣方案的合理性、可行性和科学性，较好的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4分，一般的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2分，较差的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1分。</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rFonts w:ascii="宋体" w:hAnsi="宋体" w:cs="宋体"/>
                <w:bCs/>
                <w:color w:val="auto"/>
                <w:kern w:val="0"/>
                <w:sz w:val="24"/>
                <w:szCs w:val="24"/>
              </w:rPr>
            </w:pPr>
            <w:r>
              <w:rPr>
                <w:rFonts w:hint="eastAsia" w:ascii="宋体" w:hAnsi="宋体" w:cs="宋体"/>
                <w:bCs/>
                <w:color w:val="auto"/>
                <w:kern w:val="0"/>
                <w:sz w:val="24"/>
                <w:szCs w:val="24"/>
              </w:rPr>
              <w:t>管理制度</w:t>
            </w:r>
          </w:p>
        </w:tc>
        <w:tc>
          <w:tcPr>
            <w:tcW w:w="6419" w:type="dxa"/>
            <w:shd w:val="clear" w:color="auto" w:fill="auto"/>
            <w:tcMar>
              <w:left w:w="108" w:type="dxa"/>
              <w:right w:w="108" w:type="dxa"/>
            </w:tcMar>
            <w:vAlign w:val="center"/>
          </w:tcPr>
          <w:p>
            <w:pPr>
              <w:rPr>
                <w:rFonts w:ascii="宋体" w:hAnsi="宋体" w:cs="宋体"/>
                <w:color w:val="auto"/>
                <w:kern w:val="0"/>
                <w:sz w:val="24"/>
                <w:szCs w:val="24"/>
              </w:rPr>
            </w:pPr>
            <w:r>
              <w:rPr>
                <w:rFonts w:hint="eastAsia" w:ascii="宋体" w:hAnsi="宋体" w:cs="宋体"/>
                <w:color w:val="auto"/>
                <w:kern w:val="0"/>
                <w:sz w:val="24"/>
                <w:szCs w:val="24"/>
              </w:rPr>
              <w:t>供应商针对本招标项目管理人员、一线人员工作的各项制度和管理措施，能够实现完整的过程监管（完整性、先进性、可操作性）,较好的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4分，一般的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2分，较差的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1分。</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spacing w:line="276" w:lineRule="auto"/>
              <w:jc w:val="center"/>
              <w:rPr>
                <w:rFonts w:ascii="宋体" w:hAnsi="宋体" w:cs="宋体"/>
                <w:bCs/>
                <w:color w:val="auto"/>
                <w:kern w:val="0"/>
                <w:sz w:val="24"/>
                <w:szCs w:val="24"/>
              </w:rPr>
            </w:pPr>
            <w:r>
              <w:rPr>
                <w:rFonts w:hint="eastAsia" w:ascii="宋体" w:hAnsi="宋体" w:cs="宋体"/>
                <w:bCs/>
                <w:color w:val="auto"/>
                <w:kern w:val="0"/>
                <w:sz w:val="24"/>
                <w:szCs w:val="24"/>
              </w:rPr>
              <w:t>拟投入本项目的设备配备</w:t>
            </w:r>
          </w:p>
        </w:tc>
        <w:tc>
          <w:tcPr>
            <w:tcW w:w="6419" w:type="dxa"/>
            <w:shd w:val="clear" w:color="auto" w:fill="auto"/>
            <w:tcMar>
              <w:left w:w="108" w:type="dxa"/>
              <w:right w:w="108" w:type="dxa"/>
            </w:tcMar>
            <w:vAlign w:val="center"/>
          </w:tcPr>
          <w:p>
            <w:pPr>
              <w:rPr>
                <w:rFonts w:ascii="宋体" w:hAnsi="宋体" w:cs="宋体"/>
                <w:color w:val="auto"/>
                <w:kern w:val="0"/>
                <w:sz w:val="24"/>
                <w:szCs w:val="24"/>
              </w:rPr>
            </w:pPr>
            <w:r>
              <w:rPr>
                <w:rFonts w:hint="eastAsia" w:ascii="宋体" w:hAnsi="宋体" w:cs="宋体"/>
                <w:color w:val="auto"/>
                <w:kern w:val="0"/>
                <w:sz w:val="24"/>
                <w:szCs w:val="24"/>
              </w:rPr>
              <w:t>供应商需根据采购需求及项目情况制定合理的设备、工具投放方案，方案内容需要包括设备情况、设备投放情况、设备维护，评标委员会根据  投放设备、工具安排的合理、科学及可行性，较好的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3分，一般的</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1分。</w:t>
            </w:r>
            <w:r>
              <w:rPr>
                <w:rFonts w:hint="eastAsia" w:ascii="宋体" w:hAnsi="宋体" w:cs="宋体"/>
                <w:color w:val="auto"/>
                <w:kern w:val="0"/>
                <w:sz w:val="24"/>
                <w:szCs w:val="24"/>
                <w:lang w:eastAsia="zh-CN"/>
              </w:rPr>
              <w:t>没有此项叙述的不得分。</w:t>
            </w:r>
          </w:p>
        </w:tc>
        <w:tc>
          <w:tcPr>
            <w:tcW w:w="1093" w:type="dxa"/>
            <w:shd w:val="clear" w:color="auto" w:fill="auto"/>
            <w:tcMar>
              <w:left w:w="108" w:type="dxa"/>
              <w:right w:w="108" w:type="dxa"/>
            </w:tcMar>
            <w:vAlign w:val="center"/>
          </w:tcPr>
          <w:p>
            <w:pPr>
              <w:spacing w:line="276" w:lineRule="auto"/>
              <w:jc w:val="center"/>
              <w:rPr>
                <w:rFonts w:ascii="宋体" w:hAnsi="宋体" w:cs="宋体"/>
                <w:color w:val="auto"/>
                <w:kern w:val="0"/>
                <w:sz w:val="24"/>
                <w:szCs w:val="24"/>
              </w:rPr>
            </w:pPr>
            <w:r>
              <w:rPr>
                <w:rFonts w:hint="eastAsia" w:ascii="宋体" w:hAnsi="宋体" w:cs="宋体"/>
                <w:color w:val="auto"/>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jc w:val="center"/>
        </w:trPr>
        <w:tc>
          <w:tcPr>
            <w:tcW w:w="1425" w:type="dxa"/>
            <w:shd w:val="clear" w:color="auto" w:fill="auto"/>
            <w:tcMar>
              <w:left w:w="108" w:type="dxa"/>
              <w:right w:w="108" w:type="dxa"/>
            </w:tcMar>
            <w:vAlign w:val="center"/>
          </w:tcPr>
          <w:p>
            <w:pPr>
              <w:widowControl/>
              <w:spacing w:line="276" w:lineRule="auto"/>
              <w:jc w:val="center"/>
              <w:rPr>
                <w:rFonts w:ascii="宋体" w:hAnsi="宋体" w:cs="宋体"/>
                <w:color w:val="auto"/>
                <w:kern w:val="0"/>
                <w:sz w:val="24"/>
                <w:szCs w:val="24"/>
              </w:rPr>
            </w:pPr>
            <w:r>
              <w:rPr>
                <w:rFonts w:ascii="宋体" w:hAnsi="宋体" w:cs="宋体"/>
                <w:color w:val="auto"/>
                <w:kern w:val="0"/>
                <w:sz w:val="24"/>
                <w:szCs w:val="24"/>
              </w:rPr>
              <w:t>文件</w:t>
            </w:r>
          </w:p>
          <w:p>
            <w:pPr>
              <w:widowControl/>
              <w:spacing w:line="276" w:lineRule="auto"/>
              <w:jc w:val="center"/>
              <w:rPr>
                <w:rFonts w:ascii="宋体" w:hAnsi="宋体" w:cs="宋体"/>
                <w:bCs/>
                <w:color w:val="auto"/>
                <w:kern w:val="0"/>
                <w:sz w:val="24"/>
                <w:szCs w:val="24"/>
              </w:rPr>
            </w:pPr>
            <w:r>
              <w:rPr>
                <w:rFonts w:ascii="宋体" w:hAnsi="宋体" w:cs="宋体"/>
                <w:color w:val="auto"/>
                <w:kern w:val="0"/>
                <w:sz w:val="24"/>
                <w:szCs w:val="24"/>
              </w:rPr>
              <w:t>编制水平</w:t>
            </w:r>
          </w:p>
        </w:tc>
        <w:tc>
          <w:tcPr>
            <w:tcW w:w="6419" w:type="dxa"/>
            <w:shd w:val="clear" w:color="auto" w:fill="auto"/>
            <w:tcMar>
              <w:left w:w="108" w:type="dxa"/>
              <w:right w:w="108" w:type="dxa"/>
            </w:tcMar>
            <w:vAlign w:val="center"/>
          </w:tcPr>
          <w:p>
            <w:pPr>
              <w:widowControl/>
              <w:spacing w:line="276" w:lineRule="auto"/>
              <w:jc w:val="left"/>
              <w:rPr>
                <w:rFonts w:ascii="宋体" w:hAnsi="宋体" w:cs="宋体"/>
                <w:color w:val="auto"/>
                <w:kern w:val="0"/>
                <w:sz w:val="24"/>
                <w:szCs w:val="24"/>
              </w:rPr>
            </w:pPr>
            <w:r>
              <w:rPr>
                <w:rFonts w:hint="eastAsia" w:ascii="宋体" w:hAnsi="宋体" w:cs="宋体"/>
                <w:color w:val="auto"/>
                <w:kern w:val="0"/>
                <w:sz w:val="24"/>
                <w:szCs w:val="24"/>
              </w:rPr>
              <w:t>投标文件编制完整，格式规范、装订整齐、符合招标文件要求的得</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2分。</w:t>
            </w:r>
          </w:p>
        </w:tc>
        <w:tc>
          <w:tcPr>
            <w:tcW w:w="1093" w:type="dxa"/>
            <w:shd w:val="clear" w:color="auto" w:fill="auto"/>
            <w:tcMar>
              <w:left w:w="108" w:type="dxa"/>
              <w:right w:w="108" w:type="dxa"/>
            </w:tcMar>
            <w:vAlign w:val="center"/>
          </w:tcPr>
          <w:p>
            <w:pPr>
              <w:widowControl/>
              <w:spacing w:line="276" w:lineRule="auto"/>
              <w:jc w:val="center"/>
              <w:rPr>
                <w:rFonts w:ascii="宋体" w:hAnsi="宋体" w:cs="宋体"/>
                <w:color w:val="auto"/>
                <w:kern w:val="0"/>
                <w:sz w:val="24"/>
                <w:szCs w:val="24"/>
              </w:rPr>
            </w:pPr>
            <w:r>
              <w:rPr>
                <w:rFonts w:hint="eastAsia" w:ascii="宋体" w:hAnsi="宋体" w:cs="宋体"/>
                <w:color w:val="auto"/>
                <w:kern w:val="0"/>
                <w:sz w:val="24"/>
                <w:szCs w:val="24"/>
              </w:rPr>
              <w:t>2分</w:t>
            </w:r>
          </w:p>
        </w:tc>
      </w:tr>
    </w:tbl>
    <w:p>
      <w:pPr>
        <w:widowControl/>
        <w:spacing w:line="330" w:lineRule="atLeast"/>
        <w:rPr>
          <w:rFonts w:cs="仿宋" w:asciiTheme="minorEastAsia" w:hAnsiTheme="minorEastAsia"/>
          <w:b/>
          <w:color w:val="auto"/>
          <w:kern w:val="0"/>
          <w:sz w:val="24"/>
          <w:szCs w:val="24"/>
        </w:rPr>
      </w:pPr>
    </w:p>
    <w:p>
      <w:pPr>
        <w:widowControl/>
        <w:spacing w:line="330" w:lineRule="atLeas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注：1.凡评标办法里涉及到的证书、证件及业绩材料等，均应在电子版投标文件中附其原件扫描件（或图片），否则该项得分应作0分处理。</w:t>
      </w:r>
    </w:p>
    <w:p>
      <w:pPr>
        <w:widowControl/>
        <w:spacing w:line="330" w:lineRule="atLeas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2.业绩合同以合同签订日期为准。</w:t>
      </w:r>
    </w:p>
    <w:p>
      <w:pPr>
        <w:widowControl/>
        <w:spacing w:line="330" w:lineRule="atLeast"/>
        <w:ind w:firstLine="241" w:firstLineChars="100"/>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color w:val="auto"/>
                <w:sz w:val="24"/>
                <w:szCs w:val="24"/>
                <w:lang w:val="en-GB"/>
              </w:rPr>
            </w:pPr>
            <w:r>
              <w:rPr>
                <w:rFonts w:hint="eastAsia" w:ascii="宋体" w:hAnsi="宋体" w:eastAsia="宋体"/>
                <w:b/>
                <w:color w:val="auto"/>
                <w:sz w:val="24"/>
                <w:szCs w:val="24"/>
                <w:lang w:val="en-GB"/>
              </w:rPr>
              <w:t>序号</w:t>
            </w:r>
          </w:p>
        </w:tc>
        <w:tc>
          <w:tcPr>
            <w:tcW w:w="2823" w:type="dxa"/>
            <w:vAlign w:val="center"/>
          </w:tcPr>
          <w:p>
            <w:pPr>
              <w:jc w:val="center"/>
              <w:rPr>
                <w:rFonts w:ascii="宋体" w:hAnsi="宋体" w:eastAsia="宋体"/>
                <w:b/>
                <w:color w:val="auto"/>
                <w:sz w:val="24"/>
                <w:szCs w:val="24"/>
                <w:lang w:val="en-GB"/>
              </w:rPr>
            </w:pPr>
            <w:r>
              <w:rPr>
                <w:rFonts w:hint="eastAsia" w:ascii="宋体" w:hAnsi="宋体" w:eastAsia="宋体"/>
                <w:b/>
                <w:color w:val="auto"/>
                <w:sz w:val="24"/>
                <w:szCs w:val="24"/>
                <w:lang w:val="en-GB"/>
              </w:rPr>
              <w:t>情形</w:t>
            </w:r>
          </w:p>
        </w:tc>
        <w:tc>
          <w:tcPr>
            <w:tcW w:w="2552" w:type="dxa"/>
            <w:vAlign w:val="center"/>
          </w:tcPr>
          <w:p>
            <w:pPr>
              <w:jc w:val="center"/>
              <w:rPr>
                <w:rFonts w:ascii="宋体" w:hAnsi="宋体" w:eastAsia="宋体"/>
                <w:b/>
                <w:color w:val="auto"/>
                <w:sz w:val="24"/>
                <w:szCs w:val="24"/>
                <w:lang w:val="en-GB"/>
              </w:rPr>
            </w:pPr>
            <w:r>
              <w:rPr>
                <w:rFonts w:hint="eastAsia" w:ascii="宋体" w:hAnsi="宋体" w:eastAsia="宋体"/>
                <w:b/>
                <w:color w:val="auto"/>
                <w:sz w:val="24"/>
                <w:szCs w:val="24"/>
              </w:rPr>
              <w:t>价格扣除</w:t>
            </w:r>
            <w:r>
              <w:rPr>
                <w:rFonts w:hint="eastAsia" w:ascii="宋体" w:hAnsi="宋体" w:eastAsia="宋体"/>
                <w:b/>
                <w:color w:val="auto"/>
                <w:sz w:val="24"/>
                <w:szCs w:val="24"/>
                <w:lang w:val="en-GB"/>
              </w:rPr>
              <w:t>比例</w:t>
            </w:r>
          </w:p>
        </w:tc>
        <w:tc>
          <w:tcPr>
            <w:tcW w:w="2835" w:type="dxa"/>
            <w:vAlign w:val="center"/>
          </w:tcPr>
          <w:p>
            <w:pPr>
              <w:jc w:val="center"/>
              <w:rPr>
                <w:rFonts w:ascii="宋体" w:hAnsi="宋体" w:eastAsia="宋体"/>
                <w:b/>
                <w:color w:val="auto"/>
                <w:sz w:val="24"/>
                <w:szCs w:val="24"/>
                <w:lang w:val="en-GB"/>
              </w:rPr>
            </w:pPr>
            <w:r>
              <w:rPr>
                <w:rFonts w:hint="eastAsia" w:ascii="宋体" w:hAnsi="宋体" w:eastAsia="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1</w:t>
            </w:r>
          </w:p>
        </w:tc>
        <w:tc>
          <w:tcPr>
            <w:tcW w:w="2823"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非联合体投标人</w:t>
            </w:r>
          </w:p>
          <w:p>
            <w:pPr>
              <w:rPr>
                <w:rFonts w:ascii="宋体" w:hAnsi="宋体" w:eastAsia="宋体"/>
                <w:b/>
                <w:color w:val="auto"/>
                <w:sz w:val="24"/>
                <w:szCs w:val="24"/>
                <w:lang w:val="en-GB"/>
              </w:rPr>
            </w:pPr>
            <w:r>
              <w:rPr>
                <w:rFonts w:hint="eastAsia" w:ascii="宋体" w:hAnsi="宋体" w:eastAsia="宋体"/>
                <w:color w:val="auto"/>
                <w:sz w:val="24"/>
                <w:szCs w:val="24"/>
                <w:lang w:val="en-GB"/>
              </w:rPr>
              <w:t>（投标人须为中小企业）</w:t>
            </w:r>
          </w:p>
        </w:tc>
        <w:tc>
          <w:tcPr>
            <w:tcW w:w="2552" w:type="dxa"/>
            <w:vAlign w:val="center"/>
          </w:tcPr>
          <w:p>
            <w:pPr>
              <w:rPr>
                <w:rFonts w:ascii="宋体" w:hAnsi="宋体" w:eastAsia="宋体"/>
                <w:b/>
                <w:color w:val="auto"/>
                <w:sz w:val="24"/>
                <w:szCs w:val="24"/>
                <w:lang w:val="en-GB"/>
              </w:rPr>
            </w:pPr>
            <w:r>
              <w:rPr>
                <w:rFonts w:hint="eastAsia" w:ascii="宋体" w:hAnsi="宋体" w:eastAsia="宋体"/>
                <w:color w:val="auto"/>
                <w:sz w:val="24"/>
                <w:szCs w:val="24"/>
              </w:rPr>
              <w:t>对小型和微型企业产品的价格扣除</w:t>
            </w:r>
            <w:r>
              <w:rPr>
                <w:rFonts w:ascii="宋体" w:hAnsi="宋体" w:eastAsia="宋体"/>
                <w:color w:val="auto"/>
                <w:sz w:val="24"/>
                <w:szCs w:val="24"/>
                <w:u w:val="single"/>
              </w:rPr>
              <w:t>6</w:t>
            </w:r>
            <w:r>
              <w:rPr>
                <w:rFonts w:hint="eastAsia" w:ascii="宋体" w:hAnsi="宋体" w:eastAsia="宋体"/>
                <w:color w:val="auto"/>
                <w:sz w:val="24"/>
                <w:szCs w:val="24"/>
              </w:rPr>
              <w:t>%</w:t>
            </w:r>
          </w:p>
        </w:tc>
        <w:tc>
          <w:tcPr>
            <w:tcW w:w="2835" w:type="dxa"/>
            <w:vMerge w:val="restart"/>
            <w:shd w:val="clear" w:color="auto" w:fill="auto"/>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评标价格＝投标报价—</w:t>
            </w:r>
            <w:r>
              <w:rPr>
                <w:rFonts w:hint="eastAsia" w:ascii="宋体" w:hAnsi="宋体" w:eastAsia="宋体"/>
                <w:color w:val="auto"/>
                <w:sz w:val="24"/>
                <w:szCs w:val="24"/>
              </w:rPr>
              <w:t>小型和微型企业产品的价格</w:t>
            </w:r>
            <w:r>
              <w:rPr>
                <w:rFonts w:hint="eastAsia" w:ascii="宋体" w:hAnsi="宋体" w:eastAsia="宋体"/>
                <w:color w:val="auto"/>
                <w:sz w:val="24"/>
                <w:szCs w:val="24"/>
                <w:lang w:val="en-GB"/>
              </w:rPr>
              <w:t>×6%</w:t>
            </w:r>
          </w:p>
          <w:p>
            <w:pPr>
              <w:rPr>
                <w:rFonts w:ascii="宋体" w:hAnsi="宋体" w:eastAsia="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2</w:t>
            </w:r>
          </w:p>
        </w:tc>
        <w:tc>
          <w:tcPr>
            <w:tcW w:w="2823" w:type="dxa"/>
            <w:vAlign w:val="center"/>
          </w:tcPr>
          <w:p>
            <w:pPr>
              <w:jc w:val="center"/>
              <w:rPr>
                <w:rFonts w:ascii="宋体" w:hAnsi="宋体" w:eastAsia="宋体"/>
                <w:b/>
                <w:color w:val="auto"/>
                <w:sz w:val="24"/>
                <w:szCs w:val="24"/>
              </w:rPr>
            </w:pPr>
            <w:r>
              <w:rPr>
                <w:rFonts w:hint="eastAsia" w:ascii="宋体" w:hAnsi="宋体" w:eastAsia="宋体"/>
                <w:color w:val="auto"/>
                <w:sz w:val="24"/>
                <w:szCs w:val="24"/>
                <w:lang w:val="en-GB"/>
              </w:rPr>
              <w:t>联合体各方均为小型、微型企业</w:t>
            </w:r>
          </w:p>
        </w:tc>
        <w:tc>
          <w:tcPr>
            <w:tcW w:w="2552"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对小型和微型企业产品的价格扣除</w:t>
            </w:r>
            <w:r>
              <w:rPr>
                <w:rFonts w:ascii="宋体" w:hAnsi="宋体" w:eastAsia="宋体"/>
                <w:color w:val="auto"/>
                <w:sz w:val="24"/>
                <w:szCs w:val="24"/>
                <w:u w:val="single"/>
              </w:rPr>
              <w:t>6</w:t>
            </w:r>
            <w:r>
              <w:rPr>
                <w:rFonts w:hint="eastAsia" w:ascii="宋体" w:hAnsi="宋体" w:eastAsia="宋体"/>
                <w:color w:val="auto"/>
                <w:sz w:val="24"/>
                <w:szCs w:val="24"/>
              </w:rPr>
              <w:t>%</w:t>
            </w:r>
          </w:p>
          <w:p>
            <w:pPr>
              <w:jc w:val="center"/>
              <w:rPr>
                <w:rFonts w:ascii="宋体" w:hAnsi="宋体" w:eastAsia="宋体"/>
                <w:b/>
                <w:color w:val="auto"/>
                <w:sz w:val="24"/>
                <w:szCs w:val="24"/>
                <w:lang w:val="en-GB"/>
              </w:rPr>
            </w:pPr>
            <w:r>
              <w:rPr>
                <w:rFonts w:hint="eastAsia" w:ascii="宋体" w:hAnsi="宋体" w:eastAsia="宋体"/>
                <w:color w:val="auto"/>
                <w:sz w:val="24"/>
                <w:szCs w:val="24"/>
              </w:rPr>
              <w:t>（不再享受序号3的价格折扣）</w:t>
            </w:r>
          </w:p>
        </w:tc>
        <w:tc>
          <w:tcPr>
            <w:tcW w:w="2835" w:type="dxa"/>
            <w:vMerge w:val="continue"/>
            <w:shd w:val="clear" w:color="auto" w:fill="auto"/>
          </w:tcPr>
          <w:p>
            <w:pPr>
              <w:rPr>
                <w:rFonts w:ascii="宋体" w:hAnsi="宋体" w:eastAsia="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3</w:t>
            </w:r>
          </w:p>
        </w:tc>
        <w:tc>
          <w:tcPr>
            <w:tcW w:w="2823" w:type="dxa"/>
            <w:vAlign w:val="center"/>
          </w:tcPr>
          <w:p>
            <w:pPr>
              <w:rPr>
                <w:rFonts w:ascii="宋体" w:hAnsi="宋体" w:eastAsia="宋体"/>
                <w:b/>
                <w:color w:val="auto"/>
                <w:sz w:val="24"/>
                <w:szCs w:val="24"/>
                <w:lang w:val="en-GB"/>
              </w:rPr>
            </w:pPr>
            <w:r>
              <w:rPr>
                <w:rFonts w:hint="eastAsia" w:ascii="宋体" w:hAnsi="宋体" w:eastAsia="宋体"/>
                <w:color w:val="auto"/>
                <w:sz w:val="24"/>
                <w:szCs w:val="24"/>
                <w:lang w:val="en-GB"/>
              </w:rPr>
              <w:t>联合体一方为小型、微型企业且小型、微型企业协议合同金额占联合体协议合同总金额30%以上的</w:t>
            </w:r>
          </w:p>
        </w:tc>
        <w:tc>
          <w:tcPr>
            <w:tcW w:w="2552" w:type="dxa"/>
            <w:vAlign w:val="center"/>
          </w:tcPr>
          <w:p>
            <w:pPr>
              <w:rPr>
                <w:rFonts w:ascii="宋体" w:hAnsi="宋体" w:eastAsia="宋体"/>
                <w:color w:val="auto"/>
                <w:sz w:val="24"/>
                <w:szCs w:val="24"/>
                <w:lang w:val="en-GB"/>
              </w:rPr>
            </w:pPr>
            <w:r>
              <w:rPr>
                <w:rFonts w:hint="eastAsia" w:ascii="宋体" w:hAnsi="宋体" w:eastAsia="宋体"/>
                <w:color w:val="auto"/>
                <w:sz w:val="24"/>
                <w:szCs w:val="24"/>
                <w:lang w:val="en-GB"/>
              </w:rPr>
              <w:t>对联合体总金额扣除</w:t>
            </w:r>
          </w:p>
          <w:p>
            <w:pPr>
              <w:jc w:val="center"/>
              <w:rPr>
                <w:rFonts w:ascii="宋体" w:hAnsi="宋体" w:eastAsia="宋体"/>
                <w:b/>
                <w:color w:val="auto"/>
                <w:sz w:val="24"/>
                <w:szCs w:val="24"/>
                <w:lang w:val="en-GB"/>
              </w:rPr>
            </w:pPr>
            <w:r>
              <w:rPr>
                <w:rFonts w:ascii="宋体" w:hAnsi="宋体" w:eastAsia="宋体"/>
                <w:color w:val="auto"/>
                <w:sz w:val="24"/>
                <w:szCs w:val="24"/>
                <w:u w:val="single"/>
              </w:rPr>
              <w:t>2</w:t>
            </w:r>
            <w:r>
              <w:rPr>
                <w:rFonts w:hint="eastAsia" w:ascii="宋体" w:hAnsi="宋体" w:eastAsia="宋体"/>
                <w:color w:val="auto"/>
                <w:sz w:val="24"/>
                <w:szCs w:val="24"/>
              </w:rPr>
              <w:t>%</w:t>
            </w:r>
          </w:p>
        </w:tc>
        <w:tc>
          <w:tcPr>
            <w:tcW w:w="2835" w:type="dxa"/>
            <w:shd w:val="clear" w:color="auto" w:fill="auto"/>
            <w:vAlign w:val="center"/>
          </w:tcPr>
          <w:p>
            <w:pPr>
              <w:jc w:val="center"/>
              <w:rPr>
                <w:rFonts w:ascii="宋体" w:hAnsi="宋体" w:eastAsia="宋体"/>
                <w:color w:val="auto"/>
                <w:sz w:val="24"/>
                <w:szCs w:val="24"/>
                <w:u w:val="single"/>
              </w:rPr>
            </w:pPr>
            <w:r>
              <w:rPr>
                <w:rFonts w:hint="eastAsia" w:ascii="宋体" w:hAnsi="宋体" w:eastAsia="宋体"/>
                <w:color w:val="auto"/>
                <w:sz w:val="24"/>
                <w:szCs w:val="24"/>
                <w:lang w:val="en-GB"/>
              </w:rPr>
              <w:t>评标价格＝投标报价×</w:t>
            </w:r>
            <w:r>
              <w:rPr>
                <w:rFonts w:hint="eastAsia" w:ascii="宋体" w:hAnsi="宋体" w:eastAsia="宋体"/>
                <w:color w:val="auto"/>
                <w:sz w:val="24"/>
                <w:szCs w:val="24"/>
              </w:rPr>
              <w:t>(1-</w:t>
            </w:r>
            <w:r>
              <w:rPr>
                <w:rFonts w:ascii="宋体" w:hAnsi="宋体" w:eastAsia="宋体"/>
                <w:color w:val="auto"/>
                <w:sz w:val="24"/>
                <w:szCs w:val="24"/>
                <w:u w:val="single"/>
              </w:rPr>
              <w:t>2</w:t>
            </w:r>
            <w:r>
              <w:rPr>
                <w:rFonts w:hint="eastAsia" w:ascii="宋体" w:hAnsi="宋体" w:eastAsia="宋体"/>
                <w:color w:val="auto"/>
                <w:sz w:val="24"/>
                <w:szCs w:val="24"/>
                <w:u w:val="single"/>
              </w:rPr>
              <w:t>%)</w:t>
            </w:r>
          </w:p>
          <w:p>
            <w:pPr>
              <w:rPr>
                <w:rFonts w:ascii="宋体" w:hAnsi="宋体" w:eastAsia="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4</w:t>
            </w:r>
          </w:p>
        </w:tc>
        <w:tc>
          <w:tcPr>
            <w:tcW w:w="2823"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监狱企业</w:t>
            </w:r>
          </w:p>
        </w:tc>
        <w:tc>
          <w:tcPr>
            <w:tcW w:w="2552" w:type="dxa"/>
            <w:vAlign w:val="center"/>
          </w:tcPr>
          <w:p>
            <w:pPr>
              <w:rPr>
                <w:rFonts w:ascii="宋体" w:hAnsi="宋体" w:eastAsia="宋体"/>
                <w:color w:val="auto"/>
                <w:sz w:val="24"/>
                <w:szCs w:val="24"/>
                <w:lang w:val="en-GB"/>
              </w:rPr>
            </w:pPr>
            <w:r>
              <w:rPr>
                <w:rFonts w:hint="eastAsia" w:ascii="宋体" w:hAnsi="宋体" w:eastAsia="宋体"/>
                <w:color w:val="auto"/>
                <w:sz w:val="24"/>
                <w:szCs w:val="24"/>
                <w:lang w:val="en-GB"/>
              </w:rPr>
              <w:t>视同小型、微型企业</w:t>
            </w:r>
          </w:p>
          <w:p>
            <w:pPr>
              <w:jc w:val="center"/>
              <w:rPr>
                <w:rFonts w:ascii="宋体" w:hAnsi="宋体" w:eastAsia="宋体"/>
                <w:color w:val="auto"/>
                <w:sz w:val="24"/>
                <w:szCs w:val="24"/>
                <w:lang w:val="en-GB"/>
              </w:rPr>
            </w:pPr>
            <w:r>
              <w:rPr>
                <w:rFonts w:hint="eastAsia" w:ascii="宋体" w:hAnsi="宋体" w:eastAsia="宋体"/>
                <w:color w:val="auto"/>
                <w:sz w:val="24"/>
                <w:szCs w:val="24"/>
                <w:lang w:val="en-GB"/>
              </w:rPr>
              <w:t>对监狱企业产品价格扣除</w:t>
            </w:r>
            <w:r>
              <w:rPr>
                <w:rFonts w:ascii="宋体" w:hAnsi="宋体" w:eastAsia="宋体"/>
                <w:color w:val="auto"/>
                <w:sz w:val="24"/>
                <w:szCs w:val="24"/>
                <w:u w:val="single"/>
              </w:rPr>
              <w:t>6</w:t>
            </w:r>
            <w:r>
              <w:rPr>
                <w:rFonts w:hint="eastAsia" w:ascii="宋体" w:hAnsi="宋体" w:eastAsia="宋体"/>
                <w:color w:val="auto"/>
                <w:sz w:val="24"/>
                <w:szCs w:val="24"/>
              </w:rPr>
              <w:t>%</w:t>
            </w:r>
          </w:p>
        </w:tc>
        <w:tc>
          <w:tcPr>
            <w:tcW w:w="2835" w:type="dxa"/>
            <w:shd w:val="clear" w:color="auto" w:fill="auto"/>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评标价格＝投标报价—</w:t>
            </w:r>
            <w:r>
              <w:rPr>
                <w:rFonts w:hint="eastAsia" w:ascii="宋体" w:hAnsi="宋体" w:eastAsia="宋体"/>
                <w:color w:val="auto"/>
                <w:sz w:val="24"/>
                <w:szCs w:val="24"/>
              </w:rPr>
              <w:t>监狱企业产品的价格</w:t>
            </w:r>
            <w:r>
              <w:rPr>
                <w:rFonts w:hint="eastAsia" w:ascii="宋体" w:hAnsi="宋体" w:eastAsia="宋体"/>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5</w:t>
            </w:r>
          </w:p>
        </w:tc>
        <w:tc>
          <w:tcPr>
            <w:tcW w:w="2823" w:type="dxa"/>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残疾人福利性单位</w:t>
            </w:r>
          </w:p>
        </w:tc>
        <w:tc>
          <w:tcPr>
            <w:tcW w:w="2552" w:type="dxa"/>
            <w:vAlign w:val="center"/>
          </w:tcPr>
          <w:p>
            <w:pPr>
              <w:rPr>
                <w:rFonts w:ascii="宋体" w:hAnsi="宋体" w:eastAsia="宋体"/>
                <w:color w:val="auto"/>
                <w:sz w:val="24"/>
                <w:szCs w:val="24"/>
                <w:lang w:val="en-GB"/>
              </w:rPr>
            </w:pPr>
            <w:r>
              <w:rPr>
                <w:rFonts w:hint="eastAsia" w:ascii="宋体" w:hAnsi="宋体" w:eastAsia="宋体"/>
                <w:color w:val="auto"/>
                <w:sz w:val="24"/>
                <w:szCs w:val="24"/>
                <w:lang w:val="en-GB"/>
              </w:rPr>
              <w:t>视同小型、微型企业</w:t>
            </w:r>
          </w:p>
          <w:p>
            <w:pPr>
              <w:jc w:val="center"/>
              <w:rPr>
                <w:rFonts w:ascii="宋体" w:hAnsi="宋体" w:eastAsia="宋体"/>
                <w:color w:val="auto"/>
                <w:sz w:val="24"/>
                <w:szCs w:val="24"/>
                <w:lang w:val="en-GB"/>
              </w:rPr>
            </w:pPr>
            <w:r>
              <w:rPr>
                <w:rFonts w:hint="eastAsia" w:ascii="宋体" w:hAnsi="宋体" w:eastAsia="宋体"/>
                <w:color w:val="auto"/>
                <w:sz w:val="24"/>
                <w:szCs w:val="24"/>
                <w:lang w:val="en-GB"/>
              </w:rPr>
              <w:t>对残疾人福利性单位产品价格扣除</w:t>
            </w:r>
            <w:r>
              <w:rPr>
                <w:rFonts w:ascii="宋体" w:hAnsi="宋体" w:eastAsia="宋体"/>
                <w:color w:val="auto"/>
                <w:sz w:val="24"/>
                <w:szCs w:val="24"/>
                <w:u w:val="single"/>
              </w:rPr>
              <w:t>6</w:t>
            </w:r>
            <w:r>
              <w:rPr>
                <w:rFonts w:hint="eastAsia" w:ascii="宋体" w:hAnsi="宋体" w:eastAsia="宋体"/>
                <w:color w:val="auto"/>
                <w:sz w:val="24"/>
                <w:szCs w:val="24"/>
              </w:rPr>
              <w:t>%</w:t>
            </w:r>
          </w:p>
        </w:tc>
        <w:tc>
          <w:tcPr>
            <w:tcW w:w="2835" w:type="dxa"/>
            <w:shd w:val="clear" w:color="auto" w:fill="auto"/>
            <w:vAlign w:val="center"/>
          </w:tcPr>
          <w:p>
            <w:pPr>
              <w:jc w:val="center"/>
              <w:rPr>
                <w:rFonts w:ascii="宋体" w:hAnsi="宋体" w:eastAsia="宋体"/>
                <w:color w:val="auto"/>
                <w:sz w:val="24"/>
                <w:szCs w:val="24"/>
                <w:lang w:val="en-GB"/>
              </w:rPr>
            </w:pPr>
            <w:r>
              <w:rPr>
                <w:rFonts w:hint="eastAsia" w:ascii="宋体" w:hAnsi="宋体" w:eastAsia="宋体"/>
                <w:color w:val="auto"/>
                <w:sz w:val="24"/>
                <w:szCs w:val="24"/>
                <w:lang w:val="en-GB"/>
              </w:rPr>
              <w:t>评标价格＝投标报价—</w:t>
            </w:r>
            <w:r>
              <w:rPr>
                <w:rFonts w:hint="eastAsia" w:ascii="宋体" w:hAnsi="宋体" w:eastAsia="宋体"/>
                <w:color w:val="auto"/>
                <w:sz w:val="24"/>
                <w:szCs w:val="24"/>
              </w:rPr>
              <w:t>残疾人福利性单位产品的价格</w:t>
            </w:r>
            <w:r>
              <w:rPr>
                <w:rFonts w:hint="eastAsia" w:ascii="宋体" w:hAnsi="宋体" w:eastAsia="宋体"/>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2、</w:t>
            </w:r>
            <w:r>
              <w:rPr>
                <w:rFonts w:ascii="宋体" w:hAnsi="宋体" w:eastAsia="宋体" w:cs="仿宋_GB2312"/>
                <w:color w:val="auto"/>
                <w:sz w:val="24"/>
                <w:szCs w:val="24"/>
                <w:lang w:val="zh-CN"/>
              </w:rPr>
              <w:t>经评标委员会</w:t>
            </w:r>
            <w:r>
              <w:rPr>
                <w:rFonts w:hint="eastAsia" w:ascii="宋体" w:hAnsi="宋体" w:eastAsia="宋体" w:cs="仿宋_GB2312"/>
                <w:color w:val="auto"/>
                <w:sz w:val="24"/>
                <w:szCs w:val="24"/>
                <w:lang w:val="zh-CN"/>
              </w:rPr>
              <w:t>审查、评价</w:t>
            </w:r>
            <w:r>
              <w:rPr>
                <w:rFonts w:ascii="宋体" w:hAnsi="宋体" w:eastAsia="宋体" w:cs="仿宋_GB2312"/>
                <w:color w:val="auto"/>
                <w:sz w:val="24"/>
                <w:szCs w:val="24"/>
                <w:lang w:val="zh-CN"/>
              </w:rPr>
              <w:t>，</w:t>
            </w:r>
            <w:r>
              <w:rPr>
                <w:rFonts w:hint="eastAsia" w:ascii="宋体" w:hAnsi="宋体" w:eastAsia="宋体" w:cs="仿宋_GB2312"/>
                <w:color w:val="auto"/>
                <w:sz w:val="24"/>
                <w:szCs w:val="24"/>
                <w:lang w:val="zh-CN"/>
              </w:rPr>
              <w:t>投标文件符合</w:t>
            </w:r>
            <w:r>
              <w:rPr>
                <w:rFonts w:ascii="宋体" w:hAnsi="宋体" w:eastAsia="宋体" w:cs="仿宋_GB2312"/>
                <w:color w:val="auto"/>
                <w:sz w:val="24"/>
                <w:szCs w:val="24"/>
                <w:lang w:val="zh-CN"/>
              </w:rPr>
              <w:t>招标文件</w:t>
            </w:r>
            <w:r>
              <w:rPr>
                <w:rFonts w:hint="eastAsia" w:ascii="宋体" w:hAnsi="宋体" w:eastAsia="宋体" w:cs="仿宋_GB2312"/>
                <w:color w:val="auto"/>
                <w:sz w:val="24"/>
                <w:szCs w:val="24"/>
                <w:lang w:val="zh-CN"/>
              </w:rPr>
              <w:t>实质性</w:t>
            </w:r>
            <w:r>
              <w:rPr>
                <w:rFonts w:ascii="宋体" w:hAnsi="宋体" w:eastAsia="宋体" w:cs="仿宋_GB2312"/>
                <w:color w:val="auto"/>
                <w:sz w:val="24"/>
                <w:szCs w:val="24"/>
                <w:lang w:val="zh-CN"/>
              </w:rPr>
              <w:t>要求且</w:t>
            </w:r>
            <w:r>
              <w:rPr>
                <w:rFonts w:hint="eastAsia" w:ascii="宋体" w:hAnsi="宋体" w:eastAsia="宋体" w:cs="仿宋_GB2312"/>
                <w:color w:val="auto"/>
                <w:sz w:val="24"/>
                <w:szCs w:val="24"/>
                <w:lang w:val="zh-CN"/>
              </w:rPr>
              <w:t>进行了政策性价格扣除后，</w:t>
            </w:r>
            <w:r>
              <w:rPr>
                <w:rFonts w:ascii="宋体" w:hAnsi="宋体" w:eastAsia="宋体" w:cs="仿宋_GB2312"/>
                <w:color w:val="auto"/>
                <w:sz w:val="24"/>
                <w:szCs w:val="24"/>
                <w:lang w:val="zh-CN"/>
              </w:rPr>
              <w:t>以</w:t>
            </w:r>
            <w:r>
              <w:rPr>
                <w:rFonts w:hint="eastAsia" w:ascii="宋体" w:hAnsi="宋体" w:eastAsia="宋体" w:cs="仿宋_GB2312"/>
                <w:color w:val="auto"/>
                <w:sz w:val="24"/>
                <w:szCs w:val="24"/>
                <w:lang w:val="zh-CN"/>
              </w:rPr>
              <w:t>评标价格的</w:t>
            </w:r>
            <w:r>
              <w:rPr>
                <w:rFonts w:ascii="宋体" w:hAnsi="宋体" w:eastAsia="宋体" w:cs="仿宋_GB2312"/>
                <w:color w:val="auto"/>
                <w:sz w:val="24"/>
                <w:szCs w:val="24"/>
                <w:lang w:val="zh-CN"/>
              </w:rPr>
              <w:t>最低价者定为评标基准价，其价格分为满分。其他投标人的价格分统一按下列公式</w:t>
            </w:r>
            <w:r>
              <w:rPr>
                <w:rFonts w:hint="eastAsia" w:ascii="宋体" w:hAnsi="宋体" w:eastAsia="宋体" w:cs="仿宋_GB2312"/>
                <w:color w:val="auto"/>
                <w:sz w:val="24"/>
                <w:szCs w:val="24"/>
                <w:lang w:val="zh-CN"/>
              </w:rPr>
              <w:t>计算</w:t>
            </w:r>
            <w:r>
              <w:rPr>
                <w:rFonts w:ascii="宋体" w:hAnsi="宋体" w:eastAsia="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eastAsia="宋体" w:cs="仿宋_GB2312"/>
                <w:color w:val="auto"/>
                <w:sz w:val="24"/>
                <w:szCs w:val="24"/>
                <w:lang w:val="zh-CN"/>
              </w:rPr>
            </w:pPr>
            <w:r>
              <w:rPr>
                <w:rFonts w:ascii="宋体" w:hAnsi="宋体" w:eastAsia="宋体" w:cs="仿宋_GB2312"/>
                <w:color w:val="auto"/>
                <w:sz w:val="24"/>
                <w:szCs w:val="24"/>
                <w:lang w:val="zh-CN"/>
              </w:rPr>
              <w:t>评标基准价</w:t>
            </w:r>
            <w:r>
              <w:rPr>
                <w:rFonts w:hint="eastAsia" w:ascii="宋体" w:hAnsi="宋体" w:eastAsia="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eastAsia="宋体" w:cs="仿宋_GB2312"/>
                <w:color w:val="auto"/>
                <w:sz w:val="24"/>
                <w:szCs w:val="24"/>
                <w:lang w:val="zh-CN"/>
              </w:rPr>
            </w:pPr>
            <w:r>
              <w:rPr>
                <w:rFonts w:ascii="宋体" w:hAnsi="宋体" w:eastAsia="宋体" w:cs="仿宋_GB2312"/>
                <w:color w:val="auto"/>
                <w:sz w:val="24"/>
                <w:szCs w:val="24"/>
                <w:lang w:val="zh-CN"/>
              </w:rPr>
              <w:t>其他投标报价得分</w:t>
            </w:r>
            <w:r>
              <w:rPr>
                <w:rFonts w:hint="eastAsia" w:ascii="宋体" w:hAnsi="宋体" w:eastAsia="宋体" w:cs="仿宋_GB2312"/>
                <w:color w:val="auto"/>
                <w:sz w:val="24"/>
                <w:szCs w:val="24"/>
                <w:lang w:val="zh-CN"/>
              </w:rPr>
              <w:t>=（</w:t>
            </w:r>
            <w:r>
              <w:rPr>
                <w:rFonts w:ascii="宋体" w:hAnsi="宋体" w:eastAsia="宋体" w:cs="仿宋_GB2312"/>
                <w:color w:val="auto"/>
                <w:sz w:val="24"/>
                <w:szCs w:val="24"/>
                <w:lang w:val="zh-CN"/>
              </w:rPr>
              <w:t>评标基准价</w:t>
            </w:r>
            <w:r>
              <w:rPr>
                <w:rFonts w:hint="eastAsia" w:ascii="宋体" w:hAnsi="宋体" w:eastAsia="宋体" w:cs="仿宋_GB2312"/>
                <w:color w:val="auto"/>
                <w:sz w:val="24"/>
                <w:szCs w:val="24"/>
                <w:lang w:val="zh-CN"/>
              </w:rPr>
              <w:t>/评标价格）</w:t>
            </w:r>
            <w:r>
              <w:rPr>
                <w:rFonts w:ascii="宋体" w:hAnsi="宋体" w:eastAsia="宋体" w:cs="仿宋_GB2312"/>
                <w:color w:val="auto"/>
                <w:sz w:val="24"/>
                <w:szCs w:val="24"/>
                <w:lang w:val="zh-CN"/>
              </w:rPr>
              <w:t>×</w:t>
            </w:r>
            <w:r>
              <w:rPr>
                <w:rFonts w:hint="eastAsia" w:ascii="宋体" w:hAnsi="宋体" w:eastAsia="宋体" w:cs="仿宋_GB2312"/>
                <w:color w:val="auto"/>
                <w:sz w:val="24"/>
                <w:szCs w:val="24"/>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w:t>
      </w:r>
      <w:r>
        <w:rPr>
          <w:rFonts w:cs="仿宋_GB2312" w:asciiTheme="minorEastAsia" w:hAnsiTheme="minorEastAsia"/>
          <w:b/>
          <w:color w:val="auto"/>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（7）</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pStyle w:val="2"/>
        <w:ind w:firstLine="340"/>
        <w:rPr>
          <w:color w:val="auto"/>
          <w:lang w:val="zh-CN"/>
        </w:rPr>
      </w:pPr>
    </w:p>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 xml:space="preserve"> 合同条款及格式</w:t>
      </w:r>
    </w:p>
    <w:p>
      <w:pPr>
        <w:spacing w:line="360" w:lineRule="auto"/>
        <w:jc w:val="center"/>
        <w:rPr>
          <w:rFonts w:ascii="宋体" w:hAnsi="宋体" w:cs="微软雅黑"/>
          <w:b/>
          <w:bCs/>
          <w:color w:val="auto"/>
          <w:sz w:val="24"/>
          <w:szCs w:val="24"/>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9"/>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ageBreakBefore/>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 xml:space="preserve"> 投标文件有关格式</w:t>
      </w:r>
    </w:p>
    <w:p>
      <w:pPr>
        <w:jc w:val="left"/>
        <w:rPr>
          <w:rStyle w:val="62"/>
          <w:rFonts w:ascii="宋体" w:hAnsi="宋体" w:eastAsia="宋体"/>
          <w:color w:val="auto"/>
        </w:rPr>
      </w:pPr>
    </w:p>
    <w:p>
      <w:pPr>
        <w:pStyle w:val="61"/>
        <w:numPr>
          <w:ilvl w:val="0"/>
          <w:numId w:val="0"/>
        </w:numPr>
        <w:tabs>
          <w:tab w:val="left" w:pos="660"/>
        </w:tabs>
        <w:snapToGrid w:val="0"/>
        <w:spacing w:before="0" w:after="240" w:line="400" w:lineRule="exact"/>
        <w:rPr>
          <w:rFonts w:cs="黑体" w:asciiTheme="minorEastAsia" w:hAnsiTheme="minorEastAsia" w:eastAsiaTheme="minorEastAsia"/>
          <w:color w:val="auto"/>
          <w:kern w:val="2"/>
          <w:sz w:val="36"/>
          <w:szCs w:val="36"/>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74"/>
        <w:gridCol w:w="284"/>
        <w:gridCol w:w="560"/>
        <w:gridCol w:w="2133"/>
        <w:gridCol w:w="1559"/>
        <w:gridCol w:w="156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1707"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olor w:val="auto"/>
                <w:kern w:val="0"/>
                <w:szCs w:val="24"/>
              </w:rPr>
              <w:t>纳税证明</w:t>
            </w:r>
          </w:p>
        </w:tc>
        <w:tc>
          <w:tcPr>
            <w:tcW w:w="2977" w:type="dxa"/>
            <w:gridSpan w:val="3"/>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pStyle w:val="17"/>
              <w:kinsoku w:val="0"/>
              <w:overflowPunct w:val="0"/>
              <w:autoSpaceDE w:val="0"/>
              <w:autoSpaceDN w:val="0"/>
              <w:spacing w:line="320" w:lineRule="exact"/>
              <w:rPr>
                <w:rFonts w:hAnsi="宋体"/>
                <w:color w:val="auto"/>
                <w:kern w:val="0"/>
                <w:szCs w:val="24"/>
              </w:rPr>
            </w:pPr>
          </w:p>
        </w:tc>
        <w:tc>
          <w:tcPr>
            <w:tcW w:w="2977" w:type="dxa"/>
            <w:gridSpan w:val="3"/>
            <w:vAlign w:val="center"/>
          </w:tcPr>
          <w:p>
            <w:pPr>
              <w:pStyle w:val="17"/>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w:t>
            </w:r>
          </w:p>
        </w:tc>
        <w:tc>
          <w:tcPr>
            <w:tcW w:w="1559" w:type="dxa"/>
            <w:vAlign w:val="center"/>
          </w:tcPr>
          <w:p>
            <w:pPr>
              <w:pStyle w:val="17"/>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844" w:type="dxa"/>
            <w:gridSpan w:val="2"/>
            <w:vMerge w:val="restart"/>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133" w:type="dxa"/>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snapToGrid w:val="0"/>
              <w:spacing w:line="400" w:lineRule="exact"/>
              <w:rPr>
                <w:rFonts w:ascii="宋体" w:hAnsi="宋体" w:cs="微软雅黑"/>
                <w:color w:val="auto"/>
                <w:sz w:val="24"/>
                <w:szCs w:val="24"/>
              </w:rPr>
            </w:pPr>
          </w:p>
        </w:tc>
        <w:tc>
          <w:tcPr>
            <w:tcW w:w="844" w:type="dxa"/>
            <w:gridSpan w:val="2"/>
            <w:vMerge w:val="continue"/>
            <w:vAlign w:val="center"/>
          </w:tcPr>
          <w:p>
            <w:pPr>
              <w:snapToGrid w:val="0"/>
              <w:spacing w:line="400" w:lineRule="exact"/>
              <w:rPr>
                <w:rFonts w:ascii="宋体" w:hAnsi="宋体" w:cs="微软雅黑"/>
                <w:color w:val="auto"/>
                <w:sz w:val="24"/>
                <w:szCs w:val="24"/>
              </w:rPr>
            </w:pPr>
          </w:p>
        </w:tc>
        <w:tc>
          <w:tcPr>
            <w:tcW w:w="2133" w:type="dxa"/>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snapToGrid w:val="0"/>
              <w:spacing w:line="400" w:lineRule="exact"/>
              <w:rPr>
                <w:rFonts w:ascii="宋体" w:hAnsi="宋体" w:cs="微软雅黑"/>
                <w:color w:val="auto"/>
                <w:sz w:val="24"/>
                <w:szCs w:val="24"/>
              </w:rPr>
            </w:pPr>
          </w:p>
        </w:tc>
        <w:tc>
          <w:tcPr>
            <w:tcW w:w="844" w:type="dxa"/>
            <w:gridSpan w:val="2"/>
            <w:vMerge w:val="continue"/>
            <w:vAlign w:val="center"/>
          </w:tcPr>
          <w:p>
            <w:pPr>
              <w:snapToGrid w:val="0"/>
              <w:spacing w:line="400" w:lineRule="exact"/>
              <w:rPr>
                <w:rFonts w:ascii="宋体" w:hAnsi="宋体" w:cs="微软雅黑"/>
                <w:color w:val="auto"/>
                <w:sz w:val="24"/>
                <w:szCs w:val="24"/>
              </w:rPr>
            </w:pPr>
          </w:p>
        </w:tc>
        <w:tc>
          <w:tcPr>
            <w:tcW w:w="2133" w:type="dxa"/>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snapToGrid w:val="0"/>
              <w:spacing w:line="400" w:lineRule="exact"/>
              <w:rPr>
                <w:rFonts w:ascii="宋体" w:hAnsi="宋体" w:cs="微软雅黑"/>
                <w:color w:val="auto"/>
                <w:sz w:val="24"/>
                <w:szCs w:val="24"/>
              </w:rPr>
            </w:pPr>
          </w:p>
        </w:tc>
        <w:tc>
          <w:tcPr>
            <w:tcW w:w="2977" w:type="dxa"/>
            <w:gridSpan w:val="3"/>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snapToGrid w:val="0"/>
              <w:spacing w:line="400" w:lineRule="exact"/>
              <w:rPr>
                <w:rFonts w:ascii="宋体" w:hAnsi="宋体" w:cs="微软雅黑"/>
                <w:color w:val="auto"/>
                <w:sz w:val="24"/>
                <w:szCs w:val="24"/>
              </w:rPr>
            </w:pPr>
          </w:p>
        </w:tc>
        <w:tc>
          <w:tcPr>
            <w:tcW w:w="2977" w:type="dxa"/>
            <w:gridSpan w:val="3"/>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snapToGrid w:val="0"/>
              <w:spacing w:line="400" w:lineRule="exact"/>
              <w:rPr>
                <w:rFonts w:ascii="宋体" w:hAnsi="宋体" w:cs="微软雅黑"/>
                <w:color w:val="auto"/>
                <w:sz w:val="24"/>
                <w:szCs w:val="24"/>
              </w:rPr>
            </w:pPr>
          </w:p>
        </w:tc>
        <w:tc>
          <w:tcPr>
            <w:tcW w:w="2977" w:type="dxa"/>
            <w:gridSpan w:val="3"/>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w:t>
            </w:r>
          </w:p>
        </w:tc>
        <w:tc>
          <w:tcPr>
            <w:tcW w:w="1559" w:type="dxa"/>
            <w:vAlign w:val="center"/>
          </w:tcPr>
          <w:p>
            <w:pPr>
              <w:snapToGrid w:val="0"/>
              <w:spacing w:line="400" w:lineRule="exact"/>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履行合同能力</w:t>
            </w:r>
          </w:p>
        </w:tc>
        <w:tc>
          <w:tcPr>
            <w:tcW w:w="844" w:type="dxa"/>
            <w:gridSpan w:val="2"/>
            <w:vMerge w:val="restart"/>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133" w:type="dxa"/>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pStyle w:val="17"/>
              <w:kinsoku w:val="0"/>
              <w:overflowPunct w:val="0"/>
              <w:autoSpaceDE w:val="0"/>
              <w:autoSpaceDN w:val="0"/>
              <w:spacing w:line="320" w:lineRule="exact"/>
              <w:rPr>
                <w:rFonts w:hAnsi="宋体" w:cs="微软雅黑"/>
                <w:bCs/>
                <w:color w:val="auto"/>
                <w:kern w:val="0"/>
                <w:szCs w:val="24"/>
              </w:rPr>
            </w:pPr>
          </w:p>
        </w:tc>
        <w:tc>
          <w:tcPr>
            <w:tcW w:w="844" w:type="dxa"/>
            <w:gridSpan w:val="2"/>
            <w:vMerge w:val="continue"/>
            <w:vAlign w:val="center"/>
          </w:tcPr>
          <w:p>
            <w:pPr>
              <w:pStyle w:val="17"/>
              <w:kinsoku w:val="0"/>
              <w:overflowPunct w:val="0"/>
              <w:autoSpaceDE w:val="0"/>
              <w:autoSpaceDN w:val="0"/>
              <w:spacing w:line="320" w:lineRule="exact"/>
              <w:rPr>
                <w:rFonts w:hAnsi="宋体" w:cs="微软雅黑"/>
                <w:bCs/>
                <w:color w:val="auto"/>
                <w:kern w:val="0"/>
                <w:szCs w:val="24"/>
              </w:rPr>
            </w:pPr>
          </w:p>
        </w:tc>
        <w:tc>
          <w:tcPr>
            <w:tcW w:w="2133" w:type="dxa"/>
            <w:vAlign w:val="center"/>
          </w:tcPr>
          <w:p>
            <w:pPr>
              <w:pStyle w:val="17"/>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7"/>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pStyle w:val="17"/>
              <w:kinsoku w:val="0"/>
              <w:overflowPunct w:val="0"/>
              <w:autoSpaceDE w:val="0"/>
              <w:autoSpaceDN w:val="0"/>
              <w:spacing w:line="320" w:lineRule="exact"/>
              <w:rPr>
                <w:rFonts w:hAnsi="宋体" w:cs="微软雅黑"/>
                <w:bCs/>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pStyle w:val="17"/>
              <w:kinsoku w:val="0"/>
              <w:overflowPunct w:val="0"/>
              <w:autoSpaceDE w:val="0"/>
              <w:autoSpaceDN w:val="0"/>
              <w:spacing w:line="320" w:lineRule="exact"/>
              <w:rPr>
                <w:rFonts w:hAnsi="宋体" w:cs="微软雅黑"/>
                <w:bCs/>
                <w:color w:val="auto"/>
                <w:kern w:val="0"/>
                <w:szCs w:val="24"/>
              </w:rPr>
            </w:pPr>
          </w:p>
        </w:tc>
        <w:tc>
          <w:tcPr>
            <w:tcW w:w="844" w:type="dxa"/>
            <w:gridSpan w:val="2"/>
            <w:vMerge w:val="continue"/>
            <w:vAlign w:val="center"/>
          </w:tcPr>
          <w:p>
            <w:pPr>
              <w:pStyle w:val="17"/>
              <w:kinsoku w:val="0"/>
              <w:overflowPunct w:val="0"/>
              <w:autoSpaceDE w:val="0"/>
              <w:autoSpaceDN w:val="0"/>
              <w:spacing w:line="320" w:lineRule="exact"/>
              <w:rPr>
                <w:rFonts w:hAnsi="宋体" w:cs="微软雅黑"/>
                <w:bCs/>
                <w:color w:val="auto"/>
                <w:kern w:val="0"/>
                <w:szCs w:val="24"/>
              </w:rPr>
            </w:pPr>
          </w:p>
        </w:tc>
        <w:tc>
          <w:tcPr>
            <w:tcW w:w="2133" w:type="dxa"/>
            <w:vAlign w:val="center"/>
          </w:tcPr>
          <w:p>
            <w:pPr>
              <w:pStyle w:val="17"/>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7"/>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pStyle w:val="17"/>
              <w:kinsoku w:val="0"/>
              <w:overflowPunct w:val="0"/>
              <w:autoSpaceDE w:val="0"/>
              <w:autoSpaceDN w:val="0"/>
              <w:spacing w:line="320" w:lineRule="exact"/>
              <w:rPr>
                <w:rFonts w:hAnsi="宋体" w:cs="微软雅黑"/>
                <w:bCs/>
                <w:color w:val="auto"/>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11"/>
              </w:numPr>
              <w:adjustRightInd w:val="0"/>
              <w:snapToGrid w:val="0"/>
              <w:spacing w:line="400" w:lineRule="exact"/>
              <w:textAlignment w:val="baseline"/>
              <w:rPr>
                <w:rFonts w:ascii="宋体" w:hAnsi="宋体" w:cs="微软雅黑"/>
                <w:color w:val="auto"/>
                <w:szCs w:val="21"/>
              </w:rPr>
            </w:pPr>
          </w:p>
        </w:tc>
        <w:tc>
          <w:tcPr>
            <w:tcW w:w="774" w:type="dxa"/>
            <w:vMerge w:val="continue"/>
            <w:vAlign w:val="center"/>
          </w:tcPr>
          <w:p>
            <w:pPr>
              <w:pStyle w:val="17"/>
              <w:kinsoku w:val="0"/>
              <w:overflowPunct w:val="0"/>
              <w:autoSpaceDE w:val="0"/>
              <w:autoSpaceDN w:val="0"/>
              <w:spacing w:line="320" w:lineRule="exact"/>
              <w:rPr>
                <w:rFonts w:hAnsi="宋体" w:cs="微软雅黑"/>
                <w:bCs/>
                <w:color w:val="auto"/>
                <w:kern w:val="0"/>
                <w:szCs w:val="24"/>
              </w:rPr>
            </w:pPr>
          </w:p>
        </w:tc>
        <w:tc>
          <w:tcPr>
            <w:tcW w:w="2977" w:type="dxa"/>
            <w:gridSpan w:val="3"/>
            <w:vAlign w:val="center"/>
          </w:tcPr>
          <w:p>
            <w:pPr>
              <w:pStyle w:val="17"/>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7"/>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投标人须具备的资质证书</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13</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实施方案（服务方案）</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服务承诺</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22</w:t>
            </w:r>
          </w:p>
        </w:tc>
        <w:tc>
          <w:tcPr>
            <w:tcW w:w="1058" w:type="dxa"/>
            <w:gridSpan w:val="2"/>
            <w:vAlign w:val="center"/>
          </w:tcPr>
          <w:p>
            <w:pPr>
              <w:pStyle w:val="17"/>
              <w:kinsoku w:val="0"/>
              <w:overflowPunct w:val="0"/>
              <w:autoSpaceDE w:val="0"/>
              <w:autoSpaceDN w:val="0"/>
              <w:spacing w:line="320" w:lineRule="exact"/>
              <w:jc w:val="center"/>
              <w:rPr>
                <w:rFonts w:hAnsi="宋体" w:cs="微软雅黑"/>
                <w:bCs/>
                <w:color w:val="auto"/>
                <w:kern w:val="0"/>
              </w:rPr>
            </w:pPr>
            <w:r>
              <w:rPr>
                <w:rFonts w:hint="eastAsia" w:hAnsi="宋体" w:cs="微软雅黑"/>
                <w:bCs/>
                <w:color w:val="auto"/>
                <w:kern w:val="0"/>
              </w:rPr>
              <w:t>CCC强制性产品认证</w:t>
            </w:r>
          </w:p>
        </w:tc>
        <w:tc>
          <w:tcPr>
            <w:tcW w:w="2693" w:type="dxa"/>
            <w:gridSpan w:val="2"/>
            <w:vAlign w:val="center"/>
          </w:tcPr>
          <w:p>
            <w:pPr>
              <w:pStyle w:val="17"/>
              <w:kinsoku w:val="0"/>
              <w:overflowPunct w:val="0"/>
              <w:autoSpaceDE w:val="0"/>
              <w:autoSpaceDN w:val="0"/>
              <w:spacing w:line="320" w:lineRule="exact"/>
              <w:jc w:val="lef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7"/>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23</w:t>
            </w:r>
          </w:p>
        </w:tc>
        <w:tc>
          <w:tcPr>
            <w:tcW w:w="1058" w:type="dxa"/>
            <w:gridSpan w:val="2"/>
            <w:vMerge w:val="restart"/>
            <w:vAlign w:val="center"/>
          </w:tcPr>
          <w:p>
            <w:pPr>
              <w:pStyle w:val="17"/>
              <w:kinsoku w:val="0"/>
              <w:overflowPunct w:val="0"/>
              <w:autoSpaceDE w:val="0"/>
              <w:autoSpaceDN w:val="0"/>
              <w:spacing w:line="320" w:lineRule="exact"/>
              <w:jc w:val="center"/>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vAlign w:val="center"/>
          </w:tcPr>
          <w:p>
            <w:pPr>
              <w:pStyle w:val="17"/>
              <w:kinsoku w:val="0"/>
              <w:overflowPunct w:val="0"/>
              <w:autoSpaceDE w:val="0"/>
              <w:autoSpaceDN w:val="0"/>
              <w:spacing w:line="320" w:lineRule="exact"/>
              <w:jc w:val="lef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7"/>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textAlignment w:val="baseline"/>
              <w:rPr>
                <w:rFonts w:ascii="宋体" w:hAnsi="宋体" w:cs="微软雅黑"/>
                <w:color w:val="auto"/>
                <w:szCs w:val="21"/>
              </w:rPr>
            </w:pPr>
          </w:p>
        </w:tc>
        <w:tc>
          <w:tcPr>
            <w:tcW w:w="1058" w:type="dxa"/>
            <w:gridSpan w:val="2"/>
            <w:vMerge w:val="continue"/>
            <w:vAlign w:val="center"/>
          </w:tcPr>
          <w:p>
            <w:pPr>
              <w:pStyle w:val="17"/>
              <w:kinsoku w:val="0"/>
              <w:overflowPunct w:val="0"/>
              <w:autoSpaceDE w:val="0"/>
              <w:autoSpaceDN w:val="0"/>
              <w:spacing w:line="320" w:lineRule="exact"/>
              <w:jc w:val="center"/>
              <w:rPr>
                <w:rFonts w:asciiTheme="majorEastAsia" w:hAnsiTheme="majorEastAsia" w:eastAsiaTheme="majorEastAsia" w:cstheme="majorEastAsia"/>
                <w:bCs/>
                <w:color w:val="auto"/>
                <w:szCs w:val="24"/>
                <w:lang w:val="zh-CN"/>
              </w:rPr>
            </w:pPr>
          </w:p>
        </w:tc>
        <w:tc>
          <w:tcPr>
            <w:tcW w:w="2693" w:type="dxa"/>
            <w:gridSpan w:val="2"/>
            <w:vAlign w:val="center"/>
          </w:tcPr>
          <w:p>
            <w:pPr>
              <w:pStyle w:val="17"/>
              <w:kinsoku w:val="0"/>
              <w:overflowPunct w:val="0"/>
              <w:autoSpaceDE w:val="0"/>
              <w:autoSpaceDN w:val="0"/>
              <w:spacing w:line="320" w:lineRule="exact"/>
              <w:jc w:val="lef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7"/>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asciiTheme="minorEastAsia" w:hAnsiTheme="minorEastAsia"/>
                <w:color w:val="auto"/>
                <w:szCs w:val="21"/>
              </w:rPr>
              <w:t>投标承诺函</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rPr>
                <w:color w:val="auto"/>
              </w:rPr>
            </w:pPr>
          </w:p>
        </w:tc>
        <w:tc>
          <w:tcPr>
            <w:tcW w:w="1560" w:type="dxa"/>
            <w:vAlign w:val="center"/>
          </w:tcPr>
          <w:p>
            <w:pPr>
              <w:snapToGrid w:val="0"/>
              <w:spacing w:line="400" w:lineRule="exact"/>
              <w:rPr>
                <w:rFonts w:ascii="宋体" w:hAnsi="宋体" w:cs="微软雅黑"/>
                <w:color w:val="auto"/>
                <w:szCs w:val="21"/>
              </w:rPr>
            </w:pPr>
          </w:p>
        </w:tc>
        <w:tc>
          <w:tcPr>
            <w:tcW w:w="1707"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2"/>
        <w:ind w:firstLine="340"/>
        <w:rPr>
          <w:color w:val="auto"/>
          <w:lang w:val="zh-CN"/>
        </w:rPr>
      </w:pPr>
    </w:p>
    <w:p>
      <w:pPr>
        <w:pStyle w:val="2"/>
        <w:ind w:firstLine="340"/>
        <w:rPr>
          <w:color w:val="auto"/>
          <w:lang w:val="zh-CN"/>
        </w:rPr>
      </w:pPr>
    </w:p>
    <w:p>
      <w:pPr>
        <w:pStyle w:val="2"/>
        <w:ind w:firstLine="340"/>
        <w:rPr>
          <w:color w:val="auto"/>
          <w:lang w:val="zh-CN"/>
        </w:rPr>
      </w:pPr>
    </w:p>
    <w:p>
      <w:pPr>
        <w:pStyle w:val="2"/>
        <w:ind w:firstLine="340"/>
        <w:rPr>
          <w:color w:val="auto"/>
          <w:lang w:val="zh-CN"/>
        </w:rPr>
      </w:pPr>
    </w:p>
    <w:p>
      <w:pPr>
        <w:pStyle w:val="2"/>
        <w:ind w:firstLine="340"/>
        <w:rPr>
          <w:color w:val="auto"/>
          <w:lang w:val="zh-CN"/>
        </w:rPr>
      </w:pPr>
    </w:p>
    <w:p>
      <w:pPr>
        <w:pStyle w:val="17"/>
        <w:spacing w:after="240"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投标报价（/年）</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Cs w:val="21"/>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投标人名称（公章）：</w:t>
      </w:r>
      <w:r>
        <w:rPr>
          <w:rFonts w:hint="eastAsia" w:cs="宋体" w:asciiTheme="minorEastAsia" w:hAnsiTheme="minorEastAsia"/>
          <w:color w:val="auto"/>
          <w:sz w:val="24"/>
          <w:szCs w:val="24"/>
          <w:u w:val="single"/>
          <w:lang w:val="zh-CN"/>
        </w:rPr>
        <w:t xml:space="preserve">     （全称）  </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340"/>
        <w:rPr>
          <w:color w:val="auto"/>
          <w:lang w:val="zh-CN"/>
        </w:rPr>
      </w:pPr>
    </w:p>
    <w:p>
      <w:pPr>
        <w:pStyle w:val="2"/>
        <w:ind w:firstLine="340"/>
        <w:rPr>
          <w:color w:val="auto"/>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rPr>
          <w:rFonts w:ascii="宋体" w:cs="宋体"/>
          <w:color w:val="auto"/>
          <w:sz w:val="24"/>
          <w:lang w:val="zh-CN"/>
        </w:rPr>
      </w:pPr>
      <w:r>
        <w:rPr>
          <w:rFonts w:ascii="宋体" w:cs="宋体"/>
          <w:color w:val="auto"/>
          <w:sz w:val="24"/>
          <w:lang w:val="zh-CN"/>
        </w:rPr>
        <w:br w:type="page"/>
      </w:r>
    </w:p>
    <w:p>
      <w:pPr>
        <w:pStyle w:val="2"/>
        <w:rPr>
          <w:color w:val="auto"/>
          <w:lang w:val="zh-CN"/>
        </w:rPr>
      </w:pPr>
    </w:p>
    <w:p>
      <w:pPr>
        <w:pStyle w:val="17"/>
        <w:spacing w:after="240"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三、资格审查证明材料</w:t>
      </w:r>
    </w:p>
    <w:p>
      <w:pPr>
        <w:pStyle w:val="17"/>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36"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致：__________</w:t>
      </w:r>
      <w:r>
        <w:rPr>
          <w:rFonts w:hint="eastAsia" w:asciiTheme="minorEastAsia" w:hAnsiTheme="minorEastAsia"/>
          <w:b/>
          <w:snapToGrid w:val="0"/>
          <w:color w:val="auto"/>
          <w:kern w:val="0"/>
          <w:sz w:val="24"/>
          <w:szCs w:val="24"/>
        </w:rPr>
        <w:t>（采购人）</w:t>
      </w:r>
    </w:p>
    <w:p>
      <w:pPr>
        <w:adjustRightInd w:val="0"/>
        <w:spacing w:line="336"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（项目名称、招标编号）采购的招标公告及投标邀请，</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（姓名、职务）被正式授权并代表投标人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7"/>
        <w:adjustRightInd w:val="0"/>
        <w:spacing w:line="336"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hint="eastAsia" w:asciiTheme="minorEastAsia" w:hAnsi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7"/>
        <w:adjustRightInd w:val="0"/>
        <w:spacing w:line="336"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36"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36"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在此提交的投标文件，正本一份，副本_____份。</w:t>
      </w:r>
    </w:p>
    <w:p>
      <w:pPr>
        <w:adjustRightInd w:val="0"/>
        <w:spacing w:line="336"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36"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36"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asciiTheme="minorEastAsia" w:hAnsiTheme="minorEastAsia"/>
          <w:snapToGrid w:val="0"/>
          <w:color w:val="auto"/>
          <w:kern w:val="0"/>
          <w:sz w:val="24"/>
          <w:szCs w:val="24"/>
        </w:rPr>
        <w:t>___</w:t>
      </w:r>
      <w:r>
        <w:rPr>
          <w:rFonts w:hint="eastAsia" w:asciiTheme="minorEastAsia" w:hAnsiTheme="minorEastAsia"/>
          <w:snapToGrid w:val="0"/>
          <w:color w:val="auto"/>
          <w:kern w:val="0"/>
          <w:sz w:val="24"/>
          <w:szCs w:val="24"/>
          <w:u w:val="single"/>
        </w:rPr>
        <w:t>__</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36"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三、我方同意按照贵方可能提出的要求而提供与投标有关的任何其它数据、信息或资料。</w:t>
      </w:r>
    </w:p>
    <w:p>
      <w:pPr>
        <w:pStyle w:val="25"/>
        <w:adjustRightInd w:val="0"/>
        <w:spacing w:line="336"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四、我方理解贵方不一定接受最低投标价或任何贵方可能收到的投标。</w:t>
      </w:r>
    </w:p>
    <w:p>
      <w:pPr>
        <w:pStyle w:val="25"/>
        <w:adjustRightInd w:val="0"/>
        <w:spacing w:line="336"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五、我方如果中标，将保证履行招标文件及其澄清、修改文件（如果有）中的全部责任和义务，按质、按量、按期完成《项目需求》及《合同书》中的全部任务。</w:t>
      </w:r>
    </w:p>
    <w:p>
      <w:pPr>
        <w:pStyle w:val="25"/>
        <w:adjustRightInd w:val="0"/>
        <w:spacing w:line="336"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六、我方在此保证所提交的所有文件和全部说明是真实的和正确的。</w:t>
      </w:r>
    </w:p>
    <w:p>
      <w:pPr>
        <w:pStyle w:val="17"/>
        <w:adjustRightInd w:val="0"/>
        <w:spacing w:line="336"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36"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八、我方具备《政府采购法》第二十二条规定的条件；承诺如下：</w:t>
      </w:r>
    </w:p>
    <w:p>
      <w:pPr>
        <w:pStyle w:val="17"/>
        <w:adjustRightInd w:val="0"/>
        <w:spacing w:line="336"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36"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36"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36"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36"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36"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7"/>
        <w:adjustRightInd w:val="0"/>
        <w:spacing w:line="336"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九、我方具备履行合同所必需的设备和专业技术能力。</w:t>
      </w:r>
    </w:p>
    <w:p>
      <w:pPr>
        <w:pStyle w:val="17"/>
        <w:adjustRightInd w:val="0"/>
        <w:spacing w:line="336"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w:t>
      </w:r>
      <w:r>
        <w:rPr>
          <w:rFonts w:hint="eastAsia" w:asciiTheme="minorEastAsia" w:hAnsiTheme="minorEastAsia" w:eastAsiaTheme="minorEastAsia"/>
          <w:color w:val="auto"/>
          <w:szCs w:val="24"/>
        </w:rPr>
        <w:t>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Cs w:val="24"/>
        </w:rPr>
      </w:pPr>
    </w:p>
    <w:p>
      <w:pPr>
        <w:pStyle w:val="17"/>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asciiTheme="minorEastAsia" w:hAnsiTheme="minorEastAsia"/>
          <w:snapToGrid w:val="0"/>
          <w:color w:val="auto"/>
          <w:kern w:val="0"/>
          <w:sz w:val="24"/>
          <w:szCs w:val="24"/>
        </w:rPr>
        <w:t>____________________</w:t>
      </w:r>
      <w:r>
        <w:rPr>
          <w:rFonts w:hint="eastAsia" w:cs="宋体" w:asciiTheme="minorEastAsia" w:hAnsiTheme="minorEastAsia"/>
          <w:color w:val="auto"/>
          <w:sz w:val="24"/>
          <w:szCs w:val="24"/>
        </w:rPr>
        <w:t xml:space="preserve">     邮政编码：</w:t>
      </w:r>
      <w:r>
        <w:rPr>
          <w:rFonts w:hint="eastAsia" w:asciiTheme="minorEastAsia" w:hAnsiTheme="minorEastAsia"/>
          <w:snapToGrid w:val="0"/>
          <w:color w:val="auto"/>
          <w:kern w:val="0"/>
          <w:sz w:val="24"/>
          <w:szCs w:val="24"/>
        </w:rPr>
        <w:t>_______________</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asciiTheme="minorEastAsia" w:hAnsiTheme="minorEastAsia"/>
          <w:snapToGrid w:val="0"/>
          <w:color w:val="auto"/>
          <w:kern w:val="0"/>
          <w:sz w:val="24"/>
          <w:szCs w:val="24"/>
        </w:rPr>
        <w:t>____________________</w:t>
      </w:r>
      <w:r>
        <w:rPr>
          <w:rFonts w:hint="eastAsia" w:cs="宋体" w:asciiTheme="minorEastAsia" w:hAnsiTheme="minorEastAsia"/>
          <w:color w:val="auto"/>
          <w:sz w:val="24"/>
          <w:szCs w:val="24"/>
        </w:rPr>
        <w:t xml:space="preserve">     传    真：</w:t>
      </w:r>
      <w:r>
        <w:rPr>
          <w:rFonts w:hint="eastAsia" w:asciiTheme="minorEastAsia" w:hAnsiTheme="minorEastAsia"/>
          <w:snapToGrid w:val="0"/>
          <w:color w:val="auto"/>
          <w:kern w:val="0"/>
          <w:sz w:val="24"/>
          <w:szCs w:val="24"/>
        </w:rPr>
        <w:t>_______________</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asciiTheme="minorEastAsia" w:hAnsiTheme="minorEastAsia"/>
          <w:snapToGrid w:val="0"/>
          <w:color w:val="auto"/>
          <w:kern w:val="0"/>
          <w:sz w:val="24"/>
          <w:szCs w:val="24"/>
        </w:rPr>
        <w:t>______________</w:t>
      </w:r>
      <w:r>
        <w:rPr>
          <w:rFonts w:hint="eastAsia" w:cs="宋体" w:asciiTheme="minorEastAsia" w:hAnsiTheme="minorEastAsia"/>
          <w:color w:val="auto"/>
          <w:sz w:val="24"/>
          <w:szCs w:val="24"/>
        </w:rPr>
        <w:t xml:space="preserve">     职    务：</w:t>
      </w:r>
      <w:r>
        <w:rPr>
          <w:rFonts w:hint="eastAsia" w:asciiTheme="minorEastAsia" w:hAnsiTheme="minorEastAsia"/>
          <w:snapToGrid w:val="0"/>
          <w:color w:val="auto"/>
          <w:kern w:val="0"/>
          <w:sz w:val="24"/>
          <w:szCs w:val="24"/>
        </w:rPr>
        <w:t>_______________</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asciiTheme="minorEastAsia" w:hAnsiTheme="minorEastAsia"/>
          <w:snapToGrid w:val="0"/>
          <w:color w:val="auto"/>
          <w:kern w:val="0"/>
          <w:sz w:val="24"/>
          <w:szCs w:val="24"/>
        </w:rPr>
        <w:t>__________</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asciiTheme="minorEastAsia" w:hAnsiTheme="minorEastAsia"/>
          <w:snapToGrid w:val="0"/>
          <w:color w:val="auto"/>
          <w:kern w:val="0"/>
          <w:sz w:val="24"/>
          <w:szCs w:val="24"/>
        </w:rPr>
        <w:t>__________</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rPr>
          <w:color w:val="auto"/>
        </w:rPr>
      </w:pPr>
      <w:r>
        <w:rPr>
          <w:color w:val="auto"/>
        </w:rPr>
        <w:br w:type="page"/>
      </w:r>
    </w:p>
    <w:p>
      <w:pPr>
        <w:pStyle w:val="5"/>
        <w:rPr>
          <w:color w:val="auto"/>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53"/>
        <w:spacing w:line="480" w:lineRule="auto"/>
        <w:ind w:firstLine="540" w:firstLineChars="225"/>
        <w:jc w:val="left"/>
        <w:rPr>
          <w:rFonts w:asciiTheme="minorEastAsia" w:hAnsiTheme="minorEastAsia"/>
          <w:color w:val="auto"/>
          <w:szCs w:val="24"/>
          <w:u w:val="single"/>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r>
        <w:rPr>
          <w:rFonts w:hint="eastAsia" w:asciiTheme="minorEastAsia" w:hAnsiTheme="minorEastAsia"/>
          <w:color w:val="auto"/>
          <w:szCs w:val="24"/>
          <w:u w:val="single"/>
        </w:rPr>
        <w:t xml:space="preserve">                      </w:t>
      </w:r>
    </w:p>
    <w:p>
      <w:pPr>
        <w:pStyle w:val="53"/>
        <w:spacing w:line="480" w:lineRule="auto"/>
        <w:ind w:firstLine="540" w:firstLineChars="225"/>
        <w:jc w:val="left"/>
        <w:rPr>
          <w:rFonts w:asciiTheme="minorEastAsia" w:hAnsiTheme="minorEastAsia"/>
          <w:color w:val="auto"/>
          <w:szCs w:val="24"/>
          <w:u w:val="single"/>
        </w:rPr>
      </w:pPr>
      <w:r>
        <w:rPr>
          <w:rFonts w:hint="eastAsia" w:asciiTheme="minorEastAsia" w:hAnsiTheme="minorEastAsia"/>
          <w:color w:val="auto"/>
          <w:szCs w:val="24"/>
        </w:rPr>
        <w:t>地址：</w:t>
      </w:r>
      <w:r>
        <w:rPr>
          <w:rFonts w:hint="eastAsia" w:asciiTheme="minorEastAsia" w:hAnsiTheme="minorEastAsia"/>
          <w:color w:val="auto"/>
          <w:szCs w:val="24"/>
          <w:u w:val="single"/>
        </w:rPr>
        <w:t xml:space="preserve">                           </w:t>
      </w:r>
    </w:p>
    <w:p>
      <w:pPr>
        <w:pStyle w:val="53"/>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w:t>
      </w:r>
      <w:r>
        <w:rPr>
          <w:rFonts w:hint="eastAsia" w:asciiTheme="minorEastAsia" w:hAnsiTheme="minorEastAsia"/>
          <w:color w:val="auto"/>
          <w:szCs w:val="24"/>
          <w:u w:val="single"/>
        </w:rPr>
        <w:t xml:space="preserve">       </w:t>
      </w:r>
      <w:r>
        <w:rPr>
          <w:rFonts w:hint="eastAsia" w:asciiTheme="minorEastAsia" w:hAnsiTheme="minorEastAsia"/>
          <w:color w:val="auto"/>
          <w:szCs w:val="24"/>
        </w:rPr>
        <w:t>性</w:t>
      </w:r>
      <w:r>
        <w:rPr>
          <w:rFonts w:asciiTheme="minorEastAsia" w:hAnsiTheme="minorEastAsia"/>
          <w:color w:val="auto"/>
          <w:szCs w:val="24"/>
        </w:rPr>
        <w:t>别</w:t>
      </w:r>
      <w:r>
        <w:rPr>
          <w:rFonts w:hint="eastAsia" w:asciiTheme="minorEastAsia" w:hAnsiTheme="minorEastAsia"/>
          <w:color w:val="auto"/>
          <w:szCs w:val="24"/>
        </w:rPr>
        <w:t>：</w:t>
      </w:r>
      <w:r>
        <w:rPr>
          <w:rFonts w:hint="eastAsia" w:asciiTheme="minorEastAsia" w:hAnsiTheme="minorEastAsia"/>
          <w:color w:val="auto"/>
          <w:szCs w:val="24"/>
          <w:u w:val="single"/>
        </w:rPr>
        <w:t xml:space="preserve">      </w:t>
      </w:r>
      <w:r>
        <w:rPr>
          <w:rFonts w:hint="eastAsia" w:asciiTheme="minorEastAsia" w:hAnsiTheme="minorEastAsia"/>
          <w:color w:val="auto"/>
          <w:szCs w:val="24"/>
        </w:rPr>
        <w:t>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u w:val="single"/>
        </w:rPr>
        <w:t xml:space="preserve">    </w:t>
      </w:r>
      <w:r>
        <w:rPr>
          <w:rFonts w:hint="eastAsia" w:asciiTheme="minorEastAsia" w:hAnsiTheme="minorEastAsia"/>
          <w:color w:val="auto"/>
          <w:szCs w:val="24"/>
          <w:u w:val="single"/>
        </w:rPr>
        <w:t xml:space="preserve">  </w:t>
      </w:r>
      <w:r>
        <w:rPr>
          <w:rFonts w:asciiTheme="minorEastAsia" w:hAnsiTheme="minorEastAsia"/>
          <w:color w:val="auto"/>
          <w:szCs w:val="24"/>
          <w:u w:val="single"/>
        </w:rPr>
        <w:t xml:space="preserve"> </w:t>
      </w:r>
      <w:r>
        <w:rPr>
          <w:rFonts w:asciiTheme="minorEastAsia" w:hAnsiTheme="minorEastAsia"/>
          <w:color w:val="auto"/>
          <w:szCs w:val="24"/>
        </w:rPr>
        <w:t>职务</w:t>
      </w:r>
      <w:r>
        <w:rPr>
          <w:rFonts w:hint="eastAsia" w:asciiTheme="minorEastAsia" w:hAnsiTheme="minorEastAsia"/>
          <w:color w:val="auto"/>
          <w:szCs w:val="24"/>
        </w:rPr>
        <w:t>：</w:t>
      </w:r>
      <w:r>
        <w:rPr>
          <w:rFonts w:hint="eastAsia" w:asciiTheme="minorEastAsia" w:hAnsiTheme="minorEastAsia"/>
          <w:color w:val="auto"/>
          <w:szCs w:val="24"/>
          <w:u w:val="single"/>
        </w:rPr>
        <w:t xml:space="preserve">        </w:t>
      </w:r>
    </w:p>
    <w:p>
      <w:pPr>
        <w:pStyle w:val="53"/>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snapToGrid w:val="0"/>
          <w:color w:val="auto"/>
          <w:kern w:val="0"/>
          <w:szCs w:val="24"/>
          <w:u w:val="single"/>
        </w:rPr>
        <w:t xml:space="preserve">__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snapToGrid w:val="0"/>
          <w:color w:val="auto"/>
          <w:kern w:val="0"/>
          <w:szCs w:val="24"/>
        </w:rPr>
        <w:t>__</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snapToGrid w:val="0"/>
          <w:color w:val="auto"/>
          <w:kern w:val="0"/>
          <w:szCs w:val="24"/>
        </w:rPr>
        <w:t>___</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、标包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53"/>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53"/>
        <w:spacing w:line="480" w:lineRule="auto"/>
        <w:ind w:firstLine="540" w:firstLineChars="225"/>
        <w:jc w:val="left"/>
        <w:rPr>
          <w:rFonts w:asciiTheme="minorEastAsia" w:hAnsiTheme="minorEastAsia"/>
          <w:color w:val="auto"/>
          <w:szCs w:val="24"/>
        </w:rPr>
      </w:pPr>
    </w:p>
    <w:p>
      <w:pPr>
        <w:pStyle w:val="53"/>
        <w:spacing w:line="480" w:lineRule="auto"/>
        <w:ind w:firstLine="540" w:firstLineChars="225"/>
        <w:jc w:val="left"/>
        <w:rPr>
          <w:rFonts w:asciiTheme="minorEastAsia" w:hAnsiTheme="minorEastAsia"/>
          <w:color w:val="auto"/>
          <w:szCs w:val="24"/>
        </w:rPr>
      </w:pPr>
    </w:p>
    <w:p>
      <w:pPr>
        <w:pStyle w:val="53"/>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证原件扫描件</w:t>
      </w:r>
      <w:r>
        <w:rPr>
          <w:rFonts w:hint="eastAsia" w:asciiTheme="minorEastAsia" w:hAnsiTheme="minorEastAsia"/>
          <w:bCs/>
          <w:color w:val="auto"/>
          <w:szCs w:val="24"/>
        </w:rPr>
        <w:t>，需清晰反映身份证有效期限】</w:t>
      </w:r>
    </w:p>
    <w:p>
      <w:pPr>
        <w:pStyle w:val="53"/>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56"/>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55"/>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pStyle w:val="2"/>
        <w:ind w:firstLine="340"/>
        <w:rPr>
          <w:color w:val="auto"/>
        </w:rPr>
      </w:pPr>
    </w:p>
    <w:p>
      <w:pPr>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snapToGrid w:val="0"/>
          <w:color w:val="auto"/>
          <w:sz w:val="24"/>
          <w:szCs w:val="24"/>
          <w:u w:val="single"/>
        </w:rPr>
        <w:t xml:space="preserve">法人姓名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snapToGrid w:val="0"/>
          <w:color w:val="auto"/>
          <w:sz w:val="24"/>
          <w:szCs w:val="24"/>
          <w:u w:val="single"/>
        </w:rPr>
        <w:t xml:space="preserve">投标人名称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w:t>
      </w:r>
      <w:r>
        <w:rPr>
          <w:rFonts w:hint="eastAsia" w:asciiTheme="minorEastAsia" w:hAnsiTheme="minorEastAsia"/>
          <w:snapToGrid w:val="0"/>
          <w:color w:val="auto"/>
          <w:sz w:val="24"/>
          <w:szCs w:val="24"/>
          <w:u w:val="single"/>
        </w:rPr>
        <w:t xml:space="preserve">姓名、职务  </w:t>
      </w:r>
      <w:r>
        <w:rPr>
          <w:rFonts w:hint="eastAsia" w:cs="Arial" w:asciiTheme="minorEastAsia" w:hAnsiTheme="minorEastAsia"/>
          <w:color w:val="auto"/>
          <w:sz w:val="24"/>
          <w:szCs w:val="24"/>
        </w:rPr>
        <w:t>以我方的名义参加贵方</w:t>
      </w:r>
      <w:r>
        <w:rPr>
          <w:rFonts w:hint="eastAsia" w:cs="Arial" w:asciiTheme="minorEastAsia" w:hAnsiTheme="minorEastAsia"/>
          <w:color w:val="auto"/>
          <w:sz w:val="24"/>
          <w:szCs w:val="24"/>
          <w:u w:val="single"/>
        </w:rPr>
        <w:t>______________________</w:t>
      </w:r>
      <w:r>
        <w:rPr>
          <w:rFonts w:hint="eastAsia" w:cs="Arial" w:asciiTheme="minorEastAsia" w:hAnsiTheme="minorEastAsia"/>
          <w:color w:val="auto"/>
          <w:sz w:val="24"/>
          <w:szCs w:val="24"/>
        </w:rPr>
        <w:t>（项目名称、标包）项目的投标活动，并代表我方全权办理针对上述项目的投标、开标、投标文件澄清、签约等一切具体事务和签署相关文件。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法定代表人：（签字或加盖名章）</w:t>
      </w:r>
      <w:r>
        <w:rPr>
          <w:rFonts w:hint="eastAsia" w:asciiTheme="minorEastAsia" w:hAnsiTheme="minorEastAsia"/>
          <w:snapToGrid w:val="0"/>
          <w:color w:val="auto"/>
          <w:kern w:val="0"/>
          <w:sz w:val="24"/>
          <w:szCs w:val="24"/>
        </w:rPr>
        <w:t>____________________</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法定代表人授权代表：（签字或加盖名章）</w:t>
      </w:r>
      <w:r>
        <w:rPr>
          <w:rFonts w:hint="eastAsia" w:asciiTheme="minorEastAsia" w:hAnsiTheme="minorEastAsia"/>
          <w:snapToGrid w:val="0"/>
          <w:color w:val="auto"/>
          <w:kern w:val="0"/>
          <w:sz w:val="24"/>
          <w:szCs w:val="24"/>
        </w:rPr>
        <w:t>____________</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7" w:name="_资格证明文件"/>
            <w:bookmarkEnd w:id="7"/>
            <w:bookmarkStart w:id="8" w:name="_Toc364329026"/>
            <w:r>
              <w:rPr>
                <w:rFonts w:hint="eastAsia" w:asciiTheme="minorEastAsia" w:hAnsiTheme="minorEastAsia"/>
                <w:color w:val="auto"/>
                <w:sz w:val="24"/>
                <w:szCs w:val="24"/>
              </w:rPr>
              <w:t>法定代表人授权代表身份证（正面）</w:t>
            </w:r>
            <w:bookmarkEnd w:id="8"/>
          </w:p>
        </w:tc>
        <w:tc>
          <w:tcPr>
            <w:tcW w:w="4492" w:type="dxa"/>
            <w:gridSpan w:val="2"/>
            <w:vAlign w:val="center"/>
          </w:tcPr>
          <w:p>
            <w:pPr>
              <w:jc w:val="center"/>
              <w:rPr>
                <w:rFonts w:asciiTheme="minorEastAsia" w:hAnsiTheme="minorEastAsia"/>
                <w:color w:val="auto"/>
                <w:sz w:val="24"/>
                <w:szCs w:val="24"/>
              </w:rPr>
            </w:pPr>
            <w:bookmarkStart w:id="9" w:name="_Toc364329027"/>
            <w:r>
              <w:rPr>
                <w:rFonts w:hint="eastAsia" w:asciiTheme="minorEastAsia" w:hAnsiTheme="minorEastAsia"/>
                <w:color w:val="auto"/>
                <w:sz w:val="24"/>
                <w:szCs w:val="24"/>
              </w:rPr>
              <w:t>法定代表人授权代表身份证（反面）</w:t>
            </w:r>
            <w:bookmarkEnd w:id="9"/>
          </w:p>
        </w:tc>
      </w:tr>
    </w:tbl>
    <w:p>
      <w:pPr>
        <w:spacing w:line="320" w:lineRule="exact"/>
        <w:ind w:left="2" w:firstLine="357" w:firstLineChars="149"/>
        <w:rPr>
          <w:rFonts w:cs="Courier New" w:asciiTheme="minorEastAsia" w:hAnsiTheme="minorEastAsia"/>
          <w:color w:val="auto"/>
          <w:sz w:val="24"/>
          <w:szCs w:val="24"/>
        </w:rPr>
      </w:pPr>
    </w:p>
    <w:p>
      <w:pPr>
        <w:pStyle w:val="2"/>
        <w:ind w:firstLine="340"/>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投标人名称（盖章）：</w:t>
      </w:r>
    </w:p>
    <w:p>
      <w:pPr>
        <w:spacing w:before="156" w:beforeLines="50" w:after="156" w:afterLines="50" w:line="360" w:lineRule="auto"/>
        <w:ind w:right="420" w:firstLine="5520" w:firstLineChars="2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r>
        <w:rPr>
          <w:rFonts w:hint="eastAsia" w:cs="宋体" w:asciiTheme="minorEastAsia" w:hAnsiTheme="minorEastAsia"/>
          <w:color w:val="auto"/>
          <w:szCs w:val="21"/>
        </w:rPr>
        <w:t>年    月    日</w:t>
      </w:r>
    </w:p>
    <w:p>
      <w:pPr>
        <w:spacing w:before="156" w:beforeLines="50" w:after="156" w:afterLines="50" w:line="360" w:lineRule="auto"/>
        <w:ind w:right="420" w:firstLine="8262" w:firstLineChars="2286"/>
        <w:rPr>
          <w:rFonts w:ascii="宋体" w:hAnsi="宋体"/>
          <w:b/>
          <w:bCs/>
          <w:color w:val="auto"/>
          <w:sz w:val="36"/>
          <w:szCs w:val="36"/>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pStyle w:val="2"/>
        <w:ind w:firstLine="340"/>
        <w:rPr>
          <w:color w:val="auto"/>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投标承诺函</w:t>
      </w:r>
    </w:p>
    <w:p>
      <w:pPr>
        <w:autoSpaceDE w:val="0"/>
        <w:autoSpaceDN w:val="0"/>
        <w:snapToGrid w:val="0"/>
        <w:spacing w:line="360" w:lineRule="auto"/>
        <w:jc w:val="center"/>
        <w:rPr>
          <w:rFonts w:ascii="宋体" w:hAnsi="宋体" w:eastAsia="宋体" w:cs="宋体"/>
          <w:color w:val="auto"/>
          <w:szCs w:val="21"/>
          <w:lang w:val="zh-CN"/>
        </w:rPr>
      </w:pPr>
    </w:p>
    <w:p>
      <w:pPr>
        <w:spacing w:before="156" w:beforeLines="50" w:after="156" w:afterLines="50" w:line="360" w:lineRule="auto"/>
        <w:ind w:firstLine="420" w:firstLineChars="200"/>
        <w:contextualSpacing/>
        <w:rPr>
          <w:rFonts w:ascii="宋体" w:hAnsi="宋体" w:eastAsia="宋体" w:cs="宋体"/>
          <w:color w:val="auto"/>
          <w:szCs w:val="21"/>
          <w:u w:val="single"/>
          <w:lang w:val="zh-CN"/>
        </w:rPr>
      </w:pPr>
      <w:r>
        <w:rPr>
          <w:rFonts w:hint="eastAsia" w:ascii="宋体" w:hAnsi="宋体" w:cs="宋体"/>
          <w:color w:val="auto"/>
          <w:szCs w:val="21"/>
          <w:u w:val="single"/>
          <w:lang w:val="zh-CN"/>
        </w:rPr>
        <w:t xml:space="preserve">            </w:t>
      </w:r>
      <w:r>
        <w:rPr>
          <w:rFonts w:hint="eastAsia" w:asciiTheme="minorEastAsia" w:hAnsiTheme="minorEastAsia"/>
          <w:b/>
          <w:snapToGrid w:val="0"/>
          <w:color w:val="auto"/>
          <w:kern w:val="0"/>
          <w:sz w:val="24"/>
          <w:szCs w:val="24"/>
          <w:u w:val="single"/>
        </w:rPr>
        <w:t>（采购人）</w:t>
      </w:r>
      <w:r>
        <w:rPr>
          <w:rFonts w:ascii="宋体" w:hAnsi="宋体" w:eastAsia="宋体" w:cs="宋体"/>
          <w:color w:val="auto"/>
          <w:szCs w:val="21"/>
          <w:u w:val="single"/>
          <w:lang w:val="zh-CN"/>
        </w:rPr>
        <w:t>：</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rPr>
          <w:color w:val="auto"/>
          <w:lang w:val="zh-CN"/>
        </w:rPr>
      </w:pPr>
      <w:r>
        <w:rPr>
          <w:color w:val="auto"/>
          <w:lang w:val="zh-CN"/>
        </w:rPr>
        <w:br w:type="page"/>
      </w:r>
    </w:p>
    <w:p>
      <w:pPr>
        <w:pStyle w:val="5"/>
        <w:rPr>
          <w:color w:val="auto"/>
          <w:lang w:val="zh-CN"/>
        </w:rPr>
      </w:pPr>
    </w:p>
    <w:p>
      <w:pPr>
        <w:autoSpaceDE w:val="0"/>
        <w:autoSpaceDN w:val="0"/>
        <w:adjustRightInd w:val="0"/>
        <w:spacing w:line="360" w:lineRule="auto"/>
        <w:jc w:val="center"/>
        <w:outlineLvl w:val="0"/>
        <w:rPr>
          <w:rFonts w:ascii="宋体" w:cs="宋体"/>
          <w:color w:val="auto"/>
          <w:sz w:val="24"/>
          <w:lang w:val="zh-CN"/>
        </w:rPr>
      </w:pPr>
      <w:r>
        <w:rPr>
          <w:rFonts w:hint="eastAsia" w:ascii="宋体" w:hAnsi="宋体"/>
          <w:b/>
          <w:bCs/>
          <w:color w:val="auto"/>
          <w:sz w:val="36"/>
          <w:szCs w:val="36"/>
        </w:rPr>
        <w:t xml:space="preserve">3.6其他资格证书或材料 </w:t>
      </w:r>
    </w:p>
    <w:p>
      <w:pPr>
        <w:pStyle w:val="17"/>
        <w:spacing w:after="240" w:line="360" w:lineRule="auto"/>
        <w:jc w:val="center"/>
        <w:rPr>
          <w:color w:val="auto"/>
        </w:rPr>
      </w:pPr>
    </w:p>
    <w:p>
      <w:pPr>
        <w:pStyle w:val="17"/>
        <w:spacing w:after="240" w:line="360" w:lineRule="auto"/>
        <w:jc w:val="center"/>
        <w:rPr>
          <w:color w:val="auto"/>
        </w:rPr>
      </w:pPr>
    </w:p>
    <w:p>
      <w:pPr>
        <w:pStyle w:val="17"/>
        <w:spacing w:after="240" w:line="360" w:lineRule="auto"/>
        <w:jc w:val="center"/>
        <w:rPr>
          <w:color w:val="auto"/>
        </w:rPr>
      </w:pPr>
    </w:p>
    <w:p>
      <w:pPr>
        <w:pStyle w:val="17"/>
        <w:spacing w:after="240" w:line="360" w:lineRule="auto"/>
        <w:jc w:val="center"/>
        <w:rPr>
          <w:color w:val="auto"/>
        </w:rPr>
      </w:pPr>
    </w:p>
    <w:p>
      <w:pPr>
        <w:pStyle w:val="17"/>
        <w:spacing w:after="240"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四、符合性审查证明材料</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4.1</w:t>
      </w:r>
      <w:r>
        <w:rPr>
          <w:rFonts w:hint="eastAsia" w:hAnsi="宋体"/>
          <w:b/>
          <w:snapToGrid w:val="0"/>
          <w:color w:val="auto"/>
          <w:kern w:val="0"/>
          <w:sz w:val="36"/>
          <w:szCs w:val="36"/>
        </w:rPr>
        <w:t>实施方案（服务方案）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pacing w:before="50" w:after="156" w:afterLines="50" w:line="360" w:lineRule="auto"/>
        <w:ind w:firstLine="2692" w:firstLineChars="745"/>
        <w:contextualSpacing/>
        <w:jc w:val="left"/>
        <w:rPr>
          <w:rFonts w:asciiTheme="minorEastAsia" w:hAnsiTheme="minorEastAsia"/>
          <w:b/>
          <w:snapToGrid w:val="0"/>
          <w:color w:val="auto"/>
          <w:kern w:val="0"/>
          <w:sz w:val="36"/>
          <w:szCs w:val="36"/>
        </w:rPr>
      </w:pPr>
    </w:p>
    <w:p>
      <w:pPr>
        <w:rPr>
          <w:color w:val="auto"/>
        </w:rPr>
      </w:pPr>
      <w:r>
        <w:rPr>
          <w:color w:val="auto"/>
        </w:rPr>
        <w:br w:type="page"/>
      </w:r>
    </w:p>
    <w:p>
      <w:pPr>
        <w:pStyle w:val="5"/>
        <w:rPr>
          <w:color w:val="auto"/>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3"/>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3"/>
              <w:spacing w:line="360" w:lineRule="auto"/>
              <w:jc w:val="center"/>
              <w:rPr>
                <w:rFonts w:ascii="宋体" w:hAnsi="宋体" w:eastAsia="宋体" w:cs="Times New Roman"/>
                <w:color w:val="auto"/>
                <w:sz w:val="24"/>
                <w:szCs w:val="24"/>
              </w:rPr>
            </w:pPr>
          </w:p>
        </w:tc>
        <w:tc>
          <w:tcPr>
            <w:tcW w:w="3579" w:type="dxa"/>
            <w:vAlign w:val="center"/>
          </w:tcPr>
          <w:p>
            <w:pPr>
              <w:pStyle w:val="13"/>
              <w:spacing w:line="360" w:lineRule="auto"/>
              <w:jc w:val="center"/>
              <w:rPr>
                <w:rFonts w:ascii="宋体" w:hAnsi="宋体" w:eastAsia="宋体" w:cs="Times New Roman"/>
                <w:color w:val="auto"/>
                <w:sz w:val="24"/>
                <w:szCs w:val="24"/>
              </w:rPr>
            </w:pPr>
          </w:p>
        </w:tc>
        <w:tc>
          <w:tcPr>
            <w:tcW w:w="1440" w:type="dxa"/>
            <w:vAlign w:val="center"/>
          </w:tcPr>
          <w:p>
            <w:pPr>
              <w:pStyle w:val="13"/>
              <w:spacing w:line="360" w:lineRule="auto"/>
              <w:jc w:val="center"/>
              <w:rPr>
                <w:rFonts w:ascii="宋体" w:hAnsi="宋体" w:eastAsia="宋体" w:cs="Times New Roman"/>
                <w:color w:val="auto"/>
                <w:sz w:val="24"/>
                <w:szCs w:val="24"/>
              </w:rPr>
            </w:pPr>
          </w:p>
        </w:tc>
        <w:tc>
          <w:tcPr>
            <w:tcW w:w="1706" w:type="dxa"/>
            <w:vAlign w:val="center"/>
          </w:tcPr>
          <w:p>
            <w:pPr>
              <w:pStyle w:val="13"/>
              <w:spacing w:line="360" w:lineRule="auto"/>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3"/>
              <w:spacing w:line="360" w:lineRule="auto"/>
              <w:jc w:val="center"/>
              <w:rPr>
                <w:rFonts w:ascii="宋体" w:hAnsi="宋体" w:eastAsia="宋体" w:cs="Times New Roman"/>
                <w:color w:val="auto"/>
                <w:sz w:val="24"/>
                <w:szCs w:val="24"/>
              </w:rPr>
            </w:pPr>
          </w:p>
        </w:tc>
        <w:tc>
          <w:tcPr>
            <w:tcW w:w="3579" w:type="dxa"/>
            <w:vAlign w:val="center"/>
          </w:tcPr>
          <w:p>
            <w:pPr>
              <w:pStyle w:val="13"/>
              <w:spacing w:line="360" w:lineRule="auto"/>
              <w:jc w:val="center"/>
              <w:rPr>
                <w:rFonts w:ascii="宋体" w:hAnsi="宋体" w:eastAsia="宋体" w:cs="Times New Roman"/>
                <w:color w:val="auto"/>
                <w:sz w:val="24"/>
                <w:szCs w:val="24"/>
              </w:rPr>
            </w:pPr>
          </w:p>
        </w:tc>
        <w:tc>
          <w:tcPr>
            <w:tcW w:w="1440" w:type="dxa"/>
            <w:vAlign w:val="center"/>
          </w:tcPr>
          <w:p>
            <w:pPr>
              <w:pStyle w:val="13"/>
              <w:spacing w:line="360" w:lineRule="auto"/>
              <w:jc w:val="center"/>
              <w:rPr>
                <w:rFonts w:ascii="宋体" w:hAnsi="宋体" w:eastAsia="宋体" w:cs="Times New Roman"/>
                <w:color w:val="auto"/>
                <w:sz w:val="24"/>
                <w:szCs w:val="24"/>
              </w:rPr>
            </w:pPr>
          </w:p>
        </w:tc>
        <w:tc>
          <w:tcPr>
            <w:tcW w:w="1706" w:type="dxa"/>
            <w:vAlign w:val="center"/>
          </w:tcPr>
          <w:p>
            <w:pPr>
              <w:pStyle w:val="13"/>
              <w:spacing w:line="360" w:lineRule="auto"/>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3"/>
              <w:spacing w:line="360" w:lineRule="auto"/>
              <w:jc w:val="center"/>
              <w:rPr>
                <w:rFonts w:ascii="宋体" w:hAnsi="宋体" w:eastAsia="宋体" w:cs="Times New Roman"/>
                <w:color w:val="auto"/>
                <w:sz w:val="24"/>
                <w:szCs w:val="24"/>
              </w:rPr>
            </w:pPr>
          </w:p>
        </w:tc>
        <w:tc>
          <w:tcPr>
            <w:tcW w:w="3579" w:type="dxa"/>
            <w:vAlign w:val="center"/>
          </w:tcPr>
          <w:p>
            <w:pPr>
              <w:pStyle w:val="13"/>
              <w:spacing w:line="360" w:lineRule="auto"/>
              <w:jc w:val="center"/>
              <w:rPr>
                <w:rFonts w:ascii="宋体" w:hAnsi="宋体" w:eastAsia="宋体" w:cs="Times New Roman"/>
                <w:color w:val="auto"/>
                <w:sz w:val="24"/>
                <w:szCs w:val="24"/>
              </w:rPr>
            </w:pPr>
          </w:p>
        </w:tc>
        <w:tc>
          <w:tcPr>
            <w:tcW w:w="1440" w:type="dxa"/>
            <w:vAlign w:val="center"/>
          </w:tcPr>
          <w:p>
            <w:pPr>
              <w:pStyle w:val="13"/>
              <w:spacing w:line="360" w:lineRule="auto"/>
              <w:jc w:val="center"/>
              <w:rPr>
                <w:rFonts w:ascii="宋体" w:hAnsi="宋体" w:eastAsia="宋体" w:cs="Times New Roman"/>
                <w:color w:val="auto"/>
                <w:sz w:val="24"/>
                <w:szCs w:val="24"/>
              </w:rPr>
            </w:pPr>
          </w:p>
        </w:tc>
        <w:tc>
          <w:tcPr>
            <w:tcW w:w="1706" w:type="dxa"/>
            <w:vAlign w:val="center"/>
          </w:tcPr>
          <w:p>
            <w:pPr>
              <w:pStyle w:val="13"/>
              <w:spacing w:line="360" w:lineRule="auto"/>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jc w:val="center"/>
              <w:rPr>
                <w:rFonts w:ascii="宋体"/>
                <w:color w:val="auto"/>
              </w:rPr>
            </w:pPr>
          </w:p>
        </w:tc>
        <w:tc>
          <w:tcPr>
            <w:tcW w:w="3579" w:type="dxa"/>
            <w:vAlign w:val="center"/>
          </w:tcPr>
          <w:p>
            <w:pPr>
              <w:jc w:val="center"/>
              <w:rPr>
                <w:rFonts w:ascii="宋体"/>
                <w:color w:val="auto"/>
              </w:rPr>
            </w:pPr>
          </w:p>
        </w:tc>
        <w:tc>
          <w:tcPr>
            <w:tcW w:w="1440" w:type="dxa"/>
            <w:vAlign w:val="center"/>
          </w:tcPr>
          <w:p>
            <w:pPr>
              <w:jc w:val="center"/>
              <w:rPr>
                <w:rFonts w:ascii="宋体"/>
                <w:color w:val="auto"/>
              </w:rPr>
            </w:pPr>
          </w:p>
        </w:tc>
        <w:tc>
          <w:tcPr>
            <w:tcW w:w="1706" w:type="dxa"/>
            <w:vAlign w:val="center"/>
          </w:tcPr>
          <w:p>
            <w:pPr>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jc w:val="center"/>
              <w:rPr>
                <w:rFonts w:ascii="宋体"/>
                <w:color w:val="auto"/>
              </w:rPr>
            </w:pPr>
          </w:p>
        </w:tc>
        <w:tc>
          <w:tcPr>
            <w:tcW w:w="3579" w:type="dxa"/>
            <w:vAlign w:val="center"/>
          </w:tcPr>
          <w:p>
            <w:pPr>
              <w:jc w:val="center"/>
              <w:rPr>
                <w:rFonts w:ascii="宋体"/>
                <w:color w:val="auto"/>
              </w:rPr>
            </w:pPr>
          </w:p>
        </w:tc>
        <w:tc>
          <w:tcPr>
            <w:tcW w:w="1440" w:type="dxa"/>
            <w:vAlign w:val="center"/>
          </w:tcPr>
          <w:p>
            <w:pPr>
              <w:jc w:val="center"/>
              <w:rPr>
                <w:rFonts w:ascii="宋体"/>
                <w:color w:val="auto"/>
              </w:rPr>
            </w:pPr>
          </w:p>
        </w:tc>
        <w:tc>
          <w:tcPr>
            <w:tcW w:w="1706" w:type="dxa"/>
            <w:vAlign w:val="center"/>
          </w:tcPr>
          <w:p>
            <w:pPr>
              <w:jc w:val="cente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pStyle w:val="2"/>
        <w:ind w:firstLine="340"/>
        <w:rPr>
          <w:color w:val="auto"/>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4.3服务承诺</w:t>
      </w: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rPr>
          <w:color w:val="auto"/>
          <w:lang w:val="zh-CN"/>
        </w:rPr>
      </w:pPr>
      <w:r>
        <w:rPr>
          <w:color w:val="auto"/>
          <w:lang w:val="zh-CN"/>
        </w:rPr>
        <w:br w:type="page"/>
      </w:r>
    </w:p>
    <w:p>
      <w:pPr>
        <w:pStyle w:val="5"/>
        <w:rPr>
          <w:color w:val="auto"/>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4.4 中小企业声明函</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w:t>
      </w:r>
      <w:r>
        <w:rPr>
          <w:color w:val="auto"/>
          <w:sz w:val="24"/>
          <w:szCs w:val="24"/>
          <w:u w:val="single"/>
        </w:rPr>
        <w:t>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p>
    <w:p>
      <w:pPr>
        <w:spacing w:before="156" w:beforeLines="50" w:after="156" w:afterLines="50" w:line="360" w:lineRule="auto"/>
        <w:ind w:right="420" w:firstLine="3840" w:firstLineChars="16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pStyle w:val="2"/>
        <w:ind w:firstLine="340"/>
        <w:rPr>
          <w:color w:val="auto"/>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rPr>
          <w:rFonts w:ascii="宋体" w:hAnsi="宋体"/>
          <w:b/>
          <w:bCs/>
          <w:color w:val="auto"/>
          <w:sz w:val="36"/>
          <w:szCs w:val="36"/>
        </w:rPr>
      </w:pPr>
      <w:r>
        <w:rPr>
          <w:rFonts w:ascii="宋体" w:hAnsi="宋体"/>
          <w:b/>
          <w:bCs/>
          <w:color w:val="auto"/>
          <w:sz w:val="36"/>
          <w:szCs w:val="36"/>
        </w:rPr>
        <w:br w:type="page"/>
      </w:r>
    </w:p>
    <w:p>
      <w:pPr>
        <w:pStyle w:val="2"/>
        <w:rPr>
          <w:color w:val="auto"/>
        </w:rPr>
      </w:pPr>
    </w:p>
    <w:p>
      <w:pPr>
        <w:spacing w:line="360" w:lineRule="auto"/>
        <w:jc w:val="center"/>
        <w:rPr>
          <w:rFonts w:ascii="宋体" w:hAnsi="宋体"/>
          <w:b/>
          <w:bCs/>
          <w:color w:val="auto"/>
          <w:sz w:val="36"/>
          <w:szCs w:val="36"/>
        </w:rPr>
      </w:pPr>
      <w:bookmarkStart w:id="10" w:name="OLE_LINK14"/>
      <w:bookmarkStart w:id="11" w:name="OLE_LINK13"/>
      <w:r>
        <w:rPr>
          <w:rFonts w:hint="eastAsia" w:ascii="宋体" w:hAnsi="宋体"/>
          <w:b/>
          <w:bCs/>
          <w:color w:val="auto"/>
          <w:sz w:val="36"/>
          <w:szCs w:val="36"/>
        </w:rPr>
        <w:t>4.5 残疾人福利性单位声明函</w:t>
      </w:r>
    </w:p>
    <w:bookmarkEnd w:id="10"/>
    <w:bookmarkEnd w:id="11"/>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Arial"/>
          <w:color w:val="auto"/>
          <w:kern w:val="0"/>
          <w:sz w:val="24"/>
          <w:szCs w:val="24"/>
          <w:u w:val="single"/>
        </w:rPr>
        <w:t>　     　</w:t>
      </w:r>
      <w:r>
        <w:rPr>
          <w:rFonts w:hint="eastAsia" w:ascii="宋体" w:hAnsi="宋体"/>
          <w:color w:val="auto"/>
          <w:sz w:val="24"/>
          <w:szCs w:val="24"/>
        </w:rPr>
        <w:t>单位的</w:t>
      </w:r>
      <w:r>
        <w:rPr>
          <w:rFonts w:hint="eastAsia" w:ascii="宋体" w:hAnsi="宋体" w:cs="Arial"/>
          <w:color w:val="auto"/>
          <w:kern w:val="0"/>
          <w:sz w:val="24"/>
          <w:szCs w:val="24"/>
          <w:u w:val="single"/>
        </w:rPr>
        <w:t>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before="156" w:beforeLines="50" w:after="156" w:afterLines="50" w:line="360" w:lineRule="auto"/>
        <w:ind w:right="420" w:firstLine="4320" w:firstLineChars="18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 xml:space="preserve">日    期：    </w:t>
      </w:r>
      <w:r>
        <w:rPr>
          <w:rFonts w:hint="eastAsia" w:cs="宋体" w:asciiTheme="minorEastAsia" w:hAnsiTheme="minorEastAsia"/>
          <w:color w:val="auto"/>
          <w:szCs w:val="21"/>
        </w:rPr>
        <w:t>年    月    日</w:t>
      </w:r>
    </w:p>
    <w:p>
      <w:pPr>
        <w:spacing w:line="360" w:lineRule="auto"/>
        <w:rPr>
          <w:rFonts w:ascii="宋体" w:hAnsi="宋体"/>
          <w:color w:val="auto"/>
          <w:sz w:val="24"/>
          <w:szCs w:val="24"/>
        </w:rPr>
      </w:pPr>
    </w:p>
    <w:p>
      <w:pPr>
        <w:rPr>
          <w:color w:val="auto"/>
        </w:rPr>
      </w:pPr>
    </w:p>
    <w:p>
      <w:pPr>
        <w:rPr>
          <w:color w:val="auto"/>
        </w:rPr>
      </w:pPr>
    </w:p>
    <w:p>
      <w:pPr>
        <w:rPr>
          <w:color w:val="auto"/>
        </w:rPr>
      </w:pPr>
    </w:p>
    <w:p>
      <w:pPr>
        <w:pStyle w:val="17"/>
        <w:spacing w:after="240" w:line="360" w:lineRule="auto"/>
        <w:jc w:val="center"/>
        <w:rPr>
          <w:rFonts w:cs="黑体" w:asciiTheme="minorEastAsia" w:hAnsiTheme="minorEastAsia"/>
          <w:b/>
          <w:bCs/>
          <w:color w:val="auto"/>
          <w:sz w:val="44"/>
          <w:szCs w:val="44"/>
          <w:lang w:val="zh-CN"/>
        </w:rPr>
      </w:pPr>
    </w:p>
    <w:p>
      <w:pPr>
        <w:pStyle w:val="17"/>
        <w:spacing w:after="240"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五、</w:t>
      </w:r>
      <w:r>
        <w:rPr>
          <w:rFonts w:asciiTheme="majorEastAsia" w:hAnsiTheme="majorEastAsia" w:eastAsiaTheme="majorEastAsia"/>
          <w:b/>
          <w:snapToGrid w:val="0"/>
          <w:color w:val="auto"/>
          <w:kern w:val="0"/>
          <w:sz w:val="36"/>
          <w:szCs w:val="36"/>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3" w:type="default"/>
      <w:pgSz w:w="11906" w:h="16838"/>
      <w:pgMar w:top="1701" w:right="1474" w:bottom="1701"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E"/>
    <w:multiLevelType w:val="multilevel"/>
    <w:tmpl w:val="0000000E"/>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F"/>
    <w:multiLevelType w:val="multilevel"/>
    <w:tmpl w:val="0000000F"/>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1"/>
    <w:multiLevelType w:val="multilevel"/>
    <w:tmpl w:val="00000011"/>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0000013"/>
    <w:multiLevelType w:val="multilevel"/>
    <w:tmpl w:val="00000013"/>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7"/>
    <w:multiLevelType w:val="multilevel"/>
    <w:tmpl w:val="00000017"/>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19"/>
    <w:multiLevelType w:val="multilevel"/>
    <w:tmpl w:val="00000019"/>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61"/>
      <w:suff w:val="nothing"/>
      <w:lvlText w:val="%1、"/>
      <w:lvlJc w:val="left"/>
    </w:lvl>
  </w:abstractNum>
  <w:num w:numId="1">
    <w:abstractNumId w:val="0"/>
  </w:num>
  <w:num w:numId="2">
    <w:abstractNumId w:val="5"/>
  </w:num>
  <w:num w:numId="3">
    <w:abstractNumId w:val="10"/>
  </w:num>
  <w:num w:numId="4">
    <w:abstractNumId w:val="9"/>
  </w:num>
  <w:num w:numId="5">
    <w:abstractNumId w:val="3"/>
  </w:num>
  <w:num w:numId="6">
    <w:abstractNumId w:val="6"/>
  </w:num>
  <w:num w:numId="7">
    <w:abstractNumId w:val="1"/>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A1"/>
    <w:rsid w:val="00017501"/>
    <w:rsid w:val="0003428F"/>
    <w:rsid w:val="00046CF2"/>
    <w:rsid w:val="000525A8"/>
    <w:rsid w:val="000578F0"/>
    <w:rsid w:val="00062FF6"/>
    <w:rsid w:val="000639CC"/>
    <w:rsid w:val="00081F2F"/>
    <w:rsid w:val="00083012"/>
    <w:rsid w:val="00085D77"/>
    <w:rsid w:val="00096EF2"/>
    <w:rsid w:val="00097E92"/>
    <w:rsid w:val="000A06BD"/>
    <w:rsid w:val="000A0D36"/>
    <w:rsid w:val="000A73A7"/>
    <w:rsid w:val="000B3B07"/>
    <w:rsid w:val="000B3BDB"/>
    <w:rsid w:val="000C25B9"/>
    <w:rsid w:val="000C513F"/>
    <w:rsid w:val="000D0161"/>
    <w:rsid w:val="000E02DD"/>
    <w:rsid w:val="000F1D27"/>
    <w:rsid w:val="000F5F55"/>
    <w:rsid w:val="000F77CE"/>
    <w:rsid w:val="00101C89"/>
    <w:rsid w:val="0011416B"/>
    <w:rsid w:val="00133E84"/>
    <w:rsid w:val="00151DA5"/>
    <w:rsid w:val="00161D7F"/>
    <w:rsid w:val="0017169F"/>
    <w:rsid w:val="00171D90"/>
    <w:rsid w:val="001A229C"/>
    <w:rsid w:val="001B609B"/>
    <w:rsid w:val="001B7A51"/>
    <w:rsid w:val="001B7FEA"/>
    <w:rsid w:val="001C277C"/>
    <w:rsid w:val="001C7B7A"/>
    <w:rsid w:val="001D27C5"/>
    <w:rsid w:val="001E1EFF"/>
    <w:rsid w:val="001E2C99"/>
    <w:rsid w:val="001E42D4"/>
    <w:rsid w:val="001E4A13"/>
    <w:rsid w:val="001F6950"/>
    <w:rsid w:val="00201A85"/>
    <w:rsid w:val="0020360E"/>
    <w:rsid w:val="0021009F"/>
    <w:rsid w:val="00212514"/>
    <w:rsid w:val="00213646"/>
    <w:rsid w:val="00226442"/>
    <w:rsid w:val="00232295"/>
    <w:rsid w:val="00235185"/>
    <w:rsid w:val="00240F1C"/>
    <w:rsid w:val="0024495F"/>
    <w:rsid w:val="00245FF5"/>
    <w:rsid w:val="00256723"/>
    <w:rsid w:val="00257170"/>
    <w:rsid w:val="00265850"/>
    <w:rsid w:val="0027181E"/>
    <w:rsid w:val="002737F7"/>
    <w:rsid w:val="00275630"/>
    <w:rsid w:val="00283852"/>
    <w:rsid w:val="00283B98"/>
    <w:rsid w:val="00284EF2"/>
    <w:rsid w:val="002A38BF"/>
    <w:rsid w:val="002A3D0B"/>
    <w:rsid w:val="002A5C8F"/>
    <w:rsid w:val="002C4C2D"/>
    <w:rsid w:val="002F3339"/>
    <w:rsid w:val="002F7867"/>
    <w:rsid w:val="0030296C"/>
    <w:rsid w:val="00303264"/>
    <w:rsid w:val="003205D0"/>
    <w:rsid w:val="00324408"/>
    <w:rsid w:val="00334459"/>
    <w:rsid w:val="00345281"/>
    <w:rsid w:val="0034629A"/>
    <w:rsid w:val="00352127"/>
    <w:rsid w:val="003544A8"/>
    <w:rsid w:val="003571FA"/>
    <w:rsid w:val="0037076E"/>
    <w:rsid w:val="00372DB4"/>
    <w:rsid w:val="003825ED"/>
    <w:rsid w:val="003907C7"/>
    <w:rsid w:val="003A359B"/>
    <w:rsid w:val="003C0E83"/>
    <w:rsid w:val="003C29D8"/>
    <w:rsid w:val="003E21EB"/>
    <w:rsid w:val="003E48EC"/>
    <w:rsid w:val="003E5112"/>
    <w:rsid w:val="003F6502"/>
    <w:rsid w:val="00402211"/>
    <w:rsid w:val="00404666"/>
    <w:rsid w:val="004050DE"/>
    <w:rsid w:val="00406244"/>
    <w:rsid w:val="004063CC"/>
    <w:rsid w:val="00410CC9"/>
    <w:rsid w:val="00416816"/>
    <w:rsid w:val="00420907"/>
    <w:rsid w:val="00427B00"/>
    <w:rsid w:val="00435FDE"/>
    <w:rsid w:val="00445073"/>
    <w:rsid w:val="00446149"/>
    <w:rsid w:val="00450F50"/>
    <w:rsid w:val="00456894"/>
    <w:rsid w:val="00464506"/>
    <w:rsid w:val="00465A0F"/>
    <w:rsid w:val="00470C14"/>
    <w:rsid w:val="00483528"/>
    <w:rsid w:val="004924B9"/>
    <w:rsid w:val="004B20C1"/>
    <w:rsid w:val="004B2BF1"/>
    <w:rsid w:val="004B4DFE"/>
    <w:rsid w:val="004B4EDE"/>
    <w:rsid w:val="004B64D5"/>
    <w:rsid w:val="004B7274"/>
    <w:rsid w:val="004C7602"/>
    <w:rsid w:val="004D4777"/>
    <w:rsid w:val="004D6DD1"/>
    <w:rsid w:val="004E2214"/>
    <w:rsid w:val="004E7410"/>
    <w:rsid w:val="004F0DAE"/>
    <w:rsid w:val="004F3D74"/>
    <w:rsid w:val="004F4304"/>
    <w:rsid w:val="005016B6"/>
    <w:rsid w:val="00502FE6"/>
    <w:rsid w:val="0053477A"/>
    <w:rsid w:val="00540282"/>
    <w:rsid w:val="00561DE5"/>
    <w:rsid w:val="005652F3"/>
    <w:rsid w:val="0057696E"/>
    <w:rsid w:val="00593D55"/>
    <w:rsid w:val="005A0C47"/>
    <w:rsid w:val="005A136F"/>
    <w:rsid w:val="005A270A"/>
    <w:rsid w:val="005A5995"/>
    <w:rsid w:val="005C217F"/>
    <w:rsid w:val="005C7961"/>
    <w:rsid w:val="005D175B"/>
    <w:rsid w:val="005D2E75"/>
    <w:rsid w:val="005F47A1"/>
    <w:rsid w:val="006420EB"/>
    <w:rsid w:val="0065153E"/>
    <w:rsid w:val="006553C3"/>
    <w:rsid w:val="006631F2"/>
    <w:rsid w:val="00667C94"/>
    <w:rsid w:val="00680656"/>
    <w:rsid w:val="006933BB"/>
    <w:rsid w:val="00694141"/>
    <w:rsid w:val="006A07CE"/>
    <w:rsid w:val="006A203E"/>
    <w:rsid w:val="006A7D4F"/>
    <w:rsid w:val="006B1770"/>
    <w:rsid w:val="006C316E"/>
    <w:rsid w:val="006D054D"/>
    <w:rsid w:val="006D1C0B"/>
    <w:rsid w:val="006D2224"/>
    <w:rsid w:val="006D3CA5"/>
    <w:rsid w:val="006D60A7"/>
    <w:rsid w:val="006E3BAC"/>
    <w:rsid w:val="00711114"/>
    <w:rsid w:val="00722534"/>
    <w:rsid w:val="00726BAF"/>
    <w:rsid w:val="00727091"/>
    <w:rsid w:val="00732C83"/>
    <w:rsid w:val="00732D02"/>
    <w:rsid w:val="00732F5A"/>
    <w:rsid w:val="0074554E"/>
    <w:rsid w:val="00753771"/>
    <w:rsid w:val="0075736B"/>
    <w:rsid w:val="00762FB1"/>
    <w:rsid w:val="007700BC"/>
    <w:rsid w:val="00776A4C"/>
    <w:rsid w:val="00780384"/>
    <w:rsid w:val="00783F96"/>
    <w:rsid w:val="007959FE"/>
    <w:rsid w:val="007A1521"/>
    <w:rsid w:val="007B0916"/>
    <w:rsid w:val="007B3A28"/>
    <w:rsid w:val="007C2BE7"/>
    <w:rsid w:val="007C2DAF"/>
    <w:rsid w:val="007C63B4"/>
    <w:rsid w:val="007D1DB9"/>
    <w:rsid w:val="007D5779"/>
    <w:rsid w:val="007E6687"/>
    <w:rsid w:val="007F6815"/>
    <w:rsid w:val="00802181"/>
    <w:rsid w:val="00803348"/>
    <w:rsid w:val="008126E8"/>
    <w:rsid w:val="00815F6B"/>
    <w:rsid w:val="00823CB6"/>
    <w:rsid w:val="0082671D"/>
    <w:rsid w:val="008276D4"/>
    <w:rsid w:val="0083025F"/>
    <w:rsid w:val="00834A4C"/>
    <w:rsid w:val="00841B6F"/>
    <w:rsid w:val="0084268D"/>
    <w:rsid w:val="008438B1"/>
    <w:rsid w:val="00847A7B"/>
    <w:rsid w:val="008730AF"/>
    <w:rsid w:val="00891A73"/>
    <w:rsid w:val="00896AAC"/>
    <w:rsid w:val="00896ED7"/>
    <w:rsid w:val="008A07C9"/>
    <w:rsid w:val="008A2425"/>
    <w:rsid w:val="008B50B1"/>
    <w:rsid w:val="008B64B1"/>
    <w:rsid w:val="008D0203"/>
    <w:rsid w:val="008D5054"/>
    <w:rsid w:val="008E2E1B"/>
    <w:rsid w:val="008E3A3F"/>
    <w:rsid w:val="008E4C74"/>
    <w:rsid w:val="008F00B5"/>
    <w:rsid w:val="00922D24"/>
    <w:rsid w:val="00925433"/>
    <w:rsid w:val="0094367E"/>
    <w:rsid w:val="00944C98"/>
    <w:rsid w:val="00947E5D"/>
    <w:rsid w:val="00953EB8"/>
    <w:rsid w:val="009540AC"/>
    <w:rsid w:val="0095494C"/>
    <w:rsid w:val="0097194D"/>
    <w:rsid w:val="00993428"/>
    <w:rsid w:val="00997FA4"/>
    <w:rsid w:val="009A34C8"/>
    <w:rsid w:val="009A4253"/>
    <w:rsid w:val="009B5D13"/>
    <w:rsid w:val="009B5FF2"/>
    <w:rsid w:val="009C0FBD"/>
    <w:rsid w:val="009C70D5"/>
    <w:rsid w:val="009D09F8"/>
    <w:rsid w:val="009E3CB5"/>
    <w:rsid w:val="009E3DD9"/>
    <w:rsid w:val="009E70F8"/>
    <w:rsid w:val="00A0460A"/>
    <w:rsid w:val="00A06146"/>
    <w:rsid w:val="00A13AE0"/>
    <w:rsid w:val="00A17AF7"/>
    <w:rsid w:val="00A226F1"/>
    <w:rsid w:val="00A2436A"/>
    <w:rsid w:val="00A31EA5"/>
    <w:rsid w:val="00A36582"/>
    <w:rsid w:val="00A4131C"/>
    <w:rsid w:val="00A55501"/>
    <w:rsid w:val="00A70E37"/>
    <w:rsid w:val="00A7139A"/>
    <w:rsid w:val="00A72250"/>
    <w:rsid w:val="00A740EF"/>
    <w:rsid w:val="00AA45C0"/>
    <w:rsid w:val="00AA4849"/>
    <w:rsid w:val="00AB7CC0"/>
    <w:rsid w:val="00AC2000"/>
    <w:rsid w:val="00AC38B5"/>
    <w:rsid w:val="00AD6DFF"/>
    <w:rsid w:val="00AE09FD"/>
    <w:rsid w:val="00AF6695"/>
    <w:rsid w:val="00B023E9"/>
    <w:rsid w:val="00B22D42"/>
    <w:rsid w:val="00B23A18"/>
    <w:rsid w:val="00B54D89"/>
    <w:rsid w:val="00B614D5"/>
    <w:rsid w:val="00B673B7"/>
    <w:rsid w:val="00B82A70"/>
    <w:rsid w:val="00BA00A1"/>
    <w:rsid w:val="00BA513E"/>
    <w:rsid w:val="00BC0DDA"/>
    <w:rsid w:val="00BC185E"/>
    <w:rsid w:val="00BD0FCD"/>
    <w:rsid w:val="00BF40AC"/>
    <w:rsid w:val="00BF6070"/>
    <w:rsid w:val="00C218B3"/>
    <w:rsid w:val="00C24C5F"/>
    <w:rsid w:val="00C33EEE"/>
    <w:rsid w:val="00C46826"/>
    <w:rsid w:val="00C46EC2"/>
    <w:rsid w:val="00C563CD"/>
    <w:rsid w:val="00C628B9"/>
    <w:rsid w:val="00C6345B"/>
    <w:rsid w:val="00C64B74"/>
    <w:rsid w:val="00C67EFC"/>
    <w:rsid w:val="00C70729"/>
    <w:rsid w:val="00C84869"/>
    <w:rsid w:val="00C8633E"/>
    <w:rsid w:val="00C87D94"/>
    <w:rsid w:val="00C961E6"/>
    <w:rsid w:val="00CA2759"/>
    <w:rsid w:val="00CB3B2C"/>
    <w:rsid w:val="00CC512B"/>
    <w:rsid w:val="00CD7C3E"/>
    <w:rsid w:val="00CE7CEF"/>
    <w:rsid w:val="00CF0B30"/>
    <w:rsid w:val="00CF6B98"/>
    <w:rsid w:val="00D10684"/>
    <w:rsid w:val="00D122D5"/>
    <w:rsid w:val="00D13518"/>
    <w:rsid w:val="00D23E0A"/>
    <w:rsid w:val="00D30EF5"/>
    <w:rsid w:val="00D329B2"/>
    <w:rsid w:val="00D4018D"/>
    <w:rsid w:val="00D50940"/>
    <w:rsid w:val="00D517B4"/>
    <w:rsid w:val="00D52F8C"/>
    <w:rsid w:val="00D6280B"/>
    <w:rsid w:val="00D62E23"/>
    <w:rsid w:val="00D649C6"/>
    <w:rsid w:val="00D65B0D"/>
    <w:rsid w:val="00D84FAD"/>
    <w:rsid w:val="00D858AE"/>
    <w:rsid w:val="00D907C4"/>
    <w:rsid w:val="00D921C3"/>
    <w:rsid w:val="00D9500B"/>
    <w:rsid w:val="00DC5FA9"/>
    <w:rsid w:val="00DD03C7"/>
    <w:rsid w:val="00DE0BCC"/>
    <w:rsid w:val="00DE31D5"/>
    <w:rsid w:val="00DE5212"/>
    <w:rsid w:val="00DE5F0D"/>
    <w:rsid w:val="00E0346E"/>
    <w:rsid w:val="00E05CFE"/>
    <w:rsid w:val="00E11E3C"/>
    <w:rsid w:val="00E138ED"/>
    <w:rsid w:val="00E204CF"/>
    <w:rsid w:val="00E225AA"/>
    <w:rsid w:val="00E27DEF"/>
    <w:rsid w:val="00E3328C"/>
    <w:rsid w:val="00E6034A"/>
    <w:rsid w:val="00E653B4"/>
    <w:rsid w:val="00E655C5"/>
    <w:rsid w:val="00E762EC"/>
    <w:rsid w:val="00E8068F"/>
    <w:rsid w:val="00E81F1B"/>
    <w:rsid w:val="00E87F36"/>
    <w:rsid w:val="00E921D4"/>
    <w:rsid w:val="00E94B80"/>
    <w:rsid w:val="00E969B7"/>
    <w:rsid w:val="00EA7F2D"/>
    <w:rsid w:val="00EB253B"/>
    <w:rsid w:val="00EB7B64"/>
    <w:rsid w:val="00EC6CB4"/>
    <w:rsid w:val="00ED24F5"/>
    <w:rsid w:val="00ED3114"/>
    <w:rsid w:val="00EE2F07"/>
    <w:rsid w:val="00EE70E8"/>
    <w:rsid w:val="00F03073"/>
    <w:rsid w:val="00F06384"/>
    <w:rsid w:val="00F149A9"/>
    <w:rsid w:val="00F170AF"/>
    <w:rsid w:val="00F177E3"/>
    <w:rsid w:val="00F2323E"/>
    <w:rsid w:val="00F33383"/>
    <w:rsid w:val="00F42340"/>
    <w:rsid w:val="00F56AC6"/>
    <w:rsid w:val="00F83BAF"/>
    <w:rsid w:val="00F85662"/>
    <w:rsid w:val="00F86330"/>
    <w:rsid w:val="00F92E6A"/>
    <w:rsid w:val="00F943A5"/>
    <w:rsid w:val="00FA3B21"/>
    <w:rsid w:val="00FA5DC4"/>
    <w:rsid w:val="00FA601C"/>
    <w:rsid w:val="00FA64FC"/>
    <w:rsid w:val="00FB1564"/>
    <w:rsid w:val="00FB7342"/>
    <w:rsid w:val="00FC2DFB"/>
    <w:rsid w:val="00FC3FB3"/>
    <w:rsid w:val="00FE160F"/>
    <w:rsid w:val="010C3F49"/>
    <w:rsid w:val="022A68D4"/>
    <w:rsid w:val="242557A9"/>
    <w:rsid w:val="293B24B4"/>
    <w:rsid w:val="37403544"/>
    <w:rsid w:val="3ECE2FE8"/>
    <w:rsid w:val="43630F84"/>
    <w:rsid w:val="44A25615"/>
    <w:rsid w:val="536F2B46"/>
    <w:rsid w:val="5602190D"/>
    <w:rsid w:val="57A51E26"/>
    <w:rsid w:val="66736571"/>
    <w:rsid w:val="67984AC2"/>
    <w:rsid w:val="68757D5D"/>
    <w:rsid w:val="6DE809C9"/>
    <w:rsid w:val="6DFE24E7"/>
    <w:rsid w:val="6F6B5EF8"/>
    <w:rsid w:val="709755E3"/>
    <w:rsid w:val="767A0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6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8"/>
    <w:unhideWhenUsed/>
    <w:qFormat/>
    <w:uiPriority w:val="99"/>
    <w:pPr>
      <w:spacing w:after="120"/>
    </w:pPr>
  </w:style>
  <w:style w:type="paragraph" w:styleId="4">
    <w:name w:val="Body Text 2"/>
    <w:basedOn w:val="1"/>
    <w:qFormat/>
    <w:uiPriority w:val="0"/>
    <w:pPr>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0"/>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1"/>
    <w:qFormat/>
    <w:uiPriority w:val="0"/>
    <w:rPr>
      <w:rFonts w:eastAsia="宋体"/>
      <w:sz w:val="24"/>
    </w:rPr>
  </w:style>
  <w:style w:type="paragraph" w:styleId="18">
    <w:name w:val="Date"/>
    <w:basedOn w:val="1"/>
    <w:next w:val="1"/>
    <w:link w:val="42"/>
    <w:unhideWhenUsed/>
    <w:qFormat/>
    <w:uiPriority w:val="99"/>
    <w:pPr>
      <w:ind w:left="100" w:leftChars="2500"/>
    </w:pPr>
  </w:style>
  <w:style w:type="paragraph" w:styleId="19">
    <w:name w:val="Body Text Indent 2"/>
    <w:basedOn w:val="1"/>
    <w:link w:val="43"/>
    <w:semiHidden/>
    <w:unhideWhenUsed/>
    <w:qFormat/>
    <w:uiPriority w:val="99"/>
    <w:pPr>
      <w:spacing w:line="440" w:lineRule="exact"/>
      <w:ind w:firstLine="560" w:firstLineChars="200"/>
    </w:pPr>
    <w:rPr>
      <w:rFonts w:ascii="仿宋_GB2312" w:eastAsia="仿宋_GB2312"/>
      <w:sz w:val="28"/>
    </w:rPr>
  </w:style>
  <w:style w:type="paragraph" w:styleId="20">
    <w:name w:val="Balloon Text"/>
    <w:basedOn w:val="1"/>
    <w:link w:val="44"/>
    <w:semiHidden/>
    <w:unhideWhenUsed/>
    <w:qFormat/>
    <w:uiPriority w:val="99"/>
    <w:rPr>
      <w:sz w:val="18"/>
      <w:szCs w:val="18"/>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2">
    <w:name w:val="Emphasis"/>
    <w:basedOn w:val="28"/>
    <w:qFormat/>
    <w:uiPriority w:val="20"/>
  </w:style>
  <w:style w:type="character" w:styleId="33">
    <w:name w:val="Hyperlink"/>
    <w:basedOn w:val="28"/>
    <w:unhideWhenUsed/>
    <w:qFormat/>
    <w:uiPriority w:val="99"/>
    <w:rPr>
      <w:color w:val="000000"/>
      <w:u w:val="none"/>
    </w:rPr>
  </w:style>
  <w:style w:type="character" w:customStyle="1" w:styleId="34">
    <w:name w:val="标题 1 Char"/>
    <w:basedOn w:val="28"/>
    <w:link w:val="8"/>
    <w:qFormat/>
    <w:uiPriority w:val="9"/>
    <w:rPr>
      <w:rFonts w:ascii="Calibri" w:hAnsi="Calibri" w:eastAsia="宋体" w:cs="Times New Roman"/>
      <w:b/>
      <w:bCs/>
      <w:kern w:val="44"/>
      <w:sz w:val="44"/>
      <w:szCs w:val="44"/>
    </w:rPr>
  </w:style>
  <w:style w:type="character" w:customStyle="1" w:styleId="35">
    <w:name w:val="标题 2 Char"/>
    <w:basedOn w:val="28"/>
    <w:qFormat/>
    <w:uiPriority w:val="0"/>
    <w:rPr>
      <w:rFonts w:asciiTheme="majorHAnsi" w:hAnsiTheme="majorHAnsi" w:eastAsiaTheme="majorEastAsia" w:cstheme="majorBidi"/>
      <w:b/>
      <w:bCs/>
      <w:sz w:val="32"/>
      <w:szCs w:val="32"/>
    </w:rPr>
  </w:style>
  <w:style w:type="character" w:customStyle="1" w:styleId="36">
    <w:name w:val="标题 3 Char"/>
    <w:basedOn w:val="28"/>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11"/>
    <w:qFormat/>
    <w:uiPriority w:val="0"/>
    <w:rPr>
      <w:rFonts w:ascii="Arial" w:hAnsi="Arial" w:eastAsia="黑体" w:cs="Times New Roman"/>
      <w:b/>
      <w:bCs/>
      <w:kern w:val="0"/>
      <w:sz w:val="28"/>
      <w:szCs w:val="28"/>
    </w:rPr>
  </w:style>
  <w:style w:type="character" w:customStyle="1" w:styleId="38">
    <w:name w:val="正文文本 Char"/>
    <w:basedOn w:val="28"/>
    <w:link w:val="3"/>
    <w:qFormat/>
    <w:uiPriority w:val="99"/>
  </w:style>
  <w:style w:type="character" w:customStyle="1" w:styleId="39">
    <w:name w:val="正文首行缩进 Char"/>
    <w:basedOn w:val="38"/>
    <w:link w:val="2"/>
    <w:qFormat/>
    <w:uiPriority w:val="0"/>
    <w:rPr>
      <w:rFonts w:ascii="宋体" w:hAnsi="Times New Roman" w:eastAsia="宋体" w:cs="Times New Roman"/>
      <w:kern w:val="0"/>
      <w:sz w:val="34"/>
      <w:szCs w:val="20"/>
    </w:rPr>
  </w:style>
  <w:style w:type="character" w:customStyle="1" w:styleId="40">
    <w:name w:val="正文文本 3 Char"/>
    <w:basedOn w:val="28"/>
    <w:link w:val="14"/>
    <w:qFormat/>
    <w:uiPriority w:val="0"/>
    <w:rPr>
      <w:rFonts w:ascii="Times New Roman" w:hAnsi="Times New Roman" w:eastAsia="宋体" w:cs="Times New Roman"/>
      <w:color w:val="FF0000"/>
      <w:sz w:val="24"/>
      <w:szCs w:val="24"/>
    </w:rPr>
  </w:style>
  <w:style w:type="character" w:customStyle="1" w:styleId="41">
    <w:name w:val="纯文本 Char"/>
    <w:basedOn w:val="28"/>
    <w:link w:val="17"/>
    <w:qFormat/>
    <w:uiPriority w:val="0"/>
    <w:rPr>
      <w:rFonts w:eastAsia="宋体"/>
      <w:sz w:val="24"/>
    </w:rPr>
  </w:style>
  <w:style w:type="character" w:customStyle="1" w:styleId="42">
    <w:name w:val="日期 Char"/>
    <w:basedOn w:val="28"/>
    <w:link w:val="18"/>
    <w:qFormat/>
    <w:uiPriority w:val="99"/>
  </w:style>
  <w:style w:type="character" w:customStyle="1" w:styleId="43">
    <w:name w:val="正文文本缩进 2 Char"/>
    <w:basedOn w:val="28"/>
    <w:link w:val="19"/>
    <w:semiHidden/>
    <w:qFormat/>
    <w:uiPriority w:val="99"/>
    <w:rPr>
      <w:rFonts w:ascii="仿宋_GB2312" w:eastAsia="仿宋_GB2312"/>
      <w:sz w:val="28"/>
    </w:rPr>
  </w:style>
  <w:style w:type="character" w:customStyle="1" w:styleId="44">
    <w:name w:val="批注框文本 Char"/>
    <w:basedOn w:val="28"/>
    <w:link w:val="20"/>
    <w:semiHidden/>
    <w:qFormat/>
    <w:uiPriority w:val="99"/>
    <w:rPr>
      <w:sz w:val="18"/>
      <w:szCs w:val="18"/>
    </w:rPr>
  </w:style>
  <w:style w:type="character" w:customStyle="1" w:styleId="45">
    <w:name w:val="页脚 Char"/>
    <w:basedOn w:val="28"/>
    <w:link w:val="21"/>
    <w:qFormat/>
    <w:uiPriority w:val="99"/>
    <w:rPr>
      <w:sz w:val="18"/>
      <w:szCs w:val="18"/>
    </w:rPr>
  </w:style>
  <w:style w:type="character" w:customStyle="1" w:styleId="46">
    <w:name w:val="页眉 Char"/>
    <w:basedOn w:val="28"/>
    <w:link w:val="22"/>
    <w:qFormat/>
    <w:uiPriority w:val="99"/>
    <w:rPr>
      <w:sz w:val="18"/>
      <w:szCs w:val="18"/>
    </w:rPr>
  </w:style>
  <w:style w:type="character" w:customStyle="1" w:styleId="47">
    <w:name w:val="HTML 预设格式 Char"/>
    <w:basedOn w:val="28"/>
    <w:link w:val="24"/>
    <w:semiHidden/>
    <w:qFormat/>
    <w:uiPriority w:val="99"/>
    <w:rPr>
      <w:rFonts w:ascii="宋体" w:hAnsi="宋体" w:eastAsia="宋体" w:cs="宋体"/>
      <w:kern w:val="0"/>
      <w:sz w:val="24"/>
      <w:szCs w:val="24"/>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0">
    <w:name w:val="列出段落1"/>
    <w:basedOn w:val="1"/>
    <w:qFormat/>
    <w:uiPriority w:val="34"/>
    <w:pPr>
      <w:ind w:firstLine="420" w:firstLineChars="200"/>
    </w:p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8"/>
    <w:qFormat/>
    <w:uiPriority w:val="0"/>
  </w:style>
  <w:style w:type="paragraph" w:customStyle="1" w:styleId="60">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标题 2 Char1"/>
    <w:basedOn w:val="28"/>
    <w:link w:val="9"/>
    <w:qFormat/>
    <w:uiPriority w:val="0"/>
    <w:rPr>
      <w:rFonts w:ascii="Arial" w:hAnsi="Arial" w:eastAsia="黑体" w:cs="Times New Roman"/>
      <w:b/>
      <w:bCs/>
      <w:kern w:val="0"/>
      <w:sz w:val="32"/>
      <w:szCs w:val="32"/>
    </w:rPr>
  </w:style>
  <w:style w:type="character" w:customStyle="1" w:styleId="63">
    <w:name w:val="hover25"/>
    <w:basedOn w:val="28"/>
    <w:qFormat/>
    <w:uiPriority w:val="0"/>
  </w:style>
  <w:style w:type="character" w:customStyle="1" w:styleId="64">
    <w:name w:val="green"/>
    <w:basedOn w:val="28"/>
    <w:qFormat/>
    <w:uiPriority w:val="0"/>
    <w:rPr>
      <w:color w:val="66AE00"/>
      <w:sz w:val="18"/>
      <w:szCs w:val="18"/>
    </w:rPr>
  </w:style>
  <w:style w:type="character" w:customStyle="1" w:styleId="65">
    <w:name w:val="green1"/>
    <w:basedOn w:val="28"/>
    <w:qFormat/>
    <w:uiPriority w:val="0"/>
    <w:rPr>
      <w:color w:val="66AE00"/>
      <w:sz w:val="18"/>
      <w:szCs w:val="18"/>
    </w:rPr>
  </w:style>
  <w:style w:type="character" w:customStyle="1" w:styleId="66">
    <w:name w:val="red"/>
    <w:basedOn w:val="28"/>
    <w:qFormat/>
    <w:uiPriority w:val="0"/>
    <w:rPr>
      <w:color w:val="FF0000"/>
      <w:sz w:val="18"/>
      <w:szCs w:val="18"/>
    </w:rPr>
  </w:style>
  <w:style w:type="character" w:customStyle="1" w:styleId="67">
    <w:name w:val="red1"/>
    <w:basedOn w:val="28"/>
    <w:qFormat/>
    <w:uiPriority w:val="0"/>
    <w:rPr>
      <w:color w:val="FF0000"/>
      <w:sz w:val="18"/>
      <w:szCs w:val="18"/>
    </w:rPr>
  </w:style>
  <w:style w:type="character" w:customStyle="1" w:styleId="68">
    <w:name w:val="red2"/>
    <w:basedOn w:val="28"/>
    <w:qFormat/>
    <w:uiPriority w:val="0"/>
    <w:rPr>
      <w:color w:val="FF0000"/>
    </w:rPr>
  </w:style>
  <w:style w:type="character" w:customStyle="1" w:styleId="69">
    <w:name w:val="blue"/>
    <w:basedOn w:val="28"/>
    <w:qFormat/>
    <w:uiPriority w:val="0"/>
    <w:rPr>
      <w:color w:val="0371C6"/>
      <w:sz w:val="21"/>
      <w:szCs w:val="21"/>
    </w:rPr>
  </w:style>
  <w:style w:type="character" w:customStyle="1" w:styleId="70">
    <w:name w:val="right"/>
    <w:basedOn w:val="28"/>
    <w:qFormat/>
    <w:uiPriority w:val="0"/>
    <w:rPr>
      <w:color w:val="999999"/>
      <w:sz w:val="18"/>
      <w:szCs w:val="18"/>
    </w:rPr>
  </w:style>
  <w:style w:type="character" w:customStyle="1" w:styleId="71">
    <w:name w:val="gb-jt"/>
    <w:basedOn w:val="28"/>
    <w:qFormat/>
    <w:uiPriority w:val="0"/>
  </w:style>
  <w:style w:type="paragraph" w:customStyle="1" w:styleId="72">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3">
    <w:name w:val="样式 标题 3 + (中文) 黑体 小四 非加粗 段前: 7.8 磅 段后: 0 磅 行距: 固定值 20 磅"/>
    <w:basedOn w:val="10"/>
    <w:qFormat/>
    <w:uiPriority w:val="0"/>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7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5">
    <w:name w:val="No Spacing"/>
    <w:link w:val="76"/>
    <w:qFormat/>
    <w:uiPriority w:val="1"/>
    <w:rPr>
      <w:rFonts w:asciiTheme="minorHAnsi" w:hAnsiTheme="minorHAnsi" w:eastAsiaTheme="minorEastAsia" w:cstheme="minorBidi"/>
      <w:sz w:val="22"/>
      <w:szCs w:val="22"/>
      <w:lang w:val="en-US" w:eastAsia="zh-CN" w:bidi="ar-SA"/>
    </w:rPr>
  </w:style>
  <w:style w:type="character" w:customStyle="1" w:styleId="76">
    <w:name w:val="无间隔 Char"/>
    <w:basedOn w:val="28"/>
    <w:link w:val="75"/>
    <w:uiPriority w:val="1"/>
    <w:rPr>
      <w:sz w:val="22"/>
      <w:szCs w:val="22"/>
    </w:rPr>
  </w:style>
  <w:style w:type="character" w:customStyle="1" w:styleId="77">
    <w:name w:val="red3"/>
    <w:basedOn w:val="28"/>
    <w:qFormat/>
    <w:uiPriority w:val="0"/>
    <w:rPr>
      <w:color w:val="FF0000"/>
    </w:rPr>
  </w:style>
  <w:style w:type="character" w:customStyle="1" w:styleId="78">
    <w:name w:val="hover24"/>
    <w:basedOn w:val="28"/>
    <w:uiPriority w:val="0"/>
  </w:style>
  <w:style w:type="paragraph" w:customStyle="1" w:styleId="79">
    <w:name w:val="UserStyle_0"/>
    <w:next w:val="1"/>
    <w:qFormat/>
    <w:uiPriority w:val="0"/>
    <w:pPr>
      <w:ind w:firstLine="200" w:firstLineChars="200"/>
      <w:jc w:val="both"/>
    </w:pPr>
    <w:rPr>
      <w:rFonts w:ascii="宋体" w:hAnsi="Times New Roman" w:eastAsia="宋体" w:cs="Times New Roman"/>
      <w:sz w:val="21"/>
      <w:szCs w:val="22"/>
      <w:lang w:val="en-US" w:eastAsia="zh-CN" w:bidi="ar-SA"/>
    </w:rPr>
  </w:style>
  <w:style w:type="paragraph" w:customStyle="1" w:styleId="80">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36CAC-6F44-46DA-B8A4-3292802385B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5320</Words>
  <Characters>30325</Characters>
  <Lines>252</Lines>
  <Paragraphs>71</Paragraphs>
  <TotalTime>1</TotalTime>
  <ScaleCrop>false</ScaleCrop>
  <LinksUpToDate>false</LinksUpToDate>
  <CharactersWithSpaces>35574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2019-08-13T07:43:00Z</dcterms:created>
  <dc:creator>中科华水工程管理有限公司:张倩</dc:creator>
  <cp:lastModifiedBy>河南远大建设工程管理有限公司:赵江鹏</cp:lastModifiedBy>
  <cp:lastPrinted>2020-04-01T09:06:00Z</cp:lastPrinted>
  <dcterms:modified xsi:type="dcterms:W3CDTF">2020-04-07T02:21:59Z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