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市机关公务用车服务中心“通勤班车租赁服务</w:t>
      </w:r>
      <w:r>
        <w:rPr>
          <w:rFonts w:hint="eastAsia" w:asciiTheme="majorEastAsia" w:hAnsiTheme="majorEastAsia" w:eastAsiaTheme="majorEastAsia" w:cstheme="majorEastAsia"/>
          <w:b/>
          <w:bCs/>
          <w:color w:val="000000"/>
          <w:sz w:val="44"/>
          <w:szCs w:val="44"/>
          <w:lang w:val="en-US" w:eastAsia="zh-CN"/>
        </w:rPr>
        <w:t>(不见面开标)</w:t>
      </w:r>
      <w:r>
        <w:rPr>
          <w:rFonts w:hint="eastAsia" w:asciiTheme="majorEastAsia" w:hAnsiTheme="majorEastAsia" w:eastAsiaTheme="majorEastAsia" w:cstheme="majorEastAsia"/>
          <w:b/>
          <w:bCs/>
          <w:color w:val="000000"/>
          <w:sz w:val="44"/>
          <w:szCs w:val="44"/>
          <w:lang w:eastAsia="zh-CN"/>
        </w:rPr>
        <w:t>”项</w:t>
      </w:r>
      <w:r>
        <w:rPr>
          <w:rFonts w:hint="eastAsia" w:asciiTheme="majorEastAsia" w:hAnsiTheme="majorEastAsia" w:eastAsiaTheme="majorEastAsia" w:cstheme="majorEastAsia"/>
          <w:b/>
          <w:bCs/>
          <w:color w:val="000000"/>
          <w:sz w:val="44"/>
          <w:szCs w:val="44"/>
        </w:rPr>
        <w:t>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10"/>
          <w:szCs w:val="110"/>
        </w:rPr>
      </w:pPr>
      <w:r>
        <w:rPr>
          <w:rFonts w:hint="eastAsia" w:asciiTheme="majorEastAsia" w:hAnsiTheme="majorEastAsia" w:eastAsiaTheme="majorEastAsia" w:cstheme="majorEastAsia"/>
          <w:bCs/>
          <w:color w:val="000000"/>
          <w:w w:val="90"/>
          <w:sz w:val="110"/>
          <w:szCs w:val="110"/>
        </w:rPr>
        <w:t>竞争性磋商文件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r>
        <w:rPr>
          <w:rFonts w:hint="eastAsia" w:asciiTheme="majorEastAsia" w:hAnsiTheme="majorEastAsia" w:eastAsiaTheme="majorEastAsia" w:cstheme="majorEastAsia"/>
          <w:b/>
          <w:bCs/>
          <w:color w:val="000000"/>
          <w:sz w:val="36"/>
          <w:szCs w:val="36"/>
        </w:rPr>
        <w:t>项目编号：ZFCG-C2020</w:t>
      </w:r>
      <w:r>
        <w:rPr>
          <w:rFonts w:hint="eastAsia" w:asciiTheme="majorEastAsia" w:hAnsiTheme="majorEastAsia" w:eastAsiaTheme="majorEastAsia" w:cstheme="majorEastAsia"/>
          <w:b/>
          <w:bCs/>
          <w:color w:val="000000"/>
          <w:sz w:val="36"/>
          <w:szCs w:val="36"/>
          <w:lang w:val="en-US" w:eastAsia="zh-CN"/>
        </w:rPr>
        <w:t>002</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市机关公务用车服务中心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集中采购机构：许昌市政府采购服务中心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五、响应文件开启和磋商</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六、成交和授予合同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评审程序及评审标准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napToGrid w:val="0"/>
        <w:spacing w:line="400" w:lineRule="exact"/>
        <w:ind w:firstLine="420" w:firstLineChars="200"/>
        <w:rPr>
          <w:rFonts w:cs="仿宋_GB2312" w:asciiTheme="minorEastAsia" w:hAnsiTheme="minorEastAsia"/>
          <w:color w:val="000000"/>
          <w:szCs w:val="21"/>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市政府采购服务中心(以下简称</w:t>
      </w:r>
      <w:r>
        <w:rPr>
          <w:rFonts w:hint="eastAsia" w:cs="仿宋_GB2312" w:asciiTheme="minorEastAsia" w:hAnsiTheme="minorEastAsia" w:eastAsiaTheme="minorEastAsia"/>
          <w:color w:val="000000"/>
          <w:sz w:val="21"/>
          <w:szCs w:val="21"/>
          <w:shd w:val="clear" w:color="auto" w:fill="FFFFFF"/>
        </w:rPr>
        <w:t>采购中心) 受许昌</w:t>
      </w:r>
      <w:r>
        <w:rPr>
          <w:rFonts w:hint="eastAsia" w:cs="仿宋_GB2312" w:asciiTheme="minorEastAsia" w:hAnsiTheme="minorEastAsia" w:eastAsiaTheme="minorEastAsia"/>
          <w:color w:val="000000"/>
          <w:sz w:val="21"/>
          <w:szCs w:val="21"/>
          <w:shd w:val="clear" w:color="auto" w:fill="FFFFFF"/>
          <w:lang w:eastAsia="zh-CN"/>
        </w:rPr>
        <w:t>市机关公务用车服务中心</w:t>
      </w:r>
      <w:r>
        <w:rPr>
          <w:rFonts w:hint="eastAsia" w:cs="仿宋_GB2312" w:asciiTheme="minorEastAsia" w:hAnsiTheme="minorEastAsia" w:eastAsiaTheme="minorEastAsia"/>
          <w:color w:val="000000"/>
          <w:sz w:val="21"/>
          <w:szCs w:val="21"/>
          <w:shd w:val="clear" w:color="auto" w:fill="FFFFFF"/>
        </w:rPr>
        <w:t>的委托，对通勤班车租赁服务</w:t>
      </w:r>
      <w:r>
        <w:rPr>
          <w:rFonts w:hint="eastAsia" w:cs="仿宋_GB2312" w:asciiTheme="minorEastAsia" w:hAnsiTheme="minorEastAsia" w:eastAsiaTheme="minorEastAsia"/>
          <w:color w:val="000000"/>
          <w:sz w:val="21"/>
          <w:szCs w:val="21"/>
          <w:shd w:val="clear" w:color="auto" w:fill="FFFFFF"/>
          <w:lang w:val="en-US" w:eastAsia="zh-CN"/>
        </w:rPr>
        <w:t>(不见面开标)</w:t>
      </w:r>
      <w:r>
        <w:rPr>
          <w:rFonts w:hint="eastAsia" w:cs="仿宋_GB2312" w:asciiTheme="minorEastAsia" w:hAnsiTheme="minorEastAsia" w:eastAsiaTheme="minorEastAsia"/>
          <w:color w:val="000000"/>
          <w:sz w:val="21"/>
          <w:szCs w:val="21"/>
          <w:shd w:val="clear" w:color="auto" w:fill="FFFFFF"/>
        </w:rPr>
        <w:t>项目进行竞争性磋商采购。现邀请符合本磋商文件规定</w:t>
      </w:r>
      <w:r>
        <w:rPr>
          <w:rFonts w:hint="eastAsia" w:ascii="宋体" w:hAnsi="宋体" w:cs="仿宋_GB2312"/>
          <w:color w:val="000000"/>
          <w:sz w:val="21"/>
          <w:szCs w:val="21"/>
          <w:shd w:val="clear" w:color="auto" w:fill="FFFFFF"/>
        </w:rPr>
        <w:t>条件的</w:t>
      </w:r>
      <w:r>
        <w:rPr>
          <w:rFonts w:hint="eastAsia" w:cs="仿宋_GB2312" w:asciiTheme="minorEastAsia" w:hAnsiTheme="minorEastAsia" w:eastAsiaTheme="minorEastAsia"/>
          <w:color w:val="000000"/>
          <w:sz w:val="21"/>
          <w:szCs w:val="21"/>
          <w:shd w:val="clear" w:color="auto" w:fill="FFFFFF"/>
        </w:rPr>
        <w:t>供应商</w:t>
      </w:r>
      <w:r>
        <w:rPr>
          <w:rFonts w:hint="eastAsia" w:ascii="宋体" w:hAnsi="宋体" w:cs="仿宋_GB2312"/>
          <w:color w:val="000000"/>
          <w:sz w:val="21"/>
          <w:szCs w:val="21"/>
          <w:shd w:val="clear" w:color="auto" w:fill="FFFFFF"/>
        </w:rPr>
        <w:t>前来磋商。</w:t>
      </w:r>
    </w:p>
    <w:p>
      <w:pPr>
        <w:pStyle w:val="20"/>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（一）项目名称：通勤班车租赁服务</w:t>
      </w:r>
      <w:r>
        <w:rPr>
          <w:rFonts w:hint="eastAsia" w:cs="仿宋_GB2312" w:asciiTheme="minorEastAsia" w:hAnsiTheme="minorEastAsia" w:eastAsiaTheme="minorEastAsia"/>
          <w:color w:val="000000"/>
          <w:sz w:val="21"/>
          <w:szCs w:val="21"/>
          <w:shd w:val="clear" w:color="auto" w:fill="FFFFFF"/>
          <w:lang w:val="en-US" w:eastAsia="zh-CN"/>
        </w:rPr>
        <w:t>(不见面开标)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（二）项目编号：ZFCG-C2020</w:t>
      </w:r>
      <w:r>
        <w:rPr>
          <w:rFonts w:hint="eastAsia" w:cs="仿宋_GB2312" w:asciiTheme="minorEastAsia" w:hAnsiTheme="minorEastAsia" w:eastAsiaTheme="minorEastAsia"/>
          <w:color w:val="000000"/>
          <w:sz w:val="21"/>
          <w:szCs w:val="21"/>
          <w:shd w:val="clear" w:color="auto" w:fill="FFFFFF"/>
          <w:lang w:val="en-US" w:eastAsia="zh-CN"/>
        </w:rPr>
        <w:t>002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（三）采购方式：竞争性磋商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通勤车租赁服务，租赁新能源通勤车20座及以上4台，35座及以上2台。保障市委市政府办公区、市人大政协办公区、综合楼办公区、创业服务中心办公区工作人员正常上下班，保障市民之家等市直单位（朝九晚五）上下班需求。免费提供市直单位前往县市区学习参观等客车服务。</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（五）预算金额：每年639511元，两年共1279022元。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2年</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（七）交付（服务、完工）地点：许昌市创业服务中心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四、磋商文件的获取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磋商响应截止时间前均可登录《全国公共资源交易平台（河南省·许昌市）》“投标人/供应商登录”入口（http://221.14.6.70:8088/ggzy/）自行免费下载竞争性磋商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及磋商响应截止时间、磋商时间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磋商响应截止时间：2020年</w:t>
      </w:r>
      <w:r>
        <w:rPr>
          <w:rFonts w:hint="eastAsia" w:cs="仿宋_GB2312" w:asciiTheme="minorEastAsia" w:hAnsiTheme="minorEastAsia" w:eastAsiaTheme="minorEastAsia"/>
          <w:color w:val="000000"/>
          <w:sz w:val="21"/>
          <w:szCs w:val="21"/>
          <w:lang w:val="en-US" w:eastAsia="zh-CN"/>
        </w:rPr>
        <w:t>4</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14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（二）响应文件开启（解密）时间：</w:t>
      </w:r>
      <w:r>
        <w:rPr>
          <w:rFonts w:hint="eastAsia" w:cs="仿宋_GB2312" w:asciiTheme="minorEastAsia" w:hAnsiTheme="minorEastAsia" w:eastAsiaTheme="minorEastAsia"/>
          <w:color w:val="000000"/>
          <w:sz w:val="21"/>
          <w:szCs w:val="21"/>
          <w:shd w:val="clear" w:color="auto" w:fill="FFFFFF"/>
        </w:rPr>
        <w:t>同</w:t>
      </w:r>
      <w:r>
        <w:rPr>
          <w:rFonts w:hint="eastAsia" w:cs="仿宋_GB2312" w:asciiTheme="minorEastAsia" w:hAnsiTheme="minorEastAsia" w:eastAsiaTheme="minorEastAsia"/>
          <w:color w:val="000000"/>
          <w:sz w:val="21"/>
          <w:szCs w:val="21"/>
        </w:rPr>
        <w:t>响应文件提交截止时间</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六、磋商响应文件开启</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000000"/>
          <w:sz w:val="21"/>
          <w:szCs w:val="21"/>
        </w:rPr>
        <w:t>（一）磋商响应文件开启地点：许昌市公共资源交易中</w:t>
      </w:r>
      <w:r>
        <w:rPr>
          <w:rFonts w:hint="eastAsia" w:cs="仿宋_GB2312" w:asciiTheme="minorEastAsia" w:hAnsiTheme="minorEastAsia" w:eastAsiaTheme="minorEastAsia"/>
          <w:color w:val="auto"/>
          <w:sz w:val="21"/>
          <w:szCs w:val="21"/>
        </w:rPr>
        <w:t>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本项目采用远程不见面磋商，供应商无须到达磋商现场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auto"/>
          <w:sz w:val="21"/>
          <w:szCs w:val="21"/>
        </w:rPr>
        <w:t>（二） 本项目为全流程电子化交易项目，供应商须提</w:t>
      </w:r>
      <w:r>
        <w:rPr>
          <w:rFonts w:hint="eastAsia" w:cs="仿宋_GB2312" w:asciiTheme="minorEastAsia" w:hAnsiTheme="minorEastAsia" w:eastAsiaTheme="minorEastAsia"/>
          <w:color w:val="000000"/>
          <w:sz w:val="21"/>
          <w:szCs w:val="21"/>
        </w:rPr>
        <w:t>交电子响应文件。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在响应文件提交截止时间（磋商响应截止时间）前通过《全国公共资源交易平台(河南省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2、磋商响应截止时间前，供应商</w:t>
      </w:r>
      <w:r>
        <w:rPr>
          <w:rFonts w:hint="eastAsia" w:cs="仿宋_GB2312" w:asciiTheme="minorEastAsia" w:hAnsiTheme="minorEastAsia" w:eastAsiaTheme="minorEastAsia"/>
          <w:color w:val="000000"/>
          <w:sz w:val="21"/>
          <w:szCs w:val="21"/>
          <w:shd w:val="clear" w:color="auto" w:fill="FFFFFF"/>
        </w:rPr>
        <w:t>应</w:t>
      </w:r>
      <w:r>
        <w:rPr>
          <w:rFonts w:hint="eastAsia" w:cs="仿宋_GB2312" w:asciiTheme="minorEastAsia" w:hAnsiTheme="minorEastAsia" w:eastAsiaTheme="minorEastAsia"/>
          <w:color w:val="000000"/>
          <w:sz w:val="21"/>
          <w:szCs w:val="21"/>
        </w:rPr>
        <w:t>按照磋商响应截止时间准时参加线上响应文件开启，在系统规定时间内对电子响应文件进行远程解密，未在规定时间内解密或因供应商原因解密失败的，其响应文件将被拒绝。</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3、不见面开标大厅登录：供应商</w:t>
      </w:r>
      <w:r>
        <w:rPr>
          <w:rFonts w:hint="eastAsia" w:cs="仿宋_GB2312" w:asciiTheme="minorEastAsia" w:hAnsiTheme="minorEastAsia" w:eastAsiaTheme="minor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rPr>
        <w:t>许昌市机关公务用车服务中心</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地址：许昌市创业服务中心AD连廊</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联系人：聂聪巍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联系电话：18103748971</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本项目为全流程电子化交易项目，请认真阅读竞争性磋商文件，并注意以下事项。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供应商应按竞争性磋商文件规定编制、提交、解密电子响应文件。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电子文件下载、制作、提交期间和远程不见面磋商（</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最新版本”，按竞争性磋商文件要求制作电子响应文件。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供应商须将竞争性磋商文件要求的资质、业绩、荣誉及相关人员证明材料等资料原件扫描件（或图片）制作到所提交的电子响应文件中。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供应商对同一项目多个标段进行响应的，应分别下载所投标段的竞争性磋商文件，按标段制作电子响应文件，并</w:t>
      </w:r>
      <w:r>
        <w:rPr>
          <w:rFonts w:hAnsi="宋体"/>
          <w:color w:val="000000"/>
          <w:szCs w:val="21"/>
        </w:rPr>
        <w:t>按</w:t>
      </w:r>
      <w:r>
        <w:rPr>
          <w:rFonts w:hint="eastAsia" w:hAnsi="宋体"/>
          <w:color w:val="000000"/>
          <w:szCs w:val="21"/>
        </w:rPr>
        <w:t>竞争性磋商</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电子响应文件应按规定在磋商响应截止时间（磋商时间）之前成功提交至《全国公共资源交易平台(河南省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5.远程不见面磋商（</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磋商响应截止时间前供应商应登录本项目不见面开标大厅，按照竞争性磋商文件确定的磋商时间准时参加线上响应文件开启。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6.1全流程电子化交易（不见面磋商）项目，磋商小组以成功上传、解密的电子响应文件为依据评审。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磋商期间，供应商应保持通讯手机畅通，并根据磋商小组要求在规定时间内提供：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wordWrap w:val="0"/>
        <w:autoSpaceDE w:val="0"/>
        <w:autoSpaceDN w:val="0"/>
        <w:adjustRightInd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①磋商小组要求供应商提交最后报价时，</w:t>
      </w:r>
      <w:r>
        <w:rPr>
          <w:rFonts w:hint="eastAsia" w:ascii="楷体" w:hAnsi="楷体" w:eastAsia="楷体" w:cs="仿宋_GB2312"/>
          <w:sz w:val="24"/>
          <w:szCs w:val="24"/>
          <w:lang w:val="zh-CN"/>
        </w:rPr>
        <w:t>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tabs>
          <w:tab w:val="left" w:pos="7095"/>
        </w:tabs>
        <w:spacing w:line="360" w:lineRule="auto"/>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（2）磋商小组如要求供应商提供“澄清、说明或者更正”；“按照磋商文件的变动情况和磋商小组的要求重新提交响应文件”；“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项目概述</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保障市委市政府办公区、市人大政协办公区、综合楼办公区、创业服务中心办公区工作人员上下班需求（部分市直单位朝九晚五工作制）。</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二、采购清单（项目需求及目标要求）</w:t>
      </w:r>
    </w:p>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1、租赁新能源通勤20座及以上车4台，保障市委市政府办公区、市人大政协办公区、综合楼办公区、创业服务中心办公区工作人员上下班，每天每台车4个往返；租赁35座车2台，保障市民之家等市直单位（朝九晚五）上下班，每天每台车2个往返。</w:t>
      </w:r>
    </w:p>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2、服务期限2年，服务期间发生的司机工资、车辆保险、充电费、燃料费、交通事故处置费、车辆折旧维修等所有费用，由成交人自行处理与承担，采购人除按合同约定支付班车服务费外不承担与此相关的其它任何费用。免费提供市直单位前往县市区学习参观等客车服务。</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本采购清单中所列技术规格或主要参数为最低要求，不允许负偏离，否则将承担其磋商响应被视为非实质性响应的风险。</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三、服务标准、期限、效率等要求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驾驶人员要文明礼貌服务，严格遵守国家交通法规，保持车内卫生整洁，确保行车安全，使乘坐人员安全准时到达目的地。</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、所响应产品必须符合国家质量检测标准和本竞争性磋商文件规定标准的全新正品现货。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en-US" w:eastAsia="zh-CN"/>
        </w:rPr>
        <w:t>3</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2、按照竞争性磋商文件要求、磋商响应文件和承诺验收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1279022</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超出预算金额的磋商响应无效。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2、支付时间及条件：一年分4次付款，每季度付一次。</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ind w:firstLine="482" w:firstLineChars="150"/>
        <w:jc w:val="left"/>
        <w:rPr>
          <w:rFonts w:cs="宋体" w:asciiTheme="majorEastAsia" w:hAnsiTheme="majorEastAsia" w:eastAsiaTheme="majorEastAsia"/>
          <w:b/>
          <w:kern w:val="0"/>
          <w:sz w:val="32"/>
          <w:szCs w:val="32"/>
        </w:rPr>
      </w:pPr>
    </w:p>
    <w:p>
      <w:pPr>
        <w:autoSpaceDE w:val="0"/>
        <w:autoSpaceDN w:val="0"/>
        <w:adjustRightInd w:val="0"/>
        <w:ind w:firstLine="315" w:firstLineChars="150"/>
        <w:jc w:val="left"/>
        <w:rPr>
          <w:rFonts w:cs="宋体" w:asciiTheme="majorEastAsia" w:hAnsiTheme="majorEastAsia" w:eastAsiaTheme="majorEastAsia"/>
          <w:b/>
          <w:kern w:val="0"/>
          <w:sz w:val="32"/>
          <w:szCs w:val="32"/>
        </w:rPr>
      </w:pPr>
      <w:r>
        <w:rPr>
          <w:rFonts w:hint="eastAsia" w:cs="微软雅黑"/>
          <w:color w:val="FF0000"/>
          <w:szCs w:val="21"/>
        </w:rPr>
        <w:t>磋商文件中所有带</w:t>
      </w:r>
      <w:r>
        <w:rPr>
          <w:rFonts w:hint="eastAsia" w:cs="微软雅黑" w:asciiTheme="minorEastAsia" w:hAnsiTheme="minorEastAsia"/>
          <w:b/>
          <w:color w:val="FF0000"/>
          <w:szCs w:val="21"/>
        </w:rPr>
        <w:t>★</w:t>
      </w:r>
      <w:r>
        <w:rPr>
          <w:rFonts w:hint="eastAsia" w:cs="微软雅黑"/>
          <w:color w:val="FF0000"/>
          <w:szCs w:val="21"/>
        </w:rPr>
        <w:t>条款均为实质性响应条款，响应文件须完全响应，未实质响应的，按照无效报价处理。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项目名称：通勤班车租赁服务</w:t>
            </w:r>
            <w:r>
              <w:rPr>
                <w:rFonts w:hint="eastAsia" w:cs="仿宋_GB2312" w:asciiTheme="minorEastAsia" w:hAnsiTheme="minorEastAsia"/>
                <w:szCs w:val="21"/>
                <w:lang w:val="en-US" w:eastAsia="zh-CN"/>
              </w:rPr>
              <w:t>(不见面开标)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项目编号：ZFCG-C2020</w:t>
            </w:r>
            <w:r>
              <w:rPr>
                <w:rFonts w:hint="eastAsia" w:cs="仿宋_GB2312" w:asciiTheme="minorEastAsia" w:hAnsiTheme="minorEastAsia"/>
                <w:szCs w:val="21"/>
                <w:lang w:val="en-US" w:eastAsia="zh-CN"/>
              </w:rPr>
              <w:t>002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通勤车租赁服务，租赁新能源通勤车20座及以上4台，35座及以上2台。保障市委市政府办公区、市人大政协办公区、综合楼办公区、创业服务中心办公区工作人员正常上下班，保障市民之家等市直单位（朝九晚五）上下班需求。免费提供市直单位前往县市区学习参观等客车服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项目地址：许昌市创业服务中心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名称：许昌市机关公务用车服务中心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地址：许昌市创业服务中心AD连廊</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联系人：聂聪巍                    电话：18103748971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1279022</w:t>
            </w:r>
            <w:r>
              <w:rPr>
                <w:rFonts w:hint="eastAsia" w:cs="宋体" w:asciiTheme="minorEastAsia" w:hAnsiTheme="minorEastAsia"/>
                <w:bCs/>
                <w:szCs w:val="21"/>
                <w:lang w:val="zh-CN"/>
              </w:rPr>
              <w:t>元，超出预算金额的磋商响应无效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响应文件提交截止及</w:t>
            </w:r>
            <w:r>
              <w:rPr>
                <w:rFonts w:hint="eastAsia" w:cs="宋体" w:asciiTheme="minorEastAsia" w:hAnsiTheme="minorEastAsia"/>
                <w:bCs/>
                <w:szCs w:val="21"/>
                <w:lang w:val="zh-CN"/>
              </w:rPr>
              <w:t>磋商响应截止</w:t>
            </w:r>
            <w:r>
              <w:rPr>
                <w:rFonts w:hint="eastAsia" w:cs="仿宋_GB2312" w:asciiTheme="minorEastAsia" w:hAnsiTheme="minorEastAsia"/>
                <w:color w:val="000000"/>
                <w:szCs w:val="21"/>
                <w:shd w:val="clear" w:color="auto" w:fill="FFFFFF"/>
              </w:rPr>
              <w:t>时间</w:t>
            </w:r>
            <w:r>
              <w:rPr>
                <w:rFonts w:hint="eastAsia" w:cs="宋体" w:asciiTheme="minorEastAsia" w:hAnsiTheme="minorEastAsia"/>
                <w:bCs/>
                <w:szCs w:val="21"/>
                <w:lang w:val="zh-CN"/>
              </w:rPr>
              <w:t>、磋商时间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响应文件提交及</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开启地点、磋商地点</w:t>
            </w:r>
          </w:p>
        </w:tc>
        <w:tc>
          <w:tcPr>
            <w:tcW w:w="6813" w:type="dxa"/>
            <w:vAlign w:val="center"/>
          </w:tcPr>
          <w:p>
            <w:pPr>
              <w:pStyle w:val="20"/>
              <w:widowControl/>
              <w:shd w:val="clear" w:color="auto" w:fill="FFFFFF"/>
              <w:spacing w:line="360" w:lineRule="auto"/>
              <w:contextualSpacing/>
              <w:jc w:val="left"/>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rPr>
              <w:t>磋商响应文件开启地点：许昌市公共资源交易</w:t>
            </w:r>
            <w:r>
              <w:rPr>
                <w:rFonts w:hint="eastAsia" w:cs="仿宋_GB2312" w:asciiTheme="minorEastAsia" w:hAnsiTheme="minorEastAsia" w:eastAsiaTheme="minorEastAsia"/>
                <w:color w:val="auto"/>
                <w:sz w:val="21"/>
                <w:szCs w:val="21"/>
              </w:rPr>
              <w:t>中心三楼开标</w:t>
            </w:r>
            <w:r>
              <w:rPr>
                <w:rFonts w:hint="eastAsia" w:cs="仿宋_GB2312" w:asciiTheme="minorEastAsia" w:hAnsiTheme="minorEastAsia" w:eastAsiaTheme="minorEastAsia"/>
                <w:color w:val="auto"/>
                <w:sz w:val="21"/>
                <w:szCs w:val="21"/>
                <w:lang w:eastAsia="zh-CN"/>
              </w:rPr>
              <w:t>三</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本项目采用远程不见面磋商，供应商无须到达磋商现场</w:t>
            </w:r>
            <w:r>
              <w:rPr>
                <w:rFonts w:hint="eastAsia" w:cs="Arial" w:asciiTheme="minorEastAsia" w:hAnsiTheme="minorEastAsia"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磋商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r>
              <w:rPr>
                <w:rFonts w:hint="eastAsia" w:cs="仿宋_GB2312" w:asciiTheme="minorEastAsia" w:hAnsiTheme="minorEastAsia"/>
                <w:szCs w:val="21"/>
                <w:lang w:val="zh-CN"/>
              </w:rPr>
              <w:t>□</w:t>
            </w:r>
            <w:r>
              <w:rPr>
                <w:rFonts w:hint="eastAsia" w:ascii="新宋体" w:hAnsi="新宋体" w:eastAsia="新宋体"/>
                <w:szCs w:val="21"/>
              </w:rPr>
              <w:t>纸质响应文件：响应文件封面加盖供应商公章。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许昌市公共资源交易中心五楼电子监督室，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供应商响应时须提供加密电子响应文件。供应商资质、业绩、荣誉及相关人员证明材料等资料原件不再提供（本磋商文件第六章另有要求提供原件的除外）。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①磋商小组要求供应商提交最后报价时，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②磋商文件第二章“采购需求”中“采购清单”以工程量清单提供的，供应商应以工程量清单方式提交最后报价。</w:t>
            </w:r>
          </w:p>
          <w:p>
            <w:pPr>
              <w:autoSpaceDE w:val="0"/>
              <w:autoSpaceDN w:val="0"/>
              <w:adjustRightInd w:val="0"/>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③请供应商根据项目情况，可提前准备分项报价。</w:t>
            </w:r>
          </w:p>
          <w:p>
            <w:pPr>
              <w:autoSpaceDE w:val="0"/>
              <w:autoSpaceDN w:val="0"/>
              <w:adjustRightInd w:val="0"/>
              <w:spacing w:line="360" w:lineRule="auto"/>
              <w:contextualSpacing/>
              <w:rPr>
                <w:rFonts w:ascii="楷体" w:hAnsi="楷体" w:eastAsia="楷体"/>
                <w:color w:val="000000"/>
                <w:sz w:val="24"/>
                <w:szCs w:val="24"/>
              </w:rPr>
            </w:pPr>
            <w:r>
              <w:rPr>
                <w:rFonts w:hint="eastAsia" w:ascii="楷体" w:hAnsi="楷体" w:eastAsia="楷体" w:cs="楷体"/>
                <w:color w:val="000000"/>
                <w:sz w:val="24"/>
                <w:szCs w:val="24"/>
              </w:rPr>
              <w:t>④</w:t>
            </w:r>
            <w:r>
              <w:rPr>
                <w:rFonts w:hint="eastAsia" w:ascii="楷体" w:hAnsi="楷体" w:eastAsia="楷体"/>
                <w:color w:val="000000"/>
                <w:sz w:val="24"/>
                <w:szCs w:val="24"/>
              </w:rPr>
              <w:t>最后报价应加盖公章，或者由法定代表人或其授权的代表签字。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w:t>
            </w:r>
            <w:r>
              <w:rPr>
                <w:rFonts w:hint="eastAsia" w:ascii="ˎ̥" w:hAnsi="ˎ̥"/>
                <w:lang w:eastAsia="zh-CN"/>
              </w:rPr>
              <w:t>供应商</w:t>
            </w:r>
            <w:r>
              <w:rPr>
                <w:rFonts w:hint="eastAsia" w:ascii="ˎ̥" w:hAnsi="ˎ̥"/>
              </w:rPr>
              <w:t>电子</w:t>
            </w:r>
            <w:r>
              <w:rPr>
                <w:rFonts w:hint="eastAsia" w:ascii="ˎ̥" w:hAnsi="ˎ̥"/>
                <w:lang w:eastAsia="zh-CN"/>
              </w:rPr>
              <w:t>响应</w:t>
            </w:r>
            <w:r>
              <w:rPr>
                <w:rFonts w:hint="eastAsia" w:ascii="ˎ̥" w:hAnsi="ˎ̥"/>
              </w:rPr>
              <w:t>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w:t>
            </w:r>
            <w:r>
              <w:rPr>
                <w:rFonts w:hint="eastAsia" w:ascii="ˎ̥" w:hAnsi="ˎ̥"/>
                <w:lang w:eastAsia="zh-CN"/>
              </w:rPr>
              <w:t>响应</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w:t>
            </w:r>
            <w:r>
              <w:rPr>
                <w:rFonts w:hint="eastAsia" w:ascii="ˎ̥" w:hAnsi="ˎ̥"/>
                <w:lang w:eastAsia="zh-CN"/>
              </w:rPr>
              <w:t>响应</w:t>
            </w:r>
            <w:r>
              <w:rPr>
                <w:rFonts w:hint="eastAsia" w:ascii="ˎ̥" w:hAnsi="ˎ̥"/>
              </w:rPr>
              <w:t>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w:t>
            </w:r>
            <w:r>
              <w:rPr>
                <w:rFonts w:hint="eastAsia" w:ascii="ˎ̥" w:hAnsi="ˎ̥"/>
                <w:lang w:eastAsia="zh-CN"/>
              </w:rPr>
              <w:t>供应商</w:t>
            </w:r>
            <w:r>
              <w:rPr>
                <w:rFonts w:hint="eastAsia" w:ascii="ˎ̥" w:hAnsi="ˎ̥"/>
              </w:rPr>
              <w:t>电子</w:t>
            </w:r>
            <w:r>
              <w:rPr>
                <w:rFonts w:hint="eastAsia" w:ascii="ˎ̥" w:hAnsi="ˎ̥"/>
                <w:lang w:eastAsia="zh-CN"/>
              </w:rPr>
              <w:t>响应</w:t>
            </w:r>
            <w:r>
              <w:rPr>
                <w:rFonts w:hint="eastAsia" w:ascii="ˎ̥" w:hAnsi="ˎ̥"/>
              </w:rPr>
              <w:t>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 xml:space="preserve"> 和“供应商须知前附表”中所述采购项目的采购。</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“供应商”系指从采购人、集中采购机构处按规定获取磋商文件，并按照磋商文件向采购人、集中采购机构提交响应文件的供应商。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804" w:hanging="1804"/>
        <w:contextualSpacing/>
        <w:rPr>
          <w:rFonts w:cs="宋体" w:asciiTheme="minorEastAsia" w:hAnsiTheme="minorEastAsia"/>
          <w:kern w:val="0"/>
          <w:szCs w:val="21"/>
        </w:rPr>
      </w:pPr>
      <w:r>
        <w:rPr>
          <w:rFonts w:hint="eastAsia" w:cs="宋体" w:asciiTheme="minorEastAsia" w:hAnsiTheme="minorEastAsia"/>
          <w:kern w:val="0"/>
          <w:szCs w:val="21"/>
        </w:rPr>
        <w:t>2.8.1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93" w:hanging="993"/>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37"/>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3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5"/>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37"/>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截止时间：同响应截止时间。</w:t>
      </w:r>
    </w:p>
    <w:p>
      <w:pPr>
        <w:pStyle w:val="37"/>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信用信息的使用原则：经采购人认定的被列入失信被执行人、重大税收违法案件当事人名单、政府采购严重违法失信行为记录名单、严重违法失信社会组织名单的响应人，将拒绝其参与本次政府采购活动。</w:t>
      </w:r>
    </w:p>
    <w:p>
      <w:pPr>
        <w:pStyle w:val="37"/>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供应商不良信用记录以采购人查询结果</w:t>
      </w:r>
    </w:p>
    <w:p>
      <w:pPr>
        <w:pStyle w:val="37"/>
        <w:autoSpaceDE w:val="0"/>
        <w:autoSpaceDN w:val="0"/>
        <w:spacing w:line="360" w:lineRule="auto"/>
        <w:ind w:left="955" w:leftChars="45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为准，采购人查询之后，网站信息发生的任何变更不再作为评审依据，供应商自行提供的与网站信息不一致的其他证明材料亦不作为评审依据。</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单位负责人为同一人或者存在直接控股、管理关系的不同供应商，不得同时参加本项目磋商。违反规定的，相关响应均无效。</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7"/>
        <w:numPr>
          <w:ilvl w:val="0"/>
          <w:numId w:val="13"/>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37"/>
        <w:numPr>
          <w:ilvl w:val="0"/>
          <w:numId w:val="14"/>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7"/>
        <w:numPr>
          <w:ilvl w:val="0"/>
          <w:numId w:val="1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采购人根据采购项目的特殊要求规定供应商特定条件的，联合体各方中至少应当有一方符合采购规定的特定条件。</w:t>
      </w:r>
    </w:p>
    <w:p>
      <w:pPr>
        <w:pStyle w:val="37"/>
        <w:numPr>
          <w:ilvl w:val="0"/>
          <w:numId w:val="1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7"/>
        <w:numPr>
          <w:ilvl w:val="0"/>
          <w:numId w:val="17"/>
        </w:numPr>
        <w:autoSpaceDE w:val="0"/>
        <w:autoSpaceDN w:val="0"/>
        <w:spacing w:line="360" w:lineRule="auto"/>
        <w:ind w:hanging="1411"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合格的服务</w:t>
      </w:r>
    </w:p>
    <w:p>
      <w:pPr>
        <w:pStyle w:val="37"/>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集中采购机构提供磋商文件免费下载或获取，且不收取成交服务费</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本“供应商须知”的条款如与“采购邀请”、“采购需求”、“供应商须知前附表”和“竞争性磋商程序及评审方法”就同一内容的表述不一致的，以“采购邀请”、“ 采购需求”、“供应商须知前附表”和“竞争性磋商程序及评审方法”中规定的内容为准。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37"/>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pStyle w:val="37"/>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采购邀请（竞争性磋商公告）</w:t>
      </w:r>
    </w:p>
    <w:p>
      <w:pPr>
        <w:pStyle w:val="37"/>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采购需求</w:t>
      </w:r>
    </w:p>
    <w:p>
      <w:pPr>
        <w:pStyle w:val="37"/>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w:t>
      </w:r>
    </w:p>
    <w:p>
      <w:pPr>
        <w:pStyle w:val="37"/>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w:t>
      </w:r>
    </w:p>
    <w:p>
      <w:pPr>
        <w:pStyle w:val="37"/>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政府采购政策功能</w:t>
      </w:r>
    </w:p>
    <w:p>
      <w:pPr>
        <w:pStyle w:val="37"/>
        <w:numPr>
          <w:ilvl w:val="0"/>
          <w:numId w:val="2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评审程序和评审标准</w:t>
      </w:r>
    </w:p>
    <w:p>
      <w:pPr>
        <w:pStyle w:val="37"/>
        <w:numPr>
          <w:ilvl w:val="0"/>
          <w:numId w:val="2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合同书格式及合同条款</w:t>
      </w:r>
    </w:p>
    <w:p>
      <w:pPr>
        <w:pStyle w:val="37"/>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响应文件有关格式</w:t>
      </w:r>
    </w:p>
    <w:p>
      <w:pPr>
        <w:pStyle w:val="37"/>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本项目磋商文件的澄清、答复、修改、补充内容（如有的话）</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37"/>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集中采购机构不承担任何责任。</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集中采购机构不对供应商据此作出的判断和决策负责。</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37"/>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w:t>
      </w:r>
      <w:r>
        <w:rPr>
          <w:rFonts w:hint="eastAsia" w:cs="仿宋_GB2312" w:asciiTheme="minorEastAsia" w:hAnsiTheme="minorEastAsia"/>
          <w:color w:val="000000"/>
          <w:szCs w:val="21"/>
        </w:rPr>
        <w:t>磋商响应截止时间</w:t>
      </w:r>
      <w:r>
        <w:rPr>
          <w:rFonts w:hint="eastAsia" w:cs="宋体" w:asciiTheme="minorEastAsia" w:hAnsiTheme="minorEastAsia"/>
          <w:kern w:val="0"/>
          <w:szCs w:val="21"/>
        </w:rPr>
        <w:t>前，无论出于何种原因，采购人可主动地或在解答供应商提出的澄清问题时对磋商文件进行修改。</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本次磋商项目的投标均以人民币为计算单位。</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经通知参加磋商的供应商，在磋商结束后还有一次最终报价的机会。</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响应有效期内供应商撤销响应文件的，供应商将承担违背投标承诺函的责任追究。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最新版本”，按磋商文件要求根据所投标段制作电子响应文件。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磋商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供应商应按磋商文件提供的格式编写响应文件。磋商文件未提供标准格式的供应商可自行拟定。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响应文件的数量和签署盖章</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响应截止时间</w:t>
      </w:r>
    </w:p>
    <w:p>
      <w:pPr>
        <w:pStyle w:val="37"/>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可以按本须知第14条规定，通过修改磋商文件自行决定酌情延长投标截止期。在此情况下，采购人和供应商受投标截止期制约的所有权利和义务均应延长至新的截止日期和时间。供应商按采购人修改通知规定的时间提交响应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响应截止时间之后上传的响应文件，采购人将拒绝接收。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37"/>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供应商在响应截止时间前，对响应文件进行补充、修改或者撤回的，须书面通知采购人。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供应商应当在响应截止时间前完成电子响应文件的提交，可以补充、修改或撤回。响应截止时间前未完成电子响应文件提交的，视为撤回响应文件。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供应商补充、修改的内容并作为响应文件的组成部分。补充或修改应当按响应文件要求签署、盖章、提交，并应注明“修改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供应商在提交响应文件后，可以撤回其投标，但供应商必须在规定的响应截止时间前以书面形式告知采购人。</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37"/>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采购人将按磋商文件规定的时间和地点开启响应文件。由代理机构主持，供应商无须到现场。</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响应文件开启时，由代理机构开通远程不见面开标大厅及开启“文字互动”等功能；供应商、代理机构进行电子响应文件的解密。解密后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投标人名称、修改和撤回投标的通知（如有的话）和磋商文件规定的需要宣布的其他内容。</w:t>
      </w:r>
    </w:p>
    <w:p>
      <w:pPr>
        <w:pStyle w:val="3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w:t>
      </w:r>
    </w:p>
    <w:p>
      <w:pPr>
        <w:pStyle w:val="37"/>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全流程电子化交易项目电子响应文件采用双重加密。解密需分标段进行两次解密。</w:t>
      </w:r>
    </w:p>
    <w:p>
      <w:pPr>
        <w:pStyle w:val="3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供应商解密：供应商使用本单位CA数字证书远程进行解密。</w:t>
      </w:r>
    </w:p>
    <w:p>
      <w:pPr>
        <w:pStyle w:val="3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供应商不足3家的，不得开启响应文件。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开启响应文件过程由采购代理机构负责记录。</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代表对开启响应文件过程和记录有疑义，以及认为采购人、采购代理机构相关工作人员有需要回避的情形的，应当场提出询问或者回避申请。采购人、采购代理机构对供应商代表提出的询问或者回避申请应当及时处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远程</w:t>
      </w:r>
      <w:r>
        <w:rPr>
          <w:rFonts w:hint="eastAsia" w:hAnsi="宋体"/>
          <w:color w:val="000000"/>
          <w:szCs w:val="21"/>
        </w:rPr>
        <w:t>不见面开启响应文件活动结束时，供应商应在《开标记录表》上进行电子签章。供应商未签章的，视同认可开启结果。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磋商小组的组成</w:t>
      </w:r>
    </w:p>
    <w:p>
      <w:pPr>
        <w:pStyle w:val="37"/>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w:t>
      </w:r>
      <w:r>
        <w:rPr>
          <w:rFonts w:ascii="Arial" w:hAnsi="Arial" w:cs="Arial"/>
          <w:color w:val="333333"/>
          <w:szCs w:val="21"/>
          <w:shd w:val="clear" w:color="auto" w:fill="FFFFFF"/>
        </w:rPr>
        <w:t>采购人代表和评审专家共3人以上单数组成，其中评审专家人数不得少于磋商小组成员总数的2/3。</w:t>
      </w:r>
      <w:r>
        <w:rPr>
          <w:rFonts w:hint="eastAsia" w:cs="宋体" w:asciiTheme="minorEastAsia" w:hAnsiTheme="minorEastAsia"/>
          <w:kern w:val="0"/>
          <w:szCs w:val="21"/>
        </w:rPr>
        <w:t>评审专家依法从政府采购评审专家库中随机抽取。</w:t>
      </w:r>
      <w:r>
        <w:rPr>
          <w:rFonts w:ascii="Arial" w:hAnsi="Arial" w:cs="Arial"/>
          <w:color w:val="333333"/>
          <w:szCs w:val="21"/>
          <w:shd w:val="clear" w:color="auto" w:fill="FFFFFF"/>
        </w:rPr>
        <w:t>技术复杂、专业性强的采购项目，评审专家中应当包含1名法律专家。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采购人代表不得以评审专家身份参加本部门或本单位采购项目的评审。采购代理机构人员不得参加本机构代理的采购项目的评审。</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评审专家与供应商存在下列利害关系之一的,应当回避: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初审</w:t>
      </w:r>
    </w:p>
    <w:p>
      <w:pPr>
        <w:pStyle w:val="37"/>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响应文件初审。初审包括资格审查和符合性审查。</w:t>
      </w:r>
    </w:p>
    <w:p>
      <w:pPr>
        <w:pStyle w:val="3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磋商小组依据有关法律法规和磋商文件的规定，对供应商资格进行审查。</w:t>
      </w:r>
      <w:r>
        <w:rPr>
          <w:rFonts w:hint="eastAsia" w:ascii="宋体" w:hAnsi="宋体" w:cs="微软雅黑"/>
          <w:szCs w:val="21"/>
        </w:rPr>
        <w:t>以确定供应商是否具备磋商资格。</w:t>
      </w:r>
    </w:p>
    <w:p>
      <w:pPr>
        <w:pStyle w:val="3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磋商小组对通过资格审查的响应文件进行审查，以确定其是否满足磋商文件的实质性要求。</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审查、评价响应文件是否符合磋商文件的商务、技术等实质性要求。</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3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3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响应文件中开标一览表(报价表)内容与响应文件中相应内容不一致的，以开标一览表(报价表)为准；</w:t>
      </w:r>
    </w:p>
    <w:p>
      <w:pPr>
        <w:pStyle w:val="37"/>
        <w:numPr>
          <w:ilvl w:val="1"/>
          <w:numId w:val="6"/>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ascii="Arial" w:hAnsi="Arial" w:cs="Arial"/>
          <w:color w:val="333333"/>
          <w:szCs w:val="21"/>
          <w:shd w:val="clear" w:color="auto" w:fill="FFFFFF"/>
        </w:rPr>
        <w:t>大写金额和小写金额不一致的，以大写金额为准；</w:t>
      </w:r>
    </w:p>
    <w:p>
      <w:pPr>
        <w:pStyle w:val="37"/>
        <w:numPr>
          <w:ilvl w:val="1"/>
          <w:numId w:val="6"/>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单价金额小数点或者百分比有明显错位的，以开标一览表的总价为准，并修改单价；</w:t>
      </w:r>
    </w:p>
    <w:p>
      <w:pPr>
        <w:pStyle w:val="37"/>
        <w:numPr>
          <w:ilvl w:val="1"/>
          <w:numId w:val="6"/>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3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（1）未按照磋商文件的规定提交磋商承诺函的；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响应文件未按磋商文件要求签署、盖章的；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不具备磋商文件中规定的资格要求的；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报价超过磋商文件中规定的预算金额或者最高限价的；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不同供应商的响应文件由同一单位或者个人编制；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不同供应商委托同一单位或者个人办理投标事宜；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不同供应商的响应文件载明的项目管理成员或者联系人员为同一人；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不同供应商的响应文件异常一致或者投标报价呈规律性差异；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不同供应商的响应文件相互混装；</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遵循公平竞争的原则，不得恶意串通，不得妨碍其他供应商的竞争行为，不得损害采购人或者其他供应商的合法权益。在评审过程中发现投标人有上述情形的，磋商小组应当认定其响应无效，并书面报告本级财政部门。</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磋商</w:t>
      </w:r>
      <w:r>
        <w:rPr>
          <w:rFonts w:cs="宋体" w:asciiTheme="minorEastAsia" w:hAnsiTheme="minorEastAsia"/>
          <w:kern w:val="0"/>
          <w:szCs w:val="21"/>
        </w:rPr>
        <w:t>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37"/>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磋商小组与通过响应文件初审，即实质性响应磋商文件的供应商分别进行磋商</w:t>
      </w:r>
      <w:r>
        <w:rPr>
          <w:rFonts w:cs="宋体" w:asciiTheme="minorEastAsia" w:hAnsiTheme="minorEastAsia"/>
          <w:kern w:val="0"/>
          <w:szCs w:val="21"/>
        </w:rPr>
        <w:t>。</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磋商小组根据项目情况可进行一轮或多轮磋商。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37"/>
        <w:numPr>
          <w:ilvl w:val="1"/>
          <w:numId w:val="6"/>
        </w:numPr>
        <w:autoSpaceDE w:val="0"/>
        <w:autoSpaceDN w:val="0"/>
        <w:spacing w:line="360" w:lineRule="auto"/>
        <w:ind w:hanging="964" w:firstLineChars="0"/>
        <w:contextualSpacing/>
        <w:rPr>
          <w:rFonts w:ascii="Arial" w:hAnsi="Arial" w:cs="Arial"/>
          <w:color w:val="333333"/>
          <w:szCs w:val="21"/>
          <w:shd w:val="clear" w:color="auto" w:fill="FFFFFF"/>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37"/>
        <w:autoSpaceDE w:val="0"/>
        <w:autoSpaceDN w:val="0"/>
        <w:spacing w:line="360" w:lineRule="auto"/>
        <w:ind w:left="420" w:firstLine="0" w:firstLineChars="0"/>
        <w:contextualSpacing/>
        <w:rPr>
          <w:rFonts w:cs="宋体" w:asciiTheme="minorEastAsia" w:hAnsiTheme="minorEastAsia"/>
          <w:b/>
          <w:kern w:val="0"/>
          <w:szCs w:val="21"/>
        </w:rPr>
      </w:pPr>
    </w:p>
    <w:p>
      <w:pPr>
        <w:pStyle w:val="3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综合评分法</w:t>
      </w:r>
    </w:p>
    <w:p>
      <w:pPr>
        <w:pStyle w:val="3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经磋商确定最终采购需求和提交最后报价的供应商后，由磋商小组采用综合评分法对提交最后报价的供应商的响应文件和最后报价进行综合评分。</w:t>
      </w:r>
    </w:p>
    <w:p>
      <w:pPr>
        <w:pStyle w:val="37"/>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37"/>
        <w:numPr>
          <w:ilvl w:val="1"/>
          <w:numId w:val="6"/>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综合评分法，是指响应文件满足磋商文件全部实质性要求且按评审因素的量化指标评审得分最高的供应商为成交候选供应商的评审方法。</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综合评分法评审标准中的分值设置应当与评审因素的量化指标相对应。磋商文件中没有规定的评审标准不得作为评审依据。</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评审时，磋商小组各成员应当独立对每个有效响应的文件进行评价、打分，然后汇总每个供应商每项评分因素的得分。</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综合评分法中的价格分统一采用低价优先法计算，即满足磋商文件要求且最后报价最低的供应商的价格为磋商基准价，其价格分为满分。其他供应商的价格分统一按照下列公式计算：</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cs="宋体" w:asciiTheme="minorEastAsia" w:hAnsiTheme="minorEastAsia"/>
          <w:kern w:val="0"/>
          <w:szCs w:val="21"/>
        </w:rPr>
        <w:t>磋商报价得分=（磋商基准价/最后磋商报价）×价格权值×100</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cs="宋体" w:asciiTheme="minorEastAsia" w:hAnsiTheme="minorEastAsia"/>
          <w:kern w:val="0"/>
          <w:szCs w:val="21"/>
        </w:rPr>
        <w:t>项目评审过程中，不得去掉最后报价中的最高报价和最低报价。</w:t>
      </w:r>
    </w:p>
    <w:p>
      <w:pPr>
        <w:pStyle w:val="37"/>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本项目具体评分标准见（第六章 评审程序和评审标准）。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37"/>
        <w:numPr>
          <w:ilvl w:val="1"/>
          <w:numId w:val="43"/>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磋商小组应当根据综合评分情况，按照评审得分由高到低顺序推荐3名以上成交候选供应商，并编写评审报告。</w:t>
      </w:r>
      <w:r>
        <w:rPr>
          <w:rFonts w:hint="eastAsia" w:ascii="Arial" w:hAnsi="Arial" w:cs="Arial"/>
          <w:color w:val="333333"/>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color w:val="333333"/>
          <w:szCs w:val="21"/>
          <w:shd w:val="clear" w:color="auto" w:fill="FFFFFF"/>
        </w:rPr>
        <w:t>第二十一条第三款情形的，可以推荐2家成交候选供应商。</w:t>
      </w:r>
      <w:r>
        <w:rPr>
          <w:rFonts w:ascii="Arial" w:hAnsi="Arial" w:cs="Arial"/>
          <w:color w:val="333333"/>
          <w:szCs w:val="21"/>
          <w:shd w:val="clear" w:color="auto" w:fill="FFFFFF"/>
        </w:rPr>
        <w:t>评审得分相同的，按照最后报价由低到高的顺序推荐。评审得分且最后报价相同的，按照技术指标优劣顺序推荐。</w:t>
      </w:r>
    </w:p>
    <w:p>
      <w:pPr>
        <w:pStyle w:val="37"/>
        <w:numPr>
          <w:ilvl w:val="1"/>
          <w:numId w:val="44"/>
        </w:numPr>
        <w:autoSpaceDE w:val="0"/>
        <w:autoSpaceDN w:val="0"/>
        <w:spacing w:line="360" w:lineRule="auto"/>
        <w:ind w:hanging="964" w:firstLineChars="0"/>
        <w:contextualSpacing/>
        <w:rPr>
          <w:rFonts w:cs="宋体" w:asciiTheme="minorEastAsia" w:hAnsiTheme="minorEastAsia"/>
          <w:kern w:val="0"/>
          <w:szCs w:val="21"/>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六、成交和授予合同</w:t>
      </w:r>
    </w:p>
    <w:p>
      <w:pPr>
        <w:pStyle w:val="37"/>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ascii="Arial" w:hAnsi="Arial" w:cs="Arial"/>
          <w:color w:val="333333"/>
          <w:szCs w:val="21"/>
          <w:shd w:val="clear" w:color="auto" w:fill="FFFFFF"/>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ascii="Arial" w:hAnsi="Arial" w:cs="Arial"/>
          <w:color w:val="333333"/>
          <w:szCs w:val="21"/>
          <w:shd w:val="clear" w:color="auto" w:fill="FFFFFF"/>
        </w:rPr>
        <w:t>应当在成交供应商确定后2个工作日内，在省级以上财政部门指定的政府采购信息发布媒体上公告成交结果，同时向成交供应商发出成交通知书，并将磋商文件随成交结果同时公告。</w:t>
      </w:r>
    </w:p>
    <w:p>
      <w:pPr>
        <w:pStyle w:val="37"/>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对成交结果提出质疑的，为成交结果公告期限届满之日起七个工作日内，以书面形式向采购人和采购代理机构一次性提出。</w:t>
      </w:r>
    </w:p>
    <w:p>
      <w:pPr>
        <w:pStyle w:val="37"/>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ascii="Arial" w:hAnsi="Arial" w:cs="Arial"/>
          <w:color w:val="333333"/>
          <w:szCs w:val="21"/>
          <w:shd w:val="clear" w:color="auto" w:fill="FFFFFF"/>
        </w:rPr>
        <w:t>采购人与成交供应商应当在成交通知书发出之日起30日内，按照磋商文件确定的合同文本以及采购标的、规格型号、采购金额、采购数量、技术和服务要求等事项签订政府采购合同。</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评审程序和评审标准</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w:t>
      </w:r>
      <w:r>
        <w:rPr>
          <w:rFonts w:hint="eastAsia" w:cs="仿宋_GB2312" w:asciiTheme="minorEastAsia" w:hAnsiTheme="minorEastAsia" w:eastAsiaTheme="minorEastAsia"/>
          <w:b/>
          <w:sz w:val="21"/>
          <w:szCs w:val="21"/>
          <w:lang w:val="zh-CN"/>
        </w:rPr>
        <w:t>初审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（一）资格性检查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磋商小组依法对供应商资格进行检查</w:t>
      </w:r>
      <w:r>
        <w:rPr>
          <w:rFonts w:asciiTheme="minorEastAsia" w:hAnsiTheme="minorEastAsia"/>
          <w:bCs/>
          <w:szCs w:val="21"/>
        </w:rPr>
        <w:t>。</w:t>
      </w:r>
      <w:r>
        <w:rPr>
          <w:rFonts w:hint="eastAsia" w:cs="仿宋_GB2312" w:asciiTheme="minorEastAsia" w:hAnsiTheme="minorEastAsia"/>
          <w:szCs w:val="21"/>
          <w:lang w:val="zh-CN"/>
        </w:rPr>
        <w:t>确定符合资格的供应商不少于3家后对响应文件进行符合性审查。（</w:t>
      </w:r>
      <w:r>
        <w:rPr>
          <w:rFonts w:hint="eastAsia" w:ascii="Arial" w:hAnsi="Arial" w:cs="Arial"/>
          <w:color w:val="333333"/>
          <w:szCs w:val="21"/>
          <w:shd w:val="clear" w:color="auto" w:fill="FFFFFF"/>
        </w:rPr>
        <w:t>如磋商中出现符合《财政部关于政府采购竞争性磋商采购方式管理暂行办法有关问题的补充通知》（财库〔2015〕124号）中的情形，则按财政部通知要求执行</w:t>
      </w:r>
      <w:r>
        <w:rPr>
          <w:rFonts w:hint="eastAsia" w:cs="仿宋_GB2312" w:asciiTheme="minorEastAsia" w:hAnsiTheme="minorEastAsia"/>
          <w:szCs w:val="21"/>
          <w:lang w:val="zh-CN"/>
        </w:rPr>
        <w:t>）</w:t>
      </w:r>
    </w:p>
    <w:p>
      <w:pPr>
        <w:spacing w:line="360" w:lineRule="auto"/>
        <w:ind w:right="420" w:rightChars="200" w:firstLine="482" w:firstLineChars="200"/>
        <w:contextualSpacing/>
        <w:rPr>
          <w:rFonts w:ascii="楷体" w:hAnsi="楷体" w:eastAsia="楷体" w:cs="仿宋_GB2312"/>
          <w:sz w:val="24"/>
          <w:szCs w:val="24"/>
          <w:lang w:val="zh-CN"/>
        </w:rPr>
      </w:pPr>
      <w:r>
        <w:rPr>
          <w:rFonts w:hint="eastAsia" w:ascii="楷体" w:hAnsi="楷体" w:eastAsia="楷体" w:cs="仿宋_GB2312"/>
          <w:b/>
          <w:sz w:val="24"/>
          <w:szCs w:val="24"/>
          <w:lang w:val="zh-CN"/>
        </w:rPr>
        <w:t>注：</w:t>
      </w:r>
      <w:r>
        <w:rPr>
          <w:rFonts w:hint="eastAsia" w:ascii="楷体" w:hAnsi="楷体" w:eastAsia="楷体" w:cs="仿宋_GB2312"/>
          <w:sz w:val="24"/>
          <w:szCs w:val="24"/>
          <w:lang w:val="zh-CN"/>
        </w:rPr>
        <w:t>（1）资格证明材料（本栏所列内容为本项目的资格审查条件，如有一项不符合要求，则不能进入下一步评审）。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（2）资格审查中所涉及到的证书及材料，均须在电子响应文件中提供原件扫描件（或图片）。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Theme="minorEastAsia" w:hAnsiTheme="minorEastAsia"/>
                <w:bCs/>
                <w:szCs w:val="21"/>
              </w:rPr>
              <w:t>磋商文件</w:t>
            </w:r>
            <w:r>
              <w:rPr>
                <w:rFonts w:hint="eastAsia" w:ascii="宋体" w:hAnsi="宋体" w:cs="微软雅黑"/>
                <w:bCs/>
                <w:szCs w:val="21"/>
              </w:rPr>
              <w:t>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w:t>
            </w:r>
            <w:r>
              <w:rPr>
                <w:rFonts w:hint="eastAsia" w:asciiTheme="minorEastAsia" w:hAnsiTheme="minorEastAsia"/>
                <w:bCs/>
                <w:szCs w:val="21"/>
                <w:lang w:val="en-US" w:eastAsia="zh-CN"/>
              </w:rPr>
              <w:t>8</w:t>
            </w:r>
            <w:r>
              <w:rPr>
                <w:rFonts w:hint="eastAsia" w:asciiTheme="minorEastAsia" w:hAnsiTheme="minorEastAsia"/>
                <w:bCs/>
                <w:szCs w:val="21"/>
              </w:rPr>
              <w:t>年度或20</w:t>
            </w:r>
            <w:r>
              <w:rPr>
                <w:rFonts w:hint="eastAsia" w:asciiTheme="minorEastAsia" w:hAnsiTheme="minorEastAsia"/>
                <w:bCs/>
                <w:szCs w:val="21"/>
                <w:lang w:val="en-US" w:eastAsia="zh-CN"/>
              </w:rPr>
              <w:t>19</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w:t>
            </w:r>
            <w:r>
              <w:rPr>
                <w:rFonts w:hint="eastAsia" w:asciiTheme="minorEastAsia" w:hAnsiTheme="minorEastAsia"/>
                <w:bCs/>
                <w:szCs w:val="21"/>
                <w:lang w:val="en-US" w:eastAsia="zh-CN"/>
              </w:rPr>
              <w:t>8</w:t>
            </w:r>
            <w:r>
              <w:rPr>
                <w:rFonts w:hint="eastAsia" w:asciiTheme="minorEastAsia" w:hAnsiTheme="minorEastAsia"/>
                <w:bCs/>
                <w:szCs w:val="21"/>
              </w:rPr>
              <w:t>年度或20</w:t>
            </w:r>
            <w:r>
              <w:rPr>
                <w:rFonts w:hint="eastAsia" w:asciiTheme="minorEastAsia" w:hAnsiTheme="minorEastAsia"/>
                <w:bCs/>
                <w:szCs w:val="21"/>
                <w:lang w:val="en-US" w:eastAsia="zh-CN"/>
              </w:rPr>
              <w:t>19</w:t>
            </w:r>
            <w:r>
              <w:rPr>
                <w:rFonts w:hint="eastAsia" w:asciiTheme="minorEastAsia" w:hAnsiTheme="minorEastAsia"/>
                <w:bCs/>
                <w:szCs w:val="21"/>
              </w:rPr>
              <w:t>年度经审计的财</w:t>
            </w:r>
            <w:bookmarkStart w:id="13" w:name="_GoBack"/>
            <w:bookmarkEnd w:id="13"/>
            <w:r>
              <w:rPr>
                <w:rFonts w:hint="eastAsia" w:asciiTheme="minorEastAsia" w:hAnsiTheme="minorEastAsia"/>
                <w:bCs/>
                <w:szCs w:val="21"/>
              </w:rPr>
              <w:t>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供应商提供参加本次政府采购项目投标截止时间前六个月内任意一个月缴纳税收凭据。（依法免税的投标人，应提供相应文件证明依法免税）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供应商提供参加本次政府采购项目投标截止时间前六个月内任意一个月缴纳社会保险凭据。（依法不需要缴纳社会保障资金的投标人，应提供相应文件证明依法不需要缴纳社会保障资金）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按照磋商文件提供格式填写。</w:t>
            </w: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）严重违法失信社会组织名单的投标人；（联合体形式投标的，联合体成员存在不良信用记录，视同联合体存在不良信用记录）。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asciiTheme="minorEastAsia" w:hAnsiTheme="minorEastAsia"/>
                <w:bCs/>
                <w:szCs w:val="21"/>
              </w:rPr>
              <w:t>经采购人认定的被列入失信被执行人、重大税收违法案件当事人名单、政府采购严重违法失信行为记录名单的供应商、严重违法失信社会组织的供应商，将拒绝其参与本次政府采购活动。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响应报价是否超出磋商文件中规定的预算金额，超出预算金额的响应无效。如供应商须知前附表规定最高限价，则</w:t>
            </w:r>
            <w:r>
              <w:rPr>
                <w:rFonts w:hint="eastAsia" w:cs="宋体" w:asciiTheme="minorEastAsia" w:hAnsiTheme="minorEastAsia"/>
                <w:bCs/>
                <w:szCs w:val="21"/>
                <w:lang w:val="zh-CN"/>
              </w:rPr>
              <w:t>超出预算金额和最高限价的响应无效。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磋商保证金</w:t>
            </w:r>
          </w:p>
        </w:tc>
        <w:tc>
          <w:tcPr>
            <w:tcW w:w="5954"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spacing w:line="360" w:lineRule="auto"/>
              <w:rPr>
                <w:rFonts w:asciiTheme="minorEastAsia" w:hAnsiTheme="minorEastAsia"/>
                <w:b/>
                <w:szCs w:val="21"/>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（1）法定代表人身份证明或提供法定代表人授权委托书及被授权人身份证明。（法人响应提供）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（2）单位负责人身份证明或提供单位负责人授权委托书及被授权人身份证明。（非法人响应提供）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①企业（银行、保险、石油石化、电力、电信等行业除外）、事业单位和社会团体供应商以法人身份参加投标的，法定代表人应与实际提交的“营业执照等证明文件”载明的一致。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bookmarkStart w:id="3" w:name="baidusnap2"/>
            <w:bookmarkEnd w:id="3"/>
            <w:r>
              <w:rPr>
                <w:rFonts w:hint="eastAsia" w:cs="仿宋_GB2312" w:asciiTheme="minorEastAsia" w:hAnsiTheme="minorEastAsia"/>
                <w:szCs w:val="21"/>
                <w:lang w:val="zh-CN"/>
              </w:rPr>
              <w:t>供应商提供未为本项目提供整体设计、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（二）符合性</w:t>
      </w:r>
      <w:r>
        <w:rPr>
          <w:rFonts w:cs="仿宋_GB2312" w:asciiTheme="minorEastAsia" w:hAnsiTheme="minorEastAsia" w:eastAsiaTheme="minorEastAsia"/>
          <w:b/>
          <w:sz w:val="21"/>
          <w:szCs w:val="21"/>
          <w:lang w:val="zh-CN"/>
        </w:rPr>
        <w:t>审查</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磋商小组对符合资格的投标人的响应文件进行符合性审查，以确定其是否满足磋商文件的商务、技术等实质性要求。</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注：符合性审查中所涉及到的证书及材料，均应在电子响应文件中提供原件扫描件（或图片）。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ascii="Arial" w:hAnsi="Arial" w:cs="Arial"/>
          <w:color w:val="333333"/>
          <w:sz w:val="21"/>
          <w:szCs w:val="21"/>
          <w:shd w:val="clear" w:color="auto" w:fill="FFFFFF"/>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65"/>
        <w:contextualSpacing/>
        <w:jc w:val="left"/>
        <w:rPr>
          <w:rFonts w:hint="eastAsia" w:ascii="Arial" w:hAnsi="Arial" w:cs="Arial"/>
          <w:color w:val="333333"/>
          <w:sz w:val="21"/>
          <w:szCs w:val="21"/>
          <w:shd w:val="clear" w:color="auto" w:fill="FFFFFF"/>
        </w:rPr>
      </w:pPr>
      <w:r>
        <w:rPr>
          <w:rFonts w:ascii="Arial" w:hAnsi="Arial" w:cs="Arial"/>
          <w:color w:val="333333"/>
          <w:sz w:val="21"/>
          <w:szCs w:val="21"/>
          <w:shd w:val="clear" w:color="auto" w:fill="FFFFFF"/>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65"/>
        <w:contextualSpacing/>
        <w:jc w:val="left"/>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3、最后报价；</w:t>
      </w:r>
    </w:p>
    <w:p>
      <w:pPr>
        <w:pStyle w:val="13"/>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磋商文件能够详细列明采购标的的技术、服务要求的，磋商结束后，磋商小组应当要求所有实质性响应的供应商在规定时间内提交最后报价，提交最后报价的供应商不得少于3家。</w:t>
      </w:r>
    </w:p>
    <w:p>
      <w:pPr>
        <w:pStyle w:val="13"/>
        <w:spacing w:line="360" w:lineRule="auto"/>
        <w:ind w:firstLine="420" w:firstLineChars="200"/>
        <w:contextualSpacing/>
        <w:rPr>
          <w:rFonts w:hint="eastAsia" w:ascii="Arial" w:hAnsi="Arial" w:cs="Arial"/>
          <w:color w:val="333333"/>
          <w:sz w:val="21"/>
          <w:szCs w:val="21"/>
          <w:shd w:val="clear" w:color="auto" w:fill="FFFFFF"/>
        </w:rPr>
      </w:pPr>
      <w:r>
        <w:rPr>
          <w:rFonts w:hint="eastAsia" w:ascii="Arial" w:hAnsi="Arial" w:cs="Arial"/>
          <w:color w:val="333333"/>
          <w:sz w:val="21"/>
          <w:szCs w:val="21"/>
          <w:shd w:val="clear" w:color="auto" w:fill="FFFFFF"/>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3"/>
        <w:spacing w:line="360" w:lineRule="auto"/>
        <w:ind w:firstLine="420" w:firstLineChars="200"/>
        <w:contextualSpacing/>
        <w:rPr>
          <w:rFonts w:hint="eastAsia" w:ascii="Arial" w:hAnsi="Arial" w:cs="Arial"/>
          <w:color w:val="333333"/>
          <w:sz w:val="21"/>
          <w:szCs w:val="21"/>
          <w:shd w:val="clear" w:color="auto" w:fill="FFFFFF"/>
        </w:rPr>
      </w:pPr>
      <w:r>
        <w:rPr>
          <w:rFonts w:hint="eastAsia" w:ascii="Arial" w:hAnsi="Arial" w:cs="Arial"/>
          <w:color w:val="333333"/>
          <w:sz w:val="21"/>
          <w:szCs w:val="21"/>
          <w:shd w:val="clear" w:color="auto" w:fill="FFFFFF"/>
        </w:rPr>
        <w:t>最后报价是供应商响应文件的有效组成部分。符合《政府采购竞争性磋商采购方式管理暂行办法》【（财库2014）214号】第三条第四项情形的，提交最后报价的供应商可以为2家。</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磋商小组按照磋商文件中规定的评分标准，对符合性审查合格的响应文件进行商务和技术评估，综合比较与评价。</w:t>
      </w:r>
      <w:r>
        <w:rPr>
          <w:rFonts w:ascii="Arial" w:hAnsi="Arial" w:cs="Arial"/>
          <w:color w:val="333333"/>
          <w:sz w:val="21"/>
          <w:szCs w:val="21"/>
          <w:shd w:val="clear" w:color="auto" w:fill="FFFFFF"/>
        </w:rPr>
        <w:t>评审时，磋商小组各成员应当独立对每个有效响应的文件进行评价、打分，然后汇总每个供应商每项评分因素的得分。</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注：评分标准中所涉及到的证书及材料，均应在电子响应文件中提供原件扫描件（或图片）。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w:t>
      </w:r>
      <w:r>
        <w:rPr>
          <w:rFonts w:ascii="Arial" w:hAnsi="Arial" w:cs="Arial"/>
          <w:color w:val="333333"/>
          <w:sz w:val="21"/>
          <w:szCs w:val="21"/>
          <w:shd w:val="clear" w:color="auto" w:fill="FFFFFF"/>
        </w:rPr>
        <w:t>即满足磋商文件要求且最后报价最低的供应商的价格为磋商基准价，其价格分为满分。</w:t>
      </w:r>
      <w:r>
        <w:rPr>
          <w:rFonts w:cs="仿宋_GB2312" w:asciiTheme="minorEastAsia" w:hAnsiTheme="minorEastAsia" w:eastAsiaTheme="minorEastAsia"/>
          <w:sz w:val="21"/>
          <w:szCs w:val="21"/>
          <w:lang w:val="zh-CN"/>
        </w:rPr>
        <w:t>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则投标文件中应根据本项目磋商文件“第二章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①中国信息安全认证中心官网（</w:t>
      </w:r>
      <w:r>
        <w:rPr>
          <w:rFonts w:cs="仿宋_GB2312" w:asciiTheme="minorEastAsia" w:hAnsiTheme="minorEastAsia"/>
          <w:szCs w:val="21"/>
          <w:lang w:val="zh-CN"/>
        </w:rPr>
        <w:t>http://www.isccc.gov.cn/index.shtml</w:t>
      </w:r>
      <w:r>
        <w:rPr>
          <w:rFonts w:hint="eastAsia" w:cs="仿宋_GB2312" w:asciiTheme="minorEastAsia" w:hAnsiTheme="minorEastAsia"/>
          <w:szCs w:val="21"/>
          <w:lang w:val="zh-CN"/>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②中国信息安全认证中心颁发的《中国国家信息安全产品认证证书》加盖投标人公章的原件扫描件（或图片）。</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注：仅需提供序号①～②其中之一即可。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1）供应商应当遵循公平竞争的原则，不得恶意串通，不得妨碍其他供应商的竞争行为，不得损害采购人或者其他供应商的合法权益。在评审过程中发现供应商有上述情形的，磋商小组应当认定其响应无效。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3）有下列情形之一的，视为供应商串通投标，其响应无效：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b.不同供应商委托同一单位或者个人办理响应事宜；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r>
        <w:rPr>
          <w:rFonts w:cs="仿宋_GB2312" w:asciiTheme="minorEastAsia" w:hAnsiTheme="minorEastAsia"/>
          <w:szCs w:val="21"/>
          <w:lang w:val="zh-CN"/>
        </w:rPr>
        <w:t>法律、法规和</w:t>
      </w:r>
      <w:r>
        <w:rPr>
          <w:rFonts w:hint="eastAsia" w:cs="仿宋_GB2312" w:asciiTheme="minorEastAsia" w:hAnsiTheme="minorEastAsia"/>
          <w:szCs w:val="21"/>
          <w:lang w:val="zh-CN"/>
        </w:rPr>
        <w:t>磋商</w:t>
      </w:r>
      <w:r>
        <w:rPr>
          <w:rFonts w:cs="仿宋_GB2312" w:asciiTheme="minorEastAsia" w:hAnsiTheme="minorEastAsia"/>
          <w:szCs w:val="21"/>
          <w:lang w:val="zh-CN"/>
        </w:rPr>
        <w:t>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二、评审标准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（1）本项目采用综合评分法。总分为100分。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szCs w:val="21"/>
                <w:lang w:val="en-US" w:eastAsia="zh-CN"/>
              </w:rPr>
              <w:t>20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szCs w:val="21"/>
                <w:lang w:val="en-US" w:eastAsia="zh-CN"/>
              </w:rPr>
              <w:t>20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szCs w:val="21"/>
                <w:lang w:val="en-US" w:eastAsia="zh-CN"/>
              </w:rPr>
              <w:t>20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szCs w:val="21"/>
                <w:lang w:val="en-US" w:eastAsia="zh-CN"/>
              </w:rPr>
              <w:t>40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评标基准价：满足磋商文件要求的有效投标报价中，最低的投标报价为评标基准价。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商务部分</w:t>
            </w:r>
          </w:p>
          <w:p>
            <w:pPr>
              <w:spacing w:line="360" w:lineRule="auto"/>
              <w:jc w:val="center"/>
              <w:rPr>
                <w:rFonts w:ascii="宋体" w:hAnsi="宋体" w:eastAsia="宋体" w:cs="宋体"/>
                <w:szCs w:val="21"/>
              </w:rPr>
            </w:pPr>
            <w:r>
              <w:rPr>
                <w:rFonts w:hint="eastAsia" w:asciiTheme="minorEastAsia" w:hAnsiTheme="minorEastAsia" w:eastAsiaTheme="minorEastAsia" w:cstheme="minorBidi"/>
                <w:kern w:val="2"/>
                <w:sz w:val="21"/>
                <w:szCs w:val="21"/>
                <w:lang w:val="en-US" w:eastAsia="zh-CN" w:bidi="ar-SA"/>
              </w:rPr>
              <w:t>（</w:t>
            </w:r>
            <w:r>
              <w:rPr>
                <w:rFonts w:hint="eastAsia" w:asciiTheme="minorEastAsia" w:hAnsiTheme="minorEastAsia" w:cstheme="minorBidi"/>
                <w:kern w:val="2"/>
                <w:sz w:val="21"/>
                <w:szCs w:val="21"/>
                <w:lang w:val="en-US" w:eastAsia="zh-CN" w:bidi="ar-SA"/>
              </w:rPr>
              <w:t>20</w:t>
            </w:r>
            <w:r>
              <w:rPr>
                <w:rFonts w:hint="eastAsia" w:asciiTheme="minorEastAsia" w:hAnsiTheme="minorEastAsia" w:eastAsiaTheme="minorEastAsia" w:cstheme="minorBidi"/>
                <w:kern w:val="2"/>
                <w:sz w:val="21"/>
                <w:szCs w:val="21"/>
                <w:lang w:val="en-US" w:eastAsia="zh-CN" w:bidi="ar-SA"/>
              </w:rPr>
              <w:t>分）</w:t>
            </w:r>
          </w:p>
        </w:tc>
        <w:tc>
          <w:tcPr>
            <w:tcW w:w="1560" w:type="dxa"/>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业绩</w:t>
            </w:r>
          </w:p>
          <w:p>
            <w:pPr>
              <w:spacing w:line="360" w:lineRule="auto"/>
              <w:jc w:val="center"/>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（20分）</w:t>
            </w:r>
          </w:p>
        </w:tc>
        <w:tc>
          <w:tcPr>
            <w:tcW w:w="6095" w:type="dxa"/>
            <w:vAlign w:val="center"/>
          </w:tcPr>
          <w:p>
            <w:pPr>
              <w:spacing w:line="360" w:lineRule="auto"/>
              <w:rPr>
                <w:rFonts w:ascii="宋体" w:hAnsi="宋体" w:eastAsia="宋体" w:cs="仿宋_GB2312"/>
                <w:szCs w:val="21"/>
                <w:lang w:val="zh-CN"/>
              </w:rPr>
            </w:pPr>
            <w:r>
              <w:rPr>
                <w:rFonts w:hint="eastAsia" w:asciiTheme="minorEastAsia" w:hAnsiTheme="minorEastAsia" w:eastAsiaTheme="minorEastAsia" w:cstheme="minorBidi"/>
                <w:kern w:val="2"/>
                <w:sz w:val="21"/>
                <w:szCs w:val="21"/>
                <w:lang w:val="en-US" w:eastAsia="zh-CN" w:bidi="ar-SA"/>
              </w:rPr>
              <w:t>供应商提供2017年1月1日以来类似项目业绩（提供合同），每提供1份得5分，最高得20分。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技术部分</w:t>
            </w:r>
          </w:p>
          <w:p>
            <w:pPr>
              <w:spacing w:line="360" w:lineRule="auto"/>
              <w:jc w:val="center"/>
              <w:rPr>
                <w:rFonts w:ascii="宋体" w:hAnsi="宋体" w:eastAsia="宋体" w:cs="宋体"/>
                <w:szCs w:val="21"/>
              </w:rPr>
            </w:pPr>
            <w:r>
              <w:rPr>
                <w:rFonts w:hint="eastAsia" w:asciiTheme="minorEastAsia" w:hAnsiTheme="minorEastAsia" w:eastAsiaTheme="minorEastAsia" w:cstheme="minorBidi"/>
                <w:kern w:val="2"/>
                <w:sz w:val="21"/>
                <w:szCs w:val="21"/>
                <w:lang w:val="en-US" w:eastAsia="zh-CN" w:bidi="ar-SA"/>
              </w:rPr>
              <w:t>（20分）</w:t>
            </w:r>
          </w:p>
        </w:tc>
        <w:tc>
          <w:tcPr>
            <w:tcW w:w="1560" w:type="dxa"/>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货物技术规格、参数与要求响应</w:t>
            </w:r>
          </w:p>
          <w:p>
            <w:pPr>
              <w:spacing w:line="360" w:lineRule="auto"/>
              <w:jc w:val="center"/>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（20分）</w:t>
            </w:r>
          </w:p>
        </w:tc>
        <w:tc>
          <w:tcPr>
            <w:tcW w:w="6095" w:type="dxa"/>
            <w:vAlign w:val="center"/>
          </w:tcPr>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1、具有科学完善的车辆管理制度10分。</w:t>
            </w:r>
          </w:p>
          <w:p>
            <w:pPr>
              <w:spacing w:line="360" w:lineRule="auto"/>
              <w:rPr>
                <w:rFonts w:ascii="宋体" w:hAnsi="宋体" w:eastAsia="宋体" w:cs="仿宋_GB2312"/>
                <w:szCs w:val="21"/>
                <w:lang w:val="zh-CN"/>
              </w:rPr>
            </w:pPr>
            <w:r>
              <w:rPr>
                <w:rFonts w:hint="eastAsia" w:asciiTheme="minorEastAsia" w:hAnsiTheme="minorEastAsia" w:eastAsiaTheme="minorEastAsia" w:cstheme="minorBidi"/>
                <w:kern w:val="2"/>
                <w:sz w:val="21"/>
                <w:szCs w:val="21"/>
                <w:lang w:val="en-US" w:eastAsia="zh-CN" w:bidi="ar-SA"/>
              </w:rPr>
              <w:t>2、具有科学完善的驾驶员管理制度10分</w:t>
            </w:r>
            <w:r>
              <w:rPr>
                <w:rFonts w:hint="eastAsia" w:asciiTheme="minorEastAsia" w:hAnsiTheme="minorEastAsia" w:eastAsiaTheme="minorEastAsia" w:cstheme="minorBidi"/>
                <w:kern w:val="2"/>
                <w:sz w:val="21"/>
                <w:szCs w:val="21"/>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服务部分</w:t>
            </w:r>
          </w:p>
          <w:p>
            <w:pPr>
              <w:spacing w:line="360" w:lineRule="auto"/>
              <w:jc w:val="center"/>
              <w:rPr>
                <w:rFonts w:ascii="宋体" w:hAnsi="宋体" w:eastAsia="宋体" w:cs="宋体"/>
                <w:szCs w:val="21"/>
              </w:rPr>
            </w:pPr>
            <w:r>
              <w:rPr>
                <w:rFonts w:hint="eastAsia" w:asciiTheme="minorEastAsia" w:hAnsiTheme="minorEastAsia" w:eastAsiaTheme="minorEastAsia" w:cstheme="minorBidi"/>
                <w:kern w:val="2"/>
                <w:sz w:val="21"/>
                <w:szCs w:val="21"/>
                <w:lang w:val="en-US" w:eastAsia="zh-CN" w:bidi="ar-SA"/>
              </w:rPr>
              <w:t>（</w:t>
            </w:r>
            <w:r>
              <w:rPr>
                <w:rFonts w:hint="eastAsia" w:asciiTheme="minorEastAsia" w:hAnsiTheme="minorEastAsia" w:cstheme="minorBidi"/>
                <w:kern w:val="2"/>
                <w:sz w:val="21"/>
                <w:szCs w:val="21"/>
                <w:lang w:val="en-US" w:eastAsia="zh-CN" w:bidi="ar-SA"/>
              </w:rPr>
              <w:t>40</w:t>
            </w:r>
            <w:r>
              <w:rPr>
                <w:rFonts w:hint="eastAsia" w:asciiTheme="minorEastAsia" w:hAnsiTheme="minorEastAsia" w:eastAsiaTheme="minorEastAsia" w:cstheme="minorBidi"/>
                <w:kern w:val="2"/>
                <w:sz w:val="21"/>
                <w:szCs w:val="21"/>
                <w:lang w:val="en-US" w:eastAsia="zh-CN" w:bidi="ar-SA"/>
              </w:rPr>
              <w:t>分）</w:t>
            </w:r>
          </w:p>
        </w:tc>
        <w:tc>
          <w:tcPr>
            <w:tcW w:w="1560" w:type="dxa"/>
            <w:tcBorders>
              <w:right w:val="single" w:color="auto" w:sz="4" w:space="0"/>
            </w:tcBorders>
            <w:vAlign w:val="center"/>
          </w:tcPr>
          <w:p>
            <w:pPr>
              <w:spacing w:line="360" w:lineRule="auto"/>
              <w:jc w:val="center"/>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服务方案  （35分）</w:t>
            </w:r>
          </w:p>
        </w:tc>
        <w:tc>
          <w:tcPr>
            <w:tcW w:w="6095" w:type="dxa"/>
            <w:tcBorders>
              <w:right w:val="single" w:color="auto" w:sz="4" w:space="0"/>
            </w:tcBorders>
            <w:vAlign w:val="center"/>
          </w:tcPr>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1、</w:t>
            </w:r>
            <w:r>
              <w:rPr>
                <w:rFonts w:hint="eastAsia" w:asciiTheme="minorEastAsia" w:hAnsiTheme="minorEastAsia" w:eastAsiaTheme="minorEastAsia" w:cstheme="minorBidi"/>
                <w:kern w:val="2"/>
                <w:sz w:val="21"/>
                <w:szCs w:val="21"/>
                <w:lang w:val="en-US" w:eastAsia="zh-CN" w:bidi="ar-SA"/>
              </w:rPr>
              <w:t>根据本项目实际需求提供的服务方案。①服务内容②服务措施③服务标准④服务流程，每项7分，仅有简单描述的每项3分，满分28分，不提供不得分。</w:t>
            </w:r>
          </w:p>
          <w:p>
            <w:pPr>
              <w:spacing w:line="360" w:lineRule="auto"/>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2、服务响应：接采购人活动通知后2个小时内到达指定地点，得7分。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left="420" w:leftChars="200" w:firstLine="422" w:firstLineChars="0"/>
              <w:jc w:val="center"/>
              <w:rPr>
                <w:rFonts w:ascii="宋体" w:hAnsi="宋体" w:eastAsia="宋体" w:cs="宋体"/>
                <w:szCs w:val="21"/>
              </w:rPr>
            </w:pPr>
          </w:p>
        </w:tc>
        <w:tc>
          <w:tcPr>
            <w:tcW w:w="1560" w:type="dxa"/>
            <w:tcBorders>
              <w:right w:val="single" w:color="auto" w:sz="4" w:space="0"/>
            </w:tcBorders>
            <w:vAlign w:val="center"/>
          </w:tcPr>
          <w:p>
            <w:pPr>
              <w:widowControl/>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投标文件编制</w:t>
            </w:r>
          </w:p>
          <w:p>
            <w:pPr>
              <w:widowControl/>
              <w:spacing w:line="360" w:lineRule="auto"/>
              <w:jc w:val="center"/>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（5分）</w:t>
            </w:r>
          </w:p>
        </w:tc>
        <w:tc>
          <w:tcPr>
            <w:tcW w:w="6095" w:type="dxa"/>
            <w:tcBorders>
              <w:right w:val="single" w:color="auto" w:sz="4" w:space="0"/>
            </w:tcBorders>
            <w:vAlign w:val="center"/>
          </w:tcPr>
          <w:p>
            <w:pPr>
              <w:widowControl/>
              <w:spacing w:line="360" w:lineRule="auto"/>
              <w:jc w:val="lef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1、装订规范、文字清晰、无差错2分。</w:t>
            </w:r>
          </w:p>
          <w:p>
            <w:pPr>
              <w:widowControl/>
              <w:spacing w:line="360" w:lineRule="auto"/>
              <w:jc w:val="left"/>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2、所提供资料准确完整3分。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w:t>
            </w:r>
            <w:r>
              <w:rPr>
                <w:rFonts w:hint="eastAsia" w:ascii="宋体" w:hAnsi="宋体"/>
                <w:szCs w:val="21"/>
              </w:rPr>
              <w:t>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磋商小组审查、评价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w:t>
            </w:r>
            <w:r>
              <w:rPr>
                <w:rFonts w:hint="eastAsia" w:cs="仿宋_GB2312" w:asciiTheme="minorEastAsia" w:hAnsiTheme="minorEastAsia"/>
                <w:szCs w:val="21"/>
                <w:lang w:val="zh-CN"/>
              </w:rPr>
              <w:t>供应商</w:t>
            </w:r>
            <w:r>
              <w:rPr>
                <w:rFonts w:cs="仿宋_GB2312" w:asciiTheme="minorEastAsia" w:hAnsiTheme="minorEastAsia"/>
                <w:szCs w:val="21"/>
                <w:lang w:val="zh-CN"/>
              </w:rPr>
              <w:t>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备注：</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a、不接受联合体响应的项目，本表中第2项、第3项情形不适用。</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b、小型和微型企业产品包括货物及其提供的服务与工程。</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c、中小企业、残疾人福利性单位提供其他企业制造的货物的，则该货物的制造商也必须为上述企业，否则不能享受价格优惠。</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d、残疾人福利性单位属于小型、微型企业的，不重复享受政策。</w:t>
      </w:r>
    </w:p>
    <w:p>
      <w:pPr>
        <w:wordWrap w:val="0"/>
        <w:spacing w:line="360" w:lineRule="auto"/>
        <w:ind w:firstLine="480" w:firstLineChars="200"/>
        <w:contextualSpacing/>
        <w:rPr>
          <w:rFonts w:ascii="楷体" w:hAnsi="楷体" w:eastAsia="楷体" w:cs="仿宋_GB2312"/>
          <w:sz w:val="24"/>
          <w:szCs w:val="24"/>
          <w:lang w:val="zh-CN"/>
        </w:rPr>
      </w:pPr>
      <w:r>
        <w:rPr>
          <w:rFonts w:ascii="楷体" w:hAnsi="楷体" w:eastAsia="楷体" w:cs="仿宋_GB2312"/>
          <w:sz w:val="24"/>
          <w:szCs w:val="24"/>
          <w:lang w:val="zh-CN"/>
        </w:rPr>
        <w:t>E</w:t>
      </w:r>
      <w:r>
        <w:rPr>
          <w:rFonts w:hint="eastAsia" w:ascii="楷体" w:hAnsi="楷体" w:eastAsia="楷体" w:cs="仿宋_GB2312"/>
          <w:sz w:val="24"/>
          <w:szCs w:val="24"/>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评</w:t>
      </w:r>
      <w:r>
        <w:rPr>
          <w:rFonts w:hint="eastAsia" w:cs="仿宋_GB2312" w:asciiTheme="minorEastAsia" w:hAnsiTheme="minorEastAsia" w:eastAsiaTheme="minorEastAsia"/>
          <w:b/>
          <w:sz w:val="21"/>
          <w:szCs w:val="21"/>
          <w:lang w:val="zh-CN"/>
        </w:rPr>
        <w:t>分</w:t>
      </w:r>
      <w:r>
        <w:rPr>
          <w:rFonts w:cs="仿宋_GB2312" w:asciiTheme="minorEastAsia" w:hAnsiTheme="minorEastAsia" w:eastAsiaTheme="minorEastAsia"/>
          <w:b/>
          <w:sz w:val="21"/>
          <w:szCs w:val="21"/>
          <w:lang w:val="zh-CN"/>
        </w:rPr>
        <w:t>结果汇总完成后，除下列情形外，</w:t>
      </w:r>
      <w:r>
        <w:rPr>
          <w:rFonts w:hint="eastAsia" w:cs="仿宋_GB2312" w:asciiTheme="minorEastAsia" w:hAnsiTheme="minorEastAsia" w:eastAsiaTheme="minorEastAsia"/>
          <w:b/>
          <w:sz w:val="21"/>
          <w:szCs w:val="21"/>
          <w:lang w:val="zh-CN"/>
        </w:rPr>
        <w:t>不得重新评审</w:t>
      </w:r>
      <w:r>
        <w:rPr>
          <w:rFonts w:cs="仿宋_GB2312" w:asciiTheme="minorEastAsia" w:hAnsiTheme="minorEastAsia" w:eastAsiaTheme="minorEastAsia"/>
          <w:b/>
          <w:sz w:val="21"/>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 资格性检查认定</w:t>
      </w:r>
      <w:r>
        <w:rPr>
          <w:rFonts w:cs="仿宋_GB2312" w:asciiTheme="minorEastAsia" w:hAnsiTheme="minorEastAsia"/>
          <w:szCs w:val="21"/>
          <w:lang w:val="zh-CN"/>
        </w:rPr>
        <w:t>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客观</w:t>
      </w:r>
      <w:r>
        <w:rPr>
          <w:rFonts w:hint="eastAsia" w:cs="仿宋_GB2312" w:asciiTheme="minorEastAsia" w:hAnsiTheme="minorEastAsia"/>
          <w:szCs w:val="21"/>
          <w:lang w:val="zh-CN"/>
        </w:rPr>
        <w:t>分</w:t>
      </w:r>
      <w:r>
        <w:rPr>
          <w:rFonts w:cs="仿宋_GB2312" w:asciiTheme="minorEastAsia" w:hAnsiTheme="minorEastAsia"/>
          <w:szCs w:val="21"/>
          <w:lang w:val="zh-CN"/>
        </w:rPr>
        <w:t>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5） </w:t>
      </w:r>
      <w:r>
        <w:rPr>
          <w:rFonts w:cs="仿宋_GB2312" w:asciiTheme="minorEastAsia" w:hAnsiTheme="minorEastAsia"/>
          <w:szCs w:val="21"/>
          <w:lang w:val="zh-CN"/>
        </w:rPr>
        <w:t>经</w:t>
      </w:r>
      <w:r>
        <w:rPr>
          <w:rFonts w:hint="eastAsia" w:cs="仿宋_GB2312" w:asciiTheme="minorEastAsia" w:hAnsiTheme="minorEastAsia"/>
          <w:szCs w:val="21"/>
          <w:lang w:val="zh-CN"/>
        </w:rPr>
        <w:t>磋商小组一致</w:t>
      </w:r>
      <w:r>
        <w:rPr>
          <w:rFonts w:cs="仿宋_GB2312" w:asciiTheme="minorEastAsia" w:hAnsiTheme="minorEastAsia"/>
          <w:szCs w:val="21"/>
          <w:lang w:val="zh-CN"/>
        </w:rPr>
        <w:t>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评审</w:t>
      </w:r>
      <w:r>
        <w:rPr>
          <w:rFonts w:cs="仿宋_GB2312" w:asciiTheme="minorEastAsia" w:hAnsiTheme="minorEastAsia"/>
          <w:szCs w:val="21"/>
          <w:lang w:val="zh-CN"/>
        </w:rPr>
        <w:t>报告签署前，经复核发现存在以上情形之一的，</w:t>
      </w:r>
      <w:r>
        <w:rPr>
          <w:rFonts w:hint="eastAsia" w:cs="仿宋_GB2312" w:asciiTheme="minorEastAsia" w:hAnsiTheme="minorEastAsia"/>
          <w:szCs w:val="21"/>
          <w:lang w:val="zh-CN"/>
        </w:rPr>
        <w:t>磋商小组</w:t>
      </w:r>
      <w:r>
        <w:rPr>
          <w:rFonts w:cs="仿宋_GB2312" w:asciiTheme="minorEastAsia" w:hAnsiTheme="minorEastAsia"/>
          <w:szCs w:val="21"/>
          <w:lang w:val="zh-CN"/>
        </w:rPr>
        <w:t>应当当场修改</w:t>
      </w:r>
      <w:r>
        <w:rPr>
          <w:rFonts w:hint="eastAsia" w:cs="仿宋_GB2312" w:asciiTheme="minorEastAsia" w:hAnsiTheme="minorEastAsia"/>
          <w:szCs w:val="21"/>
          <w:lang w:val="zh-CN"/>
        </w:rPr>
        <w:t>评审</w:t>
      </w:r>
      <w:r>
        <w:rPr>
          <w:rFonts w:cs="仿宋_GB2312" w:asciiTheme="minorEastAsia" w:hAnsiTheme="minorEastAsia"/>
          <w:szCs w:val="21"/>
          <w:lang w:val="zh-CN"/>
        </w:rPr>
        <w:t>结果，并在</w:t>
      </w:r>
      <w:r>
        <w:rPr>
          <w:rFonts w:hint="eastAsia" w:cs="仿宋_GB2312" w:asciiTheme="minorEastAsia" w:hAnsiTheme="minorEastAsia"/>
          <w:szCs w:val="21"/>
          <w:lang w:val="zh-CN"/>
        </w:rPr>
        <w:t>评审</w:t>
      </w:r>
      <w:r>
        <w:rPr>
          <w:rFonts w:cs="仿宋_GB2312" w:asciiTheme="minorEastAsia" w:hAnsiTheme="minorEastAsia"/>
          <w:szCs w:val="21"/>
          <w:lang w:val="zh-CN"/>
        </w:rPr>
        <w:t>报告中记载。</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（3）推荐成交候选供应商</w:t>
      </w:r>
    </w:p>
    <w:p>
      <w:pPr>
        <w:tabs>
          <w:tab w:val="left" w:pos="1260"/>
        </w:tabs>
        <w:autoSpaceDE w:val="0"/>
        <w:autoSpaceDN w:val="0"/>
        <w:spacing w:line="360" w:lineRule="auto"/>
        <w:ind w:firstLine="420" w:firstLineChars="200"/>
        <w:contextualSpacing/>
        <w:rPr>
          <w:rFonts w:ascii="Arial" w:hAnsi="Arial" w:cs="Arial"/>
          <w:color w:val="333333"/>
          <w:szCs w:val="21"/>
          <w:shd w:val="clear" w:color="auto" w:fill="FFFFFF"/>
        </w:rPr>
      </w:pPr>
      <w:r>
        <w:rPr>
          <w:rFonts w:ascii="Arial" w:hAnsi="Arial" w:cs="Arial"/>
          <w:color w:val="333333"/>
          <w:szCs w:val="21"/>
          <w:shd w:val="clear" w:color="auto" w:fill="FFFFFF"/>
        </w:rPr>
        <w:t>磋商小组应当根据综合评分情况，按照评审得分由高到低顺序推荐3名以上成交候选供应商，</w:t>
      </w:r>
      <w:r>
        <w:rPr>
          <w:rFonts w:hint="eastAsia" w:ascii="Arial" w:hAnsi="Arial" w:cs="Arial"/>
          <w:color w:val="333333"/>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color w:val="333333"/>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ascii="Arial" w:hAnsi="Arial" w:cs="Arial"/>
          <w:color w:val="333333"/>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最终签定合同的主要条款不能与磋商文件有冲突）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磋商</w:t>
      </w:r>
      <w:r>
        <w:rPr>
          <w:rFonts w:asciiTheme="minorEastAsia" w:hAnsiTheme="minorEastAsia" w:eastAsiaTheme="minorEastAsia"/>
          <w:color w:val="000000"/>
          <w:sz w:val="21"/>
          <w:szCs w:val="21"/>
        </w:rPr>
        <w:t>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文件第</w:t>
      </w:r>
      <w:r>
        <w:rPr>
          <w:rFonts w:hint="eastAsia" w:asciiTheme="minorEastAsia" w:hAnsiTheme="minorEastAsia" w:eastAsiaTheme="minorEastAsia"/>
          <w:color w:val="000000"/>
          <w:sz w:val="21"/>
          <w:szCs w:val="21"/>
          <w:u w:val="single"/>
        </w:rPr>
        <w:t>二</w:t>
      </w:r>
      <w:r>
        <w:rPr>
          <w:rFonts w:asciiTheme="minorEastAsia" w:hAnsiTheme="minorEastAsia" w:eastAsiaTheme="minorEastAsia"/>
          <w:color w:val="000000"/>
          <w:sz w:val="21"/>
          <w:szCs w:val="21"/>
          <w:u w:val="single"/>
        </w:rPr>
        <w:t>章已有规定的，双方均不得变更或调整；</w:t>
      </w:r>
      <w:r>
        <w:rPr>
          <w:rFonts w:hint="eastAsia" w:asciiTheme="minorEastAsia" w:hAnsiTheme="minorEastAsia" w:eastAsiaTheme="minorEastAsia"/>
          <w:color w:val="000000"/>
          <w:sz w:val="21"/>
          <w:szCs w:val="21"/>
          <w:u w:val="single"/>
        </w:rPr>
        <w:t>磋商</w:t>
      </w:r>
      <w:r>
        <w:rPr>
          <w:rFonts w:asciiTheme="minorEastAsia" w:hAnsiTheme="minorEastAsia" w:eastAsiaTheme="minorEastAsia"/>
          <w:color w:val="000000"/>
          <w:sz w:val="21"/>
          <w:szCs w:val="21"/>
          <w:u w:val="single"/>
        </w:rPr>
        <w:t>文件第</w:t>
      </w:r>
      <w:r>
        <w:rPr>
          <w:rFonts w:hint="eastAsia" w:asciiTheme="minorEastAsia" w:hAnsiTheme="minorEastAsia" w:eastAsiaTheme="minorEastAsia"/>
          <w:color w:val="000000"/>
          <w:sz w:val="21"/>
          <w:szCs w:val="21"/>
          <w:u w:val="single"/>
        </w:rPr>
        <w:t>二</w:t>
      </w:r>
      <w:r>
        <w:rPr>
          <w:rFonts w:asciiTheme="minorEastAsia" w:hAnsiTheme="minorEastAsia" w:eastAsiaTheme="minorEastAsia"/>
          <w:color w:val="000000"/>
          <w:sz w:val="21"/>
          <w:szCs w:val="21"/>
          <w:u w:val="single"/>
        </w:rPr>
        <w:t>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4023138"/>
      <w:bookmarkStart w:id="6" w:name="_Toc186274126"/>
      <w:bookmarkStart w:id="7" w:name="_Toc174185203"/>
      <w:r>
        <w:rPr>
          <w:rFonts w:hint="eastAsia" w:cs="黑体" w:asciiTheme="minorEastAsia" w:hAnsiTheme="minorEastAsia" w:eastAsiaTheme="minorEastAsia"/>
          <w:color w:val="auto"/>
          <w:kern w:val="2"/>
          <w:sz w:val="28"/>
          <w:szCs w:val="28"/>
          <w:lang w:val="zh-CN"/>
        </w:rPr>
        <w:t>一、供应商应答索引表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注：①本表序号8请按照本采购文件 “第六章评审程序和评审标准”资格审查表中序号3要求，根据所提供经审计财务报告、基本开户银行资信证明、银行资信证明、政府采购投标担保函情况填写其中一项即可。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②本表序号10请按照本采购文件 “第六章评审程序和评审标准”资格审查表中序号6要求提供，根据所提供证明材料或承诺函（声明）情况填写其中一项即可。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磋商响应函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（采购人、集中采购机构名称）</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_（项目名称、招标编号）采购的磋商公告及采购邀请，_______（姓名和职务）被正式授权并代表供应商（供应商名称、地址）提交。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已详细研究了《磋商文件》的所有内容，包括澄清、修改文件（如果有）和所有已提供的参考资料以及有关附件，我方完全明白并认为此磋商文件没有倾向性，也不存在排斥潜在响应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r>
        <w:rPr>
          <w:rFonts w:hint="eastAsia" w:ascii="宋体" w:hAnsi="宋体"/>
          <w:sz w:val="21"/>
          <w:szCs w:val="21"/>
        </w:rPr>
        <w:t>并承诺在发生争议时不会以对《磋商文件》存在误解、不明白的条款为由，对贵中心行使任何法律上的抗辩权。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一、按磋商文件提供的全部货物与相关服务的报价总价详见《报价一览表》。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我方同意在本项目磋商文件中规定的开标日起90天内遵守本磋商文件中的承诺且在此期限期满之前均具有约束力。我方同意并遵守本磋商文件“供应商须知”中第十四条第三款关于延长响应有效期的规定。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三、我方明白并同意，在规定的开标日之后，响应有效期之内撤销响应的，则我方承担违背响应承诺的责任追究。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hAnsi="宋体" w:eastAsiaTheme="minorEastAsia" w:cstheme="minorBidi"/>
          <w:sz w:val="21"/>
          <w:szCs w:val="21"/>
        </w:rPr>
      </w:pPr>
      <w:r>
        <w:rPr>
          <w:rFonts w:hint="eastAsia" w:cs="Courier New" w:asciiTheme="minorEastAsia" w:hAnsiTheme="minorEastAsia" w:eastAsiaTheme="minorEastAsia"/>
          <w:sz w:val="21"/>
          <w:szCs w:val="21"/>
        </w:rPr>
        <w:t>五、</w:t>
      </w:r>
      <w:r>
        <w:rPr>
          <w:rFonts w:hint="eastAsia" w:ascii="宋体" w:hAnsi="宋体" w:eastAsiaTheme="minorEastAsia" w:cstheme="minorBidi"/>
          <w:sz w:val="21"/>
          <w:szCs w:val="21"/>
        </w:rPr>
        <w:t>我方完全理解贵方不一定要接受最低报价的响应或其他任何响应。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六、我方如果为成交供应商，将保证履行磋商文件及其澄清、修改文件（如果有）中的全部责任和义务，按质、按量、按期完成《项目需求》及《合同书》中的全部任务。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所有与本项目响应有关的一切正式往来请寄：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竞争性磋商</w:t>
      </w:r>
      <w:r>
        <w:rPr>
          <w:rFonts w:asciiTheme="minorEastAsia" w:hAnsiTheme="minorEastAsia"/>
          <w:color w:val="000000"/>
          <w:sz w:val="21"/>
          <w:szCs w:val="21"/>
        </w:rPr>
        <w:t>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加本磋商</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w:t>
      </w:r>
      <w:r>
        <w:rPr>
          <w:rFonts w:hint="eastAsia" w:ascii="宋体" w:hAnsi="宋体"/>
          <w:szCs w:val="21"/>
        </w:rPr>
        <w:t>响应文件提交、解密、磋商、响应文件澄清、签约等一切具体事务和签署相关文件。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响应承诺函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供应商名称（</w:t>
      </w:r>
      <w:r>
        <w:rPr>
          <w:rFonts w:hint="eastAsia" w:cs="宋体" w:asciiTheme="minorEastAsia" w:hAnsiTheme="minorEastAsia"/>
          <w:szCs w:val="21"/>
        </w:rPr>
        <w:t>并加盖公章</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磋商文件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响应文件技术参数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（供应商根据磋商文件要求自行编制）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（供应商根据磋商文件要求自行编制）</w:t>
      </w: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eastAsia="宋体" w:cs="Times New Roman"/>
                <w:sz w:val="21"/>
                <w:szCs w:val="21"/>
              </w:rPr>
            </w:pPr>
          </w:p>
        </w:tc>
        <w:tc>
          <w:tcPr>
            <w:tcW w:w="124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48"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600"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c>
          <w:tcPr>
            <w:tcW w:w="1417" w:type="dxa"/>
            <w:tcBorders>
              <w:top w:val="single" w:color="auto" w:sz="4" w:space="0"/>
              <w:left w:val="single" w:color="auto" w:sz="4" w:space="0"/>
              <w:bottom w:val="single" w:color="auto" w:sz="4" w:space="0"/>
              <w:right w:val="single" w:color="auto" w:sz="4" w:space="0"/>
            </w:tcBorders>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p>
    <w:p>
      <w:pPr>
        <w:autoSpaceDE w:val="0"/>
        <w:autoSpaceDN w:val="0"/>
        <w:adjustRightInd w:val="0"/>
        <w:spacing w:line="360" w:lineRule="auto"/>
        <w:jc w:val="both"/>
        <w:outlineLvl w:val="0"/>
        <w:rPr>
          <w:rFonts w:ascii="宋体" w:hAnsi="宋体"/>
          <w:b/>
          <w:bCs/>
          <w:color w:val="000000"/>
          <w:sz w:val="24"/>
          <w:szCs w:val="24"/>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pStyle w:val="2"/>
        <w:numPr>
          <w:ilvl w:val="0"/>
          <w:numId w:val="0"/>
        </w:numPr>
      </w:pPr>
    </w:p>
    <w:p/>
    <w:p>
      <w:pPr>
        <w:pStyle w:val="2"/>
        <w:numPr>
          <w:ilvl w:val="0"/>
          <w:numId w:val="0"/>
        </w:numPr>
        <w:ind w:left="288" w:leftChars="0"/>
      </w:pPr>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w:t>
      </w:r>
      <w:r>
        <w:rPr>
          <w:rFonts w:hint="eastAsia" w:cs="宋体" w:asciiTheme="minorEastAsia" w:hAnsiTheme="minorEastAsia"/>
          <w:szCs w:val="21"/>
        </w:rPr>
        <w:t>并加盖公章</w:t>
      </w:r>
      <w:r>
        <w:rPr>
          <w:rFonts w:hint="eastAsia" w:ascii="宋体" w:hAnsi="宋体"/>
          <w:szCs w:val="21"/>
        </w:rPr>
        <w:t>）：</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磋商</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的单位公章后在此项下提交。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249FE6"/>
    <w:multiLevelType w:val="singleLevel"/>
    <w:tmpl w:val="BB249FE6"/>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5B7AC8"/>
    <w:multiLevelType w:val="multilevel"/>
    <w:tmpl w:val="065B7AC8"/>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A85696"/>
    <w:multiLevelType w:val="multilevel"/>
    <w:tmpl w:val="07A85696"/>
    <w:lvl w:ilvl="0" w:tentative="0">
      <w:start w:val="32"/>
      <w:numFmt w:val="decimal"/>
      <w:lvlText w:val="%1."/>
      <w:lvlJc w:val="left"/>
      <w:pPr>
        <w:ind w:left="420" w:hanging="420"/>
      </w:pPr>
      <w:rPr>
        <w:rFonts w:hint="eastAsia"/>
      </w:rPr>
    </w:lvl>
    <w:lvl w:ilvl="1" w:tentative="0">
      <w:start w:val="32"/>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B07469B"/>
    <w:multiLevelType w:val="multilevel"/>
    <w:tmpl w:val="0B07469B"/>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D834F7"/>
    <w:multiLevelType w:val="multilevel"/>
    <w:tmpl w:val="0ED834F7"/>
    <w:lvl w:ilvl="0" w:tentative="0">
      <w:start w:val="36"/>
      <w:numFmt w:val="decimal"/>
      <w:lvlText w:val="%1."/>
      <w:lvlJc w:val="left"/>
      <w:pPr>
        <w:ind w:left="420" w:hanging="420"/>
      </w:pPr>
      <w:rPr>
        <w:rFonts w:hint="eastAsia"/>
      </w:rPr>
    </w:lvl>
    <w:lvl w:ilvl="1" w:tentative="0">
      <w:start w:val="36"/>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566DBF"/>
    <w:multiLevelType w:val="multilevel"/>
    <w:tmpl w:val="13566DBF"/>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7A5E07"/>
    <w:multiLevelType w:val="multilevel"/>
    <w:tmpl w:val="137A5E07"/>
    <w:lvl w:ilvl="0" w:tentative="0">
      <w:start w:val="32"/>
      <w:numFmt w:val="decimal"/>
      <w:lvlText w:val="%1."/>
      <w:lvlJc w:val="left"/>
      <w:pPr>
        <w:ind w:left="420" w:hanging="420"/>
      </w:pPr>
      <w:rPr>
        <w:rFonts w:hint="eastAsia"/>
      </w:rPr>
    </w:lvl>
    <w:lvl w:ilvl="1" w:tentative="0">
      <w:start w:val="32"/>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7554763"/>
    <w:multiLevelType w:val="multilevel"/>
    <w:tmpl w:val="17554763"/>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EF30DF"/>
    <w:multiLevelType w:val="multilevel"/>
    <w:tmpl w:val="18EF30DF"/>
    <w:lvl w:ilvl="0" w:tentative="0">
      <w:start w:val="25"/>
      <w:numFmt w:val="decimal"/>
      <w:lvlText w:val="%1.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0F091A"/>
    <w:multiLevelType w:val="multilevel"/>
    <w:tmpl w:val="240F091A"/>
    <w:lvl w:ilvl="0" w:tentative="0">
      <w:start w:val="25"/>
      <w:numFmt w:val="decimal"/>
      <w:lvlText w:val="%1.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44F195D"/>
    <w:multiLevelType w:val="multilevel"/>
    <w:tmpl w:val="244F195D"/>
    <w:lvl w:ilvl="0" w:tentative="0">
      <w:start w:val="3"/>
      <w:numFmt w:val="decimal"/>
      <w:lvlText w:val="%1.6.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761383"/>
    <w:multiLevelType w:val="multilevel"/>
    <w:tmpl w:val="27761383"/>
    <w:lvl w:ilvl="0" w:tentative="0">
      <w:start w:val="3"/>
      <w:numFmt w:val="decimal"/>
      <w:lvlText w:val="%1.3.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F76453"/>
    <w:multiLevelType w:val="multilevel"/>
    <w:tmpl w:val="27F76453"/>
    <w:lvl w:ilvl="0" w:tentative="0">
      <w:start w:val="9"/>
      <w:numFmt w:val="decimal"/>
      <w:lvlText w:val="%1.1.7"/>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91F34B3"/>
    <w:multiLevelType w:val="multilevel"/>
    <w:tmpl w:val="291F34B3"/>
    <w:lvl w:ilvl="0" w:tentative="0">
      <w:start w:val="3"/>
      <w:numFmt w:val="decimal"/>
      <w:lvlText w:val="%1.6.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35432A1"/>
    <w:multiLevelType w:val="multilevel"/>
    <w:tmpl w:val="335432A1"/>
    <w:lvl w:ilvl="0" w:tentative="0">
      <w:start w:val="30"/>
      <w:numFmt w:val="decimal"/>
      <w:lvlText w:val="%1."/>
      <w:lvlJc w:val="left"/>
      <w:pPr>
        <w:ind w:left="420" w:hanging="420"/>
      </w:pPr>
      <w:rPr>
        <w:rFonts w:hint="eastAsia"/>
      </w:rPr>
    </w:lvl>
    <w:lvl w:ilvl="1" w:tentative="0">
      <w:start w:val="29"/>
      <w:numFmt w:val="decimal"/>
      <w:lvlText w:val="%2.5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343D55BB"/>
    <w:multiLevelType w:val="multilevel"/>
    <w:tmpl w:val="343D55BB"/>
    <w:lvl w:ilvl="0" w:tentative="0">
      <w:start w:val="9"/>
      <w:numFmt w:val="decimal"/>
      <w:lvlText w:val="%1.1.9"/>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4C36201"/>
    <w:multiLevelType w:val="multilevel"/>
    <w:tmpl w:val="34C36201"/>
    <w:lvl w:ilvl="0" w:tentative="0">
      <w:start w:val="32"/>
      <w:numFmt w:val="decimal"/>
      <w:lvlText w:val="%1."/>
      <w:lvlJc w:val="left"/>
      <w:pPr>
        <w:ind w:left="420" w:hanging="420"/>
      </w:pPr>
      <w:rPr>
        <w:rFonts w:hint="eastAsia"/>
      </w:rPr>
    </w:lvl>
    <w:lvl w:ilvl="1" w:tentative="0">
      <w:start w:val="31"/>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374625E7"/>
    <w:multiLevelType w:val="multilevel"/>
    <w:tmpl w:val="374625E7"/>
    <w:lvl w:ilvl="0" w:tentative="0">
      <w:start w:val="9"/>
      <w:numFmt w:val="decimal"/>
      <w:lvlText w:val="%1.1.6"/>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C956B77"/>
    <w:multiLevelType w:val="multilevel"/>
    <w:tmpl w:val="3C956B77"/>
    <w:lvl w:ilvl="0" w:tentative="0">
      <w:start w:val="3"/>
      <w:numFmt w:val="decimal"/>
      <w:lvlText w:val="%1.3.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22B2F9E"/>
    <w:multiLevelType w:val="multilevel"/>
    <w:tmpl w:val="422B2F9E"/>
    <w:lvl w:ilvl="0" w:tentative="0">
      <w:start w:val="3"/>
      <w:numFmt w:val="decimal"/>
      <w:lvlText w:val="%1.3.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4AB2116"/>
    <w:multiLevelType w:val="multilevel"/>
    <w:tmpl w:val="44AB2116"/>
    <w:lvl w:ilvl="0" w:tentative="0">
      <w:start w:val="9"/>
      <w:numFmt w:val="decimal"/>
      <w:lvlText w:val="%1.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72B71DF"/>
    <w:multiLevelType w:val="multilevel"/>
    <w:tmpl w:val="472B71DF"/>
    <w:lvl w:ilvl="0" w:tentative="0">
      <w:start w:val="3"/>
      <w:numFmt w:val="decimal"/>
      <w:lvlText w:val="%1.3.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BF07B89"/>
    <w:multiLevelType w:val="multilevel"/>
    <w:tmpl w:val="4BF07B89"/>
    <w:lvl w:ilvl="0" w:tentative="0">
      <w:start w:val="35"/>
      <w:numFmt w:val="decimal"/>
      <w:lvlText w:val="%1."/>
      <w:lvlJc w:val="left"/>
      <w:pPr>
        <w:ind w:left="420" w:hanging="420"/>
      </w:pPr>
      <w:rPr>
        <w:rFonts w:hint="eastAsia"/>
      </w:rPr>
    </w:lvl>
    <w:lvl w:ilvl="1" w:tentative="0">
      <w:start w:val="34"/>
      <w:numFmt w:val="decimal"/>
      <w:lvlText w:val="%2.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4E9D2E3E"/>
    <w:multiLevelType w:val="multilevel"/>
    <w:tmpl w:val="4E9D2E3E"/>
    <w:lvl w:ilvl="0" w:tentative="0">
      <w:start w:val="9"/>
      <w:numFmt w:val="decimal"/>
      <w:lvlText w:val="%1.1.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23A319B"/>
    <w:multiLevelType w:val="multilevel"/>
    <w:tmpl w:val="523A319B"/>
    <w:lvl w:ilvl="0" w:tentative="0">
      <w:start w:val="28"/>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2DF76A3"/>
    <w:multiLevelType w:val="multilevel"/>
    <w:tmpl w:val="52DF76A3"/>
    <w:lvl w:ilvl="0" w:tentative="0">
      <w:start w:val="3"/>
      <w:numFmt w:val="decimal"/>
      <w:lvlText w:val="%1.6.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3D26555"/>
    <w:multiLevelType w:val="multilevel"/>
    <w:tmpl w:val="53D26555"/>
    <w:lvl w:ilvl="0" w:tentative="0">
      <w:start w:val="35"/>
      <w:numFmt w:val="decimal"/>
      <w:lvlText w:val="%1."/>
      <w:lvlJc w:val="left"/>
      <w:pPr>
        <w:ind w:left="420" w:hanging="420"/>
      </w:pPr>
      <w:rPr>
        <w:rFonts w:hint="eastAsia"/>
      </w:rPr>
    </w:lvl>
    <w:lvl w:ilvl="1" w:tentative="0">
      <w:start w:val="35"/>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55294488"/>
    <w:multiLevelType w:val="multilevel"/>
    <w:tmpl w:val="55294488"/>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48"/>
      <w:suff w:val="nothing"/>
      <w:lvlText w:val="%1、"/>
      <w:lvlJc w:val="left"/>
    </w:lvl>
  </w:abstractNum>
  <w:abstractNum w:abstractNumId="36">
    <w:nsid w:val="5BD96314"/>
    <w:multiLevelType w:val="multilevel"/>
    <w:tmpl w:val="5BD96314"/>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45C790B"/>
    <w:multiLevelType w:val="multilevel"/>
    <w:tmpl w:val="645C790B"/>
    <w:lvl w:ilvl="0" w:tentative="0">
      <w:start w:val="3"/>
      <w:numFmt w:val="decimal"/>
      <w:lvlText w:val="%1.3.1"/>
      <w:lvlJc w:val="left"/>
      <w:pPr>
        <w:ind w:left="1411" w:hanging="420"/>
      </w:pPr>
      <w:rPr>
        <w:rFonts w:hint="eastAsia"/>
      </w:rPr>
    </w:lvl>
    <w:lvl w:ilvl="1" w:tentative="0">
      <w:start w:val="1"/>
      <w:numFmt w:val="lowerLetter"/>
      <w:lvlText w:val="%2)"/>
      <w:lvlJc w:val="left"/>
      <w:pPr>
        <w:ind w:left="1831" w:hanging="420"/>
      </w:pPr>
    </w:lvl>
    <w:lvl w:ilvl="2" w:tentative="0">
      <w:start w:val="1"/>
      <w:numFmt w:val="lowerRoman"/>
      <w:lvlText w:val="%3."/>
      <w:lvlJc w:val="right"/>
      <w:pPr>
        <w:ind w:left="2251" w:hanging="420"/>
      </w:pPr>
    </w:lvl>
    <w:lvl w:ilvl="3" w:tentative="0">
      <w:start w:val="1"/>
      <w:numFmt w:val="decimal"/>
      <w:lvlText w:val="%4."/>
      <w:lvlJc w:val="left"/>
      <w:pPr>
        <w:ind w:left="2671" w:hanging="420"/>
      </w:pPr>
    </w:lvl>
    <w:lvl w:ilvl="4" w:tentative="0">
      <w:start w:val="1"/>
      <w:numFmt w:val="lowerLetter"/>
      <w:lvlText w:val="%5)"/>
      <w:lvlJc w:val="left"/>
      <w:pPr>
        <w:ind w:left="3091" w:hanging="420"/>
      </w:pPr>
    </w:lvl>
    <w:lvl w:ilvl="5" w:tentative="0">
      <w:start w:val="1"/>
      <w:numFmt w:val="lowerRoman"/>
      <w:lvlText w:val="%6."/>
      <w:lvlJc w:val="right"/>
      <w:pPr>
        <w:ind w:left="3511" w:hanging="420"/>
      </w:pPr>
    </w:lvl>
    <w:lvl w:ilvl="6" w:tentative="0">
      <w:start w:val="1"/>
      <w:numFmt w:val="decimal"/>
      <w:lvlText w:val="%7."/>
      <w:lvlJc w:val="left"/>
      <w:pPr>
        <w:ind w:left="3931" w:hanging="420"/>
      </w:pPr>
    </w:lvl>
    <w:lvl w:ilvl="7" w:tentative="0">
      <w:start w:val="1"/>
      <w:numFmt w:val="lowerLetter"/>
      <w:lvlText w:val="%8)"/>
      <w:lvlJc w:val="left"/>
      <w:pPr>
        <w:ind w:left="4351" w:hanging="420"/>
      </w:pPr>
    </w:lvl>
    <w:lvl w:ilvl="8" w:tentative="0">
      <w:start w:val="1"/>
      <w:numFmt w:val="lowerRoman"/>
      <w:lvlText w:val="%9."/>
      <w:lvlJc w:val="right"/>
      <w:pPr>
        <w:ind w:left="4771" w:hanging="420"/>
      </w:pPr>
    </w:lvl>
  </w:abstractNum>
  <w:abstractNum w:abstractNumId="38">
    <w:nsid w:val="64B52D3F"/>
    <w:multiLevelType w:val="multilevel"/>
    <w:tmpl w:val="64B52D3F"/>
    <w:lvl w:ilvl="0" w:tentative="0">
      <w:start w:val="9"/>
      <w:numFmt w:val="decimal"/>
      <w:lvlText w:val="%1.1.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7DF1A01"/>
    <w:multiLevelType w:val="multilevel"/>
    <w:tmpl w:val="67DF1A01"/>
    <w:lvl w:ilvl="0" w:tentative="0">
      <w:start w:val="33"/>
      <w:numFmt w:val="decimal"/>
      <w:lvlText w:val="%1."/>
      <w:lvlJc w:val="left"/>
      <w:pPr>
        <w:ind w:left="420" w:hanging="420"/>
      </w:pPr>
      <w:rPr>
        <w:rFonts w:hint="eastAsia"/>
      </w:rPr>
    </w:lvl>
    <w:lvl w:ilvl="1" w:tentative="0">
      <w:start w:val="33"/>
      <w:numFmt w:val="decimal"/>
      <w:lvlText w:val="%2.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682358F7"/>
    <w:multiLevelType w:val="multilevel"/>
    <w:tmpl w:val="682358F7"/>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9121A1F"/>
    <w:multiLevelType w:val="multilevel"/>
    <w:tmpl w:val="69121A1F"/>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718E1F70"/>
    <w:multiLevelType w:val="multilevel"/>
    <w:tmpl w:val="718E1F70"/>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4DB423E"/>
    <w:multiLevelType w:val="multilevel"/>
    <w:tmpl w:val="74DB423E"/>
    <w:lvl w:ilvl="0" w:tentative="0">
      <w:start w:val="1"/>
      <w:numFmt w:val="decimal"/>
      <w:lvlText w:val="23.2.1.%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4E1351C"/>
    <w:multiLevelType w:val="multilevel"/>
    <w:tmpl w:val="74E1351C"/>
    <w:lvl w:ilvl="0" w:tentative="0">
      <w:start w:val="9"/>
      <w:numFmt w:val="decimal"/>
      <w:lvlText w:val="%1.1.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80248D2"/>
    <w:multiLevelType w:val="multilevel"/>
    <w:tmpl w:val="780248D2"/>
    <w:lvl w:ilvl="0" w:tentative="0">
      <w:start w:val="1"/>
      <w:numFmt w:val="decimal"/>
      <w:lvlText w:val="23.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9E7669E"/>
    <w:multiLevelType w:val="multilevel"/>
    <w:tmpl w:val="79E7669E"/>
    <w:lvl w:ilvl="0" w:tentative="0">
      <w:start w:val="9"/>
      <w:numFmt w:val="decimal"/>
      <w:lvlText w:val="%1.1.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DA90F50"/>
    <w:multiLevelType w:val="multilevel"/>
    <w:tmpl w:val="7DA90F50"/>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E030C47"/>
    <w:multiLevelType w:val="multilevel"/>
    <w:tmpl w:val="7E030C47"/>
    <w:lvl w:ilvl="0" w:tentative="0">
      <w:start w:val="9"/>
      <w:numFmt w:val="decimal"/>
      <w:lvlText w:val="%1.1.8"/>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5"/>
  </w:num>
  <w:num w:numId="4">
    <w:abstractNumId w:val="34"/>
  </w:num>
  <w:num w:numId="5">
    <w:abstractNumId w:val="0"/>
  </w:num>
  <w:num w:numId="6">
    <w:abstractNumId w:val="14"/>
  </w:num>
  <w:num w:numId="7">
    <w:abstractNumId w:val="42"/>
  </w:num>
  <w:num w:numId="8">
    <w:abstractNumId w:val="37"/>
  </w:num>
  <w:num w:numId="9">
    <w:abstractNumId w:val="27"/>
  </w:num>
  <w:num w:numId="10">
    <w:abstractNumId w:val="25"/>
  </w:num>
  <w:num w:numId="11">
    <w:abstractNumId w:val="24"/>
  </w:num>
  <w:num w:numId="12">
    <w:abstractNumId w:val="17"/>
  </w:num>
  <w:num w:numId="13">
    <w:abstractNumId w:val="36"/>
  </w:num>
  <w:num w:numId="14">
    <w:abstractNumId w:val="16"/>
  </w:num>
  <w:num w:numId="15">
    <w:abstractNumId w:val="49"/>
  </w:num>
  <w:num w:numId="16">
    <w:abstractNumId w:val="19"/>
  </w:num>
  <w:num w:numId="17">
    <w:abstractNumId w:val="31"/>
  </w:num>
  <w:num w:numId="18">
    <w:abstractNumId w:val="12"/>
  </w:num>
  <w:num w:numId="19">
    <w:abstractNumId w:val="26"/>
  </w:num>
  <w:num w:numId="20">
    <w:abstractNumId w:val="47"/>
  </w:num>
  <w:num w:numId="21">
    <w:abstractNumId w:val="29"/>
  </w:num>
  <w:num w:numId="22">
    <w:abstractNumId w:val="38"/>
  </w:num>
  <w:num w:numId="23">
    <w:abstractNumId w:val="45"/>
  </w:num>
  <w:num w:numId="24">
    <w:abstractNumId w:val="23"/>
  </w:num>
  <w:num w:numId="25">
    <w:abstractNumId w:val="18"/>
  </w:num>
  <w:num w:numId="26">
    <w:abstractNumId w:val="50"/>
  </w:num>
  <w:num w:numId="27">
    <w:abstractNumId w:val="21"/>
  </w:num>
  <w:num w:numId="28">
    <w:abstractNumId w:val="13"/>
  </w:num>
  <w:num w:numId="29">
    <w:abstractNumId w:val="48"/>
  </w:num>
  <w:num w:numId="30">
    <w:abstractNumId w:val="33"/>
  </w:num>
  <w:num w:numId="31">
    <w:abstractNumId w:val="40"/>
  </w:num>
  <w:num w:numId="32">
    <w:abstractNumId w:val="46"/>
  </w:num>
  <w:num w:numId="33">
    <w:abstractNumId w:val="44"/>
  </w:num>
  <w:num w:numId="34">
    <w:abstractNumId w:val="3"/>
  </w:num>
  <w:num w:numId="35">
    <w:abstractNumId w:val="11"/>
  </w:num>
  <w:num w:numId="36">
    <w:abstractNumId w:val="15"/>
  </w:num>
  <w:num w:numId="37">
    <w:abstractNumId w:val="8"/>
  </w:num>
  <w:num w:numId="38">
    <w:abstractNumId w:val="5"/>
  </w:num>
  <w:num w:numId="39">
    <w:abstractNumId w:val="30"/>
  </w:num>
  <w:num w:numId="40">
    <w:abstractNumId w:val="20"/>
  </w:num>
  <w:num w:numId="41">
    <w:abstractNumId w:val="43"/>
  </w:num>
  <w:num w:numId="42">
    <w:abstractNumId w:val="22"/>
  </w:num>
  <w:num w:numId="43">
    <w:abstractNumId w:val="9"/>
  </w:num>
  <w:num w:numId="44">
    <w:abstractNumId w:val="4"/>
  </w:num>
  <w:num w:numId="45">
    <w:abstractNumId w:val="41"/>
  </w:num>
  <w:num w:numId="46">
    <w:abstractNumId w:val="39"/>
  </w:num>
  <w:num w:numId="47">
    <w:abstractNumId w:val="28"/>
  </w:num>
  <w:num w:numId="48">
    <w:abstractNumId w:val="10"/>
  </w:num>
  <w:num w:numId="49">
    <w:abstractNumId w:val="32"/>
  </w:num>
  <w:num w:numId="50">
    <w:abstractNumId w:val="6"/>
  </w:num>
  <w:num w:numId="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1A71"/>
    <w:rsid w:val="0000071B"/>
    <w:rsid w:val="00001671"/>
    <w:rsid w:val="00005BB5"/>
    <w:rsid w:val="00013787"/>
    <w:rsid w:val="00014D00"/>
    <w:rsid w:val="00015072"/>
    <w:rsid w:val="00021A71"/>
    <w:rsid w:val="000244A8"/>
    <w:rsid w:val="000419D5"/>
    <w:rsid w:val="000512DD"/>
    <w:rsid w:val="000514F7"/>
    <w:rsid w:val="000576EF"/>
    <w:rsid w:val="00057AE5"/>
    <w:rsid w:val="00064A7F"/>
    <w:rsid w:val="00067DAC"/>
    <w:rsid w:val="000816D4"/>
    <w:rsid w:val="00082AB0"/>
    <w:rsid w:val="00083846"/>
    <w:rsid w:val="00092A86"/>
    <w:rsid w:val="00097686"/>
    <w:rsid w:val="000B07CB"/>
    <w:rsid w:val="000B5154"/>
    <w:rsid w:val="000C276D"/>
    <w:rsid w:val="000C65F5"/>
    <w:rsid w:val="000D72EE"/>
    <w:rsid w:val="000E0522"/>
    <w:rsid w:val="000E05AA"/>
    <w:rsid w:val="000E1037"/>
    <w:rsid w:val="000E3893"/>
    <w:rsid w:val="000F042E"/>
    <w:rsid w:val="000F2392"/>
    <w:rsid w:val="000F283C"/>
    <w:rsid w:val="000F4165"/>
    <w:rsid w:val="00101C40"/>
    <w:rsid w:val="001110CF"/>
    <w:rsid w:val="00115D0D"/>
    <w:rsid w:val="00117121"/>
    <w:rsid w:val="0013019D"/>
    <w:rsid w:val="00130236"/>
    <w:rsid w:val="00132C68"/>
    <w:rsid w:val="0013476D"/>
    <w:rsid w:val="00154B53"/>
    <w:rsid w:val="00157432"/>
    <w:rsid w:val="001669EF"/>
    <w:rsid w:val="00166DF9"/>
    <w:rsid w:val="001670AC"/>
    <w:rsid w:val="00176F9D"/>
    <w:rsid w:val="001827AE"/>
    <w:rsid w:val="001965DC"/>
    <w:rsid w:val="001975AE"/>
    <w:rsid w:val="001A119C"/>
    <w:rsid w:val="001B09D0"/>
    <w:rsid w:val="001B2619"/>
    <w:rsid w:val="001C46B2"/>
    <w:rsid w:val="001E0B8C"/>
    <w:rsid w:val="001E24B3"/>
    <w:rsid w:val="001F5547"/>
    <w:rsid w:val="002055D3"/>
    <w:rsid w:val="002060ED"/>
    <w:rsid w:val="0022430B"/>
    <w:rsid w:val="00234504"/>
    <w:rsid w:val="00260D00"/>
    <w:rsid w:val="00260E1E"/>
    <w:rsid w:val="00260F69"/>
    <w:rsid w:val="00262E86"/>
    <w:rsid w:val="00266963"/>
    <w:rsid w:val="002715FC"/>
    <w:rsid w:val="00274BF9"/>
    <w:rsid w:val="00274FA0"/>
    <w:rsid w:val="00283CD4"/>
    <w:rsid w:val="00285EAF"/>
    <w:rsid w:val="002923D3"/>
    <w:rsid w:val="0029622E"/>
    <w:rsid w:val="002A33E3"/>
    <w:rsid w:val="002C0118"/>
    <w:rsid w:val="002C153A"/>
    <w:rsid w:val="002C3DFE"/>
    <w:rsid w:val="002D3A81"/>
    <w:rsid w:val="002D6E43"/>
    <w:rsid w:val="002F22B8"/>
    <w:rsid w:val="002F6448"/>
    <w:rsid w:val="0030332D"/>
    <w:rsid w:val="003116EE"/>
    <w:rsid w:val="00313268"/>
    <w:rsid w:val="00316524"/>
    <w:rsid w:val="00316C54"/>
    <w:rsid w:val="00316F31"/>
    <w:rsid w:val="00321B9F"/>
    <w:rsid w:val="0033089F"/>
    <w:rsid w:val="003332FE"/>
    <w:rsid w:val="00352045"/>
    <w:rsid w:val="00373C93"/>
    <w:rsid w:val="00376414"/>
    <w:rsid w:val="00397204"/>
    <w:rsid w:val="003B26D1"/>
    <w:rsid w:val="003B2D25"/>
    <w:rsid w:val="003B437A"/>
    <w:rsid w:val="003C564E"/>
    <w:rsid w:val="003D22D1"/>
    <w:rsid w:val="003D29C0"/>
    <w:rsid w:val="003D3186"/>
    <w:rsid w:val="003D3313"/>
    <w:rsid w:val="003D72AD"/>
    <w:rsid w:val="003D73E0"/>
    <w:rsid w:val="003E14EB"/>
    <w:rsid w:val="003E4B46"/>
    <w:rsid w:val="003F1694"/>
    <w:rsid w:val="003F57B4"/>
    <w:rsid w:val="004003AB"/>
    <w:rsid w:val="00411DF5"/>
    <w:rsid w:val="00413B4E"/>
    <w:rsid w:val="00416D4D"/>
    <w:rsid w:val="00420258"/>
    <w:rsid w:val="00426DFA"/>
    <w:rsid w:val="00426F3C"/>
    <w:rsid w:val="0042799D"/>
    <w:rsid w:val="004362A8"/>
    <w:rsid w:val="00446D12"/>
    <w:rsid w:val="00447DC0"/>
    <w:rsid w:val="004668E3"/>
    <w:rsid w:val="00476985"/>
    <w:rsid w:val="004775D9"/>
    <w:rsid w:val="004849CB"/>
    <w:rsid w:val="004A033B"/>
    <w:rsid w:val="004A1831"/>
    <w:rsid w:val="004A3FF6"/>
    <w:rsid w:val="004B2B71"/>
    <w:rsid w:val="004B41A8"/>
    <w:rsid w:val="004D468E"/>
    <w:rsid w:val="004D5849"/>
    <w:rsid w:val="004F25AB"/>
    <w:rsid w:val="004F489E"/>
    <w:rsid w:val="00501CF5"/>
    <w:rsid w:val="005125BB"/>
    <w:rsid w:val="005375E2"/>
    <w:rsid w:val="005413D4"/>
    <w:rsid w:val="00541688"/>
    <w:rsid w:val="00562830"/>
    <w:rsid w:val="00565DCE"/>
    <w:rsid w:val="00571094"/>
    <w:rsid w:val="00575134"/>
    <w:rsid w:val="00582242"/>
    <w:rsid w:val="00585165"/>
    <w:rsid w:val="00586495"/>
    <w:rsid w:val="005865FA"/>
    <w:rsid w:val="00590863"/>
    <w:rsid w:val="00596077"/>
    <w:rsid w:val="00597EB7"/>
    <w:rsid w:val="00597F8C"/>
    <w:rsid w:val="005A2A76"/>
    <w:rsid w:val="005A4157"/>
    <w:rsid w:val="005A66CD"/>
    <w:rsid w:val="005B2CF5"/>
    <w:rsid w:val="005B3003"/>
    <w:rsid w:val="005B5809"/>
    <w:rsid w:val="005C6857"/>
    <w:rsid w:val="005C7421"/>
    <w:rsid w:val="005D1768"/>
    <w:rsid w:val="005D23D3"/>
    <w:rsid w:val="005F50BE"/>
    <w:rsid w:val="00602C59"/>
    <w:rsid w:val="00613202"/>
    <w:rsid w:val="00625279"/>
    <w:rsid w:val="00627DB8"/>
    <w:rsid w:val="006304C7"/>
    <w:rsid w:val="006305E4"/>
    <w:rsid w:val="00632713"/>
    <w:rsid w:val="00636AAD"/>
    <w:rsid w:val="00640C13"/>
    <w:rsid w:val="006411B4"/>
    <w:rsid w:val="00646632"/>
    <w:rsid w:val="00646A2D"/>
    <w:rsid w:val="0065622B"/>
    <w:rsid w:val="0066221B"/>
    <w:rsid w:val="00675DFA"/>
    <w:rsid w:val="00684F29"/>
    <w:rsid w:val="00685975"/>
    <w:rsid w:val="006904DE"/>
    <w:rsid w:val="006A48ED"/>
    <w:rsid w:val="006A60A1"/>
    <w:rsid w:val="006B0174"/>
    <w:rsid w:val="006B0F9D"/>
    <w:rsid w:val="006B5046"/>
    <w:rsid w:val="006C20FF"/>
    <w:rsid w:val="006C3182"/>
    <w:rsid w:val="006D26B2"/>
    <w:rsid w:val="006E097C"/>
    <w:rsid w:val="006E43AF"/>
    <w:rsid w:val="006E510C"/>
    <w:rsid w:val="006F2D0A"/>
    <w:rsid w:val="006F325B"/>
    <w:rsid w:val="006F6D99"/>
    <w:rsid w:val="00704B37"/>
    <w:rsid w:val="007064FB"/>
    <w:rsid w:val="007106CD"/>
    <w:rsid w:val="00721407"/>
    <w:rsid w:val="00721BFD"/>
    <w:rsid w:val="0072730A"/>
    <w:rsid w:val="00731A82"/>
    <w:rsid w:val="007329B3"/>
    <w:rsid w:val="007373B5"/>
    <w:rsid w:val="00750557"/>
    <w:rsid w:val="00750595"/>
    <w:rsid w:val="00757739"/>
    <w:rsid w:val="007678E3"/>
    <w:rsid w:val="00767D1B"/>
    <w:rsid w:val="00773448"/>
    <w:rsid w:val="007846F7"/>
    <w:rsid w:val="007903A1"/>
    <w:rsid w:val="007928CC"/>
    <w:rsid w:val="007954C6"/>
    <w:rsid w:val="007B45BB"/>
    <w:rsid w:val="007D7F31"/>
    <w:rsid w:val="007E2086"/>
    <w:rsid w:val="007E65E3"/>
    <w:rsid w:val="007F39FA"/>
    <w:rsid w:val="007F6A47"/>
    <w:rsid w:val="0080760E"/>
    <w:rsid w:val="00823C71"/>
    <w:rsid w:val="00826C2B"/>
    <w:rsid w:val="00827ABD"/>
    <w:rsid w:val="00834904"/>
    <w:rsid w:val="00837445"/>
    <w:rsid w:val="0084221A"/>
    <w:rsid w:val="00844266"/>
    <w:rsid w:val="00846469"/>
    <w:rsid w:val="008508E6"/>
    <w:rsid w:val="00850DB0"/>
    <w:rsid w:val="00854F3B"/>
    <w:rsid w:val="00855367"/>
    <w:rsid w:val="00856F07"/>
    <w:rsid w:val="0086418D"/>
    <w:rsid w:val="00866896"/>
    <w:rsid w:val="008821EB"/>
    <w:rsid w:val="008965BF"/>
    <w:rsid w:val="008A2A90"/>
    <w:rsid w:val="008A2B62"/>
    <w:rsid w:val="008A3F87"/>
    <w:rsid w:val="008A654A"/>
    <w:rsid w:val="008A7DF1"/>
    <w:rsid w:val="008B57F9"/>
    <w:rsid w:val="008C16D0"/>
    <w:rsid w:val="008D13BD"/>
    <w:rsid w:val="008D475D"/>
    <w:rsid w:val="008D599F"/>
    <w:rsid w:val="008E37D5"/>
    <w:rsid w:val="008E7E9B"/>
    <w:rsid w:val="008F0A67"/>
    <w:rsid w:val="008F12E9"/>
    <w:rsid w:val="008F5284"/>
    <w:rsid w:val="008F74A8"/>
    <w:rsid w:val="00900421"/>
    <w:rsid w:val="009116E5"/>
    <w:rsid w:val="00913286"/>
    <w:rsid w:val="00915BB1"/>
    <w:rsid w:val="00922311"/>
    <w:rsid w:val="009272A1"/>
    <w:rsid w:val="00930178"/>
    <w:rsid w:val="0093358A"/>
    <w:rsid w:val="00955C41"/>
    <w:rsid w:val="0096074F"/>
    <w:rsid w:val="00962675"/>
    <w:rsid w:val="0096378B"/>
    <w:rsid w:val="00976FFC"/>
    <w:rsid w:val="00977D07"/>
    <w:rsid w:val="009834FA"/>
    <w:rsid w:val="00990290"/>
    <w:rsid w:val="009947FC"/>
    <w:rsid w:val="00994FA3"/>
    <w:rsid w:val="0099748C"/>
    <w:rsid w:val="009A7E91"/>
    <w:rsid w:val="009B3EBD"/>
    <w:rsid w:val="009C12AB"/>
    <w:rsid w:val="009C34D1"/>
    <w:rsid w:val="009C6E7F"/>
    <w:rsid w:val="009D02FA"/>
    <w:rsid w:val="009E10B0"/>
    <w:rsid w:val="009F1FF5"/>
    <w:rsid w:val="009F4205"/>
    <w:rsid w:val="009F66B6"/>
    <w:rsid w:val="009F68E3"/>
    <w:rsid w:val="009F6CF0"/>
    <w:rsid w:val="00A05E06"/>
    <w:rsid w:val="00A061E6"/>
    <w:rsid w:val="00A12E38"/>
    <w:rsid w:val="00A12EC0"/>
    <w:rsid w:val="00A2015D"/>
    <w:rsid w:val="00A233EE"/>
    <w:rsid w:val="00A254CE"/>
    <w:rsid w:val="00A27F7D"/>
    <w:rsid w:val="00A31D13"/>
    <w:rsid w:val="00A335A2"/>
    <w:rsid w:val="00A34A2F"/>
    <w:rsid w:val="00A417A1"/>
    <w:rsid w:val="00A47A55"/>
    <w:rsid w:val="00A47FB1"/>
    <w:rsid w:val="00A530F5"/>
    <w:rsid w:val="00A54AE5"/>
    <w:rsid w:val="00A57868"/>
    <w:rsid w:val="00A64EC8"/>
    <w:rsid w:val="00A80532"/>
    <w:rsid w:val="00A85C37"/>
    <w:rsid w:val="00A95C2C"/>
    <w:rsid w:val="00AA011C"/>
    <w:rsid w:val="00AA040C"/>
    <w:rsid w:val="00AA0F81"/>
    <w:rsid w:val="00AA490E"/>
    <w:rsid w:val="00AA58EE"/>
    <w:rsid w:val="00AB2402"/>
    <w:rsid w:val="00AC0704"/>
    <w:rsid w:val="00AC75DF"/>
    <w:rsid w:val="00AD3430"/>
    <w:rsid w:val="00AD505F"/>
    <w:rsid w:val="00AD6EA3"/>
    <w:rsid w:val="00AD7970"/>
    <w:rsid w:val="00AE5A30"/>
    <w:rsid w:val="00AF01F0"/>
    <w:rsid w:val="00AF5B2A"/>
    <w:rsid w:val="00AF6B01"/>
    <w:rsid w:val="00B04194"/>
    <w:rsid w:val="00B042E5"/>
    <w:rsid w:val="00B118C1"/>
    <w:rsid w:val="00B13714"/>
    <w:rsid w:val="00B17613"/>
    <w:rsid w:val="00B23D9E"/>
    <w:rsid w:val="00B27C75"/>
    <w:rsid w:val="00B333D9"/>
    <w:rsid w:val="00B364DB"/>
    <w:rsid w:val="00B427BD"/>
    <w:rsid w:val="00B43FB3"/>
    <w:rsid w:val="00B45C74"/>
    <w:rsid w:val="00B51AFD"/>
    <w:rsid w:val="00B57804"/>
    <w:rsid w:val="00B65A64"/>
    <w:rsid w:val="00B67A5B"/>
    <w:rsid w:val="00B803C7"/>
    <w:rsid w:val="00B81247"/>
    <w:rsid w:val="00BA2DCD"/>
    <w:rsid w:val="00BB6166"/>
    <w:rsid w:val="00BB770F"/>
    <w:rsid w:val="00BB7E66"/>
    <w:rsid w:val="00BC2B9C"/>
    <w:rsid w:val="00BC2DBA"/>
    <w:rsid w:val="00BC38CE"/>
    <w:rsid w:val="00BC5333"/>
    <w:rsid w:val="00BD36D6"/>
    <w:rsid w:val="00BD5945"/>
    <w:rsid w:val="00BE11BE"/>
    <w:rsid w:val="00BE1B36"/>
    <w:rsid w:val="00BE5230"/>
    <w:rsid w:val="00BE64FA"/>
    <w:rsid w:val="00BE6AF8"/>
    <w:rsid w:val="00BF1538"/>
    <w:rsid w:val="00BF4F52"/>
    <w:rsid w:val="00BF7027"/>
    <w:rsid w:val="00C00E8D"/>
    <w:rsid w:val="00C01AE3"/>
    <w:rsid w:val="00C046F6"/>
    <w:rsid w:val="00C07B15"/>
    <w:rsid w:val="00C12CAB"/>
    <w:rsid w:val="00C30253"/>
    <w:rsid w:val="00C30F39"/>
    <w:rsid w:val="00C3562E"/>
    <w:rsid w:val="00C417E4"/>
    <w:rsid w:val="00C43073"/>
    <w:rsid w:val="00C61C68"/>
    <w:rsid w:val="00C66367"/>
    <w:rsid w:val="00C7631F"/>
    <w:rsid w:val="00C7764C"/>
    <w:rsid w:val="00C83754"/>
    <w:rsid w:val="00C84045"/>
    <w:rsid w:val="00C93CFB"/>
    <w:rsid w:val="00CA6397"/>
    <w:rsid w:val="00CA71AF"/>
    <w:rsid w:val="00CB194C"/>
    <w:rsid w:val="00CC75D7"/>
    <w:rsid w:val="00CD5079"/>
    <w:rsid w:val="00CD7443"/>
    <w:rsid w:val="00CE1FEF"/>
    <w:rsid w:val="00CE2835"/>
    <w:rsid w:val="00D010D6"/>
    <w:rsid w:val="00D066FB"/>
    <w:rsid w:val="00D158AF"/>
    <w:rsid w:val="00D17333"/>
    <w:rsid w:val="00D23CBC"/>
    <w:rsid w:val="00D26EE5"/>
    <w:rsid w:val="00D329FF"/>
    <w:rsid w:val="00D34F59"/>
    <w:rsid w:val="00D42E5E"/>
    <w:rsid w:val="00D61D6C"/>
    <w:rsid w:val="00D6292E"/>
    <w:rsid w:val="00D721AD"/>
    <w:rsid w:val="00D74FA2"/>
    <w:rsid w:val="00D76115"/>
    <w:rsid w:val="00D91071"/>
    <w:rsid w:val="00DA132D"/>
    <w:rsid w:val="00DA1D7E"/>
    <w:rsid w:val="00DA2EDF"/>
    <w:rsid w:val="00DA49BA"/>
    <w:rsid w:val="00DB1825"/>
    <w:rsid w:val="00DB56B6"/>
    <w:rsid w:val="00DB7E06"/>
    <w:rsid w:val="00DC4517"/>
    <w:rsid w:val="00DC4D65"/>
    <w:rsid w:val="00DD6632"/>
    <w:rsid w:val="00DE2EA3"/>
    <w:rsid w:val="00DE5128"/>
    <w:rsid w:val="00DF05FF"/>
    <w:rsid w:val="00DF1CE9"/>
    <w:rsid w:val="00DF4044"/>
    <w:rsid w:val="00E000F1"/>
    <w:rsid w:val="00E001B6"/>
    <w:rsid w:val="00E126ED"/>
    <w:rsid w:val="00E12DCD"/>
    <w:rsid w:val="00E147B7"/>
    <w:rsid w:val="00E156AD"/>
    <w:rsid w:val="00E1579A"/>
    <w:rsid w:val="00E21E29"/>
    <w:rsid w:val="00E23C32"/>
    <w:rsid w:val="00E316FB"/>
    <w:rsid w:val="00E42013"/>
    <w:rsid w:val="00E444AF"/>
    <w:rsid w:val="00E553B2"/>
    <w:rsid w:val="00E56AA1"/>
    <w:rsid w:val="00E57B74"/>
    <w:rsid w:val="00E61C7F"/>
    <w:rsid w:val="00E62853"/>
    <w:rsid w:val="00E65C47"/>
    <w:rsid w:val="00E854EB"/>
    <w:rsid w:val="00E900FE"/>
    <w:rsid w:val="00E903F0"/>
    <w:rsid w:val="00EA31EF"/>
    <w:rsid w:val="00EB4EFA"/>
    <w:rsid w:val="00EB54D0"/>
    <w:rsid w:val="00EB667D"/>
    <w:rsid w:val="00ED0994"/>
    <w:rsid w:val="00ED141A"/>
    <w:rsid w:val="00ED3F8D"/>
    <w:rsid w:val="00ED6092"/>
    <w:rsid w:val="00EE1D4E"/>
    <w:rsid w:val="00EF0BB2"/>
    <w:rsid w:val="00EF458E"/>
    <w:rsid w:val="00EF4B55"/>
    <w:rsid w:val="00F0003A"/>
    <w:rsid w:val="00F00400"/>
    <w:rsid w:val="00F018B9"/>
    <w:rsid w:val="00F06E44"/>
    <w:rsid w:val="00F07C04"/>
    <w:rsid w:val="00F10E31"/>
    <w:rsid w:val="00F22B31"/>
    <w:rsid w:val="00F30C54"/>
    <w:rsid w:val="00F31EB3"/>
    <w:rsid w:val="00F33A06"/>
    <w:rsid w:val="00F33CF8"/>
    <w:rsid w:val="00F33EF2"/>
    <w:rsid w:val="00F34747"/>
    <w:rsid w:val="00F36D6A"/>
    <w:rsid w:val="00F4329E"/>
    <w:rsid w:val="00F44B2D"/>
    <w:rsid w:val="00F56498"/>
    <w:rsid w:val="00F62ABF"/>
    <w:rsid w:val="00F655E3"/>
    <w:rsid w:val="00F71DDA"/>
    <w:rsid w:val="00F771E3"/>
    <w:rsid w:val="00F806E7"/>
    <w:rsid w:val="00F94C23"/>
    <w:rsid w:val="00F9742E"/>
    <w:rsid w:val="00FA31F3"/>
    <w:rsid w:val="00FA4833"/>
    <w:rsid w:val="00FB07ED"/>
    <w:rsid w:val="00FB0808"/>
    <w:rsid w:val="00FB6344"/>
    <w:rsid w:val="00FC192F"/>
    <w:rsid w:val="00FC208B"/>
    <w:rsid w:val="00FC4C3C"/>
    <w:rsid w:val="00FE10A9"/>
    <w:rsid w:val="00FE1637"/>
    <w:rsid w:val="00FE6CAD"/>
    <w:rsid w:val="07A67932"/>
    <w:rsid w:val="0B507C65"/>
    <w:rsid w:val="13C55984"/>
    <w:rsid w:val="1A2936E7"/>
    <w:rsid w:val="1D097209"/>
    <w:rsid w:val="22B60C31"/>
    <w:rsid w:val="26EB693D"/>
    <w:rsid w:val="29B075A9"/>
    <w:rsid w:val="2E223D61"/>
    <w:rsid w:val="358A1E74"/>
    <w:rsid w:val="369D31C0"/>
    <w:rsid w:val="36D5077F"/>
    <w:rsid w:val="4B31393F"/>
    <w:rsid w:val="4EDB3860"/>
    <w:rsid w:val="51FD2C09"/>
    <w:rsid w:val="5B60397F"/>
    <w:rsid w:val="5EB84C3F"/>
    <w:rsid w:val="679047E0"/>
    <w:rsid w:val="6B675589"/>
    <w:rsid w:val="727A4C17"/>
    <w:rsid w:val="74D34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5186</Words>
  <Characters>29566</Characters>
  <Lines>246</Lines>
  <Paragraphs>69</Paragraphs>
  <TotalTime>11</TotalTime>
  <ScaleCrop>false</ScaleCrop>
  <LinksUpToDate>false</LinksUpToDate>
  <CharactersWithSpaces>34683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2020-03-10T09:32:00Z</dcterms:created>
  <dc:creator>许昌市公共资源交易中心:孟莉</dc:creator>
  <cp:lastModifiedBy>羊</cp:lastModifiedBy>
  <dcterms:modified xsi:type="dcterms:W3CDTF">2020-04-03T07:26:05Z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