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许昌职业技术学院“服务器及应用系统运维平台、人工智能服务、工程师驻场服务</w:t>
      </w:r>
      <w:r>
        <w:rPr>
          <w:rFonts w:hint="eastAsia" w:asciiTheme="majorEastAsia" w:hAnsiTheme="majorEastAsia" w:eastAsiaTheme="majorEastAsia" w:cstheme="majorEastAsia"/>
          <w:b/>
          <w:bCs/>
          <w:color w:val="000000"/>
          <w:sz w:val="44"/>
          <w:szCs w:val="44"/>
          <w:lang w:eastAsia="zh-CN"/>
        </w:rPr>
        <w:t>（不见面开标）</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026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二〇一〇年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受许昌职业技术学院的委托，对“服务器及应用系统运维平台、人工智能服务、工程师驻场服务</w:t>
      </w:r>
      <w:r>
        <w:rPr>
          <w:rFonts w:hint="eastAsia"/>
          <w:color w:val="000000"/>
          <w:sz w:val="21"/>
          <w:szCs w:val="21"/>
          <w:shd w:val="clear" w:color="auto" w:fill="FFFFFF"/>
          <w:lang w:eastAsia="zh-CN"/>
        </w:rPr>
        <w:t>（不见面开标）</w:t>
      </w:r>
      <w:r>
        <w:rPr>
          <w:rFonts w:hint="eastAsia"/>
          <w:color w:val="000000"/>
          <w:sz w:val="21"/>
          <w:szCs w:val="21"/>
          <w:shd w:val="clear" w:color="auto" w:fill="FFFFFF"/>
        </w:rPr>
        <w:t>”项目进行公开招标。现邀请符合本招标文件规定条件的投标人前来投标。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服务器</w:t>
      </w:r>
      <w:r>
        <w:rPr>
          <w:rFonts w:hint="eastAsia" w:cs="仿宋_GB2312" w:asciiTheme="minorEastAsia" w:hAnsiTheme="minorEastAsia" w:eastAsiaTheme="minorEastAsia"/>
          <w:color w:val="000000"/>
          <w:sz w:val="21"/>
          <w:szCs w:val="21"/>
          <w:shd w:val="clear" w:color="auto" w:fill="FFFFFF"/>
        </w:rPr>
        <w:t>及应用系统运维平台、人工智能服务、工程师驻场服务</w:t>
      </w:r>
      <w:r>
        <w:rPr>
          <w:rFonts w:hint="eastAsia" w:cs="仿宋_GB2312" w:asciiTheme="minorEastAsia" w:hAnsiTheme="minorEastAsia" w:eastAsiaTheme="minorEastAsia"/>
          <w:color w:val="000000"/>
          <w:sz w:val="21"/>
          <w:szCs w:val="21"/>
          <w:shd w:val="clear" w:color="auto" w:fill="FFFFFF"/>
          <w:lang w:eastAsia="zh-CN"/>
        </w:rPr>
        <w:t>（不见面开标）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w:t>
      </w:r>
      <w:r>
        <w:rPr>
          <w:rFonts w:hint="eastAsia" w:cs="仿宋_GB2312" w:asciiTheme="minorEastAsia" w:hAnsiTheme="minorEastAsia" w:eastAsiaTheme="minorEastAsia"/>
          <w:color w:val="000000"/>
          <w:sz w:val="21"/>
          <w:szCs w:val="21"/>
          <w:shd w:val="clear" w:color="auto" w:fill="FFFFFF"/>
          <w:lang w:val="en-US" w:eastAsia="zh-CN"/>
        </w:rPr>
        <w:t>20026</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lang w:val="en-US" w:eastAsia="zh-CN"/>
        </w:rPr>
        <w:t>四）项目主要内容、数量及要求：2名工程师驻场1年及运维平台服务。</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50万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50万</w:t>
      </w:r>
      <w:r>
        <w:rPr>
          <w:rFonts w:hint="eastAsia" w:cs="仿宋_GB2312" w:asciiTheme="minorEastAsia" w:hAnsiTheme="minorEastAsia" w:eastAsiaTheme="minorEastAsia"/>
          <w:color w:val="000000"/>
          <w:sz w:val="21"/>
          <w:szCs w:val="21"/>
          <w:shd w:val="clear" w:color="auto" w:fill="FFFFFF"/>
        </w:rPr>
        <w:t>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1年</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（七）交付（服务、完工）地点：许昌职业技术学院</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（一）投标截止及开标时间：20</w:t>
      </w:r>
      <w:r>
        <w:rPr>
          <w:rFonts w:hint="eastAsia" w:cs="仿宋_GB2312" w:asciiTheme="minorEastAsia" w:hAnsiTheme="minorEastAsia" w:eastAsiaTheme="minorEastAsia"/>
          <w:color w:val="000000"/>
          <w:sz w:val="21"/>
          <w:szCs w:val="21"/>
          <w:lang w:val="en-US" w:eastAsia="zh-CN"/>
        </w:rPr>
        <w:t>20</w:t>
      </w:r>
      <w:r>
        <w:rPr>
          <w:rFonts w:hint="eastAsia" w:cs="仿宋_GB2312" w:asciiTheme="minorEastAsia" w:hAnsiTheme="minorEastAsia" w:eastAsiaTheme="minorEastAsia"/>
          <w:color w:val="000000"/>
          <w:sz w:val="21"/>
          <w:szCs w:val="21"/>
        </w:rPr>
        <w:t>年</w:t>
      </w:r>
      <w:r>
        <w:rPr>
          <w:rFonts w:hint="eastAsia" w:cs="仿宋_GB2312" w:asciiTheme="minorEastAsia" w:hAnsiTheme="minorEastAsia" w:eastAsiaTheme="minorEastAsia"/>
          <w:color w:val="auto"/>
          <w:sz w:val="21"/>
          <w:szCs w:val="21"/>
          <w:lang w:val="en-US" w:eastAsia="zh-CN"/>
        </w:rPr>
        <w:t>4</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27</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w:t>
      </w:r>
      <w:r>
        <w:rPr>
          <w:rFonts w:cs="Arial" w:asciiTheme="minorEastAsia" w:hAnsiTheme="minorEastAsia"/>
          <w:color w:val="000000"/>
          <w:szCs w:val="21"/>
        </w:rPr>
        <w:t>职业技术学院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地址：许昌市新兴东路4336号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联系人：王甫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right"/>
        <w:rPr>
          <w:rFonts w:hint="eastAsia" w:cs="Arial" w:asciiTheme="minorEastAsia" w:hAnsiTheme="minorEastAsia"/>
          <w:color w:val="000000"/>
          <w:szCs w:val="21"/>
        </w:rPr>
      </w:pPr>
    </w:p>
    <w:p>
      <w:pPr>
        <w:adjustRightInd w:val="0"/>
        <w:snapToGrid w:val="0"/>
        <w:spacing w:line="360" w:lineRule="auto"/>
        <w:ind w:firstLine="840" w:firstLineChars="400"/>
        <w:jc w:val="right"/>
        <w:rPr>
          <w:rFonts w:cs="Arial" w:asciiTheme="minorEastAsia" w:hAnsiTheme="minorEastAsia"/>
          <w:color w:val="000000"/>
          <w:szCs w:val="21"/>
        </w:rPr>
      </w:pPr>
      <w:r>
        <w:rPr>
          <w:rFonts w:hint="eastAsia" w:cs="Arial" w:asciiTheme="minorEastAsia" w:hAnsiTheme="minorEastAsia"/>
          <w:color w:val="000000"/>
          <w:szCs w:val="21"/>
        </w:rPr>
        <w:t>许昌</w:t>
      </w:r>
      <w:r>
        <w:rPr>
          <w:rFonts w:cs="Arial" w:asciiTheme="minorEastAsia" w:hAnsiTheme="minorEastAsia"/>
          <w:color w:val="000000"/>
          <w:szCs w:val="21"/>
        </w:rPr>
        <w:t>职业技术学院</w:t>
      </w:r>
    </w:p>
    <w:p>
      <w:pPr>
        <w:pStyle w:val="2"/>
        <w:jc w:val="right"/>
        <w:rPr>
          <w:rFonts w:hint="default" w:eastAsiaTheme="minorEastAsia"/>
          <w:lang w:val="en-US" w:eastAsia="zh-CN"/>
        </w:rPr>
      </w:pPr>
      <w:r>
        <w:rPr>
          <w:rFonts w:hint="eastAsia" w:cs="Arial" w:asciiTheme="minorEastAsia" w:hAnsiTheme="minorEastAsia"/>
          <w:color w:val="000000"/>
          <w:szCs w:val="21"/>
          <w:lang w:val="en-US" w:eastAsia="zh-CN"/>
        </w:rPr>
        <w:t>2020年4月3 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pStyle w:val="2"/>
        <w:rPr>
          <w:rFonts w:hint="eastAsia" w:cs="宋体" w:asciiTheme="minorEastAsia" w:hAnsiTheme="minorEastAsia"/>
          <w:color w:val="auto"/>
          <w:kern w:val="0"/>
          <w:szCs w:val="21"/>
        </w:rPr>
      </w:pPr>
    </w:p>
    <w:p>
      <w:pPr>
        <w:tabs>
          <w:tab w:val="left" w:pos="7095"/>
        </w:tabs>
        <w:spacing w:line="360" w:lineRule="auto"/>
        <w:ind w:firstLine="420" w:firstLineChars="200"/>
        <w:contextualSpacing/>
        <w:rPr>
          <w:rFonts w:hAnsi="宋体"/>
          <w:color w:val="auto"/>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600" w:firstLineChars="200"/>
        <w:contextualSpacing/>
        <w:jc w:val="left"/>
        <w:rPr>
          <w:rFonts w:hint="eastAsia" w:asciiTheme="minorEastAsia" w:hAnsiTheme="minorEastAsia" w:eastAsiaTheme="minorEastAsia" w:cstheme="minorEastAsia"/>
          <w:b/>
          <w:bCs/>
          <w:color w:val="000000"/>
          <w:sz w:val="24"/>
          <w:szCs w:val="24"/>
          <w:shd w:val="clear" w:color="auto" w:fill="FFFFFF"/>
        </w:rPr>
      </w:pPr>
      <w:r>
        <w:rPr>
          <w:rFonts w:hint="eastAsia" w:asciiTheme="minorEastAsia" w:hAnsiTheme="minorEastAsia" w:eastAsiaTheme="minorEastAsia" w:cstheme="minorEastAsia"/>
          <w:color w:val="000000"/>
          <w:kern w:val="0"/>
          <w:sz w:val="30"/>
          <w:szCs w:val="30"/>
          <w:shd w:val="clear" w:color="auto" w:fill="FFFFFF"/>
        </w:rPr>
        <w:t>购买服务器及应用系统运维平台、人工智能服务、工程师驻场服务是为了解决我院网络和应用系统维护专业技术人员短缺的问题，并提供系统监控和异常情况预警，保障各业务系统安全、高效运行。</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3"/>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75"/>
        <w:gridCol w:w="5415"/>
        <w:gridCol w:w="88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80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货物名称</w:t>
            </w:r>
          </w:p>
        </w:tc>
        <w:tc>
          <w:tcPr>
            <w:tcW w:w="54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技术规格及主要参数</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w:t>
            </w:r>
          </w:p>
        </w:tc>
        <w:tc>
          <w:tcPr>
            <w:tcW w:w="79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8" w:hRule="atLeast"/>
        </w:trPr>
        <w:tc>
          <w:tcPr>
            <w:tcW w:w="80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76"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lang w:bidi="ar"/>
              </w:rPr>
              <w:t>服务器及应用系统运维平台</w:t>
            </w:r>
          </w:p>
        </w:tc>
        <w:tc>
          <w:tcPr>
            <w:tcW w:w="54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276" w:lineRule="auto"/>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总体要求：</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能够检测物理服务器、虚拟服务器以及应用系统的运行状态，提供运维平台运行信息模型可视化展示、运维管理和实时预警功能。</w:t>
            </w:r>
          </w:p>
          <w:p>
            <w:pPr>
              <w:adjustRightInd w:val="0"/>
              <w:spacing w:line="276" w:lineRule="auto"/>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技术要求：</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平台采用J2EE平台，所有操作和配置均为B/S界面操作完成，内置合法数据库方便系统快速部署。</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因软硬件设备的管理协议的多样性，系统要求支持多种管理协议，包括SNMP、WMI、Telnet、SSH、JDBC、JMX、IPMI等。</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业务系统的运行情况不仅仅通过IT基础架构的运行数据来体现，还需要将业务系统自身的业务数据纳入统计范畴。因此系统应提供对外的API接口，可对接业务系统推送的自定义业务指标，或通过执行脚本等形式主动获取业务数据</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▲为从宏观和整体角度掌握所有IT系统的运行情况，系统应提供IT整体健康指数的量化指标，使运维部门的管理人员清晰了解当前整体IT系统的好坏，以及IT整体健康情况的历史走势。</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支持自定义时间范围进行多业务应用的指标对比分析，包括：可用率、健康度、繁忙度、宕机次数、宕机时长。</w:t>
            </w:r>
          </w:p>
          <w:p>
            <w:pPr>
              <w:pStyle w:val="2"/>
              <w:spacing w:line="360" w:lineRule="auto"/>
              <w:ind w:left="0" w:left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▲为详细掌握网络中流量的应用构成、终端流量等详细信息，需支持基于Flow协议的流量分析功能。支持各厂商的流协议包括NetFlow、IPFIX、NetStream等。支持从设备、应用、终端、会话、IP分组、MPLS VPN等多维度、多视角的流量分析功能。</w:t>
            </w:r>
          </w:p>
          <w:p>
            <w:pPr>
              <w:pStyle w:val="2"/>
              <w:spacing w:line="360" w:lineRule="auto"/>
              <w:ind w:left="0" w:left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运维经验的积累与分享是整个运维能力提升的基础，因此系统要具备完整的知识管理功能。提供完善的知识生命周期管理功能，包括知识的提交、审批、修改、查询、收藏、删除、统计等。具备评价功能，根据知识使用率和评分功能，自动计算出热点知识并自动排名。</w:t>
            </w:r>
          </w:p>
          <w:p>
            <w:pPr>
              <w:pStyle w:val="2"/>
              <w:spacing w:line="360" w:lineRule="auto"/>
              <w:ind w:left="0" w:left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▲统一CMDB作为整个运维管理的基础模块，是支撑运维管理工作的重要组成部分。所有的配置项要支持多种构建方式以方便构建配置管理数据库，包括自动发现、手动录入、批量导入等。</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支持物理服务器、虚拟化服务器、数据库、中间件、应用、虚拟机的一体化管理，收集状态、性能、配置、信息四类指标。</w:t>
            </w:r>
          </w:p>
          <w:p>
            <w:pPr>
              <w:pStyle w:val="2"/>
              <w:spacing w:line="360" w:lineRule="auto"/>
              <w:ind w:left="0" w:left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为了定期掌握配置项信息的变化情况，系统应支持配置审计功能。需支持对加入到CMDB中的资源进行配置审计，根据设定的时间周期定期自动比对，并生成审计报告，提醒CMDB中发生变化的数据对应的配置项；支持添加、删除、修改和导出配置审计的操作。</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可同一页面上快速查看完整信息，包含资源概况、指标信息、告警信息、实时分析、维护信息、拓扑定位、业务结构图及资源的CI信息等，实现各IT资源的相互影响分析管理及联动。</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实现虚拟化管理功能，支持通过API接口实现对VMware 、Hyper-V、Citrix、H3C CAS、华为 FusionCompute主流虚拟化设备进行监控和管理。结合虚拟化资源的分配、部署、应用情况进行采集分析；</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提供虚拟化资源拓扑图、提供虚拟机漂移告警，告警包括漂移前所属主机、漂移后所属主机。</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本次配置50个服务器节点监控授权，100个虚拟化物理主机节点监控授权；</w:t>
            </w:r>
          </w:p>
          <w:p>
            <w:pPr>
              <w:adjustRightInd w:val="0"/>
              <w:spacing w:line="276" w:lineRule="auto"/>
              <w:jc w:val="left"/>
              <w:rPr>
                <w:rFonts w:hint="eastAsia" w:asciiTheme="minorEastAsia" w:hAnsiTheme="minorEastAsia" w:eastAsiaTheme="minorEastAsia" w:cstheme="minorEastAsia"/>
                <w:b/>
                <w:i/>
                <w:color w:val="548DD4" w:themeColor="text2" w:themeTint="99"/>
                <w:kern w:val="0"/>
                <w:sz w:val="21"/>
                <w:szCs w:val="21"/>
              </w:rPr>
            </w:pPr>
            <w:r>
              <w:rPr>
                <w:rFonts w:hint="eastAsia" w:asciiTheme="minorEastAsia" w:hAnsiTheme="minorEastAsia" w:eastAsiaTheme="minorEastAsia" w:cstheme="minorEastAsia"/>
                <w:color w:val="000000"/>
                <w:kern w:val="0"/>
                <w:sz w:val="21"/>
                <w:szCs w:val="21"/>
              </w:rPr>
              <w:t>本平台需专业售后工程师现场部署、调试以及项目文档撰写与基础维护知识培训。</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套</w:t>
            </w:r>
          </w:p>
        </w:tc>
        <w:tc>
          <w:tcPr>
            <w:tcW w:w="79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1" w:hRule="atLeast"/>
        </w:trPr>
        <w:tc>
          <w:tcPr>
            <w:tcW w:w="80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76"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lang w:bidi="ar"/>
              </w:rPr>
              <w:t>人工智能服务</w:t>
            </w:r>
          </w:p>
        </w:tc>
        <w:tc>
          <w:tcPr>
            <w:tcW w:w="54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276"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服务范围：</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一、应用系统：统一身份证、应用管理平台、主数据平台，学工域、人事域、教务域、公共服务等；</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二、主机系统：以上应用涉及的主机操作系统；</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三、数据库系统：智慧校园应用系统使用的oracle数据库；</w:t>
            </w:r>
          </w:p>
          <w:p>
            <w:pPr>
              <w:adjustRightInd w:val="0"/>
              <w:spacing w:line="276"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服务要求：</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kern w:val="0"/>
                <w:sz w:val="21"/>
                <w:szCs w:val="21"/>
              </w:rPr>
              <w:t>一、资产盘点</w:t>
            </w:r>
            <w:r>
              <w:rPr>
                <w:rFonts w:hint="eastAsia" w:asciiTheme="minorEastAsia" w:hAnsiTheme="minorEastAsia" w:eastAsiaTheme="minorEastAsia" w:cstheme="minorEastAsia"/>
                <w:color w:val="000000"/>
                <w:kern w:val="0"/>
                <w:sz w:val="21"/>
                <w:szCs w:val="21"/>
              </w:rPr>
              <w:tab/>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1.以应用为单位，梳理应用的名称、URL、主机IP、端口、API等信息，汇总信息导入监控系统；</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2.支持通过应用名称查看关联主机、URL、端口、API；</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3.以主机为单位，梳理主机IP、用途、操作系统、类型、CPU、内存、磁盘信息、状态信息；</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4.支持查看主机过去自定义时间的性能趋势；</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5.以oracle数据库为单位，梳理数据库版本、实例、VIP、业务数据量、表空间等基本信息核对呈现；</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6.支持查看与应用相关的oracle性能信息，包括慢SQL、数据库整体资源消耗；</w:t>
            </w:r>
          </w:p>
          <w:p>
            <w:pPr>
              <w:adjustRightInd w:val="0"/>
              <w:spacing w:line="276" w:lineRule="auto"/>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二、实时监控</w:t>
            </w:r>
            <w:r>
              <w:rPr>
                <w:rFonts w:hint="eastAsia" w:asciiTheme="minorEastAsia" w:hAnsiTheme="minorEastAsia" w:eastAsiaTheme="minorEastAsia" w:cstheme="minorEastAsia"/>
                <w:b/>
                <w:bCs/>
                <w:color w:val="000000"/>
                <w:kern w:val="0"/>
                <w:sz w:val="21"/>
                <w:szCs w:val="21"/>
              </w:rPr>
              <w:tab/>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1.对应用系统可用性进行实时监控，监控应用可访问，可登录；</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2.监控发现不可用的问题时，第一时间发出告警；</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3.对oracle数据库运行状态进行监控，包括RMAN备份、归档、ASM磁盘组使用率、实例运行状态等实时监控。</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4.针对操作系统提供可用性监控，对主机的CPU、磁盘、内存、文件打开数、进程等有可能影响业力运行的相关指标进行定时轮询监测。</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5.基于关键字实时（支持分钟级的轮询）的监测，即时发现操作系统、oracle、weblogic、tomcat故障信息；</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6.实现对API接口监控，即时发现接口故障信息；</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7.针对ODI接口进行实时监控，可以查看ODI接口名称、用途、及报错信息；</w:t>
            </w:r>
          </w:p>
          <w:p>
            <w:pPr>
              <w:adjustRightInd w:val="0"/>
              <w:spacing w:line="276" w:lineRule="auto"/>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三、基线核查</w:t>
            </w:r>
            <w:r>
              <w:rPr>
                <w:rFonts w:hint="eastAsia" w:asciiTheme="minorEastAsia" w:hAnsiTheme="minorEastAsia" w:eastAsiaTheme="minorEastAsia" w:cstheme="minorEastAsia"/>
                <w:b/>
                <w:bCs/>
                <w:color w:val="000000"/>
                <w:kern w:val="0"/>
                <w:sz w:val="21"/>
                <w:szCs w:val="21"/>
              </w:rPr>
              <w:tab/>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1.针对主机进行安全基线核查，一旦系统运行达到基线阈值，即产生告警；</w:t>
            </w:r>
          </w:p>
          <w:p>
            <w:pPr>
              <w:adjustRightInd w:val="0"/>
              <w:spacing w:line="276" w:lineRule="auto"/>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四、漏洞监管</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1.对已知高危漏洞信息查看，查看影响漏洞资产影响范围；</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2.查看受漏洞影响的主机修复时间、状态；</w:t>
            </w:r>
          </w:p>
          <w:p>
            <w:pPr>
              <w:adjustRightInd w:val="0"/>
              <w:spacing w:line="276" w:lineRule="auto"/>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五、安全监测</w:t>
            </w:r>
            <w:r>
              <w:rPr>
                <w:rFonts w:hint="eastAsia" w:asciiTheme="minorEastAsia" w:hAnsiTheme="minorEastAsia" w:eastAsiaTheme="minorEastAsia" w:cstheme="minorEastAsia"/>
                <w:b/>
                <w:bCs/>
                <w:color w:val="000000"/>
                <w:kern w:val="0"/>
                <w:sz w:val="21"/>
                <w:szCs w:val="21"/>
              </w:rPr>
              <w:tab/>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1.对操作系统安全监控，监控操作系统版本信息、开放端口、异常进程、异常账户，openSSL漏洞、openSSH漏洞、木马、蠕虫病毒等；</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2.对oracle数据库，监控rman备份状态、勒索病毒。</w:t>
            </w:r>
          </w:p>
          <w:p>
            <w:pPr>
              <w:adjustRightInd w:val="0"/>
              <w:spacing w:line="276" w:lineRule="auto"/>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六、微信查询</w:t>
            </w:r>
            <w:r>
              <w:rPr>
                <w:rFonts w:hint="eastAsia" w:asciiTheme="minorEastAsia" w:hAnsiTheme="minorEastAsia" w:eastAsiaTheme="minorEastAsia" w:cstheme="minorEastAsia"/>
                <w:b/>
                <w:bCs/>
                <w:color w:val="000000"/>
                <w:kern w:val="0"/>
                <w:sz w:val="21"/>
                <w:szCs w:val="21"/>
              </w:rPr>
              <w:tab/>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1.监控发现异常后，通过微信端进行推送，用户在微信端可以查看事件处理进展；也可以通过微信群或QQ群发出告警通知；</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2.微信端可以查看事件描述、发生事件、事件编号；</w:t>
            </w:r>
          </w:p>
          <w:p>
            <w:pPr>
              <w:adjustRightInd w:val="0"/>
              <w:spacing w:line="276" w:lineRule="auto"/>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七、主动预警</w:t>
            </w:r>
            <w:r>
              <w:rPr>
                <w:rFonts w:hint="eastAsia" w:asciiTheme="minorEastAsia" w:hAnsiTheme="minorEastAsia" w:eastAsiaTheme="minorEastAsia" w:cstheme="minorEastAsia"/>
                <w:b/>
                <w:bCs/>
                <w:color w:val="000000"/>
                <w:kern w:val="0"/>
                <w:sz w:val="21"/>
                <w:szCs w:val="21"/>
              </w:rPr>
              <w:tab/>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1.监控发现异常后，守护工程师将异常信息转换成业务语言，通过即时通讯工具告知用户，工具包括QQ、微信、短信、电话等常用即时通讯工具；</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rPr>
              <w:t>八告警查询</w:t>
            </w:r>
            <w:r>
              <w:rPr>
                <w:rFonts w:hint="eastAsia" w:asciiTheme="minorEastAsia" w:hAnsiTheme="minorEastAsia" w:eastAsiaTheme="minorEastAsia" w:cstheme="minorEastAsia"/>
                <w:color w:val="000000"/>
                <w:kern w:val="0"/>
                <w:sz w:val="21"/>
                <w:szCs w:val="21"/>
              </w:rPr>
              <w:tab/>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1.支持查询历史告警事件，能够查询告警时间、恢复状态、告警级别、告警内容；</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2.支持按时间段、告警状态、告警内容查询告警信息；</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3.支持关闭告警操作；</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rPr>
              <w:t>九、大屏展示</w:t>
            </w:r>
            <w:r>
              <w:rPr>
                <w:rFonts w:hint="eastAsia" w:asciiTheme="minorEastAsia" w:hAnsiTheme="minorEastAsia" w:eastAsiaTheme="minorEastAsia" w:cstheme="minorEastAsia"/>
                <w:color w:val="000000"/>
                <w:kern w:val="0"/>
                <w:sz w:val="21"/>
                <w:szCs w:val="21"/>
              </w:rPr>
              <w:tab/>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1.支持校内自建监控大屏（最佳分辨率1920*1080）呈现整体应用可用性状态、安全状况及故障处理进展，任一应用存在可用性、安全事件则应用的区域块都可用特殊颜色呈现。</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2.支持校内自建监控大屏（最佳分辨率1920*1080）呈现WEB应用、主机的安全监测任务运行是否正常，如有安全事件则显示具体受影响主机与WEB应用，呈现运行环境所使用的操作系统、组件及版本分布。</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3.支持校内自建监控大屏（最佳分辨率1920*1080）呈现oracle数据库运行状况。</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rPr>
              <w:t>10、年度报告</w:t>
            </w:r>
            <w:r>
              <w:rPr>
                <w:rFonts w:hint="eastAsia" w:asciiTheme="minorEastAsia" w:hAnsiTheme="minorEastAsia" w:eastAsiaTheme="minorEastAsia" w:cstheme="minorEastAsia"/>
                <w:color w:val="000000"/>
                <w:kern w:val="0"/>
                <w:sz w:val="21"/>
                <w:szCs w:val="21"/>
              </w:rPr>
              <w:tab/>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1.以PDF形式交付一年的运行环境分析报告及优化建议;</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年</w:t>
            </w:r>
          </w:p>
        </w:tc>
        <w:tc>
          <w:tcPr>
            <w:tcW w:w="79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0" w:hRule="atLeast"/>
        </w:trPr>
        <w:tc>
          <w:tcPr>
            <w:tcW w:w="80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76"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3</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lang w:bidi="ar"/>
              </w:rPr>
              <w:t>工程师驻场服务</w:t>
            </w:r>
          </w:p>
        </w:tc>
        <w:tc>
          <w:tcPr>
            <w:tcW w:w="54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kern w:val="0"/>
                <w:sz w:val="21"/>
                <w:szCs w:val="21"/>
              </w:rPr>
              <w:t>工程师数量：</w:t>
            </w:r>
            <w:r>
              <w:rPr>
                <w:rFonts w:hint="eastAsia" w:asciiTheme="minorEastAsia" w:hAnsiTheme="minorEastAsia" w:eastAsiaTheme="minorEastAsia" w:cstheme="minorEastAsia"/>
                <w:color w:val="000000"/>
                <w:kern w:val="0"/>
                <w:sz w:val="21"/>
                <w:szCs w:val="21"/>
              </w:rPr>
              <w:t>2名</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rPr>
              <w:t>工程师技能要求：</w:t>
            </w:r>
            <w:r>
              <w:rPr>
                <w:rFonts w:hint="eastAsia" w:asciiTheme="minorEastAsia" w:hAnsiTheme="minorEastAsia" w:eastAsiaTheme="minorEastAsia" w:cstheme="minorEastAsia"/>
                <w:color w:val="000000"/>
                <w:kern w:val="0"/>
                <w:sz w:val="21"/>
                <w:szCs w:val="21"/>
              </w:rPr>
              <w:t>（2名工程师共同满足即可）</w:t>
            </w:r>
          </w:p>
          <w:p>
            <w:pPr>
              <w:numPr>
                <w:ilvl w:val="0"/>
                <w:numId w:val="5"/>
              </w:num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能熟练调试锐捷、H3C路由、交换设备；</w:t>
            </w:r>
          </w:p>
          <w:p>
            <w:pPr>
              <w:numPr>
                <w:ilvl w:val="0"/>
                <w:numId w:val="5"/>
              </w:num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能熟练更换PC、服务器的硬件，并熟练安装Windows、Linux系列操作系统及各类应用软件；</w:t>
            </w:r>
          </w:p>
          <w:p>
            <w:pPr>
              <w:numPr>
                <w:ilvl w:val="0"/>
                <w:numId w:val="5"/>
              </w:num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能熟练安装、调试Windows、Linux系列服务器操作系统，熟练配置系统防火墙及端口；</w:t>
            </w:r>
          </w:p>
          <w:p>
            <w:pPr>
              <w:numPr>
                <w:ilvl w:val="0"/>
                <w:numId w:val="5"/>
              </w:num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能熟练运用OFFICE、PHOTOSHOP等办公软件；</w:t>
            </w:r>
          </w:p>
          <w:p>
            <w:pPr>
              <w:numPr>
                <w:ilvl w:val="0"/>
                <w:numId w:val="5"/>
              </w:num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能熟练维修投影、触控一体机等多媒体设施的一般故障；</w:t>
            </w:r>
          </w:p>
          <w:p>
            <w:pPr>
              <w:numPr>
                <w:ilvl w:val="0"/>
                <w:numId w:val="5"/>
              </w:num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能熟练维修新开普公司圈存机、消费卡机、电控、水控、门禁等产品；</w:t>
            </w:r>
          </w:p>
          <w:p>
            <w:pPr>
              <w:adjustRightInd w:val="0"/>
              <w:spacing w:line="276" w:lineRule="auto"/>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工程师工作要求：</w:t>
            </w:r>
          </w:p>
          <w:p>
            <w:pPr>
              <w:pStyle w:val="39"/>
              <w:numPr>
                <w:ilvl w:val="0"/>
                <w:numId w:val="0"/>
              </w:numPr>
              <w:adjustRightInd w:val="0"/>
              <w:spacing w:line="276" w:lineRule="auto"/>
              <w:ind w:left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按照采购人工作时间作息，实行签到、签退制度；</w:t>
            </w:r>
          </w:p>
          <w:p>
            <w:pPr>
              <w:pStyle w:val="39"/>
              <w:numPr>
                <w:ilvl w:val="0"/>
                <w:numId w:val="0"/>
              </w:numPr>
              <w:adjustRightInd w:val="0"/>
              <w:spacing w:line="276" w:lineRule="auto"/>
              <w:ind w:left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遇突发情况，按照采购人及相关部门要求，无条件完成维修、维护任务；</w:t>
            </w:r>
          </w:p>
          <w:p>
            <w:pPr>
              <w:pStyle w:val="39"/>
              <w:numPr>
                <w:ilvl w:val="0"/>
                <w:numId w:val="0"/>
              </w:numPr>
              <w:adjustRightInd w:val="0"/>
              <w:spacing w:line="276" w:lineRule="auto"/>
              <w:ind w:left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工作细心、耐心；有责任心、有热情；</w:t>
            </w:r>
          </w:p>
          <w:p>
            <w:pPr>
              <w:adjustRightInd w:val="0"/>
              <w:spacing w:line="276"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4、完成采购人交代的其他工作。</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年</w:t>
            </w:r>
          </w:p>
        </w:tc>
        <w:tc>
          <w:tcPr>
            <w:tcW w:w="79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三、服务标准、期限、效率等要求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本次采购运维期限自合同签订之日起1年。</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50万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50万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黑体" w:asciiTheme="minorEastAsia" w:hAnsiTheme="minorEastAsia" w:eastAsiaTheme="minorEastAsia"/>
          <w:b/>
          <w:bCs/>
          <w:color w:val="000000"/>
          <w:shd w:val="clear" w:color="auto" w:fill="FFFFFF"/>
        </w:rPr>
        <w:t>七</w:t>
      </w:r>
      <w:r>
        <w:rPr>
          <w:rFonts w:hint="eastAsia" w:cs="宋体" w:asciiTheme="minorEastAsia" w:hAnsiTheme="minorEastAsia"/>
          <w:b/>
          <w:color w:val="000000"/>
          <w:kern w:val="0"/>
          <w:sz w:val="24"/>
          <w:szCs w:val="24"/>
          <w:lang w:val="zh-CN"/>
        </w:rPr>
        <w:t>、资金支付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2、支付时间及条件：自合同签订之日起，每半年经验收合格付合同总价款的50%，二次付清。</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lang w:eastAsia="zh-CN"/>
              </w:rPr>
            </w:pPr>
            <w:r>
              <w:rPr>
                <w:rFonts w:hint="eastAsia" w:cs="仿宋_GB2312" w:asciiTheme="minorEastAsia" w:hAnsiTheme="minorEastAsia"/>
                <w:color w:val="auto"/>
                <w:szCs w:val="21"/>
              </w:rPr>
              <w:t>项目名称：服务器及应用系统运维平台、人工智能服务、工程师驻场服务</w:t>
            </w:r>
            <w:r>
              <w:rPr>
                <w:rFonts w:hint="eastAsia" w:cs="仿宋_GB2312" w:asciiTheme="minorEastAsia" w:hAnsiTheme="minorEastAsia"/>
                <w:color w:val="auto"/>
                <w:szCs w:val="21"/>
                <w:lang w:eastAsia="zh-CN"/>
              </w:rPr>
              <w:t>（不见面开标）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026</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项目内容：2名工程师驻场1年及运维平台服务。</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名称：许昌职业技术学院</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地址：许昌市新兴东路4336号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联系人：王甫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名称：许昌市政府采购服务中心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电话：0374-</w:t>
            </w:r>
            <w:r>
              <w:rPr>
                <w:rFonts w:hint="eastAsia" w:cs="仿宋_GB2312" w:asciiTheme="minorEastAsia" w:hAnsiTheme="minorEastAsia"/>
                <w:color w:val="auto"/>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w:t>
            </w:r>
            <w:r>
              <w:rPr>
                <w:rFonts w:hint="eastAsia" w:asciiTheme="minorEastAsia" w:hAnsiTheme="minorEastAsia"/>
                <w:bCs/>
                <w:color w:val="auto"/>
                <w:szCs w:val="21"/>
                <w:lang w:eastAsia="zh-CN"/>
              </w:rPr>
              <w:t>或</w:t>
            </w:r>
            <w:r>
              <w:rPr>
                <w:rFonts w:hint="eastAsia" w:asciiTheme="minorEastAsia" w:hAnsiTheme="minorEastAsia"/>
                <w:bCs/>
                <w:color w:val="auto"/>
                <w:szCs w:val="21"/>
                <w:lang w:val="en-US" w:eastAsia="zh-CN"/>
              </w:rPr>
              <w:t>2019</w:t>
            </w:r>
            <w:r>
              <w:rPr>
                <w:rFonts w:hint="eastAsia" w:asciiTheme="minorEastAsia" w:hAnsiTheme="minorEastAsia"/>
                <w:bCs/>
                <w:color w:val="auto"/>
                <w:szCs w:val="21"/>
              </w:rPr>
              <w:t>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1～2其中之一即可。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“中国社会组织公共服务平台”网站（</w:t>
            </w:r>
            <w:r>
              <w:rPr>
                <w:rFonts w:cs="仿宋_GB2312" w:asciiTheme="minorEastAsia" w:hAnsiTheme="minorEastAsia"/>
                <w:b/>
                <w:color w:val="auto"/>
                <w:szCs w:val="21"/>
                <w:shd w:val="clear" w:color="auto" w:fill="FFFFFF"/>
              </w:rPr>
              <w:t>www.chinanpo.gov.cn</w:t>
            </w:r>
            <w:r>
              <w:rPr>
                <w:rFonts w:hint="eastAsia" w:cs="仿宋_GB2312" w:asciiTheme="minorEastAsia" w:hAnsiTheme="minorEastAsia"/>
                <w:b/>
                <w:color w:val="auto"/>
                <w:szCs w:val="21"/>
                <w:shd w:val="clear" w:color="auto" w:fill="FFFFFF"/>
              </w:rPr>
              <w:t>）严重违法失信社会组织名单的投标人（</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50万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许昌市公共资源交易中心三楼</w:t>
            </w:r>
            <w:r>
              <w:rPr>
                <w:rFonts w:hint="eastAsia" w:cs="仿宋_GB2312" w:asciiTheme="minorEastAsia" w:hAnsiTheme="minorEastAsia"/>
                <w:color w:val="auto"/>
                <w:szCs w:val="21"/>
                <w:u w:val="none"/>
              </w:rPr>
              <w:t>开标</w:t>
            </w:r>
            <w:r>
              <w:rPr>
                <w:rFonts w:hint="eastAsia" w:cs="仿宋_GB2312" w:asciiTheme="minorEastAsia" w:hAnsiTheme="minorEastAsia"/>
                <w:color w:val="auto"/>
                <w:szCs w:val="21"/>
                <w:u w:val="none"/>
                <w:lang w:eastAsia="zh-CN"/>
              </w:rPr>
              <w:t>三</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9"/>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9"/>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9"/>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9"/>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w:t>
      </w:r>
      <w:r>
        <w:rPr>
          <w:rFonts w:hint="eastAsia" w:cs="宋体" w:asciiTheme="minorEastAsia" w:hAnsiTheme="minorEastAsia"/>
          <w:color w:val="auto"/>
          <w:kern w:val="0"/>
          <w:szCs w:val="21"/>
        </w:rPr>
        <w:t>响应。</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投标人应按招标文件提供的格式编写投标文件。招标文件未提供标准格式的投</w:t>
      </w:r>
      <w:r>
        <w:rPr>
          <w:rFonts w:hint="eastAsia" w:cs="宋体" w:asciiTheme="minorEastAsia" w:hAnsiTheme="minorEastAsia"/>
          <w:kern w:val="0"/>
          <w:szCs w:val="21"/>
        </w:rPr>
        <w:t>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投标人应提交投标</w:t>
      </w:r>
      <w:r>
        <w:rPr>
          <w:rFonts w:hint="eastAsia" w:cs="宋体" w:asciiTheme="minorEastAsia" w:hAnsiTheme="minorEastAsia"/>
          <w:color w:val="auto"/>
          <w:kern w:val="0"/>
          <w:szCs w:val="21"/>
        </w:rPr>
        <w:t>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hint="eastAsia" w:cs="宋体" w:asciiTheme="minorEastAsia" w:hAnsiTheme="minorEastAsia"/>
          <w:kern w:val="0"/>
          <w:szCs w:val="21"/>
        </w:rPr>
      </w:pPr>
      <w:r>
        <w:rPr>
          <w:rFonts w:hint="eastAsia" w:cs="宋体" w:asciiTheme="minorEastAsia" w:hAnsiTheme="minorEastAsia"/>
          <w:kern w:val="0"/>
          <w:szCs w:val="21"/>
        </w:rPr>
        <w:t>2</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.3.1  电子投标文件的解密。全流程电子化交易项目电子投标文件采用双重加密。</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kern w:val="0"/>
          <w:szCs w:val="21"/>
        </w:rPr>
        <w:t>解密需分标段进</w:t>
      </w:r>
      <w:r>
        <w:rPr>
          <w:rFonts w:hint="eastAsia" w:cs="宋体" w:asciiTheme="minorEastAsia" w:hAnsiTheme="minorEastAsia"/>
          <w:color w:val="auto"/>
          <w:kern w:val="0"/>
          <w:szCs w:val="21"/>
        </w:rPr>
        <w:t>行两次解密。</w:t>
      </w:r>
    </w:p>
    <w:p>
      <w:pPr>
        <w:autoSpaceDE w:val="0"/>
        <w:autoSpaceDN w:val="0"/>
        <w:spacing w:line="360" w:lineRule="auto"/>
        <w:ind w:firstLine="1050" w:firstLineChars="5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.3.1.1  投标人解密：投标人使用本单位CA数字证书远程进行解密。</w:t>
      </w:r>
    </w:p>
    <w:p>
      <w:pPr>
        <w:autoSpaceDE w:val="0"/>
        <w:autoSpaceDN w:val="0"/>
        <w:spacing w:line="360" w:lineRule="auto"/>
        <w:ind w:firstLine="1050" w:firstLineChars="5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.3.2   电子投标文件解密异常情况处理</w:t>
      </w:r>
    </w:p>
    <w:p>
      <w:pPr>
        <w:autoSpaceDE w:val="0"/>
        <w:autoSpaceDN w:val="0"/>
        <w:spacing w:line="360" w:lineRule="auto"/>
        <w:ind w:firstLine="1050" w:firstLineChars="5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.3.2.1  因投标人原因电子投标文件解密失败的，其投标将被拒绝。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hAnsi="宋体"/>
          <w:color w:val="auto"/>
          <w:szCs w:val="21"/>
        </w:rPr>
        <w:t>投标人对开标过程和开标记录如有疑义，</w:t>
      </w:r>
      <w:r>
        <w:rPr>
          <w:rFonts w:hint="eastAsia" w:cs="宋体" w:asciiTheme="minorEastAsia" w:hAnsiTheme="minorEastAsia"/>
          <w:color w:val="auto"/>
          <w:kern w:val="0"/>
          <w:szCs w:val="21"/>
        </w:rPr>
        <w:t>以及认为采购人、采购代理机构相关工作人员有需要回避的情形的，</w:t>
      </w:r>
      <w:r>
        <w:rPr>
          <w:rFonts w:hint="eastAsia" w:hAnsi="宋体"/>
          <w:color w:val="auto"/>
          <w:szCs w:val="21"/>
        </w:rPr>
        <w:t>应在不见面开标大厅“文字互动”对话框或“新增质疑”处在线提出询问</w:t>
      </w:r>
      <w:r>
        <w:rPr>
          <w:rFonts w:hint="eastAsia" w:cs="宋体" w:asciiTheme="minorEastAsia" w:hAnsiTheme="minorEastAsia"/>
          <w:color w:val="auto"/>
          <w:kern w:val="0"/>
          <w:szCs w:val="21"/>
        </w:rPr>
        <w:t>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投标人未参加开标的，视同</w:t>
      </w:r>
      <w:r>
        <w:rPr>
          <w:rFonts w:hint="eastAsia" w:cs="宋体" w:asciiTheme="minorEastAsia" w:hAnsiTheme="minorEastAsia"/>
          <w:kern w:val="0"/>
          <w:szCs w:val="21"/>
        </w:rPr>
        <w:t>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25.1.2.3  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25.3.3  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29.1.5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29.2.5   不同投标人的投标文件相互混装。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32.1.1.2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34.2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34.6  记录、复制或者带走任何评标资料；</w:t>
      </w:r>
    </w:p>
    <w:p>
      <w:pPr>
        <w:pStyle w:val="39"/>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1"/>
          <w:numId w:val="17"/>
        </w:numPr>
        <w:autoSpaceDE w:val="0"/>
        <w:autoSpaceDN w:val="0"/>
        <w:spacing w:line="360" w:lineRule="auto"/>
        <w:ind w:left="964"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评审专家应当遵守评审工作纪律，不得泄露评审文件、评审情况和评审中获悉的商业秘密。</w:t>
      </w:r>
    </w:p>
    <w:p>
      <w:pPr>
        <w:pStyle w:val="39"/>
        <w:numPr>
          <w:ilvl w:val="1"/>
          <w:numId w:val="17"/>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36.1  采购人应当自收到评标报告之日起5个工作日内，在评标报告确定的中标候选人名单中按顺序确定中标人。中标候选人并列的，由采购人采取随机抽取的方式确定。</w:t>
      </w:r>
    </w:p>
    <w:p>
      <w:pPr>
        <w:pStyle w:val="39"/>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37.1采购人确认中标人后，招标人在公告中标结果的同时，向中标人发出中标通知书。</w:t>
      </w:r>
    </w:p>
    <w:p>
      <w:pPr>
        <w:pStyle w:val="39"/>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38.1.3  对中标结果提出质疑的，为中标结果公告期限届满之日起七个工作日内，以书面形式向采购人和采购代理机构一次性提出。</w:t>
      </w:r>
    </w:p>
    <w:p>
      <w:pPr>
        <w:pStyle w:val="39"/>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w:t>
            </w:r>
            <w:r>
              <w:rPr>
                <w:rFonts w:hint="eastAsia" w:asciiTheme="minorEastAsia" w:hAnsiTheme="minorEastAsia"/>
                <w:bCs/>
                <w:szCs w:val="21"/>
                <w:lang w:eastAsia="zh-CN"/>
              </w:rPr>
              <w:t>或</w:t>
            </w:r>
            <w:r>
              <w:rPr>
                <w:rFonts w:hint="eastAsia" w:asciiTheme="minorEastAsia" w:hAnsiTheme="minorEastAsia"/>
                <w:bCs/>
                <w:szCs w:val="21"/>
                <w:lang w:val="en-US" w:eastAsia="zh-CN"/>
              </w:rPr>
              <w:t>2019</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w:t>
            </w:r>
            <w:r>
              <w:rPr>
                <w:rFonts w:hint="eastAsia" w:asciiTheme="minorEastAsia" w:hAnsiTheme="minorEastAsia"/>
                <w:bCs/>
                <w:szCs w:val="21"/>
                <w:lang w:eastAsia="zh-CN"/>
              </w:rPr>
              <w:t>或</w:t>
            </w:r>
            <w:r>
              <w:rPr>
                <w:rFonts w:hint="eastAsia" w:asciiTheme="minorEastAsia" w:hAnsiTheme="minorEastAsia"/>
                <w:bCs/>
                <w:szCs w:val="21"/>
                <w:lang w:val="en-US" w:eastAsia="zh-CN"/>
              </w:rPr>
              <w:t>2019</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FF000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w:t>
      </w:r>
      <w:r>
        <w:rPr>
          <w:rFonts w:cs="仿宋_GB2312" w:asciiTheme="minorEastAsia" w:hAnsiTheme="minorEastAsia" w:eastAsiaTheme="minorEastAsia"/>
          <w:color w:val="auto"/>
          <w:sz w:val="21"/>
          <w:szCs w:val="21"/>
          <w:lang w:val="zh-CN"/>
        </w:rPr>
        <w:t>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w:t>
      </w:r>
      <w:bookmarkStart w:id="14" w:name="_GoBack"/>
      <w:bookmarkEnd w:id="14"/>
      <w:r>
        <w:rPr>
          <w:rFonts w:hint="eastAsia" w:cs="仿宋_GB2312" w:asciiTheme="minorEastAsia" w:hAnsiTheme="minorEastAsia"/>
          <w:szCs w:val="21"/>
          <w:lang w:val="zh-CN"/>
        </w:rPr>
        <w:t>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价格分值：</w:t>
            </w:r>
            <w:r>
              <w:rPr>
                <w:rFonts w:hint="eastAsia" w:ascii="宋体" w:hAnsi="宋体" w:eastAsia="宋体" w:cs="Times New Roman"/>
                <w:color w:val="000000"/>
                <w:szCs w:val="21"/>
                <w:lang w:val="en-US" w:eastAsia="zh-CN"/>
              </w:rPr>
              <w:t>45</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000000"/>
                <w:szCs w:val="21"/>
              </w:rPr>
              <w:t>商务部分</w:t>
            </w: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auto"/>
                <w:szCs w:val="21"/>
              </w:rPr>
              <w:t>服务部分：</w:t>
            </w:r>
            <w:r>
              <w:rPr>
                <w:rFonts w:hint="eastAsia" w:ascii="宋体" w:hAnsi="宋体" w:eastAsia="宋体" w:cs="宋体"/>
                <w:color w:val="auto"/>
                <w:kern w:val="0"/>
                <w:szCs w:val="21"/>
                <w:lang w:val="en-US" w:eastAsia="zh-CN"/>
              </w:rPr>
              <w:t>25</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报价部分</w:t>
            </w:r>
          </w:p>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45</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000000"/>
                <w:szCs w:val="21"/>
              </w:rPr>
              <w:t>报</w:t>
            </w:r>
            <w:r>
              <w:rPr>
                <w:rFonts w:hint="eastAsia" w:ascii="宋体" w:hAnsi="宋体" w:eastAsia="宋体" w:cs="宋体"/>
                <w:color w:val="auto"/>
                <w:szCs w:val="21"/>
              </w:rPr>
              <w:t>价</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45</w:t>
            </w:r>
            <w:r>
              <w:rPr>
                <w:rFonts w:hint="eastAsia" w:ascii="宋体" w:hAnsi="宋体" w:eastAsia="宋体" w:cs="宋体"/>
                <w:color w:val="00000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评标基准价：满足招标文件要求的有效投标报价中，最低的投标报价为评标基准价。</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投标报价得分=（评标基准价/投标报价）×</w:t>
            </w:r>
            <w:r>
              <w:rPr>
                <w:rFonts w:hint="eastAsia" w:ascii="宋体" w:hAnsi="宋体" w:eastAsia="宋体" w:cs="Times New Roman"/>
                <w:color w:val="000000"/>
                <w:szCs w:val="21"/>
                <w:lang w:val="en-US" w:eastAsia="zh-CN"/>
              </w:rPr>
              <w:t>45</w:t>
            </w:r>
            <w:r>
              <w:rPr>
                <w:rFonts w:hint="eastAsia" w:ascii="宋体" w:hAnsi="宋体" w:eastAsia="宋体" w:cs="宋体"/>
                <w:color w:val="FF0000"/>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商务部分</w:t>
            </w:r>
          </w:p>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30</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kern w:val="0"/>
                <w:sz w:val="24"/>
              </w:rPr>
            </w:pPr>
            <w:r>
              <w:rPr>
                <w:rFonts w:hint="eastAsia" w:ascii="宋体" w:hAnsi="宋体" w:cs="宋体"/>
                <w:kern w:val="0"/>
                <w:szCs w:val="21"/>
              </w:rPr>
              <w:t>业绩</w:t>
            </w:r>
          </w:p>
          <w:p>
            <w:pPr>
              <w:widowControl/>
              <w:spacing w:line="315" w:lineRule="atLeast"/>
              <w:jc w:val="center"/>
              <w:rPr>
                <w:rFonts w:ascii="宋体" w:hAnsi="宋体" w:eastAsia="宋体" w:cs="宋体"/>
                <w:color w:val="000000"/>
                <w:kern w:val="0"/>
                <w:sz w:val="24"/>
                <w:szCs w:val="24"/>
              </w:rPr>
            </w:pPr>
            <w:r>
              <w:rPr>
                <w:rFonts w:hint="eastAsia" w:ascii="宋体" w:hAnsi="宋体" w:cs="宋体"/>
                <w:kern w:val="0"/>
                <w:szCs w:val="21"/>
              </w:rPr>
              <w:t>（3分）</w:t>
            </w:r>
          </w:p>
        </w:tc>
        <w:tc>
          <w:tcPr>
            <w:tcW w:w="6095" w:type="dxa"/>
            <w:tcBorders>
              <w:top w:val="single" w:color="auto" w:sz="4" w:space="0"/>
              <w:left w:val="nil"/>
              <w:bottom w:val="single" w:color="auto" w:sz="4" w:space="0"/>
              <w:right w:val="single" w:color="auto" w:sz="4" w:space="0"/>
            </w:tcBorders>
            <w:vAlign w:val="center"/>
          </w:tcPr>
          <w:p>
            <w:pPr>
              <w:pStyle w:val="22"/>
              <w:numPr>
                <w:ilvl w:val="0"/>
                <w:numId w:val="0"/>
              </w:numPr>
              <w:spacing w:line="360" w:lineRule="auto"/>
              <w:rPr>
                <w:rFonts w:ascii="仿宋_GB2312" w:hAnsi="宋体" w:eastAsia="仿宋_GB2312" w:cs="宋体"/>
                <w:color w:val="000000"/>
                <w:kern w:val="0"/>
                <w:sz w:val="24"/>
                <w:szCs w:val="24"/>
              </w:rPr>
            </w:pPr>
            <w:r>
              <w:rPr>
                <w:rFonts w:hint="eastAsia" w:ascii="宋体" w:hAnsi="宋体" w:eastAsia="宋体" w:cs="宋体"/>
                <w:kern w:val="0"/>
                <w:sz w:val="21"/>
                <w:szCs w:val="21"/>
                <w:lang w:val="en-US" w:eastAsia="zh-CN" w:bidi="ar-SA"/>
              </w:rPr>
              <w:t>投标人提供2017年1月1日以来类似项目业绩，每提供1份得1分，最高得3分。（提供合同）</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管理体系</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hd w:val="clear" w:color="auto" w:fill="FFFFFF"/>
              <w:spacing w:line="315" w:lineRule="atLeas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1、投标人具有有效期内ISO9001质量体系认证证书得1分（如认证证书注明应进行年度监审，须附监审标识或年审报告等有关证明材料）。</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kern w:val="0"/>
                <w:sz w:val="21"/>
                <w:szCs w:val="21"/>
                <w:lang w:val="en-US" w:eastAsia="zh-CN" w:bidi="ar-SA"/>
              </w:rPr>
              <w:t>2、投标人具有ISO14001环境管理体系认证证书得1分（如认证证书注明应进行年度监审，须附监审标识或年审报告等有关证明材料）。</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产品保障</w:t>
            </w:r>
          </w:p>
          <w:p>
            <w:pPr>
              <w:widowControl/>
              <w:spacing w:line="360" w:lineRule="auto"/>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（25</w:t>
            </w:r>
            <w:r>
              <w:rPr>
                <w:rFonts w:hint="eastAsia" w:ascii="宋体" w:hAnsi="宋体" w:eastAsia="宋体" w:cs="Times New Roman"/>
                <w:color w:val="000000"/>
                <w:szCs w:val="21"/>
              </w:rPr>
              <w:t>分</w:t>
            </w:r>
            <w:r>
              <w:rPr>
                <w:rFonts w:hint="eastAsia" w:ascii="宋体" w:hAnsi="宋体" w:eastAsia="宋体" w:cs="宋体"/>
                <w:kern w:val="0"/>
                <w:sz w:val="21"/>
                <w:szCs w:val="21"/>
                <w:lang w:val="en-US" w:eastAsia="zh-CN" w:bidi="ar-SA"/>
              </w:rPr>
              <w:t>）</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提供采购清单序号1服务器及应用系统运维平台产品的计算机软件著作权登记证书，得5分，不满足不得分。</w:t>
            </w:r>
          </w:p>
          <w:p>
            <w:pPr>
              <w:widowControl/>
              <w:spacing w:line="360" w:lineRule="auto"/>
              <w:contextualSpacing/>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技术参数中标注加“▲”号的条款，提供国家信息中心软件测评中心出具的测试报告，每提供一项得4分，满分20分。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服务部分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25</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kern w:val="0"/>
                <w:sz w:val="24"/>
              </w:rPr>
            </w:pPr>
            <w:r>
              <w:rPr>
                <w:rFonts w:hint="eastAsia" w:ascii="宋体" w:hAnsi="宋体" w:cs="宋体"/>
                <w:kern w:val="0"/>
                <w:szCs w:val="21"/>
              </w:rPr>
              <w:t>售后服务</w:t>
            </w:r>
          </w:p>
          <w:p>
            <w:pPr>
              <w:widowControl/>
              <w:spacing w:line="315" w:lineRule="atLeast"/>
              <w:jc w:val="center"/>
              <w:rPr>
                <w:rFonts w:ascii="宋体" w:hAnsi="宋体" w:eastAsia="宋体" w:cs="宋体"/>
                <w:color w:val="000000"/>
                <w:kern w:val="0"/>
                <w:sz w:val="24"/>
                <w:szCs w:val="24"/>
              </w:rPr>
            </w:pPr>
            <w:r>
              <w:rPr>
                <w:rFonts w:hint="eastAsia" w:ascii="宋体" w:hAnsi="宋体" w:cs="宋体"/>
                <w:kern w:val="0"/>
                <w:szCs w:val="21"/>
              </w:rPr>
              <w:t>（8分）</w:t>
            </w:r>
          </w:p>
        </w:tc>
        <w:tc>
          <w:tcPr>
            <w:tcW w:w="6095" w:type="dxa"/>
            <w:tcBorders>
              <w:top w:val="single" w:color="auto" w:sz="4" w:space="0"/>
              <w:left w:val="nil"/>
              <w:bottom w:val="single" w:color="auto" w:sz="4" w:space="0"/>
              <w:right w:val="single" w:color="auto" w:sz="4" w:space="0"/>
            </w:tcBorders>
            <w:vAlign w:val="center"/>
          </w:tcPr>
          <w:p>
            <w:pPr>
              <w:pStyle w:val="22"/>
              <w:spacing w:line="360" w:lineRule="auto"/>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投标人提供运维服务计划、应急方案、售后服务队伍、解决问题时间方案，每提供一项得2分，不提供不得分，满分8分。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eastAsia="宋体" w:cs="宋体"/>
                <w:color w:val="000000"/>
                <w:kern w:val="0"/>
                <w:sz w:val="24"/>
                <w:szCs w:val="24"/>
              </w:rPr>
            </w:pPr>
            <w:r>
              <w:rPr>
                <w:rFonts w:hint="eastAsia" w:ascii="宋体" w:hAnsi="宋体" w:cs="宋体"/>
                <w:kern w:val="0"/>
                <w:szCs w:val="21"/>
              </w:rPr>
              <w:t>项目实施团队（15分）</w:t>
            </w:r>
          </w:p>
        </w:tc>
        <w:tc>
          <w:tcPr>
            <w:tcW w:w="6095" w:type="dxa"/>
            <w:tcBorders>
              <w:top w:val="single" w:color="auto" w:sz="4" w:space="0"/>
              <w:left w:val="nil"/>
              <w:bottom w:val="single" w:color="auto" w:sz="4" w:space="0"/>
              <w:right w:val="single" w:color="auto" w:sz="4" w:space="0"/>
            </w:tcBorders>
            <w:vAlign w:val="center"/>
          </w:tcPr>
          <w:p>
            <w:pPr>
              <w:pStyle w:val="22"/>
              <w:spacing w:line="360" w:lineRule="auto"/>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人现有的主要网络产品及一卡通系统生产厂商为：H3C、锐捷、新开普，提供以上公司认证的工程师证书，每提供一个证书得5分（同一厂商证书的累计最高得5分），满分15分。（提供最近3个月任意一个月的缴纳社保证明）</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kern w:val="0"/>
                <w:sz w:val="24"/>
              </w:rPr>
            </w:pPr>
            <w:r>
              <w:rPr>
                <w:rFonts w:hint="eastAsia" w:ascii="宋体" w:hAnsi="宋体" w:cs="宋体"/>
                <w:kern w:val="0"/>
                <w:szCs w:val="21"/>
              </w:rPr>
              <w:t>投标文件编制</w:t>
            </w:r>
          </w:p>
          <w:p>
            <w:pPr>
              <w:widowControl/>
              <w:spacing w:line="315" w:lineRule="atLeast"/>
              <w:jc w:val="center"/>
              <w:rPr>
                <w:rFonts w:ascii="宋体" w:hAnsi="宋体" w:eastAsia="宋体" w:cs="宋体"/>
                <w:color w:val="000000"/>
                <w:kern w:val="0"/>
                <w:sz w:val="24"/>
                <w:szCs w:val="24"/>
              </w:rPr>
            </w:pPr>
            <w:r>
              <w:rPr>
                <w:rFonts w:hint="eastAsia" w:ascii="宋体" w:hAnsi="宋体" w:cs="宋体"/>
                <w:kern w:val="0"/>
                <w:szCs w:val="21"/>
              </w:rPr>
              <w:t>（2分）</w:t>
            </w:r>
          </w:p>
        </w:tc>
        <w:tc>
          <w:tcPr>
            <w:tcW w:w="6095" w:type="dxa"/>
            <w:tcBorders>
              <w:top w:val="single" w:color="auto" w:sz="4" w:space="0"/>
              <w:left w:val="nil"/>
              <w:bottom w:val="single" w:color="auto" w:sz="4" w:space="0"/>
              <w:right w:val="single" w:color="auto" w:sz="4" w:space="0"/>
            </w:tcBorders>
            <w:vAlign w:val="center"/>
          </w:tcPr>
          <w:p>
            <w:pPr>
              <w:pStyle w:val="22"/>
              <w:spacing w:line="360" w:lineRule="auto"/>
              <w:ind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1.投标文件装订规范、文字清晰、无差错得1分；</w:t>
            </w:r>
          </w:p>
          <w:p>
            <w:pPr>
              <w:pStyle w:val="22"/>
              <w:spacing w:line="360" w:lineRule="auto"/>
              <w:ind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w:t>
      </w:r>
      <w:r>
        <w:rPr>
          <w:rFonts w:hint="eastAsia" w:asciiTheme="minorEastAsia" w:hAnsiTheme="minorEastAsia"/>
          <w:color w:val="auto"/>
          <w:sz w:val="21"/>
          <w:szCs w:val="21"/>
        </w:rPr>
        <w:t>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1"/>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1"/>
        <w:spacing w:line="480" w:lineRule="auto"/>
        <w:ind w:firstLine="472" w:firstLineChars="225"/>
        <w:jc w:val="left"/>
        <w:rPr>
          <w:rFonts w:asciiTheme="minorEastAsia" w:hAnsiTheme="minorEastAsia"/>
          <w:color w:val="000000"/>
          <w:sz w:val="21"/>
          <w:szCs w:val="21"/>
        </w:rPr>
      </w:pPr>
    </w:p>
    <w:p>
      <w:pPr>
        <w:pStyle w:val="4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szCs w:val="21"/>
        </w:rPr>
        <w:t>法定代表人（单位</w:t>
      </w:r>
      <w:r>
        <w:rPr>
          <w:rFonts w:hint="eastAsia" w:cs="Arial" w:asciiTheme="minorEastAsia" w:hAnsiTheme="minorEastAsia"/>
          <w:color w:val="auto"/>
          <w:szCs w:val="21"/>
        </w:rPr>
        <w:t>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p>
    <w:p>
      <w:pPr>
        <w:autoSpaceDE w:val="0"/>
        <w:autoSpaceDN w:val="0"/>
        <w:adjustRightInd w:val="0"/>
        <w:spacing w:line="360" w:lineRule="auto"/>
        <w:jc w:val="left"/>
        <w:outlineLvl w:val="0"/>
        <w:rPr>
          <w:rFonts w:ascii="宋体" w:hAnsi="宋体"/>
          <w:b/>
          <w:bCs/>
          <w:color w:val="000000"/>
          <w:sz w:val="24"/>
          <w:szCs w:val="24"/>
        </w:rPr>
      </w:pPr>
      <w:r>
        <w:rPr>
          <w:rFonts w:hint="eastAsia" w:cs="宋体" w:asciiTheme="minorEastAsia" w:hAnsiTheme="minorEastAsia"/>
          <w:szCs w:val="21"/>
          <w:lang w:val="zh-CN"/>
        </w:rPr>
        <w:t>说明：所投产品节能认证证书须附后。</w:t>
      </w: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w:t>
      </w:r>
    </w:p>
    <w:p>
      <w:pPr>
        <w:spacing w:line="360" w:lineRule="auto"/>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4410" w:firstLineChars="2100"/>
        <w:rPr>
          <w:rFonts w:cs="宋体" w:asciiTheme="minorEastAsia" w:hAnsiTheme="minorEastAsia"/>
          <w:szCs w:val="21"/>
        </w:rPr>
      </w:pPr>
      <w:r>
        <w:rPr>
          <w:rFonts w:hint="eastAsia" w:cs="宋体" w:asciiTheme="minorEastAsia" w:hAnsiTheme="minorEastAsia"/>
          <w:szCs w:val="21"/>
          <w:lang w:eastAsia="zh-CN"/>
        </w:rPr>
        <w:t>企业</w:t>
      </w:r>
      <w:r>
        <w:rPr>
          <w:rFonts w:hint="eastAsia" w:cs="宋体" w:asciiTheme="minorEastAsia" w:hAnsiTheme="minorEastAsia"/>
          <w:szCs w:val="21"/>
        </w:rPr>
        <w:t>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515" w:firstLineChars="21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D04F861"/>
    <w:multiLevelType w:val="singleLevel"/>
    <w:tmpl w:val="0D04F861"/>
    <w:lvl w:ilvl="0" w:tentative="0">
      <w:start w:val="1"/>
      <w:numFmt w:val="decimal"/>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2">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0"/>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2"/>
  </w:num>
  <w:num w:numId="6">
    <w:abstractNumId w:val="8"/>
  </w:num>
  <w:num w:numId="7">
    <w:abstractNumId w:val="16"/>
  </w:num>
  <w:num w:numId="8">
    <w:abstractNumId w:val="5"/>
  </w:num>
  <w:num w:numId="9">
    <w:abstractNumId w:val="6"/>
  </w:num>
  <w:num w:numId="10">
    <w:abstractNumId w:val="18"/>
  </w:num>
  <w:num w:numId="11">
    <w:abstractNumId w:val="10"/>
  </w:num>
  <w:num w:numId="12">
    <w:abstractNumId w:val="17"/>
  </w:num>
  <w:num w:numId="13">
    <w:abstractNumId w:val="4"/>
  </w:num>
  <w:num w:numId="14">
    <w:abstractNumId w:val="7"/>
  </w:num>
  <w:num w:numId="15">
    <w:abstractNumId w:val="13"/>
  </w:num>
  <w:num w:numId="16">
    <w:abstractNumId w:val="11"/>
  </w:num>
  <w:num w:numId="17">
    <w:abstractNumId w:val="9"/>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1547"/>
    <w:rsid w:val="00026D3A"/>
    <w:rsid w:val="0002782D"/>
    <w:rsid w:val="00033285"/>
    <w:rsid w:val="000362D3"/>
    <w:rsid w:val="00036AB0"/>
    <w:rsid w:val="0004236C"/>
    <w:rsid w:val="000456D3"/>
    <w:rsid w:val="00061D67"/>
    <w:rsid w:val="00062D93"/>
    <w:rsid w:val="00084158"/>
    <w:rsid w:val="00084BD0"/>
    <w:rsid w:val="000A1C15"/>
    <w:rsid w:val="000A200D"/>
    <w:rsid w:val="000A7111"/>
    <w:rsid w:val="000B59E2"/>
    <w:rsid w:val="000D0F74"/>
    <w:rsid w:val="000D347D"/>
    <w:rsid w:val="000E3653"/>
    <w:rsid w:val="000E550F"/>
    <w:rsid w:val="000F3C55"/>
    <w:rsid w:val="000F4624"/>
    <w:rsid w:val="001031CD"/>
    <w:rsid w:val="00106C30"/>
    <w:rsid w:val="00113E3C"/>
    <w:rsid w:val="00141921"/>
    <w:rsid w:val="00153E21"/>
    <w:rsid w:val="0015504D"/>
    <w:rsid w:val="00183C0B"/>
    <w:rsid w:val="001A331E"/>
    <w:rsid w:val="001C1E79"/>
    <w:rsid w:val="001C7D4A"/>
    <w:rsid w:val="001D566E"/>
    <w:rsid w:val="002020EC"/>
    <w:rsid w:val="0020623B"/>
    <w:rsid w:val="00206BF6"/>
    <w:rsid w:val="00211D48"/>
    <w:rsid w:val="0022462B"/>
    <w:rsid w:val="00253446"/>
    <w:rsid w:val="002632AC"/>
    <w:rsid w:val="002649BD"/>
    <w:rsid w:val="0027099F"/>
    <w:rsid w:val="00281430"/>
    <w:rsid w:val="002A2A03"/>
    <w:rsid w:val="002A3F19"/>
    <w:rsid w:val="002A7854"/>
    <w:rsid w:val="002B5CC6"/>
    <w:rsid w:val="002B6419"/>
    <w:rsid w:val="002D16C8"/>
    <w:rsid w:val="002E1953"/>
    <w:rsid w:val="003026E2"/>
    <w:rsid w:val="003209FF"/>
    <w:rsid w:val="00326E53"/>
    <w:rsid w:val="00340CF2"/>
    <w:rsid w:val="003439EC"/>
    <w:rsid w:val="0036236B"/>
    <w:rsid w:val="00366833"/>
    <w:rsid w:val="00372CE4"/>
    <w:rsid w:val="00391E9F"/>
    <w:rsid w:val="00392712"/>
    <w:rsid w:val="0039364A"/>
    <w:rsid w:val="003A0289"/>
    <w:rsid w:val="003A5621"/>
    <w:rsid w:val="003B6632"/>
    <w:rsid w:val="003C432B"/>
    <w:rsid w:val="003C446C"/>
    <w:rsid w:val="003D3A8F"/>
    <w:rsid w:val="0040687E"/>
    <w:rsid w:val="00420AE3"/>
    <w:rsid w:val="0042246D"/>
    <w:rsid w:val="004320F0"/>
    <w:rsid w:val="00444950"/>
    <w:rsid w:val="0046132F"/>
    <w:rsid w:val="00473635"/>
    <w:rsid w:val="0048402A"/>
    <w:rsid w:val="0049371C"/>
    <w:rsid w:val="004A02A9"/>
    <w:rsid w:val="004A1869"/>
    <w:rsid w:val="004A6C18"/>
    <w:rsid w:val="004B0847"/>
    <w:rsid w:val="004D5213"/>
    <w:rsid w:val="004E5884"/>
    <w:rsid w:val="004E792C"/>
    <w:rsid w:val="004F6C11"/>
    <w:rsid w:val="005018F1"/>
    <w:rsid w:val="0053242C"/>
    <w:rsid w:val="005336BC"/>
    <w:rsid w:val="0054080C"/>
    <w:rsid w:val="00540F14"/>
    <w:rsid w:val="00541A67"/>
    <w:rsid w:val="00552323"/>
    <w:rsid w:val="00556964"/>
    <w:rsid w:val="00563C67"/>
    <w:rsid w:val="005670BD"/>
    <w:rsid w:val="00583E58"/>
    <w:rsid w:val="005965CF"/>
    <w:rsid w:val="005B61CB"/>
    <w:rsid w:val="005C20FE"/>
    <w:rsid w:val="005C4F0F"/>
    <w:rsid w:val="005D6E67"/>
    <w:rsid w:val="005E1EEC"/>
    <w:rsid w:val="005E3FAA"/>
    <w:rsid w:val="005F4263"/>
    <w:rsid w:val="0061174C"/>
    <w:rsid w:val="006279FD"/>
    <w:rsid w:val="00636AAD"/>
    <w:rsid w:val="006439CE"/>
    <w:rsid w:val="0066558C"/>
    <w:rsid w:val="00674A35"/>
    <w:rsid w:val="00690B8E"/>
    <w:rsid w:val="00695D5A"/>
    <w:rsid w:val="006A5CBD"/>
    <w:rsid w:val="006A5E16"/>
    <w:rsid w:val="006B4FF5"/>
    <w:rsid w:val="006E1E91"/>
    <w:rsid w:val="006E396C"/>
    <w:rsid w:val="00702AED"/>
    <w:rsid w:val="00704489"/>
    <w:rsid w:val="00710043"/>
    <w:rsid w:val="00713F05"/>
    <w:rsid w:val="00727E24"/>
    <w:rsid w:val="00730378"/>
    <w:rsid w:val="007353FD"/>
    <w:rsid w:val="0074134F"/>
    <w:rsid w:val="00743FD6"/>
    <w:rsid w:val="0074469F"/>
    <w:rsid w:val="00760005"/>
    <w:rsid w:val="00760CBE"/>
    <w:rsid w:val="00765428"/>
    <w:rsid w:val="00776300"/>
    <w:rsid w:val="007767CC"/>
    <w:rsid w:val="00780670"/>
    <w:rsid w:val="007B6180"/>
    <w:rsid w:val="007C1243"/>
    <w:rsid w:val="007C38FE"/>
    <w:rsid w:val="007E2338"/>
    <w:rsid w:val="007E55EC"/>
    <w:rsid w:val="007E5F3F"/>
    <w:rsid w:val="007E62F2"/>
    <w:rsid w:val="00800F49"/>
    <w:rsid w:val="00805439"/>
    <w:rsid w:val="00805FF3"/>
    <w:rsid w:val="008175D0"/>
    <w:rsid w:val="0083105C"/>
    <w:rsid w:val="0084465F"/>
    <w:rsid w:val="00846CF0"/>
    <w:rsid w:val="00853677"/>
    <w:rsid w:val="00875E42"/>
    <w:rsid w:val="008925C6"/>
    <w:rsid w:val="00897F2A"/>
    <w:rsid w:val="008A2A01"/>
    <w:rsid w:val="008A54AB"/>
    <w:rsid w:val="008B5BCD"/>
    <w:rsid w:val="008C137D"/>
    <w:rsid w:val="008D1661"/>
    <w:rsid w:val="008E4406"/>
    <w:rsid w:val="009019F6"/>
    <w:rsid w:val="00902F27"/>
    <w:rsid w:val="0090349C"/>
    <w:rsid w:val="00915F4D"/>
    <w:rsid w:val="00925EB4"/>
    <w:rsid w:val="00937421"/>
    <w:rsid w:val="00951250"/>
    <w:rsid w:val="00956AAC"/>
    <w:rsid w:val="00957E4A"/>
    <w:rsid w:val="00966249"/>
    <w:rsid w:val="00977A5F"/>
    <w:rsid w:val="009802F9"/>
    <w:rsid w:val="009830EE"/>
    <w:rsid w:val="009B288B"/>
    <w:rsid w:val="009B522B"/>
    <w:rsid w:val="009C12AB"/>
    <w:rsid w:val="009C5D63"/>
    <w:rsid w:val="009D05DC"/>
    <w:rsid w:val="009D31DE"/>
    <w:rsid w:val="009E40F5"/>
    <w:rsid w:val="00A024FB"/>
    <w:rsid w:val="00A43B57"/>
    <w:rsid w:val="00A62AB1"/>
    <w:rsid w:val="00A74796"/>
    <w:rsid w:val="00A76E49"/>
    <w:rsid w:val="00A809F7"/>
    <w:rsid w:val="00AB5DE3"/>
    <w:rsid w:val="00AB6C39"/>
    <w:rsid w:val="00AD2A95"/>
    <w:rsid w:val="00AE69B7"/>
    <w:rsid w:val="00AE7796"/>
    <w:rsid w:val="00AF64D1"/>
    <w:rsid w:val="00B03982"/>
    <w:rsid w:val="00B102AE"/>
    <w:rsid w:val="00B14F3F"/>
    <w:rsid w:val="00B22497"/>
    <w:rsid w:val="00B36205"/>
    <w:rsid w:val="00B63AF5"/>
    <w:rsid w:val="00B7030E"/>
    <w:rsid w:val="00B70EBC"/>
    <w:rsid w:val="00BA4E24"/>
    <w:rsid w:val="00BB059A"/>
    <w:rsid w:val="00BB0F5C"/>
    <w:rsid w:val="00BB6B3D"/>
    <w:rsid w:val="00BC10EF"/>
    <w:rsid w:val="00BC77AE"/>
    <w:rsid w:val="00BD17F8"/>
    <w:rsid w:val="00BD2B31"/>
    <w:rsid w:val="00C47E9F"/>
    <w:rsid w:val="00C71315"/>
    <w:rsid w:val="00C747C6"/>
    <w:rsid w:val="00C7743B"/>
    <w:rsid w:val="00C77C9B"/>
    <w:rsid w:val="00C82F62"/>
    <w:rsid w:val="00CA1A50"/>
    <w:rsid w:val="00CA43C0"/>
    <w:rsid w:val="00CB18E4"/>
    <w:rsid w:val="00CC25D7"/>
    <w:rsid w:val="00CD0235"/>
    <w:rsid w:val="00CD4C7E"/>
    <w:rsid w:val="00D002DB"/>
    <w:rsid w:val="00D15F10"/>
    <w:rsid w:val="00D23B78"/>
    <w:rsid w:val="00D34E5A"/>
    <w:rsid w:val="00D5536F"/>
    <w:rsid w:val="00D601D1"/>
    <w:rsid w:val="00D62F9D"/>
    <w:rsid w:val="00D653B3"/>
    <w:rsid w:val="00D70436"/>
    <w:rsid w:val="00D81DDE"/>
    <w:rsid w:val="00DA56DB"/>
    <w:rsid w:val="00DB1985"/>
    <w:rsid w:val="00DD27D3"/>
    <w:rsid w:val="00DD5D5B"/>
    <w:rsid w:val="00DF1D7C"/>
    <w:rsid w:val="00E000C7"/>
    <w:rsid w:val="00E16B31"/>
    <w:rsid w:val="00E2149D"/>
    <w:rsid w:val="00E26481"/>
    <w:rsid w:val="00E4427E"/>
    <w:rsid w:val="00E547EF"/>
    <w:rsid w:val="00E66A9F"/>
    <w:rsid w:val="00E7013F"/>
    <w:rsid w:val="00E761B9"/>
    <w:rsid w:val="00EA0DBE"/>
    <w:rsid w:val="00EA280E"/>
    <w:rsid w:val="00EB6309"/>
    <w:rsid w:val="00EB636D"/>
    <w:rsid w:val="00EC67B7"/>
    <w:rsid w:val="00EE2B6A"/>
    <w:rsid w:val="00EF6AB8"/>
    <w:rsid w:val="00F15BD5"/>
    <w:rsid w:val="00F1770B"/>
    <w:rsid w:val="00F239FF"/>
    <w:rsid w:val="00F255D7"/>
    <w:rsid w:val="00F4043C"/>
    <w:rsid w:val="00F56F73"/>
    <w:rsid w:val="00F63C44"/>
    <w:rsid w:val="00F63E36"/>
    <w:rsid w:val="00F900A6"/>
    <w:rsid w:val="00F934D9"/>
    <w:rsid w:val="00F94C9F"/>
    <w:rsid w:val="00F94FEB"/>
    <w:rsid w:val="00FA0A74"/>
    <w:rsid w:val="00FA5297"/>
    <w:rsid w:val="00FB1462"/>
    <w:rsid w:val="00FB1E65"/>
    <w:rsid w:val="00FB77B6"/>
    <w:rsid w:val="00FC2484"/>
    <w:rsid w:val="00FD2039"/>
    <w:rsid w:val="00FF282C"/>
    <w:rsid w:val="00FF4117"/>
    <w:rsid w:val="017B5BBB"/>
    <w:rsid w:val="06505B5A"/>
    <w:rsid w:val="06B87F33"/>
    <w:rsid w:val="14913A82"/>
    <w:rsid w:val="1FE91EC6"/>
    <w:rsid w:val="216835EB"/>
    <w:rsid w:val="249E0AE8"/>
    <w:rsid w:val="294D4AFC"/>
    <w:rsid w:val="29DF27A9"/>
    <w:rsid w:val="2C63723E"/>
    <w:rsid w:val="2E4E5C0F"/>
    <w:rsid w:val="2EF6342B"/>
    <w:rsid w:val="3D387014"/>
    <w:rsid w:val="40A93CBB"/>
    <w:rsid w:val="42E10665"/>
    <w:rsid w:val="483A7040"/>
    <w:rsid w:val="4B370F67"/>
    <w:rsid w:val="4C460841"/>
    <w:rsid w:val="54993C3A"/>
    <w:rsid w:val="568C7E46"/>
    <w:rsid w:val="692C0D54"/>
    <w:rsid w:val="6D283FB2"/>
    <w:rsid w:val="77B6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kern w:val="0"/>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kern w:val="0"/>
      <w:sz w:val="28"/>
      <w:szCs w:val="28"/>
    </w:rPr>
  </w:style>
  <w:style w:type="character" w:customStyle="1" w:styleId="32">
    <w:name w:val="纯文本 Char"/>
    <w:basedOn w:val="24"/>
    <w:link w:val="14"/>
    <w:qFormat/>
    <w:uiPriority w:val="0"/>
    <w:rPr>
      <w:rFonts w:eastAsia="宋体"/>
      <w:sz w:val="24"/>
    </w:rPr>
  </w:style>
  <w:style w:type="character" w:customStyle="1" w:styleId="33">
    <w:name w:val="日期 Char"/>
    <w:basedOn w:val="24"/>
    <w:link w:val="15"/>
    <w:qFormat/>
    <w:uiPriority w:val="99"/>
  </w:style>
  <w:style w:type="character" w:customStyle="1" w:styleId="34">
    <w:name w:val="页脚 Char"/>
    <w:basedOn w:val="24"/>
    <w:link w:val="17"/>
    <w:qFormat/>
    <w:uiPriority w:val="99"/>
    <w:rPr>
      <w:sz w:val="18"/>
      <w:szCs w:val="18"/>
    </w:rPr>
  </w:style>
  <w:style w:type="character" w:customStyle="1" w:styleId="35">
    <w:name w:val="页眉 Char"/>
    <w:basedOn w:val="24"/>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4"/>
    <w:link w:val="9"/>
    <w:qFormat/>
    <w:uiPriority w:val="0"/>
    <w:rPr>
      <w:rFonts w:ascii="Times New Roman" w:hAnsi="Times New Roman" w:eastAsia="宋体" w:cs="Times New Roman"/>
      <w:color w:val="FF0000"/>
      <w:sz w:val="24"/>
      <w:szCs w:val="24"/>
    </w:rPr>
  </w:style>
  <w:style w:type="character" w:customStyle="1" w:styleId="48">
    <w:name w:val="edittexttarea"/>
    <w:basedOn w:val="24"/>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4"/>
    <w:link w:val="10"/>
    <w:semiHidden/>
    <w:qFormat/>
    <w:uiPriority w:val="99"/>
  </w:style>
  <w:style w:type="character" w:customStyle="1" w:styleId="52">
    <w:name w:val="正文首行缩进 Char"/>
    <w:basedOn w:val="51"/>
    <w:link w:val="22"/>
    <w:qFormat/>
    <w:uiPriority w:val="0"/>
    <w:rPr>
      <w:rFonts w:ascii="宋体" w:hAnsi="Times New Roman" w:eastAsia="宋体" w:cs="Times New Roman"/>
      <w:kern w:val="0"/>
      <w:sz w:val="34"/>
      <w:szCs w:val="20"/>
    </w:rPr>
  </w:style>
  <w:style w:type="character" w:customStyle="1" w:styleId="53">
    <w:name w:val="HTML 预设格式 Char"/>
    <w:basedOn w:val="24"/>
    <w:link w:val="20"/>
    <w:semiHidden/>
    <w:qFormat/>
    <w:uiPriority w:val="99"/>
    <w:rPr>
      <w:rFonts w:ascii="宋体" w:hAnsi="宋体" w:eastAsia="宋体" w:cs="宋体"/>
      <w:kern w:val="0"/>
      <w:sz w:val="24"/>
      <w:szCs w:val="24"/>
    </w:rPr>
  </w:style>
  <w:style w:type="character" w:customStyle="1" w:styleId="54">
    <w:name w:val="HTML 预设格式 Char1"/>
    <w:basedOn w:val="24"/>
    <w:link w:val="20"/>
    <w:semiHidden/>
    <w:qFormat/>
    <w:uiPriority w:val="99"/>
    <w:rPr>
      <w:rFonts w:ascii="Courier New" w:hAnsi="Courier New" w:cs="Courier New"/>
      <w:sz w:val="20"/>
      <w:szCs w:val="20"/>
    </w:rPr>
  </w:style>
  <w:style w:type="character" w:customStyle="1" w:styleId="55">
    <w:name w:val="正文文本缩进 Char"/>
    <w:link w:val="11"/>
    <w:uiPriority w:val="0"/>
    <w:rPr>
      <w:sz w:val="24"/>
    </w:rPr>
  </w:style>
  <w:style w:type="character" w:customStyle="1" w:styleId="56">
    <w:name w:val="正文文本缩进 Char1"/>
    <w:basedOn w:val="24"/>
    <w:link w:val="11"/>
    <w:semiHidden/>
    <w:qFormat/>
    <w:uiPriority w:val="99"/>
  </w:style>
  <w:style w:type="character" w:customStyle="1" w:styleId="57">
    <w:name w:val="批注框文本 Char"/>
    <w:basedOn w:val="24"/>
    <w:link w:val="16"/>
    <w:semiHidden/>
    <w:qFormat/>
    <w:uiPriority w:val="99"/>
    <w:rPr>
      <w:sz w:val="18"/>
      <w:szCs w:val="18"/>
    </w:rPr>
  </w:style>
  <w:style w:type="character" w:customStyle="1" w:styleId="58">
    <w:name w:val="批注框文本 Char1"/>
    <w:basedOn w:val="24"/>
    <w:link w:val="1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5802</Words>
  <Characters>33074</Characters>
  <Lines>275</Lines>
  <Paragraphs>77</Paragraphs>
  <TotalTime>6</TotalTime>
  <ScaleCrop>false</ScaleCrop>
  <LinksUpToDate>false</LinksUpToDate>
  <CharactersWithSpaces>38799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dcterms:modified xsi:type="dcterms:W3CDTF">2020-04-03T01:55:56Z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