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cs="黑体"/>
          <w:color w:val="000000"/>
          <w:sz w:val="44"/>
          <w:szCs w:val="44"/>
        </w:rPr>
      </w:pPr>
    </w:p>
    <w:p>
      <w:pPr>
        <w:pStyle w:val="28"/>
        <w:ind w:firstLine="2200" w:firstLineChars="500"/>
        <w:rPr>
          <w:rFonts w:hint="eastAsia" w:ascii="黑体" w:hAnsi="黑体" w:eastAsia="黑体" w:cs="黑体"/>
          <w:color w:val="000000"/>
          <w:sz w:val="44"/>
          <w:szCs w:val="44"/>
        </w:rPr>
      </w:pPr>
      <w:r>
        <w:rPr>
          <w:rFonts w:hint="eastAsia" w:ascii="黑体" w:hAnsi="黑体" w:eastAsia="黑体" w:cs="黑体"/>
          <w:color w:val="000000"/>
          <w:sz w:val="44"/>
          <w:szCs w:val="44"/>
        </w:rPr>
        <w:t>禹州苌庄镇中心卫生院</w:t>
      </w:r>
    </w:p>
    <w:p>
      <w:pPr>
        <w:pStyle w:val="28"/>
        <w:ind w:left="0" w:leftChars="0" w:firstLine="0" w:firstLineChars="0"/>
        <w:rPr>
          <w:rFonts w:hint="eastAsia" w:ascii="黑体" w:hAnsi="黑体" w:eastAsia="黑体" w:cs="黑体"/>
          <w:color w:val="000000"/>
          <w:sz w:val="44"/>
          <w:szCs w:val="44"/>
          <w:lang w:eastAsia="zh-CN"/>
        </w:rPr>
      </w:pPr>
      <w:r>
        <w:rPr>
          <w:rFonts w:hint="eastAsia" w:ascii="黑体" w:hAnsi="黑体" w:eastAsia="黑体" w:cs="黑体"/>
          <w:color w:val="000000"/>
          <w:sz w:val="44"/>
          <w:szCs w:val="44"/>
        </w:rPr>
        <w:t>X射线计算机体层摄影装置采购项目</w:t>
      </w:r>
      <w:r>
        <w:rPr>
          <w:rFonts w:hint="eastAsia" w:ascii="黑体" w:hAnsi="黑体" w:eastAsia="黑体" w:cs="黑体"/>
          <w:color w:val="000000"/>
          <w:sz w:val="44"/>
          <w:szCs w:val="44"/>
          <w:lang w:eastAsia="zh-CN"/>
        </w:rPr>
        <w:t>（</w:t>
      </w:r>
      <w:r>
        <w:rPr>
          <w:rFonts w:hint="eastAsia" w:ascii="黑体" w:hAnsi="黑体" w:eastAsia="黑体" w:cs="黑体"/>
          <w:color w:val="000000"/>
          <w:sz w:val="44"/>
          <w:szCs w:val="44"/>
          <w:lang w:val="en-US" w:eastAsia="zh-CN"/>
        </w:rPr>
        <w:t>二次</w:t>
      </w:r>
      <w:r>
        <w:rPr>
          <w:rFonts w:hint="eastAsia" w:ascii="黑体" w:hAnsi="黑体" w:eastAsia="黑体" w:cs="黑体"/>
          <w:color w:val="000000"/>
          <w:sz w:val="44"/>
          <w:szCs w:val="44"/>
          <w:lang w:eastAsia="zh-CN"/>
        </w:rPr>
        <w:t>）</w:t>
      </w:r>
    </w:p>
    <w:p>
      <w:pPr>
        <w:jc w:val="center"/>
        <w:rPr>
          <w:rFonts w:ascii="黑体" w:hAnsi="黑体" w:eastAsia="黑体" w:cs="黑体"/>
          <w:bCs/>
          <w:color w:val="000000"/>
          <w:w w:val="90"/>
          <w:sz w:val="72"/>
          <w:szCs w:val="72"/>
        </w:rPr>
      </w:pPr>
    </w:p>
    <w:p>
      <w:pPr>
        <w:pStyle w:val="2"/>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采购单位：禹州苌庄镇中心卫生院</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YZCG-G20192</w:t>
      </w:r>
      <w:r>
        <w:rPr>
          <w:rFonts w:hint="eastAsia" w:ascii="仿宋" w:hAnsi="仿宋" w:eastAsia="仿宋" w:cs="仿宋"/>
          <w:b/>
          <w:bCs/>
          <w:color w:val="000000"/>
          <w:sz w:val="32"/>
          <w:szCs w:val="32"/>
          <w:lang w:val="en-US" w:eastAsia="zh-CN"/>
        </w:rPr>
        <w:t>68-1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二〇二〇年</w:t>
      </w:r>
      <w:r>
        <w:rPr>
          <w:rFonts w:hint="eastAsia" w:ascii="仿宋" w:hAnsi="仿宋" w:eastAsia="仿宋" w:cs="仿宋"/>
          <w:b/>
          <w:bCs/>
          <w:color w:val="000000"/>
          <w:sz w:val="36"/>
          <w:szCs w:val="36"/>
          <w:lang w:val="en-US" w:eastAsia="zh-CN"/>
        </w:rPr>
        <w:t>三</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禹州苌庄镇中心卫生院</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X射线计算机体层摄影装置采购项目（二次）</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8"/>
        <w:rPr>
          <w:rFonts w:hint="eastAsia" w:ascii="仿宋" w:hAnsi="仿宋" w:eastAsia="仿宋" w:cs="仿宋"/>
          <w:b/>
          <w:bCs/>
          <w:sz w:val="36"/>
          <w:szCs w:val="36"/>
        </w:rPr>
      </w:pPr>
    </w:p>
    <w:p>
      <w:pPr>
        <w:spacing w:line="600" w:lineRule="exact"/>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禹州市政府采购中心受禹州苌庄镇中心卫生院的委托，就“禹州苌庄镇中心卫生院X射</w:t>
      </w:r>
      <w:r>
        <w:rPr>
          <w:rFonts w:hint="eastAsia" w:ascii="新宋体" w:hAnsi="新宋体" w:eastAsia="新宋体" w:cs="新宋体"/>
          <w:sz w:val="24"/>
          <w:szCs w:val="24"/>
          <w:lang w:eastAsia="zh-CN"/>
        </w:rPr>
        <w:t>线</w:t>
      </w:r>
      <w:r>
        <w:rPr>
          <w:rFonts w:hint="eastAsia" w:ascii="新宋体" w:hAnsi="新宋体" w:eastAsia="新宋体" w:cs="新宋体"/>
          <w:sz w:val="24"/>
          <w:szCs w:val="24"/>
        </w:rPr>
        <w:t>计算机体层摄影装置采购项目</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二次</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”进行公开招标，欢迎合格的投标人前来投标。</w:t>
      </w:r>
    </w:p>
    <w:p>
      <w:pPr>
        <w:pStyle w:val="59"/>
        <w:widowControl/>
        <w:numPr>
          <w:ilvl w:val="0"/>
          <w:numId w:val="0"/>
        </w:numPr>
        <w:shd w:val="clear" w:color="auto" w:fill="FFFFFF"/>
        <w:spacing w:line="400" w:lineRule="exact"/>
        <w:ind w:leftChars="0"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一、</w:t>
      </w: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采购人：禹州苌庄镇中心卫生院</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：禹州苌庄镇中心卫生院X射红计算机体层摄影装置采购项目（</w:t>
      </w:r>
      <w:r>
        <w:rPr>
          <w:rFonts w:hint="eastAsia" w:ascii="新宋体" w:hAnsi="新宋体" w:eastAsia="新宋体" w:cs="新宋体"/>
          <w:color w:val="000000"/>
          <w:kern w:val="0"/>
          <w:sz w:val="24"/>
          <w:szCs w:val="24"/>
          <w:lang w:val="en-US" w:eastAsia="zh-CN"/>
        </w:rPr>
        <w:t>二次</w:t>
      </w:r>
      <w:r>
        <w:rPr>
          <w:rFonts w:hint="eastAsia" w:ascii="新宋体" w:hAnsi="新宋体" w:eastAsia="新宋体" w:cs="新宋体"/>
          <w:color w:val="000000"/>
          <w:kern w:val="0"/>
          <w:sz w:val="24"/>
          <w:szCs w:val="24"/>
          <w:lang w:eastAsia="zh-CN"/>
        </w:rPr>
        <w:t>）</w:t>
      </w:r>
    </w:p>
    <w:p>
      <w:pPr>
        <w:widowControl/>
        <w:numPr>
          <w:ilvl w:val="0"/>
          <w:numId w:val="0"/>
        </w:numPr>
        <w:shd w:val="clear" w:color="auto" w:fill="FFFFFF"/>
        <w:spacing w:line="400" w:lineRule="exact"/>
        <w:ind w:firstLine="480" w:firstLineChars="200"/>
        <w:jc w:val="left"/>
        <w:rPr>
          <w:rFonts w:hint="default"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268-1</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项目需求：X射线计算机体层摄影装置</w:t>
      </w:r>
      <w:r>
        <w:rPr>
          <w:rFonts w:hint="eastAsia" w:ascii="新宋体" w:hAnsi="新宋体" w:eastAsia="新宋体" w:cs="新宋体"/>
          <w:color w:val="000000"/>
          <w:kern w:val="0"/>
          <w:sz w:val="24"/>
          <w:szCs w:val="24"/>
          <w:lang w:eastAsia="zh-CN"/>
        </w:rPr>
        <w:t>一套</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310</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310</w:t>
      </w:r>
      <w:r>
        <w:rPr>
          <w:rFonts w:hint="eastAsia" w:ascii="新宋体" w:hAnsi="新宋体" w:eastAsia="新宋体" w:cs="新宋体"/>
          <w:sz w:val="24"/>
          <w:szCs w:val="24"/>
        </w:rPr>
        <w:t>万元</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pStyle w:val="2"/>
        <w:ind w:firstLine="480" w:firstLineChars="200"/>
        <w:rPr>
          <w:rFonts w:hint="eastAsia" w:eastAsia="新宋体"/>
          <w:lang w:val="en-US" w:eastAsia="zh-CN"/>
        </w:rPr>
      </w:pPr>
      <w:r>
        <w:rPr>
          <w:rFonts w:hint="eastAsia" w:ascii="新宋体" w:hAnsi="新宋体" w:eastAsia="新宋体" w:cs="新宋体"/>
          <w:sz w:val="24"/>
          <w:szCs w:val="24"/>
          <w:lang w:val="en-US" w:eastAsia="zh-CN"/>
        </w:rPr>
        <w:t>2、投标人须具有《医疗器械生产许可证》或《医疗器械经营许可证》；</w:t>
      </w:r>
    </w:p>
    <w:p>
      <w:pPr>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、被委托人是须是本单位职工，须提供公司为本人缴纳社会保险证明；</w:t>
      </w:r>
    </w:p>
    <w:p>
      <w:pPr>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w:t>
      </w:r>
      <w:r>
        <w:rPr>
          <w:rFonts w:hint="eastAsia" w:ascii="新宋体" w:hAnsi="新宋体" w:eastAsia="新宋体" w:cs="新宋体"/>
          <w:color w:val="000000"/>
          <w:kern w:val="0"/>
          <w:sz w:val="24"/>
          <w:szCs w:val="24"/>
          <w:lang w:val="en-US" w:eastAsia="zh-CN"/>
        </w:rPr>
        <w:t>2020</w:t>
      </w:r>
      <w:r>
        <w:rPr>
          <w:rFonts w:hint="eastAsia" w:ascii="新宋体" w:hAnsi="新宋体" w:eastAsia="新宋体" w:cs="新宋体"/>
          <w:color w:val="000000"/>
          <w:kern w:val="0"/>
          <w:sz w:val="24"/>
          <w:szCs w:val="24"/>
        </w:rPr>
        <w:t>年</w:t>
      </w:r>
      <w:r>
        <w:rPr>
          <w:rFonts w:hint="eastAsia" w:ascii="新宋体" w:hAnsi="新宋体" w:eastAsia="新宋体" w:cs="新宋体"/>
          <w:color w:val="000000"/>
          <w:kern w:val="0"/>
          <w:sz w:val="24"/>
          <w:szCs w:val="24"/>
          <w:lang w:val="en-US" w:eastAsia="zh-CN"/>
        </w:rPr>
        <w:t xml:space="preserve"> 4</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16</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 xml:space="preserve">9 </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（二）采购单位：禹州苌庄镇中心卫生院</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苌庄镇</w:t>
      </w:r>
    </w:p>
    <w:p>
      <w:pPr>
        <w:widowControl/>
        <w:shd w:val="clear" w:color="auto" w:fill="FFFFFF"/>
        <w:spacing w:line="400" w:lineRule="exact"/>
        <w:ind w:firstLine="641"/>
        <w:jc w:val="left"/>
        <w:rPr>
          <w:rFonts w:hint="default"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王</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13460563622</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hAnsi="宋体"/>
          <w:b/>
          <w:sz w:val="32"/>
          <w:szCs w:val="32"/>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p>
    <w:p>
      <w:pPr>
        <w:spacing w:line="360" w:lineRule="auto"/>
        <w:rPr>
          <w:rFonts w:hint="eastAsia"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int="eastAsia" w:hAnsi="宋体"/>
          <w:b/>
          <w:color w:val="FF0000"/>
          <w:sz w:val="28"/>
          <w:szCs w:val="28"/>
        </w:rPr>
      </w:pPr>
      <w:r>
        <w:rPr>
          <w:rFonts w:hint="eastAsia" w:hAnsi="宋体"/>
          <w:b/>
          <w:color w:val="FF0000"/>
          <w:sz w:val="28"/>
          <w:szCs w:val="28"/>
          <w:lang w:val="en-US" w:eastAsia="zh-CN"/>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8"/>
      </w:pPr>
    </w:p>
    <w:p>
      <w:pPr>
        <w:widowControl/>
        <w:numPr>
          <w:ilvl w:val="0"/>
          <w:numId w:val="6"/>
        </w:numPr>
        <w:shd w:val="clear" w:color="auto" w:fill="FFFFFF"/>
        <w:spacing w:line="360" w:lineRule="auto"/>
        <w:jc w:val="left"/>
        <w:rPr>
          <w:b w:val="0"/>
          <w:bCs w:val="0"/>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作为一种常规使用的影像检查手段，尤其是对颅脑及胸腹部病变、急诊外伤、早期肿瘤等病人能进行快速准确的诊断。</w:t>
      </w:r>
    </w:p>
    <w:p>
      <w:pPr>
        <w:pStyle w:val="63"/>
        <w:widowControl/>
        <w:numPr>
          <w:ilvl w:val="0"/>
          <w:numId w:val="6"/>
        </w:numPr>
        <w:shd w:val="clear" w:color="auto" w:fill="FFFFFF"/>
        <w:spacing w:line="360" w:lineRule="auto"/>
        <w:ind w:left="0" w:leftChars="0" w:firstLine="0" w:firstLineChars="0"/>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p>
    <w:tbl>
      <w:tblPr>
        <w:tblStyle w:val="22"/>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序号</w:t>
            </w:r>
          </w:p>
        </w:tc>
        <w:tc>
          <w:tcPr>
            <w:tcW w:w="8217" w:type="dxa"/>
            <w:noWrap w:val="0"/>
            <w:vAlign w:val="center"/>
          </w:tcPr>
          <w:p>
            <w:pPr>
              <w:spacing w:line="32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整机要求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16层螺旋CT壹套，提供各厂家2018年以后上市的最新机型且配备最新版的软件（须提供承诺书，承诺确保软件与硬件能够完全兼容实现相应功能）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扫描架孔径：≥70cm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2.2</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扫描架倾角：≥±30°（不含数字倾角）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探测器类型：</w:t>
            </w:r>
            <w:r>
              <w:rPr>
                <w:rFonts w:hint="eastAsia" w:ascii="新宋体" w:hAnsi="新宋体" w:eastAsia="新宋体" w:cs="新宋体"/>
                <w:kern w:val="0"/>
                <w:sz w:val="24"/>
                <w:szCs w:val="24"/>
              </w:rPr>
              <w:t>固态稀土陶瓷闪烁晶体探测器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探测器排数：24排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探测器每排单元数：≥860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2.6</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探测器最薄采集层厚：&lt;0.6mm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2.7</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探测器防散射片高度：≥12mm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2.8</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滑环类型：低压滑环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2.9</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机架冷却方式：风冷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2.10</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三维激光定位系统：具备（精确度±1mm）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2.11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呼吸指示灯及倒计时显示：具备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球管及高压系统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球管阳极热容量：≤4MHU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球管最大电压：≥135kV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球管最小电压：≤80kV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球管最大电流：≥400mA（120KV以上条件下）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球管大焦点：＜1.5mm</w:t>
            </w:r>
            <w:r>
              <w:rPr>
                <w:rFonts w:hint="eastAsia" w:ascii="新宋体" w:hAnsi="新宋体" w:eastAsia="新宋体" w:cs="新宋体"/>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球管小焦点：＜0.5mm</w:t>
            </w:r>
            <w:r>
              <w:rPr>
                <w:rFonts w:hint="eastAsia" w:ascii="新宋体" w:hAnsi="新宋体" w:eastAsia="新宋体" w:cs="新宋体"/>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3.7</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高压发生器功率：≥48kW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扫描床水平可移动范围：≥1700mm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4.2</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扫描床垂直最低位置：≤510mm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扫描床水平移动最大速度：≥100mm/s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扫描床水平移动精度：≤±0.25mm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扫描床最大承重：≥205kG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具备扫描床智能释放开关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计算机部分（控制台）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主计算机操作系统： Windows7以上版本或Linux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主频：≥4*3.5GHz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内存：≥16G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硬盘容量：≥500G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显示屏尺寸：≥23寸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Dicom3.0 数字接口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5.7</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自动语音系统及双向语音传输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6.1</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最快扫描时间：≤0.6s/360°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每圈扫描层数：16层/360°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最薄扫描层厚：&lt;0.6mm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扫描视野：≥50cm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定位像最大扫描长度：≥1700mm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最长连续螺旋扫描时间：≥100s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7.1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空间分辨率：≥18lp/cm @ MTF0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7.2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低对比度分辨率：≤5mm@0.3%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7.3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最新迭代技术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临床应用软件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线束硬化伪影矫正软件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骨硬化伪影矫正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低剂量肺部扫描协议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儿童专用扫描协议包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多平面重建MPR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最大密度投影MIP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8.7</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最小密度投影MinIP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8.8</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表面重建SSD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8.9</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容积重建VR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8.10</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曲面重建CPR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图像批处理Batch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虚拟内窥镜VE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智能呼吸控制语音提示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电影模式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组织分割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图像后处理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9.1</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独立后处理工作站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主频：≥4*3.2GHz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内存：≥8G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硬盘容量：≥1T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显示屏尺寸：≥23寸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与主机的网络通讯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9.7</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外部资源读取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9.8</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Dicom3.0 数字接口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10.1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提供头拖、头拖垫、床垫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10.2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提供质控水模</w:t>
            </w:r>
          </w:p>
        </w:tc>
      </w:tr>
      <w:tr>
        <w:tblPrEx>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免费机房设计：提供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整机保修：1年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球管保修：1年内不少于20万秒次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现场操作培训：提供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保修期内的开机率：≥95%，保修期内每年至少保养2次并提供保养报告</w:t>
            </w:r>
          </w:p>
        </w:tc>
      </w:tr>
    </w:tbl>
    <w:p>
      <w:pPr>
        <w:pStyle w:val="63"/>
        <w:widowControl/>
        <w:numPr>
          <w:ilvl w:val="0"/>
          <w:numId w:val="0"/>
        </w:numPr>
        <w:shd w:val="clear" w:color="auto" w:fill="FFFFFF"/>
        <w:spacing w:line="360" w:lineRule="auto"/>
        <w:ind w:firstLine="723" w:firstLineChars="3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3"/>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3"/>
        <w:widowControl/>
        <w:shd w:val="clear" w:color="auto" w:fill="FFFFFF"/>
        <w:spacing w:line="360" w:lineRule="auto"/>
        <w:ind w:firstLine="480" w:firstLineChars="2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 xml:space="preserve"> 能够满足临床诊断需要的高品质图像，能够满足医院正常开展业务需求。</w:t>
      </w:r>
    </w:p>
    <w:p>
      <w:pPr>
        <w:pStyle w:val="63"/>
        <w:widowControl/>
        <w:shd w:val="clear" w:color="auto" w:fill="FFFFFF"/>
        <w:spacing w:line="360" w:lineRule="auto"/>
        <w:ind w:firstLine="600"/>
        <w:jc w:val="left"/>
        <w:rPr>
          <w:rFonts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1、按照国家相关标准规范验收。</w:t>
      </w:r>
    </w:p>
    <w:p>
      <w:pPr>
        <w:pStyle w:val="63"/>
        <w:widowControl/>
        <w:shd w:val="clear" w:color="auto" w:fill="FFFFFF"/>
        <w:spacing w:line="360" w:lineRule="auto"/>
        <w:ind w:firstLine="600"/>
        <w:jc w:val="left"/>
      </w:pPr>
      <w:r>
        <w:rPr>
          <w:rFonts w:hint="eastAsia" w:ascii="新宋体" w:hAnsi="新宋体" w:eastAsia="新宋体" w:cs="新宋体"/>
          <w:kern w:val="0"/>
          <w:sz w:val="24"/>
          <w:szCs w:val="24"/>
          <w:lang w:val="zh-TW" w:eastAsia="zh-TW"/>
        </w:rPr>
        <w:t>2、按照招标文件要求、投标文件响应和承诺验收。</w:t>
      </w:r>
    </w:p>
    <w:p>
      <w:pPr>
        <w:widowControl/>
        <w:shd w:val="clear" w:color="auto" w:fill="FFFFFF"/>
        <w:spacing w:line="360" w:lineRule="auto"/>
        <w:ind w:firstLine="482" w:firstLineChars="200"/>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3"/>
        <w:spacing w:line="360" w:lineRule="auto"/>
        <w:ind w:firstLine="480" w:firstLineChars="2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1、供应商须明确所投产品的厂家、产地、品牌、型号、详细参数，否则为无效投标。</w:t>
      </w:r>
    </w:p>
    <w:p>
      <w:pPr>
        <w:pStyle w:val="3"/>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pStyle w:val="3"/>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、投标人须明确免费包修期，同时应提出故障响应时间，在免费包修期内，同一质量问题连续两次维修仍无法正常使用，投标人必须予以更换同品牌、同型号的全新产品并安装到采购人指定单位。</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3"/>
        <w:spacing w:line="360" w:lineRule="auto"/>
        <w:ind w:firstLine="241" w:firstLineChars="100"/>
        <w:rPr>
          <w:rFonts w:ascii="新宋体" w:hAnsi="新宋体" w:eastAsia="新宋体" w:cs="新宋体"/>
          <w:sz w:val="24"/>
          <w:szCs w:val="24"/>
        </w:rPr>
      </w:pPr>
      <w:r>
        <w:rPr>
          <w:rFonts w:hint="eastAsia" w:ascii="新宋体" w:hAnsi="新宋体" w:eastAsia="新宋体" w:cs="新宋体"/>
          <w:b/>
          <w:color w:val="000000"/>
          <w:kern w:val="0"/>
          <w:sz w:val="24"/>
          <w:szCs w:val="24"/>
          <w:lang w:val="zh-CN"/>
        </w:rPr>
        <w:t>（七）付款方式：</w:t>
      </w:r>
      <w:r>
        <w:rPr>
          <w:rFonts w:hint="eastAsia" w:ascii="新宋体" w:hAnsi="新宋体" w:eastAsia="新宋体" w:cs="新宋体"/>
          <w:b w:val="0"/>
          <w:bCs/>
          <w:color w:val="000000"/>
          <w:kern w:val="0"/>
          <w:sz w:val="24"/>
          <w:szCs w:val="24"/>
          <w:lang w:val="zh-CN"/>
        </w:rPr>
        <w:t>验收合格正常使用后，五年内分期付款（具体按照合同约定）。</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项目名称：禹州苌庄镇中心卫生院X射线计算机体层摄影装置采购项目</w:t>
            </w:r>
            <w:r>
              <w:rPr>
                <w:rFonts w:hint="eastAsia" w:cs="仿宋_GB2312" w:asciiTheme="minorEastAsia" w:hAnsiTheme="minorEastAsia"/>
                <w:szCs w:val="21"/>
                <w:lang w:eastAsia="zh-CN"/>
              </w:rPr>
              <w:t>（</w:t>
            </w:r>
            <w:r>
              <w:rPr>
                <w:rFonts w:hint="eastAsia" w:cs="仿宋_GB2312" w:asciiTheme="minorEastAsia" w:hAnsiTheme="minorEastAsia"/>
                <w:szCs w:val="21"/>
                <w:lang w:val="en-US" w:eastAsia="zh-CN"/>
              </w:rPr>
              <w:t>二次</w:t>
            </w:r>
            <w:r>
              <w:rPr>
                <w:rFonts w:hint="eastAsia" w:cs="仿宋_GB2312" w:asciiTheme="minorEastAsia" w:hAnsiTheme="minorEastAsia"/>
                <w:szCs w:val="21"/>
                <w:lang w:eastAsia="zh-CN"/>
              </w:rPr>
              <w:t>）</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268-1</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交付（服务、完工）时间</w:t>
            </w:r>
            <w:r>
              <w:rPr>
                <w:rFonts w:hint="eastAsia" w:cs="仿宋_GB2312" w:asciiTheme="minorEastAsia" w:hAnsiTheme="minorEastAsia"/>
                <w:sz w:val="24"/>
                <w:szCs w:val="24"/>
                <w:lang w:eastAsia="zh-CN"/>
              </w:rPr>
              <w:t>：</w:t>
            </w:r>
            <w:r>
              <w:rPr>
                <w:rFonts w:cs="仿宋_GB2312" w:asciiTheme="minorEastAsia" w:hAnsiTheme="minorEastAsia"/>
                <w:sz w:val="24"/>
                <w:szCs w:val="24"/>
              </w:rPr>
              <w:t>合同签订后</w:t>
            </w:r>
            <w:r>
              <w:rPr>
                <w:rFonts w:hint="eastAsia" w:cs="仿宋_GB2312" w:asciiTheme="minorEastAsia" w:hAnsiTheme="minorEastAsia"/>
                <w:sz w:val="24"/>
                <w:szCs w:val="24"/>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名称：禹州苌庄镇中心卫生院</w:t>
            </w:r>
          </w:p>
          <w:p>
            <w:pPr>
              <w:widowControl/>
              <w:shd w:val="clear" w:color="auto" w:fill="FFFFFF"/>
              <w:spacing w:line="400" w:lineRule="exact"/>
              <w:jc w:val="left"/>
              <w:rPr>
                <w:rFonts w:hint="eastAsia" w:cs="仿宋_GB2312" w:asciiTheme="minorEastAsia" w:hAnsiTheme="minorEastAsia"/>
                <w:szCs w:val="21"/>
              </w:rPr>
            </w:pPr>
            <w:r>
              <w:rPr>
                <w:rFonts w:hint="eastAsia" w:cs="仿宋_GB2312" w:asciiTheme="minorEastAsia" w:hAnsiTheme="minorEastAsia"/>
                <w:sz w:val="24"/>
                <w:szCs w:val="24"/>
              </w:rPr>
              <w:t>地址：</w:t>
            </w:r>
            <w:r>
              <w:rPr>
                <w:rFonts w:hint="eastAsia" w:cs="仿宋_GB2312" w:asciiTheme="minorEastAsia" w:hAnsiTheme="minorEastAsia"/>
                <w:szCs w:val="21"/>
              </w:rPr>
              <w:t>禹州苌庄镇</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王</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13460563622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rPr>
                <w:rFonts w:hint="eastAsia"/>
              </w:rPr>
            </w:pPr>
            <w:r>
              <w:rPr>
                <w:rFonts w:hint="eastAsia"/>
                <w:lang w:val="zh-CN"/>
              </w:rPr>
              <w:t>七、</w:t>
            </w:r>
            <w:r>
              <w:rPr>
                <w:rFonts w:hint="eastAsia"/>
              </w:rPr>
              <w:t>未被列入“信用中国”网站(www.creditchina.gov.cn)失信被执行人、重大税收违法案件当事人名单、 “中国政府采购网” (www.ccgp.gov.cn)政府采购严重违法失信行为记录名单的供应商</w:t>
            </w:r>
            <w:r>
              <w:rPr>
                <w:rFonts w:hint="eastAsia"/>
                <w:lang w:val="zh-CN"/>
              </w:rPr>
              <w:t>；</w:t>
            </w:r>
            <w:r>
              <w:rPr>
                <w:rFonts w:hint="eastAsia"/>
              </w:rPr>
              <w:t xml:space="preserve"> “中国社会组织公共服务平台”网站（www.chinanpo.gov.cn）严重违法失信社会组织名单的供应商（联合体形式响应的，联合体成员存在不良信用记录，视同联合体存在不良信用记录）。</w:t>
            </w:r>
          </w:p>
          <w:p>
            <w:pPr>
              <w:autoSpaceDE w:val="0"/>
              <w:autoSpaceDN w:val="0"/>
              <w:spacing w:line="360" w:lineRule="auto"/>
              <w:contextualSpacing/>
              <w:rPr>
                <w:rFonts w:hint="eastAsia"/>
              </w:rPr>
            </w:pPr>
            <w:r>
              <w:rPr>
                <w:rFonts w:hint="eastAsia"/>
              </w:rPr>
              <w:t>1、查询渠道：</w:t>
            </w:r>
          </w:p>
          <w:p>
            <w:pPr>
              <w:autoSpaceDE w:val="0"/>
              <w:autoSpaceDN w:val="0"/>
              <w:spacing w:line="360" w:lineRule="auto"/>
              <w:contextualSpacing/>
              <w:rPr>
                <w:rFonts w:hint="eastAsia"/>
              </w:rPr>
            </w:pPr>
            <w:r>
              <w:rPr>
                <w:rFonts w:hint="eastAsia"/>
              </w:rPr>
              <w:t>①“信用中国”网站（</w:t>
            </w:r>
            <w:r>
              <w:rPr>
                <w:rFonts w:hint="eastAsia"/>
              </w:rPr>
              <w:fldChar w:fldCharType="begin"/>
            </w:r>
            <w:r>
              <w:rPr>
                <w:rFonts w:hint="eastAsia"/>
              </w:rP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rPr>
              <w:t>）</w:t>
            </w:r>
          </w:p>
          <w:p>
            <w:pPr>
              <w:autoSpaceDE w:val="0"/>
              <w:autoSpaceDN w:val="0"/>
              <w:spacing w:line="360" w:lineRule="auto"/>
              <w:contextualSpacing/>
              <w:rPr>
                <w:rFonts w:hint="eastAsia"/>
              </w:rPr>
            </w:pPr>
            <w:r>
              <w:rPr>
                <w:rFonts w:hint="eastAsia"/>
              </w:rPr>
              <w:t>②“中国政府采购网”（www.ccgp.gov.cn）</w:t>
            </w:r>
          </w:p>
          <w:p>
            <w:pPr>
              <w:autoSpaceDE w:val="0"/>
              <w:autoSpaceDN w:val="0"/>
              <w:spacing w:line="360" w:lineRule="auto"/>
              <w:contextualSpacing/>
              <w:rPr>
                <w:rFonts w:hint="eastAsia"/>
              </w:rPr>
            </w:pPr>
            <w:r>
              <w:rPr>
                <w:rFonts w:hint="eastAsia"/>
              </w:rPr>
              <w:t>③“中国社会组织公共服务平台”网站（www.chinanpo.gov.cn）（仅查询社会组织）；</w:t>
            </w:r>
          </w:p>
          <w:p>
            <w:pPr>
              <w:autoSpaceDE w:val="0"/>
              <w:autoSpaceDN w:val="0"/>
              <w:spacing w:line="360" w:lineRule="auto"/>
              <w:contextualSpacing/>
              <w:rPr>
                <w:rFonts w:hint="eastAsia"/>
              </w:rPr>
            </w:pPr>
            <w:r>
              <w:rPr>
                <w:rFonts w:hint="eastAsia"/>
              </w:rPr>
              <w:t>2、截止时间：同谈判响应截止时间；</w:t>
            </w:r>
          </w:p>
          <w:p>
            <w:pPr>
              <w:autoSpaceDE w:val="0"/>
              <w:autoSpaceDN w:val="0"/>
              <w:spacing w:line="360" w:lineRule="auto"/>
              <w:contextualSpacing/>
              <w:rPr>
                <w:rFonts w:hint="eastAsia"/>
              </w:rPr>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hint="eastAsia"/>
              </w:rPr>
            </w:pPr>
            <w:r>
              <w:rPr>
                <w:rFonts w:hint="eastAsia"/>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p>
            <w:pPr>
              <w:pStyle w:val="2"/>
              <w:ind w:left="0" w:leftChars="0" w:firstLine="0" w:firstLineChars="0"/>
              <w:rPr>
                <w:rFonts w:hint="eastAsia" w:eastAsia="宋体"/>
                <w:lang w:eastAsia="zh-CN"/>
              </w:rPr>
            </w:pPr>
            <w:r>
              <w:rPr>
                <w:rFonts w:hint="eastAsia" w:asciiTheme="minorHAnsi" w:hAnsiTheme="minorHAnsi" w:eastAsiaTheme="minorEastAsia" w:cstheme="minorBidi"/>
                <w:kern w:val="2"/>
                <w:sz w:val="21"/>
                <w:szCs w:val="22"/>
                <w:lang w:val="en-US" w:eastAsia="zh-CN" w:bidi="ar-SA"/>
              </w:rPr>
              <w:t>八、投标人须具有《医疗器械生产许可证》或《医疗器械经营许可证》。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310</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2020</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16</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9：00 </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9"/>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spacing w:line="360" w:lineRule="auto"/>
        <w:contextualSpacing/>
        <w:rPr>
          <w:rFonts w:hint="eastAsia"/>
          <w:sz w:val="24"/>
          <w:szCs w:val="24"/>
        </w:rPr>
      </w:pPr>
      <w:r>
        <w:rPr>
          <w:rFonts w:hint="eastAsia"/>
          <w:sz w:val="24"/>
          <w:szCs w:val="24"/>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numPr>
          <w:ilvl w:val="0"/>
          <w:numId w:val="10"/>
        </w:numPr>
        <w:spacing w:line="360" w:lineRule="auto"/>
        <w:contextualSpacing/>
        <w:rPr>
          <w:rFonts w:hint="eastAsia"/>
          <w:sz w:val="24"/>
          <w:szCs w:val="24"/>
        </w:rPr>
      </w:pPr>
      <w:r>
        <w:rPr>
          <w:rFonts w:hint="eastAsia"/>
          <w:sz w:val="24"/>
          <w:szCs w:val="24"/>
        </w:rPr>
        <w:t>查询渠道：“信用中国”网站（www.creditchina.gov.cn）、“中国政府采购网”（www.ccgp.gov.cn）、“国家企业信用公示系统”网站（www.gsxt.gov.cn）、“中国社会组织公共服务平台”网站（www.chinanpo.gov.cn）；</w:t>
      </w:r>
    </w:p>
    <w:p>
      <w:pPr>
        <w:numPr>
          <w:numId w:val="0"/>
        </w:numPr>
        <w:spacing w:line="360" w:lineRule="auto"/>
        <w:contextualSpacing/>
        <w:rPr>
          <w:sz w:val="24"/>
          <w:szCs w:val="24"/>
        </w:rPr>
      </w:pPr>
      <w:r>
        <w:rPr>
          <w:rFonts w:hint="eastAsia"/>
          <w:sz w:val="24"/>
          <w:szCs w:val="24"/>
        </w:rPr>
        <w:t>（2）截止时间：同投标截止时间；</w:t>
      </w:r>
    </w:p>
    <w:p>
      <w:pPr>
        <w:numPr>
          <w:numId w:val="0"/>
        </w:numPr>
        <w:spacing w:line="360" w:lineRule="auto"/>
        <w:contextualSpacing/>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numPr>
          <w:numId w:val="0"/>
        </w:numPr>
        <w:spacing w:line="360" w:lineRule="auto"/>
        <w:contextualSpacing/>
        <w:rPr>
          <w:rFonts w:hint="eastAsia"/>
          <w:sz w:val="24"/>
          <w:szCs w:val="24"/>
        </w:rPr>
      </w:pPr>
      <w:r>
        <w:rPr>
          <w:rFonts w:hint="eastAsia"/>
          <w:sz w:val="24"/>
          <w:szCs w:val="24"/>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numPr>
          <w:numId w:val="0"/>
        </w:numPr>
        <w:spacing w:line="360" w:lineRule="auto"/>
        <w:contextualSpacing/>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jc w:val="left"/>
              <w:rPr>
                <w:rFonts w:hint="eastAsia" w:asciiTheme="minorEastAsia" w:hAnsiTheme="minorEastAsia"/>
                <w:bCs/>
                <w:szCs w:val="21"/>
              </w:rPr>
            </w:pPr>
            <w:r>
              <w:rPr>
                <w:rFonts w:hint="eastAsia" w:asciiTheme="minorEastAsia" w:hAnsiTheme="minorEastAsia"/>
                <w:bCs/>
                <w:szCs w:val="21"/>
              </w:rPr>
              <w:t>政</w:t>
            </w:r>
            <w:r>
              <w:rPr>
                <w:rFonts w:hint="eastAsia" w:asciiTheme="minorEastAsia" w:hAnsiTheme="minorEastAsia"/>
                <w:bCs/>
                <w:szCs w:val="21"/>
              </w:rPr>
              <w:t>府采购活动中查询及使用供应商信用记录的具体要求为：供应商未被列入“信用中国”网站失信被执行人、重大税收违法案件当事人名单、“中国政府采购网”政府采购严重违法失信行为记录名单、“中国社会组织公共服务平台”网站（www.chinanpo.gov.cn）严重违法失信社会组织名单的供应商；（联合体形式投标的，联合体成员存在不良信用记录，视同联合体存在不良信用记录）。</w:t>
            </w:r>
          </w:p>
          <w:p>
            <w:pPr>
              <w:spacing w:line="360" w:lineRule="auto"/>
              <w:jc w:val="left"/>
              <w:rPr>
                <w:rFonts w:hint="eastAsia" w:asciiTheme="minorEastAsia" w:hAnsiTheme="minorEastAsia"/>
                <w:bCs/>
                <w:szCs w:val="21"/>
              </w:rPr>
            </w:pPr>
            <w:r>
              <w:rPr>
                <w:rFonts w:hint="eastAsia" w:asciiTheme="minorEastAsia" w:hAnsiTheme="minorEastAsia"/>
                <w:bCs/>
                <w:szCs w:val="21"/>
              </w:rPr>
              <w:t>（1）查询渠道：</w:t>
            </w:r>
          </w:p>
          <w:p>
            <w:pPr>
              <w:spacing w:line="360" w:lineRule="auto"/>
              <w:jc w:val="left"/>
              <w:rPr>
                <w:rFonts w:hint="eastAsia" w:asciiTheme="minorEastAsia" w:hAnsiTheme="minorEastAsia"/>
                <w:bCs/>
                <w:szCs w:val="21"/>
              </w:rPr>
            </w:pPr>
            <w:r>
              <w:rPr>
                <w:rFonts w:hint="eastAsia" w:asciiTheme="minorEastAsia" w:hAnsiTheme="minorEastAsia"/>
                <w:bCs/>
                <w:szCs w:val="21"/>
              </w:rPr>
              <w:t>①“信用中国”网站（</w:t>
            </w:r>
            <w:r>
              <w:rPr>
                <w:rFonts w:hint="eastAsia" w:asciiTheme="minorEastAsia" w:hAnsiTheme="minorEastAsia"/>
                <w:bCs/>
                <w:szCs w:val="21"/>
              </w:rPr>
              <w:fldChar w:fldCharType="begin"/>
            </w:r>
            <w:r>
              <w:rPr>
                <w:rFonts w:hint="eastAsia" w:asciiTheme="minorEastAsia" w:hAnsiTheme="minorEastAsia"/>
                <w:bCs/>
                <w:szCs w:val="21"/>
              </w:rPr>
              <w:instrText xml:space="preserve"> HYPERLINK "http://www.creditchina.gov.cn" </w:instrText>
            </w:r>
            <w:r>
              <w:rPr>
                <w:rFonts w:hint="eastAsia" w:asciiTheme="minorEastAsia" w:hAnsiTheme="minorEastAsia"/>
                <w:bCs/>
                <w:szCs w:val="21"/>
              </w:rPr>
              <w:fldChar w:fldCharType="separate"/>
            </w:r>
            <w:r>
              <w:rPr>
                <w:rFonts w:hint="eastAsia" w:asciiTheme="minorEastAsia" w:hAnsiTheme="minorEastAsia"/>
                <w:bCs/>
                <w:szCs w:val="21"/>
              </w:rPr>
              <w:t>www.creditchina.gov.cn</w:t>
            </w:r>
            <w:r>
              <w:rPr>
                <w:rFonts w:hint="eastAsia" w:asciiTheme="minorEastAsia" w:hAnsiTheme="minorEastAsia"/>
                <w:bCs/>
                <w:szCs w:val="21"/>
              </w:rPr>
              <w:fldChar w:fldCharType="end"/>
            </w:r>
            <w:r>
              <w:rPr>
                <w:rFonts w:hint="eastAsia" w:asciiTheme="minorEastAsia" w:hAnsiTheme="minorEastAsia"/>
                <w:bCs/>
                <w:szCs w:val="21"/>
              </w:rPr>
              <w:t>）</w:t>
            </w:r>
          </w:p>
          <w:p>
            <w:pPr>
              <w:spacing w:line="360" w:lineRule="auto"/>
              <w:jc w:val="left"/>
              <w:rPr>
                <w:rFonts w:hint="eastAsia" w:asciiTheme="minorEastAsia" w:hAnsiTheme="minorEastAsia"/>
                <w:bCs/>
                <w:szCs w:val="21"/>
              </w:rPr>
            </w:pPr>
            <w:r>
              <w:rPr>
                <w:rFonts w:hint="eastAsia" w:asciiTheme="minorEastAsia" w:hAnsiTheme="minorEastAsia"/>
                <w:bCs/>
                <w:szCs w:val="21"/>
              </w:rPr>
              <w:t>②“中国政府采购网”（www.ccgp.gov.cn）</w:t>
            </w:r>
          </w:p>
          <w:p>
            <w:pPr>
              <w:spacing w:line="360" w:lineRule="auto"/>
              <w:jc w:val="left"/>
              <w:rPr>
                <w:rFonts w:hint="eastAsia" w:asciiTheme="minorEastAsia" w:hAnsiTheme="minorEastAsia"/>
                <w:bCs/>
                <w:szCs w:val="21"/>
              </w:rPr>
            </w:pPr>
            <w:r>
              <w:rPr>
                <w:rFonts w:hint="eastAsia" w:asciiTheme="minorEastAsia" w:hAnsiTheme="minorEastAsia"/>
                <w:bCs/>
                <w:szCs w:val="21"/>
              </w:rPr>
              <w:t>③“中国社会组织公共服务平台”网站（www.chinanpo.gov.cn）（仅查询社会组织）；</w:t>
            </w:r>
          </w:p>
          <w:p>
            <w:pPr>
              <w:spacing w:line="360" w:lineRule="auto"/>
              <w:jc w:val="left"/>
              <w:rPr>
                <w:rFonts w:hint="eastAsia" w:asciiTheme="minorEastAsia" w:hAnsiTheme="minorEastAsia"/>
                <w:bCs/>
                <w:szCs w:val="21"/>
              </w:rPr>
            </w:pPr>
            <w:r>
              <w:rPr>
                <w:rFonts w:hint="eastAsia" w:asciiTheme="minorEastAsia" w:hAnsiTheme="minorEastAsia"/>
                <w:bCs/>
                <w:szCs w:val="21"/>
              </w:rPr>
              <w:t>（2）截止时间：同投标截止时间；</w:t>
            </w:r>
          </w:p>
          <w:p>
            <w:pPr>
              <w:spacing w:line="360" w:lineRule="auto"/>
              <w:jc w:val="left"/>
              <w:rPr>
                <w:rFonts w:hint="eastAsia" w:asciiTheme="minorEastAsia" w:hAnsiTheme="minorEastAsia"/>
                <w:bCs/>
                <w:szCs w:val="21"/>
              </w:rPr>
            </w:pPr>
            <w:r>
              <w:rPr>
                <w:rFonts w:hint="eastAsia" w:asciiTheme="minorEastAsia" w:hAnsiTheme="minorEastAsia"/>
                <w:bCs/>
                <w:szCs w:val="21"/>
              </w:rPr>
              <w:t>（3）信用信息查询记录和证据留存具体方式：经谈判小组确认确认的查询结果网页截图作为查询记录和证据，与其他采购文件一并保存；</w:t>
            </w:r>
          </w:p>
          <w:p>
            <w:pPr>
              <w:spacing w:line="360" w:lineRule="auto"/>
              <w:jc w:val="left"/>
              <w:rPr>
                <w:rFonts w:asciiTheme="minorEastAsia" w:hAnsiTheme="minorEastAsia"/>
                <w:b/>
                <w:bCs/>
                <w:szCs w:val="21"/>
              </w:rPr>
            </w:pPr>
            <w:r>
              <w:rPr>
                <w:rFonts w:hint="eastAsia" w:asciiTheme="minorEastAsia" w:hAnsiTheme="minorEastAsia"/>
                <w:bCs/>
                <w:szCs w:val="21"/>
              </w:rPr>
              <w:t>（4）信用信息的使用原则：经谈判小组确认认定的被列入失信被执行人、重大税收违法案件当事人名单、政府采购严重违法失信行为记录名单的供应商，严重违法失信企业名单（黑名单）、严重违法失信社会组织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val="0"/>
                <w:bCs w:val="0"/>
                <w:szCs w:val="21"/>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hint="eastAsia" w:cs="仿宋_GB2312" w:asciiTheme="minorEastAsia" w:hAnsiTheme="minorEastAsia"/>
          <w:b/>
          <w:bCs/>
          <w:szCs w:val="21"/>
        </w:rPr>
      </w:pPr>
      <w:r>
        <w:rPr>
          <w:rFonts w:hint="eastAsia" w:cs="仿宋_GB2312" w:asciiTheme="minorEastAsia" w:hAnsiTheme="minorEastAsia"/>
          <w:szCs w:val="21"/>
        </w:rPr>
        <w:t xml:space="preserve">  </w:t>
      </w:r>
      <w:r>
        <w:rPr>
          <w:rFonts w:hint="eastAsia" w:cs="仿宋_GB2312" w:asciiTheme="minorEastAsia" w:hAnsiTheme="minorEastAsia"/>
          <w:b/>
          <w:bCs/>
          <w:szCs w:val="21"/>
        </w:rPr>
        <w:t xml:space="preserve"> （5）评分标准</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widowControl/>
              <w:spacing w:line="360" w:lineRule="auto"/>
              <w:jc w:val="center"/>
              <w:rPr>
                <w:rFonts w:hint="eastAsia" w:ascii="新宋体" w:hAnsi="新宋体" w:eastAsia="新宋体" w:cs="新宋体"/>
                <w:color w:val="000000"/>
                <w:kern w:val="0"/>
                <w:sz w:val="24"/>
                <w:szCs w:val="24"/>
              </w:rPr>
            </w:pPr>
            <w:bookmarkStart w:id="9" w:name="_GoBack"/>
            <w:r>
              <w:rPr>
                <w:rFonts w:hint="eastAsia" w:ascii="新宋体" w:hAnsi="新宋体" w:eastAsia="新宋体" w:cs="新宋体"/>
                <w:color w:val="000000"/>
                <w:kern w:val="0"/>
                <w:sz w:val="24"/>
                <w:szCs w:val="24"/>
              </w:rPr>
              <w:t>序号</w:t>
            </w:r>
            <w:bookmarkEnd w:id="9"/>
          </w:p>
        </w:tc>
        <w:tc>
          <w:tcPr>
            <w:tcW w:w="1843" w:type="dxa"/>
            <w:shd w:val="clear" w:color="auto" w:fill="auto"/>
            <w:noWrap w:val="0"/>
            <w:vAlign w:val="top"/>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评审内容</w:t>
            </w:r>
          </w:p>
        </w:tc>
        <w:tc>
          <w:tcPr>
            <w:tcW w:w="6484" w:type="dxa"/>
            <w:shd w:val="clear" w:color="auto" w:fill="auto"/>
            <w:noWrap w:val="0"/>
            <w:vAlign w:val="top"/>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43" w:type="dxa"/>
            <w:shd w:val="clear" w:color="auto" w:fill="auto"/>
            <w:noWrap w:val="0"/>
            <w:vAlign w:val="center"/>
          </w:tcPr>
          <w:p>
            <w:pPr>
              <w:widowControl/>
              <w:spacing w:line="360" w:lineRule="auto"/>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投标报价部分：50分</w:t>
            </w:r>
          </w:p>
        </w:tc>
        <w:tc>
          <w:tcPr>
            <w:tcW w:w="6484" w:type="dxa"/>
            <w:shd w:val="clear" w:color="auto" w:fill="auto"/>
            <w:noWrap w:val="0"/>
            <w:vAlign w:val="top"/>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投标报价：50 分</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全部满足技术参数要求的有效投标文件，报价最低的得满分，即评标基准价。</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其他全部满足技术参数要求的有效投标人的报价，按照以下方式计算：</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投标报价得分=评标基准价/价格扣除后的投标报价*50*100%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1843" w:type="dxa"/>
            <w:shd w:val="clear" w:color="auto" w:fill="auto"/>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w:t>
            </w:r>
          </w:p>
          <w:p>
            <w:pPr>
              <w:widowControl/>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22分</w:t>
            </w:r>
          </w:p>
        </w:tc>
        <w:tc>
          <w:tcPr>
            <w:tcW w:w="6484" w:type="dxa"/>
            <w:shd w:val="clear" w:color="auto" w:fill="auto"/>
            <w:noWrap w:val="0"/>
            <w:vAlign w:val="top"/>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提供质量管理体系认证证书的（1分）</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自主知识产权：（5分）</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人提供的货物所使用的核心部件（如X射线探测器、控制系统）是否拥有自主知识产权，并获得中国和海外发明专利：获得6项以上的得5分；获得3-5项目的得2；获得三项以下的1分，没有获得发明专利的不得分。</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售后服务：（9分）</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1.根据投标人提供的售后服务的内容、形式、维修时间，项目的实施方案，培训方案等以及保修期结束后提供的服务、免费项目进行综合评分：（0-5分）</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2.优惠方案：能向采购人提供有针对性的实质优惠的内容、服务的，根据提供的内容综合评分（0-2分）</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3.保修期：保修期一年的不得分，能提供两年以上保修期的，根据保修内容，服务形式进行评分(0-2分)</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综合评价: （7分）</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根据投标产品的综合性能，技术先进性，临床实用性，技术参数符合程度及提供的其他伴随服务进行综合评分.(0-7分)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1843" w:type="dxa"/>
            <w:shd w:val="clear" w:color="auto" w:fill="auto"/>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w:t>
            </w:r>
          </w:p>
          <w:p>
            <w:pPr>
              <w:widowControl/>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28分</w:t>
            </w:r>
          </w:p>
        </w:tc>
        <w:tc>
          <w:tcPr>
            <w:tcW w:w="6484" w:type="dxa"/>
            <w:shd w:val="clear" w:color="auto" w:fill="auto"/>
            <w:noWrap w:val="0"/>
            <w:vAlign w:val="top"/>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1、投标产品技术标准完全满足招标技术参数要求的得28分；</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2、关键技术指标（加★项）不满足的，每有一项不满足的扣3分，其他技术参数每有一项不满足的扣2分，扣完为止。</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技术参数需提供权威机构出具的技术证明材料进行佐证</w:t>
            </w:r>
          </w:p>
        </w:tc>
      </w:tr>
    </w:tbl>
    <w:p>
      <w:pPr>
        <w:pStyle w:val="29"/>
        <w:rPr>
          <w:rFonts w:hint="eastAsia" w:ascii="新宋体" w:hAnsi="新宋体" w:eastAsia="新宋体" w:cs="新宋体"/>
          <w:b/>
          <w:bCs/>
          <w:sz w:val="24"/>
          <w:szCs w:val="24"/>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9"/>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firstLine="883"/>
        <w:rPr>
          <w:rFonts w:cs="黑体" w:asciiTheme="minorEastAsia" w:hAnsiTheme="minorEastAsia"/>
          <w:b/>
          <w:bCs/>
          <w:sz w:val="44"/>
          <w:szCs w:val="44"/>
          <w:lang w:val="zh-CN"/>
        </w:rPr>
      </w:pPr>
    </w:p>
    <w:p>
      <w:pPr>
        <w:pStyle w:val="30"/>
        <w:ind w:firstLine="883"/>
        <w:rPr>
          <w:rFonts w:cs="黑体" w:asciiTheme="minorEastAsia" w:hAnsiTheme="minorEastAsia"/>
          <w:b/>
          <w:bCs/>
          <w:sz w:val="44"/>
          <w:szCs w:val="44"/>
          <w:lang w:val="zh-CN"/>
        </w:rPr>
      </w:pPr>
    </w:p>
    <w:p>
      <w:pPr>
        <w:pStyle w:val="30"/>
        <w:ind w:firstLine="883"/>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74185203"/>
      <w:bookmarkStart w:id="2" w:name="_Toc186274126"/>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ascii="宋体" w:hAnsi="宋体"/>
          <w:b/>
          <w:bCs/>
          <w:color w:val="000000"/>
          <w:szCs w:val="24"/>
        </w:rPr>
      </w:pPr>
    </w:p>
    <w:p>
      <w:pPr>
        <w:pStyle w:val="29"/>
        <w:rPr>
          <w:rFonts w:ascii="宋体" w:hAnsi="宋体"/>
          <w:b/>
          <w:bCs/>
          <w:color w:val="000000"/>
          <w:szCs w:val="24"/>
        </w:rPr>
      </w:pPr>
    </w:p>
    <w:p>
      <w:pPr>
        <w:pStyle w:val="29"/>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8179F"/>
    <w:multiLevelType w:val="singleLevel"/>
    <w:tmpl w:val="99D8179F"/>
    <w:lvl w:ilvl="0" w:tentative="0">
      <w:start w:val="1"/>
      <w:numFmt w:val="decimal"/>
      <w:suff w:val="nothing"/>
      <w:lvlText w:val="（%1）"/>
      <w:lvlJc w:val="left"/>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4795CB8A"/>
    <w:multiLevelType w:val="singleLevel"/>
    <w:tmpl w:val="4795CB8A"/>
    <w:lvl w:ilvl="0" w:tentative="0">
      <w:start w:val="1"/>
      <w:numFmt w:val="chineseCounting"/>
      <w:suff w:val="nothing"/>
      <w:lvlText w:val="%1、"/>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2"/>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9"/>
  </w:num>
  <w:num w:numId="4">
    <w:abstractNumId w:val="6"/>
  </w:num>
  <w:num w:numId="5">
    <w:abstractNumId w:val="8"/>
  </w:num>
  <w:num w:numId="6">
    <w:abstractNumId w:val="7"/>
  </w:num>
  <w:num w:numId="7">
    <w:abstractNumId w:val="1"/>
  </w:num>
  <w:num w:numId="8">
    <w:abstractNumId w:val="5"/>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46A12DA"/>
    <w:rsid w:val="067B2CDB"/>
    <w:rsid w:val="07732CDA"/>
    <w:rsid w:val="07DA78CD"/>
    <w:rsid w:val="080C2BBA"/>
    <w:rsid w:val="08866B85"/>
    <w:rsid w:val="08C0181D"/>
    <w:rsid w:val="08FD5745"/>
    <w:rsid w:val="091E11E7"/>
    <w:rsid w:val="09834DFC"/>
    <w:rsid w:val="0A5E16AE"/>
    <w:rsid w:val="0A7C3AAF"/>
    <w:rsid w:val="0A997A60"/>
    <w:rsid w:val="0AB50907"/>
    <w:rsid w:val="0B01317F"/>
    <w:rsid w:val="0BBD5765"/>
    <w:rsid w:val="0C1D2223"/>
    <w:rsid w:val="0C3D4298"/>
    <w:rsid w:val="0C9523A6"/>
    <w:rsid w:val="0CA67F00"/>
    <w:rsid w:val="0CAB7FE2"/>
    <w:rsid w:val="0CF46B6D"/>
    <w:rsid w:val="0D403087"/>
    <w:rsid w:val="0F485C64"/>
    <w:rsid w:val="0FD30C14"/>
    <w:rsid w:val="101B403B"/>
    <w:rsid w:val="10483DBD"/>
    <w:rsid w:val="10E862A7"/>
    <w:rsid w:val="110E6851"/>
    <w:rsid w:val="116D26CD"/>
    <w:rsid w:val="119F1D23"/>
    <w:rsid w:val="11C23651"/>
    <w:rsid w:val="11DA30B8"/>
    <w:rsid w:val="11E13F76"/>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F27C17"/>
    <w:rsid w:val="183965F3"/>
    <w:rsid w:val="189035FD"/>
    <w:rsid w:val="18C769E5"/>
    <w:rsid w:val="18D55096"/>
    <w:rsid w:val="192D0B22"/>
    <w:rsid w:val="198348D6"/>
    <w:rsid w:val="1A08396D"/>
    <w:rsid w:val="1A1A3129"/>
    <w:rsid w:val="1A8C20F0"/>
    <w:rsid w:val="1AFBFFDD"/>
    <w:rsid w:val="1B1653FD"/>
    <w:rsid w:val="1BFD0131"/>
    <w:rsid w:val="1C2D1536"/>
    <w:rsid w:val="1CCF2F1D"/>
    <w:rsid w:val="1CF87F0B"/>
    <w:rsid w:val="1CFB73D3"/>
    <w:rsid w:val="1D767D0D"/>
    <w:rsid w:val="1D8125A1"/>
    <w:rsid w:val="1DAA1CA6"/>
    <w:rsid w:val="1E8E722F"/>
    <w:rsid w:val="1F8E45BB"/>
    <w:rsid w:val="1FE15514"/>
    <w:rsid w:val="1FF158F3"/>
    <w:rsid w:val="208614E5"/>
    <w:rsid w:val="2157706F"/>
    <w:rsid w:val="21DC7D3C"/>
    <w:rsid w:val="21DD4A96"/>
    <w:rsid w:val="2298317C"/>
    <w:rsid w:val="22CE29EE"/>
    <w:rsid w:val="242212EC"/>
    <w:rsid w:val="24D35795"/>
    <w:rsid w:val="24F94126"/>
    <w:rsid w:val="254B47A6"/>
    <w:rsid w:val="255E48CD"/>
    <w:rsid w:val="26B87348"/>
    <w:rsid w:val="271F4B16"/>
    <w:rsid w:val="275038F3"/>
    <w:rsid w:val="27CB63E1"/>
    <w:rsid w:val="27CD14F5"/>
    <w:rsid w:val="28E96646"/>
    <w:rsid w:val="29081640"/>
    <w:rsid w:val="293C5FB1"/>
    <w:rsid w:val="297D754F"/>
    <w:rsid w:val="29A55E19"/>
    <w:rsid w:val="29F94CB1"/>
    <w:rsid w:val="2A553543"/>
    <w:rsid w:val="2A745111"/>
    <w:rsid w:val="2AED78B3"/>
    <w:rsid w:val="2AF87034"/>
    <w:rsid w:val="2B022C78"/>
    <w:rsid w:val="2BC32A2F"/>
    <w:rsid w:val="2C014C3B"/>
    <w:rsid w:val="2D4A693F"/>
    <w:rsid w:val="2E252DC4"/>
    <w:rsid w:val="2EE200E1"/>
    <w:rsid w:val="2F566BBD"/>
    <w:rsid w:val="2F650AED"/>
    <w:rsid w:val="2FB11110"/>
    <w:rsid w:val="2FFD3F6B"/>
    <w:rsid w:val="30EA79C7"/>
    <w:rsid w:val="30FD56B7"/>
    <w:rsid w:val="329E1B24"/>
    <w:rsid w:val="32BF12F4"/>
    <w:rsid w:val="3320490D"/>
    <w:rsid w:val="33563CED"/>
    <w:rsid w:val="338A4286"/>
    <w:rsid w:val="347F0816"/>
    <w:rsid w:val="3495779B"/>
    <w:rsid w:val="34B644B7"/>
    <w:rsid w:val="36621D69"/>
    <w:rsid w:val="36841FFE"/>
    <w:rsid w:val="369A01A8"/>
    <w:rsid w:val="36B46A4A"/>
    <w:rsid w:val="36DE6630"/>
    <w:rsid w:val="36E65B38"/>
    <w:rsid w:val="374008ED"/>
    <w:rsid w:val="37561C08"/>
    <w:rsid w:val="375656B9"/>
    <w:rsid w:val="375B6549"/>
    <w:rsid w:val="37627558"/>
    <w:rsid w:val="37B91083"/>
    <w:rsid w:val="38A27B73"/>
    <w:rsid w:val="39734983"/>
    <w:rsid w:val="39FD28B4"/>
    <w:rsid w:val="3AC47AB6"/>
    <w:rsid w:val="3ADD0A2E"/>
    <w:rsid w:val="3B4C7808"/>
    <w:rsid w:val="3B7A3E82"/>
    <w:rsid w:val="3B8D0CE8"/>
    <w:rsid w:val="3BA71EF1"/>
    <w:rsid w:val="3C1651F0"/>
    <w:rsid w:val="3C2006E5"/>
    <w:rsid w:val="3CBF1608"/>
    <w:rsid w:val="3CC749D9"/>
    <w:rsid w:val="3CFB31CE"/>
    <w:rsid w:val="3D58249F"/>
    <w:rsid w:val="3DCA2531"/>
    <w:rsid w:val="3DDA3322"/>
    <w:rsid w:val="3E3A26DB"/>
    <w:rsid w:val="3EA20E92"/>
    <w:rsid w:val="3EF36E15"/>
    <w:rsid w:val="3F263B0E"/>
    <w:rsid w:val="414D7438"/>
    <w:rsid w:val="41572B91"/>
    <w:rsid w:val="41A16B13"/>
    <w:rsid w:val="41EF3AE9"/>
    <w:rsid w:val="42065704"/>
    <w:rsid w:val="423A7A11"/>
    <w:rsid w:val="428968C5"/>
    <w:rsid w:val="430D37F8"/>
    <w:rsid w:val="43420F67"/>
    <w:rsid w:val="4350210F"/>
    <w:rsid w:val="436A3287"/>
    <w:rsid w:val="43A30EC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EB5C49"/>
    <w:rsid w:val="4FF123BD"/>
    <w:rsid w:val="527B1821"/>
    <w:rsid w:val="52927252"/>
    <w:rsid w:val="5310611D"/>
    <w:rsid w:val="53276344"/>
    <w:rsid w:val="53293BFC"/>
    <w:rsid w:val="533D55CA"/>
    <w:rsid w:val="535D3032"/>
    <w:rsid w:val="53673EE3"/>
    <w:rsid w:val="53C97953"/>
    <w:rsid w:val="53E15B41"/>
    <w:rsid w:val="53F5577A"/>
    <w:rsid w:val="5590515E"/>
    <w:rsid w:val="55EF2276"/>
    <w:rsid w:val="562D2F69"/>
    <w:rsid w:val="565C29A5"/>
    <w:rsid w:val="56E94B5C"/>
    <w:rsid w:val="5703196B"/>
    <w:rsid w:val="57140DA8"/>
    <w:rsid w:val="574A43AC"/>
    <w:rsid w:val="57FF2C3C"/>
    <w:rsid w:val="58077CBD"/>
    <w:rsid w:val="5812110B"/>
    <w:rsid w:val="582E1358"/>
    <w:rsid w:val="58323449"/>
    <w:rsid w:val="58FD658D"/>
    <w:rsid w:val="591E17FC"/>
    <w:rsid w:val="59301AA2"/>
    <w:rsid w:val="59454145"/>
    <w:rsid w:val="597A69A6"/>
    <w:rsid w:val="5A50619C"/>
    <w:rsid w:val="5AFA2E69"/>
    <w:rsid w:val="5B0C6CA4"/>
    <w:rsid w:val="5B590A61"/>
    <w:rsid w:val="5BCD4474"/>
    <w:rsid w:val="5CFD3C28"/>
    <w:rsid w:val="5E2C7B65"/>
    <w:rsid w:val="5EB8046C"/>
    <w:rsid w:val="5EC23D91"/>
    <w:rsid w:val="5EEA6FD8"/>
    <w:rsid w:val="5F5D3B89"/>
    <w:rsid w:val="5F91300B"/>
    <w:rsid w:val="5FBD74DE"/>
    <w:rsid w:val="601812B8"/>
    <w:rsid w:val="608416F1"/>
    <w:rsid w:val="60BD0412"/>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7B46D9"/>
    <w:rsid w:val="6ED546F7"/>
    <w:rsid w:val="6EF25BF0"/>
    <w:rsid w:val="6F272507"/>
    <w:rsid w:val="6FF11A89"/>
    <w:rsid w:val="70117814"/>
    <w:rsid w:val="70602224"/>
    <w:rsid w:val="70C1699F"/>
    <w:rsid w:val="7151172F"/>
    <w:rsid w:val="71617265"/>
    <w:rsid w:val="71C32A07"/>
    <w:rsid w:val="71E53350"/>
    <w:rsid w:val="720E5D3A"/>
    <w:rsid w:val="72254E2A"/>
    <w:rsid w:val="72E83FB1"/>
    <w:rsid w:val="72ED3426"/>
    <w:rsid w:val="73184127"/>
    <w:rsid w:val="73733509"/>
    <w:rsid w:val="737B1C80"/>
    <w:rsid w:val="73D40348"/>
    <w:rsid w:val="74304EB5"/>
    <w:rsid w:val="74AB41BE"/>
    <w:rsid w:val="755A041E"/>
    <w:rsid w:val="75EA3934"/>
    <w:rsid w:val="76AF6448"/>
    <w:rsid w:val="774700AD"/>
    <w:rsid w:val="777E0158"/>
    <w:rsid w:val="788A0F31"/>
    <w:rsid w:val="78DE6336"/>
    <w:rsid w:val="78E609C9"/>
    <w:rsid w:val="78F56DD8"/>
    <w:rsid w:val="79373D17"/>
    <w:rsid w:val="7A77760E"/>
    <w:rsid w:val="7AC70899"/>
    <w:rsid w:val="7B3F7553"/>
    <w:rsid w:val="7B7986D1"/>
    <w:rsid w:val="7B877587"/>
    <w:rsid w:val="7D0C0971"/>
    <w:rsid w:val="7E0F106D"/>
    <w:rsid w:val="7E4F5023"/>
    <w:rsid w:val="7EE52F06"/>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3"/>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9"/>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2"/>
    <w:basedOn w:val="11"/>
    <w:semiHidden/>
    <w:qFormat/>
    <w:uiPriority w:val="99"/>
    <w:pPr>
      <w:spacing w:after="120" w:line="240" w:lineRule="auto"/>
      <w:ind w:left="420" w:leftChars="200" w:firstLine="420" w:firstLineChars="200"/>
    </w:pPr>
    <w:rPr>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列出段落1"/>
    <w:basedOn w:val="1"/>
    <w:unhideWhenUsed/>
    <w:qFormat/>
    <w:uiPriority w:val="99"/>
    <w:pPr>
      <w:ind w:firstLine="420" w:firstLineChars="200"/>
    </w:p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character" w:customStyle="1" w:styleId="31">
    <w:name w:val="标题 1 字符"/>
    <w:basedOn w:val="23"/>
    <w:link w:val="4"/>
    <w:qFormat/>
    <w:uiPriority w:val="0"/>
    <w:rPr>
      <w:rFonts w:ascii="Calibri" w:hAnsi="Calibri" w:eastAsia="宋体" w:cs="Times New Roman"/>
      <w:b/>
      <w:bCs/>
      <w:kern w:val="44"/>
      <w:sz w:val="44"/>
      <w:szCs w:val="44"/>
    </w:rPr>
  </w:style>
  <w:style w:type="character" w:customStyle="1" w:styleId="32">
    <w:name w:val="标题 2 字符"/>
    <w:basedOn w:val="23"/>
    <w:link w:val="5"/>
    <w:qFormat/>
    <w:uiPriority w:val="0"/>
    <w:rPr>
      <w:rFonts w:ascii="Arial" w:hAnsi="Arial" w:eastAsia="黑体" w:cs="Times New Roman"/>
      <w:b/>
      <w:bCs/>
      <w:kern w:val="0"/>
      <w:sz w:val="32"/>
      <w:szCs w:val="32"/>
    </w:rPr>
  </w:style>
  <w:style w:type="character" w:customStyle="1" w:styleId="33">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4">
    <w:name w:val="标题 4 字符"/>
    <w:basedOn w:val="23"/>
    <w:link w:val="7"/>
    <w:qFormat/>
    <w:uiPriority w:val="0"/>
    <w:rPr>
      <w:rFonts w:ascii="Arial" w:hAnsi="Arial" w:eastAsia="黑体" w:cs="Times New Roman"/>
      <w:b/>
      <w:bCs/>
      <w:kern w:val="0"/>
      <w:sz w:val="28"/>
      <w:szCs w:val="28"/>
    </w:rPr>
  </w:style>
  <w:style w:type="character" w:customStyle="1" w:styleId="35">
    <w:name w:val="纯文本 字符"/>
    <w:basedOn w:val="23"/>
    <w:link w:val="14"/>
    <w:qFormat/>
    <w:uiPriority w:val="0"/>
    <w:rPr>
      <w:rFonts w:eastAsia="宋体"/>
      <w:sz w:val="24"/>
    </w:rPr>
  </w:style>
  <w:style w:type="character" w:customStyle="1" w:styleId="36">
    <w:name w:val="日期 字符"/>
    <w:basedOn w:val="23"/>
    <w:link w:val="15"/>
    <w:qFormat/>
    <w:uiPriority w:val="99"/>
  </w:style>
  <w:style w:type="character" w:customStyle="1" w:styleId="37">
    <w:name w:val="页脚 字符"/>
    <w:basedOn w:val="23"/>
    <w:link w:val="16"/>
    <w:qFormat/>
    <w:uiPriority w:val="99"/>
    <w:rPr>
      <w:sz w:val="18"/>
      <w:szCs w:val="18"/>
    </w:rPr>
  </w:style>
  <w:style w:type="character" w:customStyle="1" w:styleId="38">
    <w:name w:val="页眉 字符"/>
    <w:basedOn w:val="23"/>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字符"/>
    <w:basedOn w:val="23"/>
    <w:link w:val="10"/>
    <w:qFormat/>
    <w:uiPriority w:val="0"/>
    <w:rPr>
      <w:rFonts w:ascii="Times New Roman" w:hAnsi="Times New Roman" w:eastAsia="宋体" w:cs="Times New Roman"/>
      <w:color w:val="FF0000"/>
      <w:sz w:val="24"/>
      <w:szCs w:val="24"/>
    </w:rPr>
  </w:style>
  <w:style w:type="character" w:customStyle="1" w:styleId="50">
    <w:name w:val="edittexttarea"/>
    <w:basedOn w:val="23"/>
    <w:qFormat/>
    <w:uiPriority w:val="0"/>
  </w:style>
  <w:style w:type="paragraph" w:customStyle="1" w:styleId="5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字符"/>
    <w:basedOn w:val="23"/>
    <w:link w:val="3"/>
    <w:semiHidden/>
    <w:qFormat/>
    <w:uiPriority w:val="99"/>
  </w:style>
  <w:style w:type="character" w:customStyle="1" w:styleId="54">
    <w:name w:val="正文文本首行缩进 字符"/>
    <w:basedOn w:val="53"/>
    <w:link w:val="2"/>
    <w:qFormat/>
    <w:uiPriority w:val="0"/>
    <w:rPr>
      <w:rFonts w:ascii="宋体" w:hAnsi="Times New Roman" w:eastAsia="宋体" w:cs="Times New Roman"/>
      <w:kern w:val="0"/>
      <w:sz w:val="34"/>
      <w:szCs w:val="20"/>
    </w:rPr>
  </w:style>
  <w:style w:type="character" w:customStyle="1" w:styleId="55">
    <w:name w:val="HTML 预设格式 字符"/>
    <w:basedOn w:val="23"/>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3"/>
    <w:qFormat/>
    <w:uiPriority w:val="0"/>
    <w:rPr>
      <w:rFonts w:hint="eastAsia" w:ascii="宋体" w:hAnsi="宋体" w:eastAsia="宋体" w:cs="宋体"/>
      <w:color w:val="000000"/>
      <w:sz w:val="22"/>
      <w:szCs w:val="22"/>
      <w:u w:val="none"/>
    </w:rPr>
  </w:style>
  <w:style w:type="character" w:customStyle="1" w:styleId="61">
    <w:name w:val="font21"/>
    <w:basedOn w:val="23"/>
    <w:qFormat/>
    <w:uiPriority w:val="0"/>
    <w:rPr>
      <w:rFonts w:hint="eastAsia" w:ascii="宋体" w:hAnsi="宋体" w:eastAsia="宋体" w:cs="宋体"/>
      <w:color w:val="000000"/>
      <w:sz w:val="28"/>
      <w:szCs w:val="28"/>
      <w:u w:val="none"/>
    </w:rPr>
  </w:style>
  <w:style w:type="character" w:customStyle="1" w:styleId="62">
    <w:name w:val="font11"/>
    <w:basedOn w:val="23"/>
    <w:qFormat/>
    <w:uiPriority w:val="0"/>
    <w:rPr>
      <w:rFonts w:ascii="Calibri" w:hAnsi="Calibri" w:cs="Calibri"/>
      <w:color w:val="000000"/>
      <w:sz w:val="28"/>
      <w:szCs w:val="28"/>
      <w:u w:val="none"/>
    </w:rPr>
  </w:style>
  <w:style w:type="paragraph" w:customStyle="1" w:styleId="63">
    <w:name w:val="正文 A"/>
    <w:next w:val="64"/>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4">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5">
    <w:name w:val="Table Normal"/>
    <w:qFormat/>
    <w:uiPriority w:val="0"/>
    <w:tblPr>
      <w:tblCellMar>
        <w:top w:w="0" w:type="dxa"/>
        <w:left w:w="0" w:type="dxa"/>
        <w:bottom w:w="0" w:type="dxa"/>
        <w:right w:w="0" w:type="dxa"/>
      </w:tblCellMar>
    </w:tblPr>
  </w:style>
  <w:style w:type="paragraph" w:customStyle="1" w:styleId="6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1</TotalTime>
  <ScaleCrop>false</ScaleCrop>
  <LinksUpToDate>false</LinksUpToDate>
  <CharactersWithSpaces>40142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2020-03-24T02:35:09Z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